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C83E5" w14:textId="1024E2F3" w:rsidR="001F73C9" w:rsidRDefault="00534CB4" w:rsidP="00E52DAF">
      <w:pPr>
        <w:spacing w:line="240" w:lineRule="auto"/>
        <w:rPr>
          <w:rFonts w:cstheme="minorHAnsi"/>
        </w:rPr>
      </w:pPr>
      <w:r>
        <w:rPr>
          <w:noProof/>
        </w:rPr>
        <w:drawing>
          <wp:anchor distT="0" distB="0" distL="114300" distR="114300" simplePos="0" relativeHeight="251658240" behindDoc="0" locked="0" layoutInCell="1" allowOverlap="1" wp14:anchorId="1A46C47E" wp14:editId="07CC3DC8">
            <wp:simplePos x="0" y="0"/>
            <wp:positionH relativeFrom="margin">
              <wp:posOffset>1461149</wp:posOffset>
            </wp:positionH>
            <wp:positionV relativeFrom="paragraph">
              <wp:posOffset>222885</wp:posOffset>
            </wp:positionV>
            <wp:extent cx="2721610" cy="826770"/>
            <wp:effectExtent l="0" t="0" r="2540" b="0"/>
            <wp:wrapSquare wrapText="bothSides"/>
            <wp:docPr id="1" name="Picture 1" descr="The University of Sheffield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ity of Sheffield | Welc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61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33AE6" w14:textId="4C97735A" w:rsidR="00534CB4" w:rsidRPr="00534CB4" w:rsidRDefault="00534CB4" w:rsidP="00534CB4">
      <w:pPr>
        <w:rPr>
          <w:rFonts w:cstheme="minorHAnsi"/>
        </w:rPr>
      </w:pPr>
    </w:p>
    <w:p w14:paraId="69312FD1" w14:textId="1F0442E3" w:rsidR="00534CB4" w:rsidRPr="00534CB4" w:rsidRDefault="00534CB4" w:rsidP="00534CB4">
      <w:pPr>
        <w:rPr>
          <w:rFonts w:cstheme="minorHAnsi"/>
        </w:rPr>
      </w:pPr>
    </w:p>
    <w:p w14:paraId="0186CFC4" w14:textId="2BDD48C1" w:rsidR="00534CB4" w:rsidRPr="00534CB4" w:rsidRDefault="00534CB4" w:rsidP="00534CB4">
      <w:pPr>
        <w:rPr>
          <w:rFonts w:cstheme="minorHAnsi"/>
        </w:rPr>
      </w:pPr>
    </w:p>
    <w:p w14:paraId="633CD094" w14:textId="2F1AB983" w:rsidR="00534CB4" w:rsidRPr="00534CB4" w:rsidRDefault="00534CB4" w:rsidP="00534CB4">
      <w:pPr>
        <w:rPr>
          <w:rFonts w:cstheme="minorHAnsi"/>
        </w:rPr>
      </w:pPr>
    </w:p>
    <w:p w14:paraId="2F4B9C6D" w14:textId="02BCC02B" w:rsidR="00534CB4" w:rsidRPr="00534CB4" w:rsidRDefault="00534CB4" w:rsidP="00534CB4">
      <w:pPr>
        <w:rPr>
          <w:rFonts w:cstheme="minorHAnsi"/>
          <w:sz w:val="24"/>
          <w:szCs w:val="24"/>
        </w:rPr>
      </w:pPr>
    </w:p>
    <w:p w14:paraId="1186ABA7" w14:textId="77777777" w:rsidR="00534CB4" w:rsidRDefault="00534CB4" w:rsidP="00534CB4">
      <w:pPr>
        <w:jc w:val="center"/>
        <w:rPr>
          <w:rFonts w:ascii="Times New Roman" w:hAnsi="Times New Roman" w:cs="Times New Roman"/>
          <w:color w:val="000000"/>
          <w:sz w:val="24"/>
          <w:szCs w:val="24"/>
          <w:shd w:val="clear" w:color="auto" w:fill="FFFFFF"/>
        </w:rPr>
      </w:pPr>
    </w:p>
    <w:p w14:paraId="59E3C63C" w14:textId="40093D50" w:rsidR="00534CB4" w:rsidRPr="00950F11" w:rsidRDefault="00534CB4" w:rsidP="00534CB4">
      <w:pPr>
        <w:jc w:val="center"/>
        <w:rPr>
          <w:rFonts w:ascii="Times New Roman" w:hAnsi="Times New Roman" w:cs="Times New Roman"/>
          <w:b/>
          <w:bCs/>
          <w:color w:val="000000"/>
          <w:sz w:val="28"/>
          <w:szCs w:val="28"/>
          <w:shd w:val="clear" w:color="auto" w:fill="FFFFFF"/>
        </w:rPr>
      </w:pPr>
      <w:r w:rsidRPr="00950F11">
        <w:rPr>
          <w:rFonts w:ascii="Times New Roman" w:hAnsi="Times New Roman" w:cs="Times New Roman"/>
          <w:b/>
          <w:bCs/>
          <w:color w:val="000000"/>
          <w:sz w:val="28"/>
          <w:szCs w:val="28"/>
          <w:shd w:val="clear" w:color="auto" w:fill="FFFFFF"/>
        </w:rPr>
        <w:t>Using a zebrafish model to examine the importance of the stringent response for</w:t>
      </w:r>
      <w:r w:rsidRPr="00950F11">
        <w:rPr>
          <w:rFonts w:ascii="Times New Roman" w:hAnsi="Times New Roman" w:cs="Times New Roman"/>
          <w:b/>
          <w:bCs/>
          <w:i/>
          <w:iCs/>
          <w:color w:val="000000"/>
          <w:sz w:val="28"/>
          <w:szCs w:val="28"/>
          <w:shd w:val="clear" w:color="auto" w:fill="FFFFFF"/>
        </w:rPr>
        <w:t> Staphylococcus aureus</w:t>
      </w:r>
      <w:r w:rsidRPr="00950F11">
        <w:rPr>
          <w:rFonts w:ascii="Times New Roman" w:hAnsi="Times New Roman" w:cs="Times New Roman"/>
          <w:b/>
          <w:bCs/>
          <w:color w:val="000000"/>
          <w:sz w:val="28"/>
          <w:szCs w:val="28"/>
          <w:shd w:val="clear" w:color="auto" w:fill="FFFFFF"/>
        </w:rPr>
        <w:t> pathogenesis</w:t>
      </w:r>
    </w:p>
    <w:p w14:paraId="734EA314" w14:textId="77777777" w:rsidR="00534CB4" w:rsidRPr="00950F11" w:rsidRDefault="00534CB4" w:rsidP="00534CB4">
      <w:pPr>
        <w:jc w:val="center"/>
        <w:rPr>
          <w:b/>
          <w:bCs/>
          <w:sz w:val="24"/>
          <w:szCs w:val="24"/>
        </w:rPr>
      </w:pPr>
    </w:p>
    <w:p w14:paraId="01D242E2" w14:textId="77777777" w:rsidR="00534CB4" w:rsidRPr="00950F11" w:rsidRDefault="00534CB4" w:rsidP="00534CB4">
      <w:pPr>
        <w:jc w:val="center"/>
        <w:rPr>
          <w:b/>
          <w:bCs/>
          <w:sz w:val="28"/>
          <w:szCs w:val="28"/>
        </w:rPr>
      </w:pPr>
    </w:p>
    <w:p w14:paraId="49C870EF" w14:textId="77777777" w:rsidR="00534CB4" w:rsidRPr="00950F11" w:rsidRDefault="00534CB4" w:rsidP="00534CB4">
      <w:pPr>
        <w:jc w:val="center"/>
        <w:rPr>
          <w:rFonts w:ascii="Times New Roman" w:hAnsi="Times New Roman" w:cs="Times New Roman"/>
          <w:b/>
          <w:bCs/>
          <w:sz w:val="28"/>
          <w:szCs w:val="28"/>
        </w:rPr>
      </w:pPr>
    </w:p>
    <w:p w14:paraId="1A30913B" w14:textId="68757ED4" w:rsidR="00534CB4" w:rsidRPr="00950F11" w:rsidRDefault="00534CB4" w:rsidP="00534CB4">
      <w:pPr>
        <w:jc w:val="center"/>
        <w:rPr>
          <w:rFonts w:ascii="Times New Roman" w:hAnsi="Times New Roman" w:cs="Times New Roman"/>
          <w:b/>
          <w:bCs/>
          <w:sz w:val="28"/>
          <w:szCs w:val="28"/>
        </w:rPr>
      </w:pPr>
      <w:r w:rsidRPr="00950F11">
        <w:rPr>
          <w:rFonts w:ascii="Times New Roman" w:hAnsi="Times New Roman" w:cs="Times New Roman"/>
          <w:b/>
          <w:bCs/>
          <w:sz w:val="28"/>
          <w:szCs w:val="28"/>
        </w:rPr>
        <w:t>Naznin Rahman Choudhury</w:t>
      </w:r>
    </w:p>
    <w:p w14:paraId="7E8F8359" w14:textId="03C62124" w:rsidR="00534CB4" w:rsidRDefault="00534CB4" w:rsidP="00534CB4">
      <w:pPr>
        <w:jc w:val="center"/>
        <w:rPr>
          <w:sz w:val="24"/>
          <w:szCs w:val="24"/>
        </w:rPr>
      </w:pPr>
    </w:p>
    <w:p w14:paraId="62F21E18" w14:textId="77777777" w:rsidR="00950F11" w:rsidRDefault="00950F11" w:rsidP="00534CB4">
      <w:pPr>
        <w:jc w:val="center"/>
        <w:rPr>
          <w:sz w:val="24"/>
          <w:szCs w:val="24"/>
        </w:rPr>
      </w:pPr>
    </w:p>
    <w:p w14:paraId="6A37C565" w14:textId="77777777" w:rsidR="00534CB4" w:rsidRPr="00950F11" w:rsidRDefault="00534CB4" w:rsidP="00534CB4">
      <w:pPr>
        <w:jc w:val="center"/>
        <w:rPr>
          <w:rFonts w:ascii="Times New Roman" w:hAnsi="Times New Roman" w:cs="Times New Roman"/>
          <w:sz w:val="28"/>
          <w:szCs w:val="28"/>
        </w:rPr>
      </w:pPr>
    </w:p>
    <w:p w14:paraId="42C6E81D" w14:textId="6B55940E" w:rsidR="00534CB4" w:rsidRPr="00950F11" w:rsidRDefault="00534CB4" w:rsidP="00534CB4">
      <w:pPr>
        <w:jc w:val="center"/>
        <w:rPr>
          <w:rFonts w:ascii="Times New Roman" w:hAnsi="Times New Roman" w:cs="Times New Roman"/>
          <w:sz w:val="26"/>
          <w:szCs w:val="26"/>
        </w:rPr>
      </w:pPr>
      <w:r w:rsidRPr="00950F11">
        <w:rPr>
          <w:rFonts w:ascii="Times New Roman" w:hAnsi="Times New Roman" w:cs="Times New Roman"/>
          <w:sz w:val="26"/>
          <w:szCs w:val="26"/>
        </w:rPr>
        <w:t>A thesis submitted in partial fulfilment of the requirements for the degree of Doctor of Philosophy</w:t>
      </w:r>
    </w:p>
    <w:p w14:paraId="2DD69390" w14:textId="77777777" w:rsidR="00534CB4" w:rsidRPr="00950F11" w:rsidRDefault="00534CB4" w:rsidP="00534CB4">
      <w:pPr>
        <w:jc w:val="center"/>
        <w:rPr>
          <w:rFonts w:ascii="Times New Roman" w:hAnsi="Times New Roman" w:cs="Times New Roman"/>
          <w:sz w:val="26"/>
          <w:szCs w:val="26"/>
        </w:rPr>
      </w:pPr>
    </w:p>
    <w:p w14:paraId="244A1038" w14:textId="571B666A" w:rsidR="00950F11" w:rsidRPr="00950F11" w:rsidRDefault="00950F11" w:rsidP="00534CB4">
      <w:pPr>
        <w:jc w:val="center"/>
        <w:rPr>
          <w:rFonts w:ascii="Times New Roman" w:hAnsi="Times New Roman" w:cs="Times New Roman"/>
          <w:sz w:val="26"/>
          <w:szCs w:val="26"/>
        </w:rPr>
      </w:pPr>
    </w:p>
    <w:p w14:paraId="5287623A" w14:textId="77777777" w:rsidR="00534CB4" w:rsidRPr="00950F11" w:rsidRDefault="00534CB4" w:rsidP="00534CB4">
      <w:pPr>
        <w:jc w:val="center"/>
        <w:rPr>
          <w:rFonts w:ascii="Times New Roman" w:hAnsi="Times New Roman" w:cs="Times New Roman"/>
          <w:sz w:val="26"/>
          <w:szCs w:val="26"/>
        </w:rPr>
      </w:pPr>
    </w:p>
    <w:p w14:paraId="43925227" w14:textId="2E28EC86" w:rsidR="00534CB4" w:rsidRPr="00950F11" w:rsidRDefault="00534CB4" w:rsidP="00534CB4">
      <w:pPr>
        <w:jc w:val="center"/>
        <w:rPr>
          <w:rFonts w:ascii="Times New Roman" w:hAnsi="Times New Roman" w:cs="Times New Roman"/>
          <w:sz w:val="26"/>
          <w:szCs w:val="26"/>
        </w:rPr>
      </w:pPr>
      <w:r w:rsidRPr="00950F11">
        <w:rPr>
          <w:rFonts w:ascii="Times New Roman" w:hAnsi="Times New Roman" w:cs="Times New Roman"/>
          <w:sz w:val="26"/>
          <w:szCs w:val="26"/>
        </w:rPr>
        <w:t>The University of Sheffield</w:t>
      </w:r>
      <w:r w:rsidR="00950F11" w:rsidRPr="00950F11">
        <w:rPr>
          <w:rFonts w:ascii="Times New Roman" w:hAnsi="Times New Roman" w:cs="Times New Roman"/>
          <w:sz w:val="26"/>
          <w:szCs w:val="26"/>
        </w:rPr>
        <w:br/>
      </w:r>
      <w:r w:rsidRPr="00950F11">
        <w:rPr>
          <w:rFonts w:ascii="Times New Roman" w:hAnsi="Times New Roman" w:cs="Times New Roman"/>
          <w:sz w:val="26"/>
          <w:szCs w:val="26"/>
        </w:rPr>
        <w:t>Faculty of Science</w:t>
      </w:r>
      <w:r w:rsidR="00950F11" w:rsidRPr="00950F11">
        <w:rPr>
          <w:rFonts w:ascii="Times New Roman" w:hAnsi="Times New Roman" w:cs="Times New Roman"/>
          <w:sz w:val="26"/>
          <w:szCs w:val="26"/>
        </w:rPr>
        <w:br/>
      </w:r>
      <w:r w:rsidRPr="00950F11">
        <w:rPr>
          <w:rFonts w:ascii="Times New Roman" w:hAnsi="Times New Roman" w:cs="Times New Roman"/>
          <w:color w:val="222222"/>
          <w:sz w:val="26"/>
          <w:szCs w:val="26"/>
          <w:shd w:val="clear" w:color="auto" w:fill="FFFFFF"/>
        </w:rPr>
        <w:t>Molecular Microbiology: Biochemistry to Disease</w:t>
      </w:r>
    </w:p>
    <w:p w14:paraId="2F75F126" w14:textId="7ACE7581" w:rsidR="00534CB4" w:rsidRPr="00950F11" w:rsidRDefault="00534CB4" w:rsidP="00534CB4">
      <w:pPr>
        <w:jc w:val="center"/>
        <w:rPr>
          <w:rFonts w:ascii="Times New Roman" w:hAnsi="Times New Roman" w:cs="Times New Roman"/>
          <w:sz w:val="26"/>
          <w:szCs w:val="26"/>
        </w:rPr>
      </w:pPr>
    </w:p>
    <w:p w14:paraId="0B8555EE" w14:textId="153E532C" w:rsidR="00950F11" w:rsidRPr="00950F11" w:rsidRDefault="00950F11" w:rsidP="00534CB4">
      <w:pPr>
        <w:jc w:val="center"/>
        <w:rPr>
          <w:rFonts w:ascii="Times New Roman" w:hAnsi="Times New Roman" w:cs="Times New Roman"/>
          <w:sz w:val="26"/>
          <w:szCs w:val="26"/>
        </w:rPr>
      </w:pPr>
    </w:p>
    <w:p w14:paraId="7BDC8D08" w14:textId="77777777" w:rsidR="00950F11" w:rsidRPr="00950F11" w:rsidRDefault="00950F11" w:rsidP="00534CB4">
      <w:pPr>
        <w:jc w:val="center"/>
        <w:rPr>
          <w:rFonts w:ascii="Times New Roman" w:hAnsi="Times New Roman" w:cs="Times New Roman"/>
          <w:sz w:val="26"/>
          <w:szCs w:val="26"/>
        </w:rPr>
      </w:pPr>
    </w:p>
    <w:p w14:paraId="24079AA5" w14:textId="573B98CB" w:rsidR="00FE2F02" w:rsidRDefault="00534CB4" w:rsidP="00921BFF">
      <w:pPr>
        <w:jc w:val="center"/>
        <w:rPr>
          <w:rFonts w:ascii="Times New Roman" w:hAnsi="Times New Roman" w:cs="Times New Roman"/>
          <w:sz w:val="26"/>
          <w:szCs w:val="26"/>
        </w:rPr>
        <w:sectPr w:rsidR="00FE2F02" w:rsidSect="00FE2F02">
          <w:footerReference w:type="default" r:id="rId9"/>
          <w:pgSz w:w="11906" w:h="16838"/>
          <w:pgMar w:top="1440" w:right="1440" w:bottom="1440" w:left="1440" w:header="708" w:footer="708" w:gutter="0"/>
          <w:pgNumType w:fmt="lowerRoman" w:start="1"/>
          <w:cols w:space="708"/>
          <w:docGrid w:linePitch="360"/>
        </w:sectPr>
      </w:pPr>
      <w:r w:rsidRPr="00950F11">
        <w:rPr>
          <w:rFonts w:ascii="Times New Roman" w:hAnsi="Times New Roman" w:cs="Times New Roman"/>
          <w:sz w:val="26"/>
          <w:szCs w:val="26"/>
        </w:rPr>
        <w:t>March 2023</w:t>
      </w:r>
    </w:p>
    <w:p w14:paraId="62C5896C" w14:textId="6757270F" w:rsidR="00151287" w:rsidRDefault="00151287" w:rsidP="00921BFF">
      <w:pPr>
        <w:pStyle w:val="Heading1"/>
      </w:pPr>
      <w:bookmarkStart w:id="0" w:name="_Toc142043558"/>
      <w:r>
        <w:lastRenderedPageBreak/>
        <w:t>Abstract</w:t>
      </w:r>
      <w:bookmarkEnd w:id="0"/>
    </w:p>
    <w:p w14:paraId="15826812" w14:textId="77777777" w:rsidR="00D92AC9" w:rsidRPr="00D92AC9" w:rsidRDefault="00D92AC9" w:rsidP="00D92AC9"/>
    <w:p w14:paraId="778626C0" w14:textId="4DC6407C" w:rsidR="00D92AC9" w:rsidRPr="00BE514F" w:rsidRDefault="00D92AC9" w:rsidP="00D92AC9">
      <w:pPr>
        <w:spacing w:line="360" w:lineRule="auto"/>
        <w:jc w:val="both"/>
        <w:rPr>
          <w:rFonts w:ascii="Times New Roman" w:hAnsi="Times New Roman" w:cs="Times New Roman"/>
          <w:color w:val="000000" w:themeColor="text1"/>
          <w:shd w:val="clear" w:color="auto" w:fill="FFFFFF"/>
        </w:rPr>
      </w:pPr>
      <w:bookmarkStart w:id="1" w:name="_Hlk130496738"/>
      <w:r w:rsidRPr="00BE514F">
        <w:rPr>
          <w:rStyle w:val="Emphasis"/>
          <w:rFonts w:ascii="Times New Roman" w:hAnsi="Times New Roman" w:cs="Times New Roman"/>
          <w:color w:val="000000" w:themeColor="text1"/>
          <w:shd w:val="clear" w:color="auto" w:fill="FFFFFF"/>
        </w:rPr>
        <w:t>Staphylococcus aureus</w:t>
      </w:r>
      <w:r w:rsidRPr="00BE514F">
        <w:rPr>
          <w:rFonts w:ascii="Times New Roman" w:hAnsi="Times New Roman" w:cs="Times New Roman"/>
          <w:color w:val="000000" w:themeColor="text1"/>
          <w:shd w:val="clear" w:color="auto" w:fill="FFFFFF"/>
        </w:rPr>
        <w:t xml:space="preserve"> is a human commensal organism with the potential to become opportunistic given the right conditions. During infection, bacteria are exposed to stresses like nutrient limitation, which they respond to by inducing the stringent response. This is a </w:t>
      </w:r>
      <w:bookmarkStart w:id="2" w:name="_Hlk111131345"/>
      <w:r w:rsidRPr="00BE514F">
        <w:rPr>
          <w:rFonts w:ascii="Times New Roman" w:hAnsi="Times New Roman" w:cs="Times New Roman"/>
          <w:color w:val="000000" w:themeColor="text1"/>
          <w:shd w:val="clear" w:color="auto" w:fill="FFFFFF"/>
        </w:rPr>
        <w:t>conserved bacterial reaction to stress that ultimately shuts down macromolecular processes to promote bacterial survival</w:t>
      </w:r>
      <w:bookmarkEnd w:id="2"/>
      <w:r w:rsidRPr="00BE514F">
        <w:rPr>
          <w:rFonts w:ascii="Times New Roman" w:hAnsi="Times New Roman" w:cs="Times New Roman"/>
          <w:color w:val="000000" w:themeColor="text1"/>
          <w:shd w:val="clear" w:color="auto" w:fill="FFFFFF"/>
        </w:rPr>
        <w:t>, achieved by the production of the nucleotide signalling molecule guanosine penta-/tetraphosphate ((p)ppGpp). The </w:t>
      </w:r>
      <w:r w:rsidRPr="00BE514F">
        <w:rPr>
          <w:rStyle w:val="Emphasis"/>
          <w:rFonts w:ascii="Times New Roman" w:hAnsi="Times New Roman" w:cs="Times New Roman"/>
          <w:color w:val="000000" w:themeColor="text1"/>
          <w:shd w:val="clear" w:color="auto" w:fill="FFFFFF"/>
        </w:rPr>
        <w:t>S. aureus</w:t>
      </w:r>
      <w:r w:rsidRPr="00BE514F">
        <w:rPr>
          <w:rFonts w:ascii="Times New Roman" w:hAnsi="Times New Roman" w:cs="Times New Roman"/>
          <w:color w:val="000000" w:themeColor="text1"/>
          <w:shd w:val="clear" w:color="auto" w:fill="FFFFFF"/>
        </w:rPr>
        <w:t> genome encodes three (p)ppGpp synthetases: Rel, RelP and RelQ. (p)ppGpp produced by these synthetases contribute</w:t>
      </w:r>
      <w:r w:rsidR="00535512">
        <w:rPr>
          <w:rFonts w:ascii="Times New Roman" w:hAnsi="Times New Roman" w:cs="Times New Roman"/>
          <w:color w:val="000000" w:themeColor="text1"/>
          <w:shd w:val="clear" w:color="auto" w:fill="FFFFFF"/>
        </w:rPr>
        <w:t>s</w:t>
      </w:r>
      <w:r w:rsidRPr="00BE514F">
        <w:rPr>
          <w:rFonts w:ascii="Times New Roman" w:hAnsi="Times New Roman" w:cs="Times New Roman"/>
          <w:color w:val="000000" w:themeColor="text1"/>
          <w:shd w:val="clear" w:color="auto" w:fill="FFFFFF"/>
        </w:rPr>
        <w:t xml:space="preserve"> to bacterial pathogenesis in a number of species. In this study, a toolbox of </w:t>
      </w:r>
      <w:r w:rsidRPr="00BE514F">
        <w:rPr>
          <w:rFonts w:ascii="Times New Roman" w:hAnsi="Times New Roman" w:cs="Times New Roman"/>
          <w:i/>
          <w:iCs/>
          <w:color w:val="000000" w:themeColor="text1"/>
          <w:shd w:val="clear" w:color="auto" w:fill="FFFFFF"/>
        </w:rPr>
        <w:t xml:space="preserve">S. aureus </w:t>
      </w:r>
      <w:r w:rsidRPr="00BE514F">
        <w:rPr>
          <w:rFonts w:ascii="Times New Roman" w:hAnsi="Times New Roman" w:cs="Times New Roman"/>
          <w:color w:val="000000" w:themeColor="text1"/>
          <w:shd w:val="clear" w:color="auto" w:fill="FFFFFF"/>
        </w:rPr>
        <w:t xml:space="preserve">strains was constructed to improve understanding of how the stringent response is important for the survival and virulence of </w:t>
      </w:r>
      <w:r w:rsidRPr="00BE514F">
        <w:rPr>
          <w:rFonts w:ascii="Times New Roman" w:hAnsi="Times New Roman" w:cs="Times New Roman"/>
          <w:i/>
          <w:iCs/>
          <w:color w:val="000000" w:themeColor="text1"/>
          <w:shd w:val="clear" w:color="auto" w:fill="FFFFFF"/>
        </w:rPr>
        <w:t>S. aureus</w:t>
      </w:r>
      <w:r w:rsidRPr="00BE514F">
        <w:rPr>
          <w:rFonts w:ascii="Times New Roman" w:hAnsi="Times New Roman" w:cs="Times New Roman"/>
          <w:color w:val="000000" w:themeColor="text1"/>
          <w:shd w:val="clear" w:color="auto" w:fill="FFFFFF"/>
        </w:rPr>
        <w:t xml:space="preserve"> </w:t>
      </w:r>
      <w:r w:rsidRPr="00BE514F">
        <w:rPr>
          <w:rFonts w:ascii="Times New Roman" w:hAnsi="Times New Roman" w:cs="Times New Roman"/>
          <w:i/>
          <w:iCs/>
          <w:color w:val="000000" w:themeColor="text1"/>
          <w:shd w:val="clear" w:color="auto" w:fill="FFFFFF"/>
        </w:rPr>
        <w:t xml:space="preserve">in vitro </w:t>
      </w:r>
      <w:r w:rsidRPr="00BE514F">
        <w:rPr>
          <w:rFonts w:ascii="Times New Roman" w:hAnsi="Times New Roman" w:cs="Times New Roman"/>
          <w:color w:val="000000" w:themeColor="text1"/>
          <w:shd w:val="clear" w:color="auto" w:fill="FFFFFF"/>
        </w:rPr>
        <w:t xml:space="preserve">and </w:t>
      </w:r>
      <w:r w:rsidRPr="00BE514F">
        <w:rPr>
          <w:rStyle w:val="Emphasis"/>
          <w:rFonts w:ascii="Times New Roman" w:hAnsi="Times New Roman" w:cs="Times New Roman"/>
          <w:color w:val="000000" w:themeColor="text1"/>
          <w:shd w:val="clear" w:color="auto" w:fill="FFFFFF"/>
        </w:rPr>
        <w:t>in vivo</w:t>
      </w:r>
      <w:r w:rsidRPr="00BE514F">
        <w:rPr>
          <w:rFonts w:ascii="Times New Roman" w:hAnsi="Times New Roman" w:cs="Times New Roman"/>
          <w:color w:val="000000" w:themeColor="text1"/>
          <w:shd w:val="clear" w:color="auto" w:fill="FFFFFF"/>
        </w:rPr>
        <w:t xml:space="preserve">. To elucidate the mechanism behind the requirement of (p)ppGpp for intracellular survival </w:t>
      </w:r>
      <w:r w:rsidRPr="00BE514F">
        <w:rPr>
          <w:rFonts w:ascii="Times New Roman" w:hAnsi="Times New Roman" w:cs="Times New Roman"/>
          <w:i/>
          <w:iCs/>
          <w:color w:val="000000" w:themeColor="text1"/>
          <w:shd w:val="clear" w:color="auto" w:fill="FFFFFF"/>
        </w:rPr>
        <w:t>in vitro</w:t>
      </w:r>
      <w:r w:rsidRPr="00BE514F">
        <w:rPr>
          <w:rFonts w:ascii="Times New Roman" w:hAnsi="Times New Roman" w:cs="Times New Roman"/>
          <w:color w:val="000000" w:themeColor="text1"/>
          <w:shd w:val="clear" w:color="auto" w:fill="FFFFFF"/>
        </w:rPr>
        <w:t xml:space="preserve">, the </w:t>
      </w:r>
      <w:r w:rsidRPr="00BE514F">
        <w:rPr>
          <w:rFonts w:ascii="Times New Roman" w:hAnsi="Times New Roman" w:cs="Times New Roman"/>
          <w:i/>
          <w:iCs/>
          <w:color w:val="000000" w:themeColor="text1"/>
          <w:shd w:val="clear" w:color="auto" w:fill="FFFFFF"/>
        </w:rPr>
        <w:t xml:space="preserve">S. aureus </w:t>
      </w:r>
      <w:r w:rsidRPr="00BE514F">
        <w:rPr>
          <w:rFonts w:ascii="Times New Roman" w:hAnsi="Times New Roman" w:cs="Times New Roman"/>
          <w:color w:val="000000" w:themeColor="text1"/>
          <w:shd w:val="clear" w:color="auto" w:fill="FFFFFF"/>
        </w:rPr>
        <w:t>strains were exposed to stress conditions typically found in a phagolysosome. A</w:t>
      </w:r>
      <w:r w:rsidR="001D3AB7">
        <w:rPr>
          <w:rFonts w:ascii="Times New Roman" w:hAnsi="Times New Roman" w:cs="Times New Roman"/>
          <w:color w:val="000000" w:themeColor="text1"/>
          <w:shd w:val="clear" w:color="auto" w:fill="FFFFFF"/>
        </w:rPr>
        <w:t xml:space="preserve"> </w:t>
      </w:r>
      <w:r w:rsidR="001D3AB7" w:rsidRPr="00BE514F">
        <w:rPr>
          <w:rFonts w:ascii="Times New Roman" w:hAnsi="Times New Roman" w:cs="Times New Roman"/>
          <w:color w:val="000000" w:themeColor="text1"/>
          <w:shd w:val="clear" w:color="auto" w:fill="FFFFFF"/>
        </w:rPr>
        <w:t>(p)ppGpp</w:t>
      </w:r>
      <w:r w:rsidR="001D3AB7" w:rsidRPr="00BE514F">
        <w:rPr>
          <w:rFonts w:ascii="Times New Roman" w:hAnsi="Times New Roman" w:cs="Times New Roman"/>
          <w:color w:val="000000" w:themeColor="text1"/>
          <w:shd w:val="clear" w:color="auto" w:fill="FFFFFF"/>
          <w:vertAlign w:val="superscript"/>
        </w:rPr>
        <w:t>0</w:t>
      </w:r>
      <w:r w:rsidR="001D3AB7" w:rsidRPr="00BE514F">
        <w:rPr>
          <w:rFonts w:ascii="Times New Roman" w:hAnsi="Times New Roman" w:cs="Times New Roman"/>
          <w:color w:val="000000" w:themeColor="text1"/>
          <w:shd w:val="clear" w:color="auto" w:fill="FFFFFF"/>
        </w:rPr>
        <w:t> </w:t>
      </w:r>
      <w:r w:rsidRPr="00BE514F">
        <w:rPr>
          <w:rFonts w:ascii="Times New Roman" w:hAnsi="Times New Roman" w:cs="Times New Roman"/>
          <w:color w:val="000000" w:themeColor="text1"/>
          <w:shd w:val="clear" w:color="auto" w:fill="FFFFFF"/>
        </w:rPr>
        <w:t xml:space="preserve">mutant was observed to be more susceptible to hydrogen peroxide, itaconic acid and hypochlorous acid whereas an overproduction of (p)ppGpp increased the tolerance of </w:t>
      </w:r>
      <w:r w:rsidRPr="00BE514F">
        <w:rPr>
          <w:rFonts w:ascii="Times New Roman" w:hAnsi="Times New Roman" w:cs="Times New Roman"/>
          <w:i/>
          <w:iCs/>
          <w:color w:val="000000" w:themeColor="text1"/>
          <w:shd w:val="clear" w:color="auto" w:fill="FFFFFF"/>
        </w:rPr>
        <w:t>S. aureus</w:t>
      </w:r>
      <w:r w:rsidRPr="00BE514F">
        <w:rPr>
          <w:rFonts w:ascii="Times New Roman" w:hAnsi="Times New Roman" w:cs="Times New Roman"/>
          <w:color w:val="000000" w:themeColor="text1"/>
          <w:shd w:val="clear" w:color="auto" w:fill="FFFFFF"/>
        </w:rPr>
        <w:t xml:space="preserve"> to these stressors. RelP alone could complement itaconic acid stress while both Rel and RelP could have a role in the tolerance of</w:t>
      </w:r>
      <w:r w:rsidRPr="00BE514F">
        <w:rPr>
          <w:rFonts w:ascii="Times New Roman" w:hAnsi="Times New Roman" w:cs="Times New Roman"/>
          <w:i/>
          <w:iCs/>
        </w:rPr>
        <w:t xml:space="preserve"> S. aureus</w:t>
      </w:r>
      <w:r w:rsidRPr="00BE514F">
        <w:rPr>
          <w:rFonts w:ascii="Times New Roman" w:hAnsi="Times New Roman" w:cs="Times New Roman"/>
        </w:rPr>
        <w:t xml:space="preserve"> to hydrogen peroxide.</w:t>
      </w:r>
      <w:r w:rsidRPr="00BE514F">
        <w:rPr>
          <w:rFonts w:ascii="Times New Roman" w:hAnsi="Times New Roman" w:cs="Times New Roman"/>
          <w:color w:val="000000" w:themeColor="text1"/>
          <w:shd w:val="clear" w:color="auto" w:fill="FFFFFF"/>
        </w:rPr>
        <w:t xml:space="preserve"> Systemic infection of zebrafish embryos with a (p)ppGpp</w:t>
      </w:r>
      <w:r w:rsidRPr="00BE514F">
        <w:rPr>
          <w:rFonts w:ascii="Times New Roman" w:hAnsi="Times New Roman" w:cs="Times New Roman"/>
          <w:color w:val="000000" w:themeColor="text1"/>
          <w:shd w:val="clear" w:color="auto" w:fill="FFFFFF"/>
          <w:vertAlign w:val="superscript"/>
        </w:rPr>
        <w:t>0</w:t>
      </w:r>
      <w:r w:rsidRPr="00BE514F">
        <w:rPr>
          <w:rFonts w:ascii="Times New Roman" w:hAnsi="Times New Roman" w:cs="Times New Roman"/>
          <w:color w:val="000000" w:themeColor="text1"/>
          <w:shd w:val="clear" w:color="auto" w:fill="FFFFFF"/>
        </w:rPr>
        <w:t> mutant revealed increased survival of embryos when compared to embryos infected with the wildtype, which is likely due to a virulence defect as the (p)ppGpp</w:t>
      </w:r>
      <w:r w:rsidRPr="00BE514F">
        <w:rPr>
          <w:rFonts w:ascii="Times New Roman" w:hAnsi="Times New Roman" w:cs="Times New Roman"/>
          <w:color w:val="000000" w:themeColor="text1"/>
          <w:shd w:val="clear" w:color="auto" w:fill="FFFFFF"/>
          <w:vertAlign w:val="superscript"/>
        </w:rPr>
        <w:t>0</w:t>
      </w:r>
      <w:r w:rsidRPr="00BE514F">
        <w:rPr>
          <w:rFonts w:ascii="Times New Roman" w:hAnsi="Times New Roman" w:cs="Times New Roman"/>
          <w:color w:val="000000" w:themeColor="text1"/>
          <w:shd w:val="clear" w:color="auto" w:fill="FFFFFF"/>
        </w:rPr>
        <w:t xml:space="preserve"> mutant replicated at a similar rate to the wildtype </w:t>
      </w:r>
      <w:r w:rsidRPr="00BE514F">
        <w:rPr>
          <w:rFonts w:ascii="Times New Roman" w:hAnsi="Times New Roman" w:cs="Times New Roman"/>
          <w:i/>
          <w:iCs/>
          <w:color w:val="000000" w:themeColor="text1"/>
          <w:shd w:val="clear" w:color="auto" w:fill="FFFFFF"/>
        </w:rPr>
        <w:t>in vivo</w:t>
      </w:r>
      <w:r w:rsidRPr="00BE514F">
        <w:rPr>
          <w:rFonts w:ascii="Times New Roman" w:hAnsi="Times New Roman" w:cs="Times New Roman"/>
          <w:color w:val="000000" w:themeColor="text1"/>
          <w:shd w:val="clear" w:color="auto" w:fill="FFFFFF"/>
        </w:rPr>
        <w:t xml:space="preserve">. (p)ppGpp overproduction also resulted in an increased survival of embryos. Complementation experiments revealed that Rel is a key (p)ppGpp synthetase during infection, but that RelP and RelQ may be sufficient in the absence of Rel. Taken together, these results demonstrate a role of (p)ppGpp for </w:t>
      </w:r>
      <w:r w:rsidRPr="00BE514F">
        <w:rPr>
          <w:rFonts w:ascii="Times New Roman" w:hAnsi="Times New Roman" w:cs="Times New Roman"/>
          <w:i/>
          <w:iCs/>
          <w:color w:val="000000" w:themeColor="text1"/>
          <w:shd w:val="clear" w:color="auto" w:fill="FFFFFF"/>
        </w:rPr>
        <w:t xml:space="preserve">S. aureus </w:t>
      </w:r>
      <w:r w:rsidRPr="00BE514F">
        <w:rPr>
          <w:rFonts w:ascii="Times New Roman" w:hAnsi="Times New Roman" w:cs="Times New Roman"/>
          <w:color w:val="000000" w:themeColor="text1"/>
          <w:shd w:val="clear" w:color="auto" w:fill="FFFFFF"/>
        </w:rPr>
        <w:t xml:space="preserve">pathogenesis within a zebrafish embryo systemic infection model, with </w:t>
      </w:r>
      <w:r w:rsidRPr="00BE514F">
        <w:rPr>
          <w:rFonts w:ascii="Times New Roman" w:hAnsi="Times New Roman" w:cs="Times New Roman"/>
          <w:i/>
          <w:iCs/>
          <w:color w:val="000000" w:themeColor="text1"/>
          <w:shd w:val="clear" w:color="auto" w:fill="FFFFFF"/>
        </w:rPr>
        <w:t>in vitro</w:t>
      </w:r>
      <w:r w:rsidRPr="00BE514F">
        <w:rPr>
          <w:rFonts w:ascii="Times New Roman" w:hAnsi="Times New Roman" w:cs="Times New Roman"/>
          <w:color w:val="000000" w:themeColor="text1"/>
          <w:shd w:val="clear" w:color="auto" w:fill="FFFFFF"/>
        </w:rPr>
        <w:t xml:space="preserve"> experiments showing that the stringent response is required for survival during stress.</w:t>
      </w:r>
    </w:p>
    <w:bookmarkEnd w:id="1"/>
    <w:p w14:paraId="14B1FE0B" w14:textId="0B6BB2CF" w:rsidR="00151287" w:rsidRDefault="00151287" w:rsidP="00151287"/>
    <w:p w14:paraId="3DB75543" w14:textId="3D4ECFAB" w:rsidR="00151287" w:rsidRDefault="00151287" w:rsidP="00151287"/>
    <w:p w14:paraId="1381B548" w14:textId="72143CAE" w:rsidR="00151287" w:rsidRDefault="00151287" w:rsidP="00151287"/>
    <w:p w14:paraId="0D68E1E4" w14:textId="0BAE92EA" w:rsidR="00151287" w:rsidRDefault="00151287" w:rsidP="00151287"/>
    <w:p w14:paraId="4346DF7E" w14:textId="10F8BF5D" w:rsidR="00151287" w:rsidRDefault="00151287" w:rsidP="00151287"/>
    <w:p w14:paraId="31D21D6A" w14:textId="64BF420C" w:rsidR="00151287" w:rsidRDefault="00151287" w:rsidP="00151287"/>
    <w:p w14:paraId="1855BEB2" w14:textId="2C818191" w:rsidR="00151287" w:rsidRDefault="00151287" w:rsidP="00151287"/>
    <w:p w14:paraId="2042EDEF" w14:textId="46DF2ED7" w:rsidR="00151287" w:rsidRDefault="00151287" w:rsidP="00151287"/>
    <w:p w14:paraId="7B14BFB3" w14:textId="77777777" w:rsidR="00D92AC9" w:rsidRDefault="00D92AC9" w:rsidP="00151287"/>
    <w:p w14:paraId="52D78ACC" w14:textId="3CDF5FEB" w:rsidR="00151287" w:rsidRDefault="00DB06BD" w:rsidP="00DB06BD">
      <w:pPr>
        <w:pStyle w:val="Heading1"/>
      </w:pPr>
      <w:bookmarkStart w:id="3" w:name="_Toc142043559"/>
      <w:r>
        <w:lastRenderedPageBreak/>
        <w:t>Publications</w:t>
      </w:r>
      <w:bookmarkEnd w:id="3"/>
    </w:p>
    <w:p w14:paraId="606F9F73" w14:textId="3544F0E5" w:rsidR="00DB06BD" w:rsidRPr="0056684F" w:rsidRDefault="00DB06BD" w:rsidP="0056684F">
      <w:pPr>
        <w:spacing w:line="360" w:lineRule="auto"/>
        <w:jc w:val="both"/>
        <w:rPr>
          <w:rFonts w:ascii="Times New Roman" w:hAnsi="Times New Roman" w:cs="Times New Roman"/>
          <w:sz w:val="24"/>
          <w:szCs w:val="24"/>
        </w:rPr>
      </w:pPr>
    </w:p>
    <w:p w14:paraId="4AC27521" w14:textId="77777777" w:rsidR="0056684F" w:rsidRPr="0056684F" w:rsidRDefault="0056684F" w:rsidP="0056684F">
      <w:pPr>
        <w:shd w:val="clear" w:color="auto" w:fill="FFFFFF"/>
        <w:spacing w:after="0" w:line="360" w:lineRule="auto"/>
        <w:jc w:val="both"/>
        <w:rPr>
          <w:rFonts w:ascii="Times New Roman" w:hAnsi="Times New Roman" w:cs="Times New Roman"/>
          <w:color w:val="262626"/>
        </w:rPr>
      </w:pPr>
      <w:r w:rsidRPr="0056684F">
        <w:rPr>
          <w:rFonts w:ascii="Times New Roman" w:hAnsi="Times New Roman" w:cs="Times New Roman"/>
          <w:color w:val="262626"/>
          <w:u w:val="single"/>
        </w:rPr>
        <w:t>Choudhury, NR</w:t>
      </w:r>
      <w:r w:rsidRPr="0056684F">
        <w:rPr>
          <w:rFonts w:ascii="Times New Roman" w:hAnsi="Times New Roman" w:cs="Times New Roman"/>
          <w:color w:val="262626"/>
        </w:rPr>
        <w:t>., Urwin, L., Salamaga, B., Prince, LR., Renshaw, SA., Corrigan, RM. Determining the importance of the stringent response for </w:t>
      </w:r>
      <w:r w:rsidRPr="0056684F">
        <w:rPr>
          <w:rFonts w:ascii="Times New Roman" w:hAnsi="Times New Roman" w:cs="Times New Roman"/>
          <w:i/>
          <w:iCs/>
          <w:color w:val="262626"/>
        </w:rPr>
        <w:t>Staphylococcus aureus</w:t>
      </w:r>
      <w:r w:rsidRPr="0056684F">
        <w:rPr>
          <w:rFonts w:ascii="Times New Roman" w:hAnsi="Times New Roman" w:cs="Times New Roman"/>
          <w:color w:val="262626"/>
        </w:rPr>
        <w:t xml:space="preserve"> pathogenesis using a zebrafish model of infection. </w:t>
      </w:r>
      <w:r w:rsidRPr="0056684F">
        <w:rPr>
          <w:rFonts w:ascii="Times New Roman" w:hAnsi="Times New Roman" w:cs="Times New Roman"/>
          <w:b/>
          <w:bCs/>
          <w:color w:val="262626"/>
        </w:rPr>
        <w:t>Manuscript in preparation.</w:t>
      </w:r>
    </w:p>
    <w:p w14:paraId="16BC241F" w14:textId="77777777" w:rsidR="0056684F" w:rsidRDefault="0056684F" w:rsidP="00DB06BD">
      <w:pPr>
        <w:shd w:val="clear" w:color="auto" w:fill="FFFFFF"/>
        <w:spacing w:after="0" w:line="276" w:lineRule="auto"/>
        <w:jc w:val="both"/>
        <w:rPr>
          <w:rFonts w:ascii="Times New Roman" w:hAnsi="Times New Roman" w:cs="Times New Roman"/>
          <w:color w:val="262626"/>
        </w:rPr>
      </w:pPr>
    </w:p>
    <w:p w14:paraId="64A3AA03" w14:textId="5A7D5F41" w:rsidR="00DB06BD" w:rsidRPr="00DB06BD" w:rsidRDefault="00DB06BD" w:rsidP="0056684F">
      <w:pPr>
        <w:shd w:val="clear" w:color="auto" w:fill="FFFFFF"/>
        <w:spacing w:after="0" w:line="360" w:lineRule="auto"/>
        <w:jc w:val="both"/>
        <w:rPr>
          <w:rFonts w:ascii="Times New Roman" w:hAnsi="Times New Roman" w:cs="Times New Roman"/>
          <w:b/>
          <w:bCs/>
          <w:color w:val="000000"/>
          <w:lang w:eastAsia="en-GB"/>
        </w:rPr>
      </w:pPr>
      <w:r w:rsidRPr="00DB06BD">
        <w:rPr>
          <w:rFonts w:ascii="Times New Roman" w:hAnsi="Times New Roman" w:cs="Times New Roman"/>
          <w:color w:val="262626"/>
        </w:rPr>
        <w:t xml:space="preserve">Carrilero, L., Urwin, L., Ward, E., </w:t>
      </w:r>
      <w:r w:rsidRPr="00DB06BD">
        <w:rPr>
          <w:rFonts w:ascii="Times New Roman" w:hAnsi="Times New Roman" w:cs="Times New Roman"/>
          <w:color w:val="262626"/>
          <w:u w:val="single"/>
        </w:rPr>
        <w:t>Choudhury, NR</w:t>
      </w:r>
      <w:r w:rsidRPr="00DB06BD">
        <w:rPr>
          <w:rFonts w:ascii="Times New Roman" w:hAnsi="Times New Roman" w:cs="Times New Roman"/>
          <w:color w:val="262626"/>
        </w:rPr>
        <w:t xml:space="preserve">., Monk, IR., Stinear, TP., Corrigan, RM. Stringent response-mediated control of GTP homeostasis is required for long-term viability of </w:t>
      </w:r>
      <w:r w:rsidRPr="00DB06BD">
        <w:rPr>
          <w:rFonts w:ascii="Times New Roman" w:hAnsi="Times New Roman" w:cs="Times New Roman"/>
          <w:i/>
          <w:iCs/>
          <w:color w:val="262626"/>
        </w:rPr>
        <w:t>Staphylococcus aureus</w:t>
      </w:r>
      <w:r w:rsidRPr="00DB06BD">
        <w:rPr>
          <w:rFonts w:ascii="Times New Roman" w:hAnsi="Times New Roman" w:cs="Times New Roman"/>
          <w:color w:val="262626"/>
        </w:rPr>
        <w:t xml:space="preserve">. </w:t>
      </w:r>
      <w:r w:rsidRPr="00DB06BD">
        <w:rPr>
          <w:rFonts w:ascii="Times New Roman" w:hAnsi="Times New Roman" w:cs="Times New Roman"/>
          <w:i/>
          <w:iCs/>
          <w:color w:val="262626"/>
        </w:rPr>
        <w:t>Microbiology Spectrum.</w:t>
      </w:r>
      <w:r w:rsidRPr="00DB06BD">
        <w:rPr>
          <w:rFonts w:ascii="Times New Roman" w:hAnsi="Times New Roman" w:cs="Times New Roman"/>
          <w:color w:val="262626"/>
        </w:rPr>
        <w:t xml:space="preserve"> 2023. doi: </w:t>
      </w:r>
      <w:hyperlink r:id="rId10" w:history="1">
        <w:r w:rsidRPr="00DB06BD">
          <w:rPr>
            <w:rFonts w:ascii="Times New Roman" w:hAnsi="Times New Roman" w:cs="Times New Roman"/>
            <w:color w:val="262626"/>
          </w:rPr>
          <w:t>10.1128/spectrum.00447-23</w:t>
        </w:r>
      </w:hyperlink>
      <w:r w:rsidRPr="00DB06BD">
        <w:rPr>
          <w:rFonts w:ascii="Times New Roman" w:hAnsi="Times New Roman" w:cs="Times New Roman"/>
          <w:color w:val="262626"/>
        </w:rPr>
        <w:t>.</w:t>
      </w:r>
    </w:p>
    <w:p w14:paraId="75BE1BD0" w14:textId="77777777" w:rsidR="00DB06BD" w:rsidRPr="00DB06BD" w:rsidRDefault="00DB06BD" w:rsidP="0056684F">
      <w:pPr>
        <w:shd w:val="clear" w:color="auto" w:fill="FFFFFF"/>
        <w:spacing w:after="0" w:line="360" w:lineRule="auto"/>
        <w:jc w:val="both"/>
        <w:rPr>
          <w:rFonts w:ascii="Times New Roman" w:hAnsi="Times New Roman" w:cs="Times New Roman"/>
          <w:color w:val="262626"/>
        </w:rPr>
      </w:pPr>
    </w:p>
    <w:p w14:paraId="193DFBE4" w14:textId="77777777" w:rsidR="00DB06BD" w:rsidRPr="00DB06BD" w:rsidRDefault="00DB06BD" w:rsidP="0056684F">
      <w:pPr>
        <w:shd w:val="clear" w:color="auto" w:fill="FFFFFF"/>
        <w:spacing w:after="0" w:line="360" w:lineRule="auto"/>
        <w:jc w:val="both"/>
        <w:rPr>
          <w:rFonts w:ascii="Times New Roman" w:hAnsi="Times New Roman" w:cs="Times New Roman"/>
          <w:color w:val="262626"/>
        </w:rPr>
      </w:pPr>
      <w:r w:rsidRPr="00DB06BD">
        <w:rPr>
          <w:rFonts w:ascii="Times New Roman" w:hAnsi="Times New Roman" w:cs="Times New Roman"/>
          <w:color w:val="262626"/>
        </w:rPr>
        <w:t xml:space="preserve">Irving, SE., </w:t>
      </w:r>
      <w:r w:rsidRPr="00DB06BD">
        <w:rPr>
          <w:rFonts w:ascii="Times New Roman" w:hAnsi="Times New Roman" w:cs="Times New Roman"/>
          <w:color w:val="262626"/>
          <w:u w:val="single"/>
        </w:rPr>
        <w:t>Choudhury, NR</w:t>
      </w:r>
      <w:r w:rsidRPr="00DB06BD">
        <w:rPr>
          <w:rFonts w:ascii="Times New Roman" w:hAnsi="Times New Roman" w:cs="Times New Roman"/>
          <w:color w:val="262626"/>
        </w:rPr>
        <w:t xml:space="preserve">., Corrigan, RM. The stringent response and physiological roles of (pp)pGpp in bacteria. </w:t>
      </w:r>
      <w:r w:rsidRPr="00DB06BD">
        <w:rPr>
          <w:rFonts w:ascii="Times New Roman" w:hAnsi="Times New Roman" w:cs="Times New Roman"/>
          <w:i/>
          <w:iCs/>
          <w:color w:val="262626"/>
        </w:rPr>
        <w:t>Nature Reviews Microbiology</w:t>
      </w:r>
      <w:r w:rsidRPr="00DB06BD">
        <w:rPr>
          <w:rFonts w:ascii="Times New Roman" w:hAnsi="Times New Roman" w:cs="Times New Roman"/>
          <w:color w:val="262626"/>
        </w:rPr>
        <w:t>. 2021. 19(4):256-271. doi: 10.1038/s41579-020-00470-y.</w:t>
      </w:r>
    </w:p>
    <w:p w14:paraId="30DA4D2C" w14:textId="41CF4B81" w:rsidR="00DB06BD" w:rsidRDefault="00DB06BD" w:rsidP="00DB06BD"/>
    <w:p w14:paraId="48906862" w14:textId="67014D3E" w:rsidR="00DB06BD" w:rsidRDefault="00DB06BD" w:rsidP="00DB06BD"/>
    <w:p w14:paraId="0D96D686" w14:textId="6EB09597" w:rsidR="00AD545C" w:rsidRDefault="00AD545C" w:rsidP="00DB06BD"/>
    <w:p w14:paraId="0767AF11" w14:textId="2FB3DBF2" w:rsidR="00AD545C" w:rsidRDefault="00AD545C" w:rsidP="00DB06BD"/>
    <w:p w14:paraId="2209924E" w14:textId="643E876F" w:rsidR="00AD545C" w:rsidRDefault="00AD545C" w:rsidP="00DB06BD"/>
    <w:p w14:paraId="4DDEAA01" w14:textId="722CCBCA" w:rsidR="00AD545C" w:rsidRDefault="00AD545C" w:rsidP="00DB06BD"/>
    <w:p w14:paraId="3B930602" w14:textId="125A5DDC" w:rsidR="00AD545C" w:rsidRDefault="00AD545C" w:rsidP="00DB06BD"/>
    <w:p w14:paraId="2FCF8050" w14:textId="467A4A2A" w:rsidR="00AD545C" w:rsidRDefault="00AD545C" w:rsidP="00DB06BD"/>
    <w:p w14:paraId="5C7C0393" w14:textId="1CA201D6" w:rsidR="00AD545C" w:rsidRDefault="00AD545C" w:rsidP="00DB06BD"/>
    <w:p w14:paraId="0E2D23A5" w14:textId="74BD2D8E" w:rsidR="00AD545C" w:rsidRDefault="00AD545C" w:rsidP="00DB06BD"/>
    <w:p w14:paraId="18899EC5" w14:textId="708F7C0A" w:rsidR="00AD545C" w:rsidRDefault="00AD545C" w:rsidP="00DB06BD"/>
    <w:p w14:paraId="4B967069" w14:textId="656351D2" w:rsidR="007A13A2" w:rsidRDefault="007A13A2" w:rsidP="00DB06BD"/>
    <w:p w14:paraId="2E46D1C9" w14:textId="6DEAE675" w:rsidR="007A13A2" w:rsidRDefault="007A13A2" w:rsidP="00DB06BD"/>
    <w:p w14:paraId="6797F98F" w14:textId="4C4DC1E2" w:rsidR="007A13A2" w:rsidRDefault="007A13A2" w:rsidP="00DB06BD"/>
    <w:p w14:paraId="5E13DA42" w14:textId="3AA90A0B" w:rsidR="007A13A2" w:rsidRDefault="007A13A2" w:rsidP="00DB06BD"/>
    <w:p w14:paraId="01F30956" w14:textId="63B9EAB4" w:rsidR="007A13A2" w:rsidRDefault="007A13A2" w:rsidP="00DB06BD"/>
    <w:p w14:paraId="6E6DD9A6" w14:textId="0743B97B" w:rsidR="007A13A2" w:rsidRDefault="007A13A2" w:rsidP="00DB06BD"/>
    <w:p w14:paraId="4C2F670B" w14:textId="5190F626" w:rsidR="007A13A2" w:rsidRDefault="007A13A2" w:rsidP="00DB06BD"/>
    <w:p w14:paraId="413FF1E3" w14:textId="4D2F6263" w:rsidR="007A13A2" w:rsidRDefault="007A13A2" w:rsidP="00DB06BD"/>
    <w:p w14:paraId="2DDE5066" w14:textId="44BF2A21" w:rsidR="007A13A2" w:rsidRDefault="007A13A2" w:rsidP="00DB06BD"/>
    <w:p w14:paraId="7CE1C26D" w14:textId="6D7A6A30" w:rsidR="00AD545C" w:rsidRDefault="007A13A2" w:rsidP="007A13A2">
      <w:pPr>
        <w:pStyle w:val="Heading1"/>
      </w:pPr>
      <w:bookmarkStart w:id="4" w:name="_Toc142043560"/>
      <w:r>
        <w:lastRenderedPageBreak/>
        <w:t>Acknowledgements</w:t>
      </w:r>
      <w:bookmarkEnd w:id="4"/>
      <w:r>
        <w:t xml:space="preserve"> </w:t>
      </w:r>
    </w:p>
    <w:p w14:paraId="0C48B810" w14:textId="77777777" w:rsidR="00D00F20" w:rsidRPr="00D00F20" w:rsidRDefault="00D00F20" w:rsidP="00D00F20"/>
    <w:p w14:paraId="689094CF" w14:textId="77777777" w:rsidR="00D00F20" w:rsidRPr="00F54560" w:rsidRDefault="00D00F20" w:rsidP="00D00F20">
      <w:pPr>
        <w:spacing w:line="240" w:lineRule="auto"/>
        <w:jc w:val="both"/>
        <w:rPr>
          <w:rFonts w:ascii="Times New Roman" w:hAnsi="Times New Roman" w:cs="Times New Roman"/>
        </w:rPr>
      </w:pPr>
      <w:r w:rsidRPr="00F54560">
        <w:rPr>
          <w:rFonts w:ascii="Times New Roman" w:hAnsi="Times New Roman" w:cs="Times New Roman"/>
        </w:rPr>
        <w:t>Firstly, I’d like to thank Rebecca for being the best supervisor I could ever ask for. Thank you for believing in me, for having faith in me when I didn’t, and for helping me to become a much better scientist than when I started. Even though to this day, you scare me a little, I am so lucky that I got to work with and learn from someone like you and hope I can be half as good of a scientist when I grow up. Thank you also to Steve and Lynne for the help and support and providing wonderful advice and valuable insight. I would also like to thank the Lister Institute for funding this work.</w:t>
      </w:r>
    </w:p>
    <w:p w14:paraId="0DA9B938" w14:textId="25209D0C" w:rsidR="00D00F20" w:rsidRPr="00F54560" w:rsidRDefault="00D00F20" w:rsidP="00D00F20">
      <w:pPr>
        <w:spacing w:line="240" w:lineRule="auto"/>
        <w:jc w:val="both"/>
        <w:rPr>
          <w:rFonts w:ascii="Times New Roman" w:hAnsi="Times New Roman" w:cs="Times New Roman"/>
        </w:rPr>
      </w:pPr>
      <w:r w:rsidRPr="00F54560">
        <w:rPr>
          <w:rFonts w:ascii="Times New Roman" w:hAnsi="Times New Roman" w:cs="Times New Roman"/>
        </w:rPr>
        <w:t>Thanks also to the past and present members of the Corrigan lab who have made my time here so enjoyable. To Sophie and Dan for helping me establish myself in F10, teaching me the ins and outs of the science that we do and for the general banter, and especially to Dan for letting me harass him for information well after he had left the lab! Thank you to Laura for bringing in yummy food, for giving wonderful advice and being so caring and thoughtful</w:t>
      </w:r>
      <w:r>
        <w:rPr>
          <w:rFonts w:ascii="Times New Roman" w:hAnsi="Times New Roman" w:cs="Times New Roman"/>
        </w:rPr>
        <w:t xml:space="preserve"> and to Altai for being such a cutie</w:t>
      </w:r>
      <w:r w:rsidRPr="00F54560">
        <w:rPr>
          <w:rFonts w:ascii="Times New Roman" w:hAnsi="Times New Roman" w:cs="Times New Roman"/>
        </w:rPr>
        <w:t>. Thanks to my F10 friends Mark and Lucy. Mark for being a great friend and listener and for always going for coffee with me</w:t>
      </w:r>
      <w:r w:rsidR="00B04270">
        <w:rPr>
          <w:rFonts w:ascii="Times New Roman" w:hAnsi="Times New Roman" w:cs="Times New Roman"/>
        </w:rPr>
        <w:t>.</w:t>
      </w:r>
      <w:r w:rsidRPr="00F54560">
        <w:rPr>
          <w:rFonts w:ascii="Times New Roman" w:hAnsi="Times New Roman" w:cs="Times New Roman"/>
        </w:rPr>
        <w:t xml:space="preserve"> And to Lucy the cell culture queen for helping me to understand stats and doing mad experiments for my thesis and for generally being a selfless and wonderful person. Thank you both for putting up with me and even though I hate you both, I also love you guys a lot.</w:t>
      </w:r>
    </w:p>
    <w:p w14:paraId="43336206" w14:textId="77777777" w:rsidR="00D00F20" w:rsidRPr="00F54560" w:rsidRDefault="00D00F20" w:rsidP="00D00F20">
      <w:pPr>
        <w:spacing w:line="240" w:lineRule="auto"/>
        <w:jc w:val="both"/>
        <w:rPr>
          <w:rFonts w:ascii="Times New Roman" w:hAnsi="Times New Roman" w:cs="Times New Roman"/>
        </w:rPr>
      </w:pPr>
      <w:r w:rsidRPr="00F54560">
        <w:rPr>
          <w:rFonts w:ascii="Times New Roman" w:hAnsi="Times New Roman" w:cs="Times New Roman"/>
        </w:rPr>
        <w:t xml:space="preserve">Thank you to many members </w:t>
      </w:r>
      <w:r>
        <w:rPr>
          <w:rFonts w:ascii="Times New Roman" w:hAnsi="Times New Roman" w:cs="Times New Roman"/>
        </w:rPr>
        <w:t xml:space="preserve">from </w:t>
      </w:r>
      <w:r w:rsidRPr="00F54560">
        <w:rPr>
          <w:rFonts w:ascii="Times New Roman" w:hAnsi="Times New Roman" w:cs="Times New Roman"/>
        </w:rPr>
        <w:t>F18 who have been integral to my work, specifically Josie and Amy for teaching me how to infect zebrafish and for Bartek for helping me after Josie and Amy left, and going out of his way to come in on early mornings to inject the morpholinos with me. Also thank you to Josie and Grace for teaching me how to perform cell culture work and to Henna from F19 for her help with tonsil work. Also, thanks to Tom, Callum and Josh for gossip sessions, especially during thesis writing, and also to Lucia who was so lovely when I came and used the F18 platereader when she needed to use it.</w:t>
      </w:r>
    </w:p>
    <w:p w14:paraId="2544615D" w14:textId="77777777" w:rsidR="00D00F20" w:rsidRPr="00F54560" w:rsidRDefault="00D00F20" w:rsidP="00D00F20">
      <w:pPr>
        <w:spacing w:line="240" w:lineRule="auto"/>
        <w:jc w:val="both"/>
        <w:rPr>
          <w:rFonts w:ascii="Times New Roman" w:hAnsi="Times New Roman" w:cs="Times New Roman"/>
        </w:rPr>
      </w:pPr>
      <w:r w:rsidRPr="00F54560">
        <w:rPr>
          <w:rFonts w:ascii="Times New Roman" w:hAnsi="Times New Roman" w:cs="Times New Roman"/>
        </w:rPr>
        <w:t>Jessie and Anne, thank you for great advice and cute brunch dates and outings and for helping me to get through sad times during the lab. And thank you to Hannah for providing great tips for surviving the sad thesis writing times and for checking up on me as well. Huge thanks for the support I received from my forever friends Nash, Maisha, Khyla, Nilesh, Shen who celebrated my wins with me. To Nilesh for doing some painstaking proofreading and especially to Nash who messaged me every</w:t>
      </w:r>
      <w:r>
        <w:rPr>
          <w:rFonts w:ascii="Times New Roman" w:hAnsi="Times New Roman" w:cs="Times New Roman"/>
        </w:rPr>
        <w:t xml:space="preserve"> </w:t>
      </w:r>
      <w:r w:rsidRPr="00F54560">
        <w:rPr>
          <w:rFonts w:ascii="Times New Roman" w:hAnsi="Times New Roman" w:cs="Times New Roman"/>
        </w:rPr>
        <w:t>day while I was having the worst time writing my introduction</w:t>
      </w:r>
      <w:r>
        <w:rPr>
          <w:rFonts w:ascii="Times New Roman" w:hAnsi="Times New Roman" w:cs="Times New Roman"/>
        </w:rPr>
        <w:t>, telling me it was going to be ok</w:t>
      </w:r>
      <w:r w:rsidRPr="00F54560">
        <w:rPr>
          <w:rFonts w:ascii="Times New Roman" w:hAnsi="Times New Roman" w:cs="Times New Roman"/>
        </w:rPr>
        <w:t>.</w:t>
      </w:r>
    </w:p>
    <w:p w14:paraId="4B57F6D0" w14:textId="77777777" w:rsidR="00D00F20" w:rsidRPr="00F54560" w:rsidRDefault="00D00F20" w:rsidP="00D00F20">
      <w:pPr>
        <w:spacing w:line="240" w:lineRule="auto"/>
        <w:jc w:val="both"/>
        <w:rPr>
          <w:rFonts w:ascii="Times New Roman" w:hAnsi="Times New Roman" w:cs="Times New Roman"/>
        </w:rPr>
      </w:pPr>
      <w:r w:rsidRPr="00F54560">
        <w:rPr>
          <w:rFonts w:ascii="Times New Roman" w:hAnsi="Times New Roman" w:cs="Times New Roman"/>
        </w:rPr>
        <w:t>Thank you to Ty, for encouraging me through every peak and trough of this PhD, for always supporting me and believing in me. Thank you for letting me rant, letting me teach you about the stringent response even though you</w:t>
      </w:r>
      <w:r>
        <w:rPr>
          <w:rFonts w:ascii="Times New Roman" w:hAnsi="Times New Roman" w:cs="Times New Roman"/>
        </w:rPr>
        <w:t xml:space="preserve"> don’t understand microbiology and </w:t>
      </w:r>
      <w:r w:rsidRPr="00F54560">
        <w:rPr>
          <w:rFonts w:ascii="Times New Roman" w:hAnsi="Times New Roman" w:cs="Times New Roman"/>
        </w:rPr>
        <w:t xml:space="preserve">for letting me present to you even though you had no idea what I was talking about. That’s dedication. </w:t>
      </w:r>
    </w:p>
    <w:p w14:paraId="08A47517" w14:textId="646042D6" w:rsidR="00D00F20" w:rsidRDefault="00D00F20" w:rsidP="00D00F20">
      <w:pPr>
        <w:spacing w:line="240" w:lineRule="auto"/>
        <w:jc w:val="both"/>
        <w:rPr>
          <w:rFonts w:ascii="Times New Roman" w:hAnsi="Times New Roman" w:cs="Times New Roman"/>
        </w:rPr>
      </w:pPr>
      <w:r w:rsidRPr="00F54560">
        <w:rPr>
          <w:rFonts w:ascii="Times New Roman" w:hAnsi="Times New Roman" w:cs="Times New Roman"/>
        </w:rPr>
        <w:t>The biggest thanks to my immediate and extended family who have watched me put myself through “self-inflicted institutionalised trauma” for so long, I promise this is the last time I’ll go to uni. Thank you for the cute care packages and for also listening to my fun presentations (and sometimes falling asleep).</w:t>
      </w:r>
      <w:r>
        <w:rPr>
          <w:rFonts w:ascii="Times New Roman" w:hAnsi="Times New Roman" w:cs="Times New Roman"/>
        </w:rPr>
        <w:t xml:space="preserve"> Thank you to Noah, Leilah and Ayden, the cutest babies whose pictures and videos significantly improved my mood.</w:t>
      </w:r>
      <w:r w:rsidRPr="00F54560">
        <w:rPr>
          <w:rFonts w:ascii="Times New Roman" w:hAnsi="Times New Roman" w:cs="Times New Roman"/>
        </w:rPr>
        <w:t xml:space="preserve"> </w:t>
      </w:r>
      <w:r w:rsidR="005F13CD">
        <w:rPr>
          <w:rFonts w:ascii="Times New Roman" w:hAnsi="Times New Roman" w:cs="Times New Roman"/>
        </w:rPr>
        <w:t xml:space="preserve">Thank you to best friend Sib for listening to my mad rants and crazy stories. </w:t>
      </w:r>
      <w:r w:rsidRPr="00F54560">
        <w:rPr>
          <w:rFonts w:ascii="Times New Roman" w:hAnsi="Times New Roman" w:cs="Times New Roman"/>
        </w:rPr>
        <w:t xml:space="preserve">Thank you, Nan for always praying for me for being the funniest nan ever. Finally, thanks to my </w:t>
      </w:r>
      <w:r>
        <w:rPr>
          <w:rFonts w:ascii="Times New Roman" w:hAnsi="Times New Roman" w:cs="Times New Roman"/>
        </w:rPr>
        <w:t>M</w:t>
      </w:r>
      <w:r w:rsidRPr="00F54560">
        <w:rPr>
          <w:rFonts w:ascii="Times New Roman" w:hAnsi="Times New Roman" w:cs="Times New Roman"/>
        </w:rPr>
        <w:t xml:space="preserve">um and </w:t>
      </w:r>
      <w:r>
        <w:rPr>
          <w:rFonts w:ascii="Times New Roman" w:hAnsi="Times New Roman" w:cs="Times New Roman"/>
        </w:rPr>
        <w:t>D</w:t>
      </w:r>
      <w:r w:rsidRPr="00F54560">
        <w:rPr>
          <w:rFonts w:ascii="Times New Roman" w:hAnsi="Times New Roman" w:cs="Times New Roman"/>
        </w:rPr>
        <w:t>ad for never losing faith in me and for supporting me, especially mum for always doing cute mum things</w:t>
      </w:r>
      <w:r>
        <w:rPr>
          <w:rFonts w:ascii="Times New Roman" w:hAnsi="Times New Roman" w:cs="Times New Roman"/>
        </w:rPr>
        <w:t>, for tolerating my dramatics and for</w:t>
      </w:r>
      <w:r w:rsidRPr="00F54560">
        <w:rPr>
          <w:rFonts w:ascii="Times New Roman" w:hAnsi="Times New Roman" w:cs="Times New Roman"/>
        </w:rPr>
        <w:t xml:space="preserve"> </w:t>
      </w:r>
      <w:r>
        <w:rPr>
          <w:rFonts w:ascii="Times New Roman" w:hAnsi="Times New Roman" w:cs="Times New Roman"/>
        </w:rPr>
        <w:t>n</w:t>
      </w:r>
      <w:r w:rsidRPr="00F54560">
        <w:rPr>
          <w:rFonts w:ascii="Times New Roman" w:hAnsi="Times New Roman" w:cs="Times New Roman"/>
        </w:rPr>
        <w:t>ot having a single doubt in my abilities.</w:t>
      </w:r>
    </w:p>
    <w:p w14:paraId="44CC316A" w14:textId="5C6C9FD5" w:rsidR="00D00F20" w:rsidRDefault="00D00F20" w:rsidP="00D00F20">
      <w:pPr>
        <w:spacing w:line="240" w:lineRule="auto"/>
        <w:jc w:val="both"/>
        <w:rPr>
          <w:rFonts w:ascii="Times New Roman" w:hAnsi="Times New Roman" w:cs="Times New Roman"/>
        </w:rPr>
      </w:pPr>
      <w:r>
        <w:rPr>
          <w:rFonts w:ascii="Times New Roman" w:hAnsi="Times New Roman" w:cs="Times New Roman"/>
        </w:rPr>
        <w:t xml:space="preserve">Love you all. </w:t>
      </w:r>
    </w:p>
    <w:p w14:paraId="4E3C8F09" w14:textId="04483240" w:rsidR="00D00F20" w:rsidRDefault="00D00F20" w:rsidP="00D00F20">
      <w:pPr>
        <w:spacing w:line="240" w:lineRule="auto"/>
        <w:jc w:val="both"/>
        <w:rPr>
          <w:rFonts w:ascii="Times New Roman" w:hAnsi="Times New Roman" w:cs="Times New Roman"/>
        </w:rPr>
      </w:pPr>
    </w:p>
    <w:p w14:paraId="60BC7CE4" w14:textId="3A102725" w:rsidR="00D00F20" w:rsidRDefault="00D00F20" w:rsidP="00D00F20">
      <w:pPr>
        <w:spacing w:line="240" w:lineRule="auto"/>
        <w:jc w:val="both"/>
        <w:rPr>
          <w:rFonts w:ascii="Times New Roman" w:hAnsi="Times New Roman" w:cs="Times New Roman"/>
        </w:rPr>
      </w:pPr>
    </w:p>
    <w:p w14:paraId="18BA9AFF" w14:textId="49D8F956" w:rsidR="00D00F20" w:rsidRDefault="00D00F20" w:rsidP="00D00F20">
      <w:pPr>
        <w:spacing w:line="240" w:lineRule="auto"/>
        <w:jc w:val="both"/>
        <w:rPr>
          <w:rFonts w:ascii="Times New Roman" w:hAnsi="Times New Roman" w:cs="Times New Roman"/>
        </w:rPr>
      </w:pPr>
    </w:p>
    <w:p w14:paraId="23E223C6" w14:textId="77777777" w:rsidR="00D00F20" w:rsidRPr="00D00F20" w:rsidRDefault="00D00F20" w:rsidP="00D00F20">
      <w:pPr>
        <w:spacing w:line="240" w:lineRule="auto"/>
        <w:jc w:val="both"/>
        <w:rPr>
          <w:rFonts w:ascii="Times New Roman" w:hAnsi="Times New Roman" w:cs="Times New Roman"/>
        </w:rPr>
      </w:pPr>
    </w:p>
    <w:p w14:paraId="66D2B3DB" w14:textId="35831A01" w:rsidR="00DB06BD" w:rsidRDefault="00810565" w:rsidP="00810565">
      <w:pPr>
        <w:pStyle w:val="Heading1"/>
      </w:pPr>
      <w:bookmarkStart w:id="5" w:name="_Toc142043561"/>
      <w:r>
        <w:lastRenderedPageBreak/>
        <w:t>Contents</w:t>
      </w:r>
      <w:bookmarkEnd w:id="5"/>
      <w:r>
        <w:t xml:space="preserve"> </w:t>
      </w:r>
    </w:p>
    <w:sdt>
      <w:sdtPr>
        <w:rPr>
          <w:rFonts w:asciiTheme="minorHAnsi" w:eastAsiaTheme="minorHAnsi" w:hAnsiTheme="minorHAnsi" w:cs="Times New Roman"/>
          <w:sz w:val="22"/>
          <w:szCs w:val="22"/>
          <w:u w:val="none"/>
          <w:lang w:val="en-GB"/>
        </w:rPr>
        <w:id w:val="8650219"/>
        <w:docPartObj>
          <w:docPartGallery w:val="Table of Contents"/>
          <w:docPartUnique/>
        </w:docPartObj>
      </w:sdtPr>
      <w:sdtEndPr>
        <w:rPr>
          <w:rFonts w:cstheme="minorBidi"/>
          <w:b/>
          <w:bCs/>
          <w:noProof/>
        </w:rPr>
      </w:sdtEndPr>
      <w:sdtContent>
        <w:p w14:paraId="0FD0B106" w14:textId="60283CD5" w:rsidR="005F13CD" w:rsidRPr="00626313" w:rsidRDefault="005F13CD">
          <w:pPr>
            <w:pStyle w:val="TOCHeading"/>
            <w:rPr>
              <w:rFonts w:cs="Times New Roman"/>
            </w:rPr>
          </w:pPr>
        </w:p>
        <w:p w14:paraId="6BEAAF70" w14:textId="50CA1A96" w:rsidR="000D2F38" w:rsidRPr="000D2F38" w:rsidRDefault="005F13CD">
          <w:pPr>
            <w:pStyle w:val="TOC1"/>
            <w:rPr>
              <w:rFonts w:ascii="Times New Roman" w:eastAsiaTheme="minorEastAsia" w:hAnsi="Times New Roman" w:cs="Times New Roman"/>
              <w:b w:val="0"/>
              <w:bCs w:val="0"/>
              <w:kern w:val="2"/>
              <w:lang w:eastAsia="en-GB"/>
              <w14:ligatures w14:val="standardContextual"/>
            </w:rPr>
          </w:pPr>
          <w:r w:rsidRPr="00626313">
            <w:rPr>
              <w:rFonts w:ascii="Times New Roman" w:hAnsi="Times New Roman" w:cs="Times New Roman"/>
            </w:rPr>
            <w:fldChar w:fldCharType="begin"/>
          </w:r>
          <w:r w:rsidRPr="00626313">
            <w:rPr>
              <w:rFonts w:ascii="Times New Roman" w:hAnsi="Times New Roman" w:cs="Times New Roman"/>
            </w:rPr>
            <w:instrText xml:space="preserve"> TOC \o "1-3" \h \z \u </w:instrText>
          </w:r>
          <w:r w:rsidRPr="00626313">
            <w:rPr>
              <w:rFonts w:ascii="Times New Roman" w:hAnsi="Times New Roman" w:cs="Times New Roman"/>
            </w:rPr>
            <w:fldChar w:fldCharType="separate"/>
          </w:r>
          <w:hyperlink w:anchor="_Toc142043558" w:history="1">
            <w:r w:rsidR="000D2F38" w:rsidRPr="000D2F38">
              <w:rPr>
                <w:rStyle w:val="Hyperlink"/>
                <w:rFonts w:ascii="Times New Roman" w:hAnsi="Times New Roman" w:cs="Times New Roman"/>
              </w:rPr>
              <w:t>Abstract</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_Toc142043558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i</w:t>
            </w:r>
            <w:r w:rsidR="000D2F38" w:rsidRPr="000D2F38">
              <w:rPr>
                <w:rFonts w:ascii="Times New Roman" w:hAnsi="Times New Roman" w:cs="Times New Roman"/>
                <w:webHidden/>
              </w:rPr>
              <w:fldChar w:fldCharType="end"/>
            </w:r>
          </w:hyperlink>
        </w:p>
        <w:p w14:paraId="25594976" w14:textId="2AC15815"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559" w:history="1">
            <w:r w:rsidR="000D2F38" w:rsidRPr="000D2F38">
              <w:rPr>
                <w:rStyle w:val="Hyperlink"/>
                <w:rFonts w:ascii="Times New Roman" w:hAnsi="Times New Roman" w:cs="Times New Roman"/>
              </w:rPr>
              <w:t>Publications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_Toc142043559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ii</w:t>
            </w:r>
            <w:r w:rsidR="000D2F38" w:rsidRPr="000D2F38">
              <w:rPr>
                <w:rFonts w:ascii="Times New Roman" w:hAnsi="Times New Roman" w:cs="Times New Roman"/>
                <w:webHidden/>
              </w:rPr>
              <w:fldChar w:fldCharType="end"/>
            </w:r>
          </w:hyperlink>
        </w:p>
        <w:p w14:paraId="6D63EB63" w14:textId="4CA8EC60"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560" w:history="1">
            <w:r w:rsidR="000D2F38" w:rsidRPr="000D2F38">
              <w:rPr>
                <w:rStyle w:val="Hyperlink"/>
                <w:rFonts w:ascii="Times New Roman" w:hAnsi="Times New Roman" w:cs="Times New Roman"/>
              </w:rPr>
              <w:t>Acknowledgements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_Toc142043560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iii</w:t>
            </w:r>
            <w:r w:rsidR="000D2F38" w:rsidRPr="000D2F38">
              <w:rPr>
                <w:rFonts w:ascii="Times New Roman" w:hAnsi="Times New Roman" w:cs="Times New Roman"/>
                <w:webHidden/>
              </w:rPr>
              <w:fldChar w:fldCharType="end"/>
            </w:r>
          </w:hyperlink>
        </w:p>
        <w:p w14:paraId="2D4A25A9" w14:textId="38F155FE"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561" w:history="1">
            <w:r w:rsidR="000D2F38" w:rsidRPr="000D2F38">
              <w:rPr>
                <w:rStyle w:val="Hyperlink"/>
                <w:rFonts w:ascii="Times New Roman" w:hAnsi="Times New Roman" w:cs="Times New Roman"/>
              </w:rPr>
              <w:t>Contents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_Toc142043561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iv</w:t>
            </w:r>
            <w:r w:rsidR="000D2F38" w:rsidRPr="000D2F38">
              <w:rPr>
                <w:rFonts w:ascii="Times New Roman" w:hAnsi="Times New Roman" w:cs="Times New Roman"/>
                <w:webHidden/>
              </w:rPr>
              <w:fldChar w:fldCharType="end"/>
            </w:r>
          </w:hyperlink>
        </w:p>
        <w:p w14:paraId="10937F11" w14:textId="235684AA"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562" w:history="1">
            <w:r w:rsidR="000D2F38" w:rsidRPr="000D2F38">
              <w:rPr>
                <w:rStyle w:val="Hyperlink"/>
                <w:rFonts w:ascii="Times New Roman" w:hAnsi="Times New Roman" w:cs="Times New Roman"/>
              </w:rPr>
              <w:t>List of Figures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_Toc142043562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viii</w:t>
            </w:r>
            <w:r w:rsidR="000D2F38" w:rsidRPr="000D2F38">
              <w:rPr>
                <w:rFonts w:ascii="Times New Roman" w:hAnsi="Times New Roman" w:cs="Times New Roman"/>
                <w:webHidden/>
              </w:rPr>
              <w:fldChar w:fldCharType="end"/>
            </w:r>
          </w:hyperlink>
        </w:p>
        <w:p w14:paraId="057E6B46" w14:textId="51205D1B"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563" w:history="1">
            <w:r w:rsidR="000D2F38" w:rsidRPr="000D2F38">
              <w:rPr>
                <w:rStyle w:val="Hyperlink"/>
                <w:rFonts w:ascii="Times New Roman" w:hAnsi="Times New Roman" w:cs="Times New Roman"/>
              </w:rPr>
              <w:t>List of Tables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_Toc142043563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x</w:t>
            </w:r>
            <w:r w:rsidR="000D2F38" w:rsidRPr="000D2F38">
              <w:rPr>
                <w:rFonts w:ascii="Times New Roman" w:hAnsi="Times New Roman" w:cs="Times New Roman"/>
                <w:webHidden/>
              </w:rPr>
              <w:fldChar w:fldCharType="end"/>
            </w:r>
          </w:hyperlink>
        </w:p>
        <w:p w14:paraId="5DE60377" w14:textId="2764E2B8"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564" w:history="1">
            <w:r w:rsidR="000D2F38" w:rsidRPr="000D2F38">
              <w:rPr>
                <w:rStyle w:val="Hyperlink"/>
                <w:rFonts w:ascii="Times New Roman" w:hAnsi="Times New Roman" w:cs="Times New Roman"/>
              </w:rPr>
              <w:t>List of Abbreviations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_Toc142043564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xi</w:t>
            </w:r>
            <w:r w:rsidR="000D2F38" w:rsidRPr="000D2F38">
              <w:rPr>
                <w:rFonts w:ascii="Times New Roman" w:hAnsi="Times New Roman" w:cs="Times New Roman"/>
                <w:webHidden/>
              </w:rPr>
              <w:fldChar w:fldCharType="end"/>
            </w:r>
          </w:hyperlink>
        </w:p>
        <w:p w14:paraId="5C1FDE6B" w14:textId="61F4819E"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565" w:history="1">
            <w:r w:rsidR="000D2F38" w:rsidRPr="000D2F38">
              <w:rPr>
                <w:rStyle w:val="Hyperlink"/>
                <w:rFonts w:ascii="Times New Roman" w:hAnsi="Times New Roman" w:cs="Times New Roman"/>
              </w:rPr>
              <w:t>Chapter 1: Introduction</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_Toc142043565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1</w:t>
            </w:r>
            <w:r w:rsidR="000D2F38" w:rsidRPr="000D2F38">
              <w:rPr>
                <w:rFonts w:ascii="Times New Roman" w:hAnsi="Times New Roman" w:cs="Times New Roman"/>
                <w:webHidden/>
              </w:rPr>
              <w:fldChar w:fldCharType="end"/>
            </w:r>
          </w:hyperlink>
        </w:p>
        <w:p w14:paraId="4DA4A82E" w14:textId="41206A7C"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66" w:history="1">
            <w:r w:rsidR="000D2F38" w:rsidRPr="000D2F38">
              <w:rPr>
                <w:rStyle w:val="Hyperlink"/>
                <w:rFonts w:ascii="Times New Roman" w:hAnsi="Times New Roman" w:cs="Times New Roman"/>
                <w:noProof/>
              </w:rPr>
              <w:t xml:space="preserve">1.1. </w:t>
            </w:r>
            <w:r w:rsidR="000D2F38" w:rsidRPr="000D2F38">
              <w:rPr>
                <w:rStyle w:val="Hyperlink"/>
                <w:rFonts w:ascii="Times New Roman" w:hAnsi="Times New Roman" w:cs="Times New Roman"/>
                <w:i/>
                <w:iCs/>
                <w:noProof/>
              </w:rPr>
              <w:t>Staphylococcus aureus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_Toc142043566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w:t>
            </w:r>
            <w:r w:rsidR="000D2F38" w:rsidRPr="000D2F38">
              <w:rPr>
                <w:rFonts w:ascii="Times New Roman" w:hAnsi="Times New Roman" w:cs="Times New Roman"/>
                <w:noProof/>
                <w:webHidden/>
              </w:rPr>
              <w:fldChar w:fldCharType="end"/>
            </w:r>
          </w:hyperlink>
        </w:p>
        <w:p w14:paraId="40D4C979" w14:textId="3A66F385"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67" w:history="1">
            <w:r w:rsidR="000D2F38" w:rsidRPr="000D2F38">
              <w:rPr>
                <w:rStyle w:val="Hyperlink"/>
                <w:rFonts w:ascii="Times New Roman" w:hAnsi="Times New Roman" w:cs="Times New Roman"/>
                <w:noProof/>
              </w:rPr>
              <w:t xml:space="preserve">1.1.1. Epidemiology of </w:t>
            </w:r>
            <w:r w:rsidR="000D2F38" w:rsidRPr="000D2F38">
              <w:rPr>
                <w:rStyle w:val="Hyperlink"/>
                <w:rFonts w:ascii="Times New Roman" w:hAnsi="Times New Roman" w:cs="Times New Roman"/>
                <w:i/>
                <w:iCs/>
                <w:noProof/>
              </w:rPr>
              <w:t>S. aureus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_Toc142043567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w:t>
            </w:r>
            <w:r w:rsidR="000D2F38" w:rsidRPr="000D2F38">
              <w:rPr>
                <w:rFonts w:ascii="Times New Roman" w:hAnsi="Times New Roman" w:cs="Times New Roman"/>
                <w:noProof/>
                <w:webHidden/>
              </w:rPr>
              <w:fldChar w:fldCharType="end"/>
            </w:r>
          </w:hyperlink>
        </w:p>
        <w:p w14:paraId="3E41FBDA" w14:textId="7425D159"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68" w:history="1">
            <w:r w:rsidR="000D2F38" w:rsidRPr="000D2F38">
              <w:rPr>
                <w:rStyle w:val="Hyperlink"/>
                <w:rFonts w:ascii="Times New Roman" w:hAnsi="Times New Roman" w:cs="Times New Roman"/>
                <w:noProof/>
              </w:rPr>
              <w:t>1.1.2. MRSA and its treatment</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_Toc142043568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2</w:t>
            </w:r>
            <w:r w:rsidR="000D2F38" w:rsidRPr="000D2F38">
              <w:rPr>
                <w:rFonts w:ascii="Times New Roman" w:hAnsi="Times New Roman" w:cs="Times New Roman"/>
                <w:noProof/>
                <w:webHidden/>
              </w:rPr>
              <w:fldChar w:fldCharType="end"/>
            </w:r>
          </w:hyperlink>
        </w:p>
        <w:p w14:paraId="0467AC52" w14:textId="292C8375"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69" w:history="1">
            <w:r w:rsidR="000D2F38" w:rsidRPr="000D2F38">
              <w:rPr>
                <w:rStyle w:val="Hyperlink"/>
                <w:rFonts w:ascii="Times New Roman" w:hAnsi="Times New Roman" w:cs="Times New Roman"/>
                <w:noProof/>
              </w:rPr>
              <w:t xml:space="preserve">1.1.3. </w:t>
            </w:r>
            <w:r w:rsidR="000D2F38" w:rsidRPr="000D2F38">
              <w:rPr>
                <w:rStyle w:val="Hyperlink"/>
                <w:rFonts w:ascii="Times New Roman" w:hAnsi="Times New Roman" w:cs="Times New Roman"/>
                <w:i/>
                <w:iCs/>
                <w:noProof/>
              </w:rPr>
              <w:t xml:space="preserve">S. aureus </w:t>
            </w:r>
            <w:r w:rsidR="000D2F38" w:rsidRPr="000D2F38">
              <w:rPr>
                <w:rStyle w:val="Hyperlink"/>
                <w:rFonts w:ascii="Times New Roman" w:hAnsi="Times New Roman" w:cs="Times New Roman"/>
                <w:noProof/>
              </w:rPr>
              <w:t>virulence factors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_Toc142043569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w:t>
            </w:r>
            <w:r w:rsidR="000D2F38" w:rsidRPr="000D2F38">
              <w:rPr>
                <w:rFonts w:ascii="Times New Roman" w:hAnsi="Times New Roman" w:cs="Times New Roman"/>
                <w:noProof/>
                <w:webHidden/>
              </w:rPr>
              <w:fldChar w:fldCharType="end"/>
            </w:r>
          </w:hyperlink>
        </w:p>
        <w:p w14:paraId="184A7C44" w14:textId="54895DB3"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70" w:history="1">
            <w:r w:rsidR="000D2F38" w:rsidRPr="000D2F38">
              <w:rPr>
                <w:rStyle w:val="Hyperlink"/>
                <w:rFonts w:ascii="Times New Roman" w:hAnsi="Times New Roman" w:cs="Times New Roman"/>
                <w:noProof/>
              </w:rPr>
              <w:t>1.2. The stringent response</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11</w:t>
            </w:r>
            <w:r w:rsidR="000D2F38" w:rsidRPr="000D2F38">
              <w:rPr>
                <w:rFonts w:ascii="Times New Roman" w:hAnsi="Times New Roman" w:cs="Times New Roman"/>
                <w:noProof/>
                <w:webHidden/>
              </w:rPr>
              <w:fldChar w:fldCharType="end"/>
            </w:r>
          </w:hyperlink>
        </w:p>
        <w:p w14:paraId="7C8DF233" w14:textId="7DF526E2"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71" w:history="1">
            <w:r w:rsidR="000D2F38" w:rsidRPr="000D2F38">
              <w:rPr>
                <w:rStyle w:val="Hyperlink"/>
                <w:rFonts w:ascii="Times New Roman" w:hAnsi="Times New Roman" w:cs="Times New Roman"/>
                <w:noProof/>
              </w:rPr>
              <w:t>1.2.1. Regulation of the RSH enzymes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13</w:t>
            </w:r>
            <w:r w:rsidR="000D2F38" w:rsidRPr="000D2F38">
              <w:rPr>
                <w:rFonts w:ascii="Times New Roman" w:hAnsi="Times New Roman" w:cs="Times New Roman"/>
                <w:noProof/>
                <w:webHidden/>
              </w:rPr>
              <w:fldChar w:fldCharType="end"/>
            </w:r>
          </w:hyperlink>
        </w:p>
        <w:p w14:paraId="6C9182E3" w14:textId="38DF3272"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72" w:history="1">
            <w:r w:rsidR="000D2F38" w:rsidRPr="000D2F38">
              <w:rPr>
                <w:rStyle w:val="Hyperlink"/>
                <w:rFonts w:ascii="Times New Roman" w:hAnsi="Times New Roman" w:cs="Times New Roman"/>
                <w:noProof/>
              </w:rPr>
              <w:t>1.2.2. Physiological processes targeted by (p)ppGpp</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18</w:t>
            </w:r>
            <w:r w:rsidR="000D2F38" w:rsidRPr="000D2F38">
              <w:rPr>
                <w:rFonts w:ascii="Times New Roman" w:hAnsi="Times New Roman" w:cs="Times New Roman"/>
                <w:noProof/>
                <w:webHidden/>
              </w:rPr>
              <w:fldChar w:fldCharType="end"/>
            </w:r>
          </w:hyperlink>
        </w:p>
        <w:p w14:paraId="2557421E" w14:textId="29CB593A"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73" w:history="1">
            <w:r w:rsidR="000D2F38" w:rsidRPr="000D2F38">
              <w:rPr>
                <w:rStyle w:val="Hyperlink"/>
                <w:rFonts w:ascii="Times New Roman" w:hAnsi="Times New Roman" w:cs="Times New Roman"/>
                <w:noProof/>
              </w:rPr>
              <w:t>1.2.3. The role of the stringent response during pathogenesis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_Toc142043573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23</w:t>
            </w:r>
            <w:r w:rsidR="000D2F38" w:rsidRPr="000D2F38">
              <w:rPr>
                <w:rFonts w:ascii="Times New Roman" w:hAnsi="Times New Roman" w:cs="Times New Roman"/>
                <w:noProof/>
                <w:webHidden/>
              </w:rPr>
              <w:fldChar w:fldCharType="end"/>
            </w:r>
          </w:hyperlink>
        </w:p>
        <w:p w14:paraId="1F9031EC" w14:textId="41B66367"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74" w:history="1">
            <w:r w:rsidR="000D2F38" w:rsidRPr="000D2F38">
              <w:rPr>
                <w:rStyle w:val="Hyperlink"/>
                <w:rFonts w:ascii="Times New Roman" w:hAnsi="Times New Roman" w:cs="Times New Roman"/>
                <w:noProof/>
              </w:rPr>
              <w:t>1.2.4. Stringent response inhibitors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28</w:t>
            </w:r>
            <w:r w:rsidR="000D2F38" w:rsidRPr="000D2F38">
              <w:rPr>
                <w:rFonts w:ascii="Times New Roman" w:hAnsi="Times New Roman" w:cs="Times New Roman"/>
                <w:noProof/>
                <w:webHidden/>
              </w:rPr>
              <w:fldChar w:fldCharType="end"/>
            </w:r>
          </w:hyperlink>
        </w:p>
        <w:p w14:paraId="79D7E6F9" w14:textId="36AC58F2"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75" w:history="1">
            <w:r w:rsidR="000D2F38" w:rsidRPr="000D2F38">
              <w:rPr>
                <w:rStyle w:val="Hyperlink"/>
                <w:rFonts w:ascii="Times New Roman" w:hAnsi="Times New Roman" w:cs="Times New Roman"/>
                <w:noProof/>
              </w:rPr>
              <w:t>1.3. The role of phagocytes during</w:t>
            </w:r>
            <w:r w:rsidR="000D2F38" w:rsidRPr="000D2F38">
              <w:rPr>
                <w:rStyle w:val="Hyperlink"/>
                <w:rFonts w:ascii="Times New Roman" w:hAnsi="Times New Roman" w:cs="Times New Roman"/>
                <w:i/>
                <w:iCs/>
                <w:noProof/>
              </w:rPr>
              <w:t xml:space="preserve"> S. aureus</w:t>
            </w:r>
            <w:r w:rsidR="000D2F38" w:rsidRPr="000D2F38">
              <w:rPr>
                <w:rStyle w:val="Hyperlink"/>
                <w:rFonts w:ascii="Times New Roman" w:hAnsi="Times New Roman" w:cs="Times New Roman"/>
                <w:noProof/>
              </w:rPr>
              <w:t xml:space="preserve">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30</w:t>
            </w:r>
            <w:r w:rsidR="000D2F38" w:rsidRPr="000D2F38">
              <w:rPr>
                <w:rFonts w:ascii="Times New Roman" w:hAnsi="Times New Roman" w:cs="Times New Roman"/>
                <w:noProof/>
                <w:webHidden/>
              </w:rPr>
              <w:fldChar w:fldCharType="end"/>
            </w:r>
          </w:hyperlink>
        </w:p>
        <w:p w14:paraId="6AC4E028" w14:textId="59D8189C"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76" w:history="1">
            <w:r w:rsidR="000D2F38" w:rsidRPr="000D2F38">
              <w:rPr>
                <w:rStyle w:val="Hyperlink"/>
                <w:rFonts w:ascii="Times New Roman" w:hAnsi="Times New Roman" w:cs="Times New Roman"/>
                <w:noProof/>
              </w:rPr>
              <w:t>1.3.1. The functions of neutrophils and macrophages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30</w:t>
            </w:r>
            <w:r w:rsidR="000D2F38" w:rsidRPr="000D2F38">
              <w:rPr>
                <w:rFonts w:ascii="Times New Roman" w:hAnsi="Times New Roman" w:cs="Times New Roman"/>
                <w:noProof/>
                <w:webHidden/>
              </w:rPr>
              <w:fldChar w:fldCharType="end"/>
            </w:r>
          </w:hyperlink>
        </w:p>
        <w:p w14:paraId="1DD8488F" w14:textId="363B3AB3"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77" w:history="1">
            <w:r w:rsidR="000D2F38" w:rsidRPr="000D2F38">
              <w:rPr>
                <w:rStyle w:val="Hyperlink"/>
                <w:rFonts w:ascii="Times New Roman" w:hAnsi="Times New Roman" w:cs="Times New Roman"/>
                <w:noProof/>
              </w:rPr>
              <w:t xml:space="preserve">1.3.2. How is </w:t>
            </w:r>
            <w:r w:rsidR="000D2F38" w:rsidRPr="000D2F38">
              <w:rPr>
                <w:rStyle w:val="Hyperlink"/>
                <w:rFonts w:ascii="Times New Roman" w:hAnsi="Times New Roman" w:cs="Times New Roman"/>
                <w:i/>
                <w:iCs/>
                <w:noProof/>
              </w:rPr>
              <w:t>S. aureus</w:t>
            </w:r>
            <w:r w:rsidR="000D2F38" w:rsidRPr="000D2F38">
              <w:rPr>
                <w:rStyle w:val="Hyperlink"/>
                <w:rFonts w:ascii="Times New Roman" w:hAnsi="Times New Roman" w:cs="Times New Roman"/>
                <w:noProof/>
              </w:rPr>
              <w:t xml:space="preserve"> recognised by the innate immune system?</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34</w:t>
            </w:r>
            <w:r w:rsidR="000D2F38" w:rsidRPr="000D2F38">
              <w:rPr>
                <w:rFonts w:ascii="Times New Roman" w:hAnsi="Times New Roman" w:cs="Times New Roman"/>
                <w:noProof/>
                <w:webHidden/>
              </w:rPr>
              <w:fldChar w:fldCharType="end"/>
            </w:r>
          </w:hyperlink>
        </w:p>
        <w:p w14:paraId="0D644A54" w14:textId="5B51F7F7"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78" w:history="1">
            <w:r w:rsidR="000D2F38" w:rsidRPr="000D2F38">
              <w:rPr>
                <w:rStyle w:val="Hyperlink"/>
                <w:rFonts w:ascii="Times New Roman" w:hAnsi="Times New Roman" w:cs="Times New Roman"/>
                <w:noProof/>
              </w:rPr>
              <w:t>1.3.3. Phagocytosis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35</w:t>
            </w:r>
            <w:r w:rsidR="000D2F38" w:rsidRPr="000D2F38">
              <w:rPr>
                <w:rFonts w:ascii="Times New Roman" w:hAnsi="Times New Roman" w:cs="Times New Roman"/>
                <w:noProof/>
                <w:webHidden/>
              </w:rPr>
              <w:fldChar w:fldCharType="end"/>
            </w:r>
          </w:hyperlink>
        </w:p>
        <w:p w14:paraId="5B842AB7" w14:textId="43F8A89A"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79" w:history="1">
            <w:r w:rsidR="000D2F38" w:rsidRPr="000D2F38">
              <w:rPr>
                <w:rStyle w:val="Hyperlink"/>
                <w:rFonts w:ascii="Times New Roman" w:hAnsi="Times New Roman" w:cs="Times New Roman"/>
                <w:noProof/>
              </w:rPr>
              <w:t>1.3.4. Phagosomal maturation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_Toc142043579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36</w:t>
            </w:r>
            <w:r w:rsidR="000D2F38" w:rsidRPr="000D2F38">
              <w:rPr>
                <w:rFonts w:ascii="Times New Roman" w:hAnsi="Times New Roman" w:cs="Times New Roman"/>
                <w:noProof/>
                <w:webHidden/>
              </w:rPr>
              <w:fldChar w:fldCharType="end"/>
            </w:r>
          </w:hyperlink>
        </w:p>
        <w:p w14:paraId="7867A324" w14:textId="5013D1FA"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80" w:history="1">
            <w:r w:rsidR="000D2F38" w:rsidRPr="000D2F38">
              <w:rPr>
                <w:rStyle w:val="Hyperlink"/>
                <w:rFonts w:ascii="Times New Roman" w:hAnsi="Times New Roman" w:cs="Times New Roman"/>
                <w:noProof/>
              </w:rPr>
              <w:t xml:space="preserve">1.3.5. </w:t>
            </w:r>
            <w:r w:rsidR="000D2F38" w:rsidRPr="000D2F38">
              <w:rPr>
                <w:rStyle w:val="Hyperlink"/>
                <w:rFonts w:ascii="Times New Roman" w:hAnsi="Times New Roman" w:cs="Times New Roman"/>
                <w:i/>
                <w:iCs/>
                <w:noProof/>
              </w:rPr>
              <w:t>S. aureus</w:t>
            </w:r>
            <w:r w:rsidR="000D2F38" w:rsidRPr="000D2F38">
              <w:rPr>
                <w:rStyle w:val="Hyperlink"/>
                <w:rFonts w:ascii="Times New Roman" w:hAnsi="Times New Roman" w:cs="Times New Roman"/>
                <w:noProof/>
              </w:rPr>
              <w:t xml:space="preserve"> escape from professional phagocytes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43</w:t>
            </w:r>
            <w:r w:rsidR="000D2F38" w:rsidRPr="000D2F38">
              <w:rPr>
                <w:rFonts w:ascii="Times New Roman" w:hAnsi="Times New Roman" w:cs="Times New Roman"/>
                <w:noProof/>
                <w:webHidden/>
              </w:rPr>
              <w:fldChar w:fldCharType="end"/>
            </w:r>
          </w:hyperlink>
        </w:p>
        <w:p w14:paraId="3AEA952A" w14:textId="3E8F7104"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81" w:history="1">
            <w:r w:rsidR="000D2F38" w:rsidRPr="000D2F38">
              <w:rPr>
                <w:rStyle w:val="Hyperlink"/>
                <w:rFonts w:ascii="Times New Roman" w:hAnsi="Times New Roman" w:cs="Times New Roman"/>
                <w:noProof/>
              </w:rPr>
              <w:t>1.3.6. Non-professional phagocytes: human tonsillar epithelial cells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44</w:t>
            </w:r>
            <w:r w:rsidR="000D2F38" w:rsidRPr="000D2F38">
              <w:rPr>
                <w:rFonts w:ascii="Times New Roman" w:hAnsi="Times New Roman" w:cs="Times New Roman"/>
                <w:noProof/>
                <w:webHidden/>
              </w:rPr>
              <w:fldChar w:fldCharType="end"/>
            </w:r>
          </w:hyperlink>
        </w:p>
        <w:p w14:paraId="5469341D" w14:textId="1904BCE6"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82" w:history="1">
            <w:r w:rsidR="000D2F38" w:rsidRPr="000D2F38">
              <w:rPr>
                <w:rStyle w:val="Hyperlink"/>
                <w:rFonts w:ascii="Times New Roman" w:hAnsi="Times New Roman" w:cs="Times New Roman"/>
                <w:noProof/>
              </w:rPr>
              <w:t>1.4. Zebrafish embryos as an animal model</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45</w:t>
            </w:r>
            <w:r w:rsidR="000D2F38" w:rsidRPr="000D2F38">
              <w:rPr>
                <w:rFonts w:ascii="Times New Roman" w:hAnsi="Times New Roman" w:cs="Times New Roman"/>
                <w:noProof/>
                <w:webHidden/>
              </w:rPr>
              <w:fldChar w:fldCharType="end"/>
            </w:r>
          </w:hyperlink>
        </w:p>
        <w:p w14:paraId="63011DCA" w14:textId="29EFCBD3"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83" w:history="1">
            <w:r w:rsidR="000D2F38" w:rsidRPr="000D2F38">
              <w:rPr>
                <w:rStyle w:val="Hyperlink"/>
                <w:rFonts w:ascii="Times New Roman" w:hAnsi="Times New Roman" w:cs="Times New Roman"/>
                <w:noProof/>
              </w:rPr>
              <w:t>1.4.1. Advances in zebrafish transgenesis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_Toc142043583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47</w:t>
            </w:r>
            <w:r w:rsidR="000D2F38" w:rsidRPr="000D2F38">
              <w:rPr>
                <w:rFonts w:ascii="Times New Roman" w:hAnsi="Times New Roman" w:cs="Times New Roman"/>
                <w:noProof/>
                <w:webHidden/>
              </w:rPr>
              <w:fldChar w:fldCharType="end"/>
            </w:r>
          </w:hyperlink>
        </w:p>
        <w:p w14:paraId="3CE0C5BE" w14:textId="36B5181C"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84" w:history="1">
            <w:r w:rsidR="000D2F38" w:rsidRPr="000D2F38">
              <w:rPr>
                <w:rStyle w:val="Hyperlink"/>
                <w:rFonts w:ascii="Times New Roman" w:hAnsi="Times New Roman" w:cs="Times New Roman"/>
                <w:noProof/>
              </w:rPr>
              <w:t>1.4.2. Zebrafish embryo models of bacterial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48</w:t>
            </w:r>
            <w:r w:rsidR="000D2F38" w:rsidRPr="000D2F38">
              <w:rPr>
                <w:rFonts w:ascii="Times New Roman" w:hAnsi="Times New Roman" w:cs="Times New Roman"/>
                <w:noProof/>
                <w:webHidden/>
              </w:rPr>
              <w:fldChar w:fldCharType="end"/>
            </w:r>
          </w:hyperlink>
        </w:p>
        <w:p w14:paraId="160EF16D" w14:textId="2F3FF712"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85" w:history="1">
            <w:r w:rsidR="000D2F38" w:rsidRPr="000D2F38">
              <w:rPr>
                <w:rStyle w:val="Hyperlink"/>
                <w:rFonts w:ascii="Times New Roman" w:hAnsi="Times New Roman" w:cs="Times New Roman"/>
                <w:noProof/>
              </w:rPr>
              <w:t>1.4.3. Humanised zebrafish models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49</w:t>
            </w:r>
            <w:r w:rsidR="000D2F38" w:rsidRPr="000D2F38">
              <w:rPr>
                <w:rFonts w:ascii="Times New Roman" w:hAnsi="Times New Roman" w:cs="Times New Roman"/>
                <w:noProof/>
                <w:webHidden/>
              </w:rPr>
              <w:fldChar w:fldCharType="end"/>
            </w:r>
          </w:hyperlink>
        </w:p>
        <w:p w14:paraId="5650AF8C" w14:textId="43AB6031"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86" w:history="1">
            <w:r w:rsidR="000D2F38" w:rsidRPr="000D2F38">
              <w:rPr>
                <w:rStyle w:val="Hyperlink"/>
                <w:rFonts w:ascii="Times New Roman" w:hAnsi="Times New Roman" w:cs="Times New Roman"/>
                <w:noProof/>
              </w:rPr>
              <w:t>1.5. Aims and objectives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49</w:t>
            </w:r>
            <w:r w:rsidR="000D2F38" w:rsidRPr="000D2F38">
              <w:rPr>
                <w:rFonts w:ascii="Times New Roman" w:hAnsi="Times New Roman" w:cs="Times New Roman"/>
                <w:noProof/>
                <w:webHidden/>
              </w:rPr>
              <w:fldChar w:fldCharType="end"/>
            </w:r>
          </w:hyperlink>
        </w:p>
        <w:p w14:paraId="706B7C9A" w14:textId="7CBB5571"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587" w:history="1">
            <w:r w:rsidR="000D2F38" w:rsidRPr="000D2F38">
              <w:rPr>
                <w:rStyle w:val="Hyperlink"/>
                <w:rFonts w:ascii="Times New Roman" w:hAnsi="Times New Roman" w:cs="Times New Roman"/>
              </w:rPr>
              <w:t>Chapter 2: Materials and methods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_Toc142043587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51</w:t>
            </w:r>
            <w:r w:rsidR="000D2F38" w:rsidRPr="000D2F38">
              <w:rPr>
                <w:rFonts w:ascii="Times New Roman" w:hAnsi="Times New Roman" w:cs="Times New Roman"/>
                <w:webHidden/>
              </w:rPr>
              <w:fldChar w:fldCharType="end"/>
            </w:r>
          </w:hyperlink>
        </w:p>
        <w:p w14:paraId="66980B9E" w14:textId="3A01C5ED"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88" w:history="1">
            <w:r w:rsidR="000D2F38" w:rsidRPr="000D2F38">
              <w:rPr>
                <w:rStyle w:val="Hyperlink"/>
                <w:rFonts w:ascii="Times New Roman" w:hAnsi="Times New Roman" w:cs="Times New Roman"/>
                <w:noProof/>
              </w:rPr>
              <w:t>2.1. Bacterial strains and growth conditions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51</w:t>
            </w:r>
            <w:r w:rsidR="000D2F38" w:rsidRPr="000D2F38">
              <w:rPr>
                <w:rFonts w:ascii="Times New Roman" w:hAnsi="Times New Roman" w:cs="Times New Roman"/>
                <w:noProof/>
                <w:webHidden/>
              </w:rPr>
              <w:fldChar w:fldCharType="end"/>
            </w:r>
          </w:hyperlink>
        </w:p>
        <w:p w14:paraId="720286FC" w14:textId="2AE7D757"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89" w:history="1">
            <w:r w:rsidR="000D2F38" w:rsidRPr="000D2F38">
              <w:rPr>
                <w:rStyle w:val="Hyperlink"/>
                <w:rFonts w:ascii="Times New Roman" w:hAnsi="Times New Roman" w:cs="Times New Roman"/>
                <w:noProof/>
              </w:rPr>
              <w:t>2.2. Mammalian tissue culture</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_Toc142043589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54</w:t>
            </w:r>
            <w:r w:rsidR="000D2F38" w:rsidRPr="000D2F38">
              <w:rPr>
                <w:rFonts w:ascii="Times New Roman" w:hAnsi="Times New Roman" w:cs="Times New Roman"/>
                <w:noProof/>
                <w:webHidden/>
              </w:rPr>
              <w:fldChar w:fldCharType="end"/>
            </w:r>
          </w:hyperlink>
        </w:p>
        <w:p w14:paraId="66016289" w14:textId="1CD11360"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90" w:history="1">
            <w:r w:rsidR="000D2F38" w:rsidRPr="000D2F38">
              <w:rPr>
                <w:rStyle w:val="Hyperlink"/>
                <w:rFonts w:ascii="Times New Roman" w:hAnsi="Times New Roman" w:cs="Times New Roman"/>
                <w:noProof/>
              </w:rPr>
              <w:t>2.3. Zebrafish strains and husbandry</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55</w:t>
            </w:r>
            <w:r w:rsidR="000D2F38" w:rsidRPr="000D2F38">
              <w:rPr>
                <w:rFonts w:ascii="Times New Roman" w:hAnsi="Times New Roman" w:cs="Times New Roman"/>
                <w:noProof/>
                <w:webHidden/>
              </w:rPr>
              <w:fldChar w:fldCharType="end"/>
            </w:r>
          </w:hyperlink>
        </w:p>
        <w:p w14:paraId="5E2E1EAC" w14:textId="76790E81"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591" w:history="1">
            <w:r w:rsidR="000D2F38" w:rsidRPr="000D2F38">
              <w:rPr>
                <w:rStyle w:val="Hyperlink"/>
                <w:rFonts w:ascii="Times New Roman" w:hAnsi="Times New Roman" w:cs="Times New Roman"/>
                <w:noProof/>
              </w:rPr>
              <w:t>2.4. Recombinant DNA manipulation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55</w:t>
            </w:r>
            <w:r w:rsidR="000D2F38" w:rsidRPr="000D2F38">
              <w:rPr>
                <w:rFonts w:ascii="Times New Roman" w:hAnsi="Times New Roman" w:cs="Times New Roman"/>
                <w:noProof/>
                <w:webHidden/>
              </w:rPr>
              <w:fldChar w:fldCharType="end"/>
            </w:r>
          </w:hyperlink>
        </w:p>
        <w:p w14:paraId="2A5BA4D2" w14:textId="040F80D0"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92" w:history="1">
            <w:r w:rsidR="000D2F38" w:rsidRPr="000D2F38">
              <w:rPr>
                <w:rStyle w:val="Hyperlink"/>
                <w:rFonts w:ascii="Times New Roman" w:hAnsi="Times New Roman" w:cs="Times New Roman"/>
                <w:noProof/>
              </w:rPr>
              <w:t>2.4.1. Polymerase chain reaction (PCR)</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55</w:t>
            </w:r>
            <w:r w:rsidR="000D2F38" w:rsidRPr="000D2F38">
              <w:rPr>
                <w:rFonts w:ascii="Times New Roman" w:hAnsi="Times New Roman" w:cs="Times New Roman"/>
                <w:noProof/>
                <w:webHidden/>
              </w:rPr>
              <w:fldChar w:fldCharType="end"/>
            </w:r>
          </w:hyperlink>
        </w:p>
        <w:p w14:paraId="18CEDB31" w14:textId="5DFECA47"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93" w:history="1">
            <w:r w:rsidR="000D2F38" w:rsidRPr="000D2F38">
              <w:rPr>
                <w:rStyle w:val="Hyperlink"/>
                <w:rFonts w:ascii="Times New Roman" w:hAnsi="Times New Roman" w:cs="Times New Roman"/>
                <w:noProof/>
              </w:rPr>
              <w:t>2.4.2. Isolation of plasmid DNA</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_Toc142043593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57</w:t>
            </w:r>
            <w:r w:rsidR="000D2F38" w:rsidRPr="000D2F38">
              <w:rPr>
                <w:rFonts w:ascii="Times New Roman" w:hAnsi="Times New Roman" w:cs="Times New Roman"/>
                <w:noProof/>
                <w:webHidden/>
              </w:rPr>
              <w:fldChar w:fldCharType="end"/>
            </w:r>
          </w:hyperlink>
        </w:p>
        <w:p w14:paraId="52BBA48A" w14:textId="31FB26DA"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94" w:history="1">
            <w:r w:rsidR="000D2F38" w:rsidRPr="000D2F38">
              <w:rPr>
                <w:rStyle w:val="Hyperlink"/>
                <w:rFonts w:ascii="Times New Roman" w:hAnsi="Times New Roman" w:cs="Times New Roman"/>
                <w:noProof/>
              </w:rPr>
              <w:t>2.4.3. Purification of digested DNA</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57</w:t>
            </w:r>
            <w:r w:rsidR="000D2F38" w:rsidRPr="000D2F38">
              <w:rPr>
                <w:rFonts w:ascii="Times New Roman" w:hAnsi="Times New Roman" w:cs="Times New Roman"/>
                <w:noProof/>
                <w:webHidden/>
              </w:rPr>
              <w:fldChar w:fldCharType="end"/>
            </w:r>
          </w:hyperlink>
        </w:p>
        <w:p w14:paraId="03A435C0" w14:textId="14A537B9"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95" w:history="1">
            <w:r w:rsidR="000D2F38" w:rsidRPr="000D2F38">
              <w:rPr>
                <w:rStyle w:val="Hyperlink"/>
                <w:rFonts w:ascii="Times New Roman" w:hAnsi="Times New Roman" w:cs="Times New Roman"/>
                <w:noProof/>
              </w:rPr>
              <w:t>2.4.4. Isolation of genomic DNA</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57</w:t>
            </w:r>
            <w:r w:rsidR="000D2F38" w:rsidRPr="000D2F38">
              <w:rPr>
                <w:rFonts w:ascii="Times New Roman" w:hAnsi="Times New Roman" w:cs="Times New Roman"/>
                <w:noProof/>
                <w:webHidden/>
              </w:rPr>
              <w:fldChar w:fldCharType="end"/>
            </w:r>
          </w:hyperlink>
        </w:p>
        <w:p w14:paraId="4DAEC4A4" w14:textId="6883F626"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96" w:history="1">
            <w:r w:rsidR="000D2F38" w:rsidRPr="000D2F38">
              <w:rPr>
                <w:rStyle w:val="Hyperlink"/>
                <w:rFonts w:ascii="Times New Roman" w:hAnsi="Times New Roman" w:cs="Times New Roman"/>
                <w:noProof/>
              </w:rPr>
              <w:t>2.4.5. Digestion of DNA with restriction enzymes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57</w:t>
            </w:r>
            <w:r w:rsidR="000D2F38" w:rsidRPr="000D2F38">
              <w:rPr>
                <w:rFonts w:ascii="Times New Roman" w:hAnsi="Times New Roman" w:cs="Times New Roman"/>
                <w:noProof/>
                <w:webHidden/>
              </w:rPr>
              <w:fldChar w:fldCharType="end"/>
            </w:r>
          </w:hyperlink>
        </w:p>
        <w:p w14:paraId="44BAA2C4" w14:textId="1DF760AF"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97" w:history="1">
            <w:r w:rsidR="000D2F38" w:rsidRPr="000D2F38">
              <w:rPr>
                <w:rStyle w:val="Hyperlink"/>
                <w:rFonts w:ascii="Times New Roman" w:hAnsi="Times New Roman" w:cs="Times New Roman"/>
                <w:noProof/>
              </w:rPr>
              <w:t>2.4.6. DNA fragment ligation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57</w:t>
            </w:r>
            <w:r w:rsidR="000D2F38" w:rsidRPr="000D2F38">
              <w:rPr>
                <w:rFonts w:ascii="Times New Roman" w:hAnsi="Times New Roman" w:cs="Times New Roman"/>
                <w:noProof/>
                <w:webHidden/>
              </w:rPr>
              <w:fldChar w:fldCharType="end"/>
            </w:r>
          </w:hyperlink>
        </w:p>
        <w:p w14:paraId="47031537" w14:textId="4F831149"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98" w:history="1">
            <w:r w:rsidR="000D2F38" w:rsidRPr="000D2F38">
              <w:rPr>
                <w:rStyle w:val="Hyperlink"/>
                <w:rFonts w:ascii="Times New Roman" w:hAnsi="Times New Roman" w:cs="Times New Roman"/>
                <w:noProof/>
              </w:rPr>
              <w:t>2.4.7. Blunting of linearised plasmids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58</w:t>
            </w:r>
            <w:r w:rsidR="000D2F38" w:rsidRPr="000D2F38">
              <w:rPr>
                <w:rFonts w:ascii="Times New Roman" w:hAnsi="Times New Roman" w:cs="Times New Roman"/>
                <w:noProof/>
                <w:webHidden/>
              </w:rPr>
              <w:fldChar w:fldCharType="end"/>
            </w:r>
          </w:hyperlink>
        </w:p>
        <w:p w14:paraId="5C51BAEB" w14:textId="4AA53015"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599" w:history="1">
            <w:r w:rsidR="000D2F38" w:rsidRPr="000D2F38">
              <w:rPr>
                <w:rStyle w:val="Hyperlink"/>
                <w:rFonts w:ascii="Times New Roman" w:hAnsi="Times New Roman" w:cs="Times New Roman"/>
                <w:noProof/>
              </w:rPr>
              <w:t xml:space="preserve">2.4.8. Preparation and transformation of </w:t>
            </w:r>
            <w:r w:rsidR="000D2F38" w:rsidRPr="000D2F38">
              <w:rPr>
                <w:rStyle w:val="Hyperlink"/>
                <w:rFonts w:ascii="Times New Roman" w:hAnsi="Times New Roman" w:cs="Times New Roman"/>
                <w:i/>
                <w:iCs/>
                <w:noProof/>
              </w:rPr>
              <w:t>E. coli</w:t>
            </w:r>
            <w:r w:rsidR="000D2F38" w:rsidRPr="000D2F38">
              <w:rPr>
                <w:rStyle w:val="Hyperlink"/>
                <w:rFonts w:ascii="Times New Roman" w:hAnsi="Times New Roman" w:cs="Times New Roman"/>
                <w:noProof/>
              </w:rPr>
              <w:t xml:space="preserve"> chemically competent cells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_Toc142043599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58</w:t>
            </w:r>
            <w:r w:rsidR="000D2F38" w:rsidRPr="000D2F38">
              <w:rPr>
                <w:rFonts w:ascii="Times New Roman" w:hAnsi="Times New Roman" w:cs="Times New Roman"/>
                <w:noProof/>
                <w:webHidden/>
              </w:rPr>
              <w:fldChar w:fldCharType="end"/>
            </w:r>
          </w:hyperlink>
        </w:p>
        <w:p w14:paraId="467C9E57" w14:textId="041344E4"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00" w:history="1">
            <w:r w:rsidR="000D2F38" w:rsidRPr="000D2F38">
              <w:rPr>
                <w:rStyle w:val="Hyperlink"/>
                <w:rFonts w:ascii="Times New Roman" w:hAnsi="Times New Roman" w:cs="Times New Roman"/>
                <w:noProof/>
              </w:rPr>
              <w:t xml:space="preserve">2.4.9. Preparation and electroporation of </w:t>
            </w:r>
            <w:r w:rsidR="000D2F38" w:rsidRPr="000D2F38">
              <w:rPr>
                <w:rStyle w:val="Hyperlink"/>
                <w:rFonts w:ascii="Times New Roman" w:hAnsi="Times New Roman" w:cs="Times New Roman"/>
                <w:i/>
                <w:iCs/>
                <w:noProof/>
              </w:rPr>
              <w:t xml:space="preserve">S. aureus </w:t>
            </w:r>
            <w:r w:rsidR="000D2F38" w:rsidRPr="000D2F38">
              <w:rPr>
                <w:rStyle w:val="Hyperlink"/>
                <w:rFonts w:ascii="Times New Roman" w:hAnsi="Times New Roman" w:cs="Times New Roman"/>
                <w:noProof/>
              </w:rPr>
              <w:t>electro-competent cells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58</w:t>
            </w:r>
            <w:r w:rsidR="000D2F38" w:rsidRPr="000D2F38">
              <w:rPr>
                <w:rFonts w:ascii="Times New Roman" w:hAnsi="Times New Roman" w:cs="Times New Roman"/>
                <w:noProof/>
                <w:webHidden/>
              </w:rPr>
              <w:fldChar w:fldCharType="end"/>
            </w:r>
          </w:hyperlink>
        </w:p>
        <w:p w14:paraId="35D348B2" w14:textId="20BCB332"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01" w:history="1">
            <w:r w:rsidR="000D2F38" w:rsidRPr="000D2F38">
              <w:rPr>
                <w:rStyle w:val="Hyperlink"/>
                <w:rFonts w:ascii="Times New Roman" w:hAnsi="Times New Roman" w:cs="Times New Roman"/>
                <w:noProof/>
              </w:rPr>
              <w:t xml:space="preserve">2.4.10. Phage transduction into </w:t>
            </w:r>
            <w:r w:rsidR="000D2F38" w:rsidRPr="000D2F38">
              <w:rPr>
                <w:rStyle w:val="Hyperlink"/>
                <w:rFonts w:ascii="Times New Roman" w:hAnsi="Times New Roman" w:cs="Times New Roman"/>
                <w:i/>
                <w:iCs/>
                <w:noProof/>
              </w:rPr>
              <w:t>S. aureus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59</w:t>
            </w:r>
            <w:r w:rsidR="000D2F38" w:rsidRPr="000D2F38">
              <w:rPr>
                <w:rFonts w:ascii="Times New Roman" w:hAnsi="Times New Roman" w:cs="Times New Roman"/>
                <w:noProof/>
                <w:webHidden/>
              </w:rPr>
              <w:fldChar w:fldCharType="end"/>
            </w:r>
          </w:hyperlink>
        </w:p>
        <w:p w14:paraId="0598AD62" w14:textId="46ABB8F4"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02" w:history="1">
            <w:r w:rsidR="000D2F38" w:rsidRPr="000D2F38">
              <w:rPr>
                <w:rStyle w:val="Hyperlink"/>
                <w:rFonts w:ascii="Times New Roman" w:hAnsi="Times New Roman" w:cs="Times New Roman"/>
                <w:noProof/>
              </w:rPr>
              <w:t>2.5. Agarose gel electrophoresis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59</w:t>
            </w:r>
            <w:r w:rsidR="000D2F38" w:rsidRPr="000D2F38">
              <w:rPr>
                <w:rFonts w:ascii="Times New Roman" w:hAnsi="Times New Roman" w:cs="Times New Roman"/>
                <w:noProof/>
                <w:webHidden/>
              </w:rPr>
              <w:fldChar w:fldCharType="end"/>
            </w:r>
          </w:hyperlink>
        </w:p>
        <w:p w14:paraId="4D403E79" w14:textId="1B108922"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03" w:history="1">
            <w:r w:rsidR="000D2F38" w:rsidRPr="000D2F38">
              <w:rPr>
                <w:rStyle w:val="Hyperlink"/>
                <w:rFonts w:ascii="Times New Roman" w:hAnsi="Times New Roman" w:cs="Times New Roman"/>
                <w:noProof/>
              </w:rPr>
              <w:t>2.6. Growth and survival curves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_Toc142043603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59</w:t>
            </w:r>
            <w:r w:rsidR="000D2F38" w:rsidRPr="000D2F38">
              <w:rPr>
                <w:rFonts w:ascii="Times New Roman" w:hAnsi="Times New Roman" w:cs="Times New Roman"/>
                <w:noProof/>
                <w:webHidden/>
              </w:rPr>
              <w:fldChar w:fldCharType="end"/>
            </w:r>
          </w:hyperlink>
        </w:p>
        <w:p w14:paraId="34A998CD" w14:textId="3F1C3264"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04" w:history="1">
            <w:r w:rsidR="000D2F38" w:rsidRPr="000D2F38">
              <w:rPr>
                <w:rStyle w:val="Hyperlink"/>
                <w:rFonts w:ascii="Times New Roman" w:hAnsi="Times New Roman" w:cs="Times New Roman"/>
                <w:noProof/>
              </w:rPr>
              <w:t xml:space="preserve">2.6.1. </w:t>
            </w:r>
            <w:r w:rsidR="000D2F38" w:rsidRPr="000D2F38">
              <w:rPr>
                <w:rStyle w:val="Hyperlink"/>
                <w:rFonts w:ascii="Times New Roman" w:hAnsi="Times New Roman" w:cs="Times New Roman"/>
                <w:i/>
                <w:iCs/>
                <w:noProof/>
              </w:rPr>
              <w:t xml:space="preserve">S. aureus </w:t>
            </w:r>
            <w:r w:rsidR="000D2F38" w:rsidRPr="000D2F38">
              <w:rPr>
                <w:rStyle w:val="Hyperlink"/>
                <w:rFonts w:ascii="Times New Roman" w:hAnsi="Times New Roman" w:cs="Times New Roman"/>
                <w:noProof/>
              </w:rPr>
              <w:t>growth curves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60</w:t>
            </w:r>
            <w:r w:rsidR="000D2F38" w:rsidRPr="000D2F38">
              <w:rPr>
                <w:rFonts w:ascii="Times New Roman" w:hAnsi="Times New Roman" w:cs="Times New Roman"/>
                <w:noProof/>
                <w:webHidden/>
              </w:rPr>
              <w:fldChar w:fldCharType="end"/>
            </w:r>
          </w:hyperlink>
        </w:p>
        <w:p w14:paraId="6957B913" w14:textId="325B67E4"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05" w:history="1">
            <w:r w:rsidR="000D2F38" w:rsidRPr="000D2F38">
              <w:rPr>
                <w:rStyle w:val="Hyperlink"/>
                <w:rFonts w:ascii="Times New Roman" w:hAnsi="Times New Roman" w:cs="Times New Roman"/>
                <w:noProof/>
              </w:rPr>
              <w:t>2.6.2. Biolog Phenotype MicroArray PM10 plates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60</w:t>
            </w:r>
            <w:r w:rsidR="000D2F38" w:rsidRPr="000D2F38">
              <w:rPr>
                <w:rFonts w:ascii="Times New Roman" w:hAnsi="Times New Roman" w:cs="Times New Roman"/>
                <w:noProof/>
                <w:webHidden/>
              </w:rPr>
              <w:fldChar w:fldCharType="end"/>
            </w:r>
          </w:hyperlink>
        </w:p>
        <w:p w14:paraId="65640E7A" w14:textId="022C976B"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06" w:history="1">
            <w:r w:rsidR="000D2F38" w:rsidRPr="000D2F38">
              <w:rPr>
                <w:rStyle w:val="Hyperlink"/>
                <w:rFonts w:ascii="Times New Roman" w:hAnsi="Times New Roman" w:cs="Times New Roman"/>
                <w:noProof/>
              </w:rPr>
              <w:t>2.7. Mammalian cell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60</w:t>
            </w:r>
            <w:r w:rsidR="000D2F38" w:rsidRPr="000D2F38">
              <w:rPr>
                <w:rFonts w:ascii="Times New Roman" w:hAnsi="Times New Roman" w:cs="Times New Roman"/>
                <w:noProof/>
                <w:webHidden/>
              </w:rPr>
              <w:fldChar w:fldCharType="end"/>
            </w:r>
          </w:hyperlink>
        </w:p>
        <w:p w14:paraId="4A8C52D5" w14:textId="429B701A"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07" w:history="1">
            <w:r w:rsidR="000D2F38" w:rsidRPr="000D2F38">
              <w:rPr>
                <w:rStyle w:val="Hyperlink"/>
                <w:rFonts w:ascii="Times New Roman" w:hAnsi="Times New Roman" w:cs="Times New Roman"/>
                <w:noProof/>
              </w:rPr>
              <w:t xml:space="preserve">2.7.1. Preparation of </w:t>
            </w:r>
            <w:r w:rsidR="000D2F38" w:rsidRPr="000D2F38">
              <w:rPr>
                <w:rStyle w:val="Hyperlink"/>
                <w:rFonts w:ascii="Times New Roman" w:hAnsi="Times New Roman" w:cs="Times New Roman"/>
                <w:i/>
                <w:iCs/>
                <w:noProof/>
              </w:rPr>
              <w:t xml:space="preserve">S. aureus </w:t>
            </w:r>
            <w:r w:rsidR="000D2F38" w:rsidRPr="000D2F38">
              <w:rPr>
                <w:rStyle w:val="Hyperlink"/>
                <w:rFonts w:ascii="Times New Roman" w:hAnsi="Times New Roman" w:cs="Times New Roman"/>
                <w:noProof/>
              </w:rPr>
              <w:t>frozen stocks for macrophage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60</w:t>
            </w:r>
            <w:r w:rsidR="000D2F38" w:rsidRPr="000D2F38">
              <w:rPr>
                <w:rFonts w:ascii="Times New Roman" w:hAnsi="Times New Roman" w:cs="Times New Roman"/>
                <w:noProof/>
                <w:webHidden/>
              </w:rPr>
              <w:fldChar w:fldCharType="end"/>
            </w:r>
          </w:hyperlink>
        </w:p>
        <w:p w14:paraId="0452A088" w14:textId="437FB264"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08" w:history="1">
            <w:r w:rsidR="000D2F38" w:rsidRPr="000D2F38">
              <w:rPr>
                <w:rStyle w:val="Hyperlink"/>
                <w:rFonts w:ascii="Times New Roman" w:hAnsi="Times New Roman" w:cs="Times New Roman"/>
                <w:noProof/>
              </w:rPr>
              <w:t>2.7.2. Macrophage infection assays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60</w:t>
            </w:r>
            <w:r w:rsidR="000D2F38" w:rsidRPr="000D2F38">
              <w:rPr>
                <w:rFonts w:ascii="Times New Roman" w:hAnsi="Times New Roman" w:cs="Times New Roman"/>
                <w:noProof/>
                <w:webHidden/>
              </w:rPr>
              <w:fldChar w:fldCharType="end"/>
            </w:r>
          </w:hyperlink>
        </w:p>
        <w:p w14:paraId="70E52B23" w14:textId="22DA4605"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09" w:history="1">
            <w:r w:rsidR="000D2F38" w:rsidRPr="000D2F38">
              <w:rPr>
                <w:rStyle w:val="Hyperlink"/>
                <w:rFonts w:ascii="Times New Roman" w:hAnsi="Times New Roman" w:cs="Times New Roman"/>
                <w:noProof/>
              </w:rPr>
              <w:t>2.7.3. Human Tonsillar Epithelial cell infection assay</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_Toc142043609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61</w:t>
            </w:r>
            <w:r w:rsidR="000D2F38" w:rsidRPr="000D2F38">
              <w:rPr>
                <w:rFonts w:ascii="Times New Roman" w:hAnsi="Times New Roman" w:cs="Times New Roman"/>
                <w:noProof/>
                <w:webHidden/>
              </w:rPr>
              <w:fldChar w:fldCharType="end"/>
            </w:r>
          </w:hyperlink>
        </w:p>
        <w:p w14:paraId="22B4E496" w14:textId="4C03A49B"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10" w:history="1">
            <w:r w:rsidR="000D2F38" w:rsidRPr="000D2F38">
              <w:rPr>
                <w:rStyle w:val="Hyperlink"/>
                <w:rFonts w:ascii="Times New Roman" w:hAnsi="Times New Roman" w:cs="Times New Roman"/>
                <w:noProof/>
              </w:rPr>
              <w:t>2.8. Systemic infection of zebrafish embryos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61</w:t>
            </w:r>
            <w:r w:rsidR="000D2F38" w:rsidRPr="000D2F38">
              <w:rPr>
                <w:rFonts w:ascii="Times New Roman" w:hAnsi="Times New Roman" w:cs="Times New Roman"/>
                <w:noProof/>
                <w:webHidden/>
              </w:rPr>
              <w:fldChar w:fldCharType="end"/>
            </w:r>
          </w:hyperlink>
        </w:p>
        <w:p w14:paraId="10B22689" w14:textId="1C9F8BCD"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11" w:history="1">
            <w:r w:rsidR="000D2F38" w:rsidRPr="000D2F38">
              <w:rPr>
                <w:rStyle w:val="Hyperlink"/>
                <w:rFonts w:ascii="Times New Roman" w:hAnsi="Times New Roman" w:cs="Times New Roman"/>
                <w:noProof/>
              </w:rPr>
              <w:t>2.8.1. Zebrafish embryo microinjections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61</w:t>
            </w:r>
            <w:r w:rsidR="000D2F38" w:rsidRPr="000D2F38">
              <w:rPr>
                <w:rFonts w:ascii="Times New Roman" w:hAnsi="Times New Roman" w:cs="Times New Roman"/>
                <w:noProof/>
                <w:webHidden/>
              </w:rPr>
              <w:fldChar w:fldCharType="end"/>
            </w:r>
          </w:hyperlink>
        </w:p>
        <w:p w14:paraId="1D7D19A8" w14:textId="62DD7718"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12" w:history="1">
            <w:r w:rsidR="000D2F38" w:rsidRPr="000D2F38">
              <w:rPr>
                <w:rStyle w:val="Hyperlink"/>
                <w:rFonts w:ascii="Times New Roman" w:hAnsi="Times New Roman" w:cs="Times New Roman"/>
                <w:noProof/>
                <w:lang w:eastAsia="en-GB"/>
              </w:rPr>
              <w:t>2.8.2. Microscopic analysis of zebrafish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62</w:t>
            </w:r>
            <w:r w:rsidR="000D2F38" w:rsidRPr="000D2F38">
              <w:rPr>
                <w:rFonts w:ascii="Times New Roman" w:hAnsi="Times New Roman" w:cs="Times New Roman"/>
                <w:noProof/>
                <w:webHidden/>
              </w:rPr>
              <w:fldChar w:fldCharType="end"/>
            </w:r>
          </w:hyperlink>
        </w:p>
        <w:p w14:paraId="634E0B3C" w14:textId="3D04B439"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13" w:history="1">
            <w:r w:rsidR="000D2F38" w:rsidRPr="000D2F38">
              <w:rPr>
                <w:rStyle w:val="Hyperlink"/>
                <w:rFonts w:ascii="Times New Roman" w:eastAsia="Times New Roman" w:hAnsi="Times New Roman" w:cs="Times New Roman"/>
                <w:noProof/>
                <w:lang w:eastAsia="en-GB"/>
              </w:rPr>
              <w:t>2.8.3. Microinjection of</w:t>
            </w:r>
            <w:r w:rsidR="000D2F38" w:rsidRPr="000D2F38">
              <w:rPr>
                <w:rStyle w:val="Hyperlink"/>
                <w:rFonts w:ascii="Times New Roman" w:hAnsi="Times New Roman" w:cs="Times New Roman"/>
                <w:noProof/>
              </w:rPr>
              <w:t xml:space="preserve"> morpholino-modified antisense oligonucleotides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_Toc142043613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62</w:t>
            </w:r>
            <w:r w:rsidR="000D2F38" w:rsidRPr="000D2F38">
              <w:rPr>
                <w:rFonts w:ascii="Times New Roman" w:hAnsi="Times New Roman" w:cs="Times New Roman"/>
                <w:noProof/>
                <w:webHidden/>
              </w:rPr>
              <w:fldChar w:fldCharType="end"/>
            </w:r>
          </w:hyperlink>
        </w:p>
        <w:p w14:paraId="4411E865" w14:textId="124D3D23"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14" w:history="1">
            <w:r w:rsidR="000D2F38" w:rsidRPr="000D2F38">
              <w:rPr>
                <w:rStyle w:val="Hyperlink"/>
                <w:rFonts w:ascii="Times New Roman" w:hAnsi="Times New Roman" w:cs="Times New Roman"/>
                <w:noProof/>
              </w:rPr>
              <w:t>2.9. Antimicrobial assays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62</w:t>
            </w:r>
            <w:r w:rsidR="000D2F38" w:rsidRPr="000D2F38">
              <w:rPr>
                <w:rFonts w:ascii="Times New Roman" w:hAnsi="Times New Roman" w:cs="Times New Roman"/>
                <w:noProof/>
                <w:webHidden/>
              </w:rPr>
              <w:fldChar w:fldCharType="end"/>
            </w:r>
          </w:hyperlink>
        </w:p>
        <w:p w14:paraId="7E0D3E3C" w14:textId="50968D77"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15" w:history="1">
            <w:r w:rsidR="000D2F38" w:rsidRPr="000D2F38">
              <w:rPr>
                <w:rStyle w:val="Hyperlink"/>
                <w:rFonts w:ascii="Times New Roman" w:hAnsi="Times New Roman" w:cs="Times New Roman"/>
                <w:noProof/>
              </w:rPr>
              <w:t>2.9.1. Growth in the presence of antimicrobial peptides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62</w:t>
            </w:r>
            <w:r w:rsidR="000D2F38" w:rsidRPr="000D2F38">
              <w:rPr>
                <w:rFonts w:ascii="Times New Roman" w:hAnsi="Times New Roman" w:cs="Times New Roman"/>
                <w:noProof/>
                <w:webHidden/>
              </w:rPr>
              <w:fldChar w:fldCharType="end"/>
            </w:r>
          </w:hyperlink>
        </w:p>
        <w:p w14:paraId="5D1971F1" w14:textId="031AC284"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16" w:history="1">
            <w:r w:rsidR="000D2F38" w:rsidRPr="000D2F38">
              <w:rPr>
                <w:rStyle w:val="Hyperlink"/>
                <w:rFonts w:ascii="Times New Roman" w:hAnsi="Times New Roman" w:cs="Times New Roman"/>
                <w:noProof/>
              </w:rPr>
              <w:t>2.9.2. Tolerance assays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63</w:t>
            </w:r>
            <w:r w:rsidR="000D2F38" w:rsidRPr="000D2F38">
              <w:rPr>
                <w:rFonts w:ascii="Times New Roman" w:hAnsi="Times New Roman" w:cs="Times New Roman"/>
                <w:noProof/>
                <w:webHidden/>
              </w:rPr>
              <w:fldChar w:fldCharType="end"/>
            </w:r>
          </w:hyperlink>
        </w:p>
        <w:p w14:paraId="343504FE" w14:textId="2A2E33B1"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17" w:history="1">
            <w:r w:rsidR="000D2F38" w:rsidRPr="000D2F38">
              <w:rPr>
                <w:rStyle w:val="Hyperlink"/>
                <w:rFonts w:ascii="Times New Roman" w:hAnsi="Times New Roman" w:cs="Times New Roman"/>
                <w:noProof/>
              </w:rPr>
              <w:t>2.10. Fluorescence assays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63</w:t>
            </w:r>
            <w:r w:rsidR="000D2F38" w:rsidRPr="000D2F38">
              <w:rPr>
                <w:rFonts w:ascii="Times New Roman" w:hAnsi="Times New Roman" w:cs="Times New Roman"/>
                <w:noProof/>
                <w:webHidden/>
              </w:rPr>
              <w:fldChar w:fldCharType="end"/>
            </w:r>
          </w:hyperlink>
        </w:p>
        <w:p w14:paraId="710D40F6" w14:textId="0EE54297"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18" w:history="1">
            <w:r w:rsidR="000D2F38" w:rsidRPr="000D2F38">
              <w:rPr>
                <w:rStyle w:val="Hyperlink"/>
                <w:rFonts w:ascii="Times New Roman" w:hAnsi="Times New Roman" w:cs="Times New Roman"/>
                <w:noProof/>
              </w:rPr>
              <w:t>2.10.1. Fluorescence measurements of riboswitch activation on a pCL55-iTET integrative vector</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63</w:t>
            </w:r>
            <w:r w:rsidR="000D2F38" w:rsidRPr="000D2F38">
              <w:rPr>
                <w:rFonts w:ascii="Times New Roman" w:hAnsi="Times New Roman" w:cs="Times New Roman"/>
                <w:noProof/>
                <w:webHidden/>
              </w:rPr>
              <w:fldChar w:fldCharType="end"/>
            </w:r>
          </w:hyperlink>
        </w:p>
        <w:p w14:paraId="24822284" w14:textId="2C2281D4"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19" w:history="1">
            <w:r w:rsidR="000D2F38" w:rsidRPr="000D2F38">
              <w:rPr>
                <w:rStyle w:val="Hyperlink"/>
                <w:rFonts w:ascii="Times New Roman" w:hAnsi="Times New Roman" w:cs="Times New Roman"/>
                <w:noProof/>
              </w:rPr>
              <w:t>2.10.2. Fluorescence measurements of riboswitch activation on the pRN12 multicopy vector</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_Toc142043619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63</w:t>
            </w:r>
            <w:r w:rsidR="000D2F38" w:rsidRPr="000D2F38">
              <w:rPr>
                <w:rFonts w:ascii="Times New Roman" w:hAnsi="Times New Roman" w:cs="Times New Roman"/>
                <w:noProof/>
                <w:webHidden/>
              </w:rPr>
              <w:fldChar w:fldCharType="end"/>
            </w:r>
          </w:hyperlink>
        </w:p>
        <w:p w14:paraId="2F72F340" w14:textId="2F6BA5DF"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20" w:history="1">
            <w:r w:rsidR="000D2F38" w:rsidRPr="000D2F38">
              <w:rPr>
                <w:rStyle w:val="Hyperlink"/>
                <w:rFonts w:ascii="Times New Roman" w:hAnsi="Times New Roman" w:cs="Times New Roman"/>
                <w:noProof/>
              </w:rPr>
              <w:t>2.10.3. Fluorescence measurements of transcriptional activity of the dual promoter-reporter fusion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64</w:t>
            </w:r>
            <w:r w:rsidR="000D2F38" w:rsidRPr="000D2F38">
              <w:rPr>
                <w:rFonts w:ascii="Times New Roman" w:hAnsi="Times New Roman" w:cs="Times New Roman"/>
                <w:noProof/>
                <w:webHidden/>
              </w:rPr>
              <w:fldChar w:fldCharType="end"/>
            </w:r>
          </w:hyperlink>
        </w:p>
        <w:p w14:paraId="67EABB29" w14:textId="5E258139"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21" w:history="1">
            <w:r w:rsidR="000D2F38" w:rsidRPr="000D2F38">
              <w:rPr>
                <w:rStyle w:val="Hyperlink"/>
                <w:rFonts w:ascii="Times New Roman" w:hAnsi="Times New Roman" w:cs="Times New Roman"/>
                <w:noProof/>
              </w:rPr>
              <w:t>2.10.4. Fluorescence measurements of synthetase expression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64</w:t>
            </w:r>
            <w:r w:rsidR="000D2F38" w:rsidRPr="000D2F38">
              <w:rPr>
                <w:rFonts w:ascii="Times New Roman" w:hAnsi="Times New Roman" w:cs="Times New Roman"/>
                <w:noProof/>
                <w:webHidden/>
              </w:rPr>
              <w:fldChar w:fldCharType="end"/>
            </w:r>
          </w:hyperlink>
        </w:p>
        <w:p w14:paraId="331AF6BA" w14:textId="5083ADB2"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22" w:history="1">
            <w:r w:rsidR="000D2F38" w:rsidRPr="000D2F38">
              <w:rPr>
                <w:rStyle w:val="Hyperlink"/>
                <w:rFonts w:ascii="Times New Roman" w:hAnsi="Times New Roman" w:cs="Times New Roman"/>
                <w:noProof/>
              </w:rPr>
              <w:t>2.11. Statistical analyses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64</w:t>
            </w:r>
            <w:r w:rsidR="000D2F38" w:rsidRPr="000D2F38">
              <w:rPr>
                <w:rFonts w:ascii="Times New Roman" w:hAnsi="Times New Roman" w:cs="Times New Roman"/>
                <w:noProof/>
                <w:webHidden/>
              </w:rPr>
              <w:fldChar w:fldCharType="end"/>
            </w:r>
          </w:hyperlink>
        </w:p>
        <w:p w14:paraId="2C780773" w14:textId="43D8725A"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623" w:history="1">
            <w:r w:rsidR="000D2F38" w:rsidRPr="000D2F38">
              <w:rPr>
                <w:rStyle w:val="Hyperlink"/>
                <w:rFonts w:ascii="Times New Roman" w:hAnsi="Times New Roman" w:cs="Times New Roman"/>
              </w:rPr>
              <w:t xml:space="preserve">Chapter 3: Construction of a toolbox to investigate the importance of the staphylococcal stringent response </w:t>
            </w:r>
            <w:r w:rsidR="000D2F38" w:rsidRPr="000D2F38">
              <w:rPr>
                <w:rStyle w:val="Hyperlink"/>
                <w:rFonts w:ascii="Times New Roman" w:hAnsi="Times New Roman" w:cs="Times New Roman"/>
                <w:i/>
                <w:iCs/>
              </w:rPr>
              <w:t>in vivo</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_Toc142043623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65</w:t>
            </w:r>
            <w:r w:rsidR="000D2F38" w:rsidRPr="000D2F38">
              <w:rPr>
                <w:rFonts w:ascii="Times New Roman" w:hAnsi="Times New Roman" w:cs="Times New Roman"/>
                <w:webHidden/>
              </w:rPr>
              <w:fldChar w:fldCharType="end"/>
            </w:r>
          </w:hyperlink>
        </w:p>
        <w:p w14:paraId="13C2A45E" w14:textId="79F85553"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24" w:history="1">
            <w:r w:rsidR="000D2F38" w:rsidRPr="000D2F38">
              <w:rPr>
                <w:rStyle w:val="Hyperlink"/>
                <w:rFonts w:ascii="Times New Roman" w:hAnsi="Times New Roman" w:cs="Times New Roman"/>
                <w:noProof/>
              </w:rPr>
              <w:t>3.1 Introduction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65</w:t>
            </w:r>
            <w:r w:rsidR="000D2F38" w:rsidRPr="000D2F38">
              <w:rPr>
                <w:rFonts w:ascii="Times New Roman" w:hAnsi="Times New Roman" w:cs="Times New Roman"/>
                <w:noProof/>
                <w:webHidden/>
              </w:rPr>
              <w:fldChar w:fldCharType="end"/>
            </w:r>
          </w:hyperlink>
        </w:p>
        <w:p w14:paraId="2D28589B" w14:textId="0F005260"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25" w:history="1">
            <w:r w:rsidR="000D2F38" w:rsidRPr="000D2F38">
              <w:rPr>
                <w:rStyle w:val="Hyperlink"/>
                <w:rFonts w:ascii="Times New Roman" w:hAnsi="Times New Roman" w:cs="Times New Roman"/>
                <w:noProof/>
              </w:rPr>
              <w:t>3.2. Characterisation of (p)ppGpp-synthetase mutants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65</w:t>
            </w:r>
            <w:r w:rsidR="000D2F38" w:rsidRPr="000D2F38">
              <w:rPr>
                <w:rFonts w:ascii="Times New Roman" w:hAnsi="Times New Roman" w:cs="Times New Roman"/>
                <w:noProof/>
                <w:webHidden/>
              </w:rPr>
              <w:fldChar w:fldCharType="end"/>
            </w:r>
          </w:hyperlink>
        </w:p>
        <w:p w14:paraId="7FDBFD75" w14:textId="6AF6CF71"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26" w:history="1">
            <w:r w:rsidR="000D2F38" w:rsidRPr="000D2F38">
              <w:rPr>
                <w:rStyle w:val="Hyperlink"/>
                <w:rFonts w:ascii="Times New Roman" w:hAnsi="Times New Roman" w:cs="Times New Roman"/>
                <w:noProof/>
              </w:rPr>
              <w:t>3.3. Construction and characterisation of a (p)ppGpp overproduction strain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68</w:t>
            </w:r>
            <w:r w:rsidR="000D2F38" w:rsidRPr="000D2F38">
              <w:rPr>
                <w:rFonts w:ascii="Times New Roman" w:hAnsi="Times New Roman" w:cs="Times New Roman"/>
                <w:noProof/>
                <w:webHidden/>
              </w:rPr>
              <w:fldChar w:fldCharType="end"/>
            </w:r>
          </w:hyperlink>
        </w:p>
        <w:p w14:paraId="359778D3" w14:textId="7321631E"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27" w:history="1">
            <w:r w:rsidR="000D2F38" w:rsidRPr="000D2F38">
              <w:rPr>
                <w:rStyle w:val="Hyperlink"/>
                <w:rFonts w:ascii="Times New Roman" w:hAnsi="Times New Roman" w:cs="Times New Roman"/>
                <w:noProof/>
              </w:rPr>
              <w:t>3.3.1. Cloning the (p)ppGpp enzymatic domain with and without a his-tag</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68</w:t>
            </w:r>
            <w:r w:rsidR="000D2F38" w:rsidRPr="000D2F38">
              <w:rPr>
                <w:rFonts w:ascii="Times New Roman" w:hAnsi="Times New Roman" w:cs="Times New Roman"/>
                <w:noProof/>
                <w:webHidden/>
              </w:rPr>
              <w:fldChar w:fldCharType="end"/>
            </w:r>
          </w:hyperlink>
        </w:p>
        <w:p w14:paraId="0F03124B" w14:textId="73BDE28D"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28" w:history="1">
            <w:r w:rsidR="000D2F38" w:rsidRPr="000D2F38">
              <w:rPr>
                <w:rStyle w:val="Hyperlink"/>
                <w:rFonts w:ascii="Times New Roman" w:hAnsi="Times New Roman" w:cs="Times New Roman"/>
                <w:noProof/>
              </w:rPr>
              <w:t>3.3.2. Mutating the hydrolase domain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70</w:t>
            </w:r>
            <w:r w:rsidR="000D2F38" w:rsidRPr="000D2F38">
              <w:rPr>
                <w:rFonts w:ascii="Times New Roman" w:hAnsi="Times New Roman" w:cs="Times New Roman"/>
                <w:noProof/>
                <w:webHidden/>
              </w:rPr>
              <w:fldChar w:fldCharType="end"/>
            </w:r>
          </w:hyperlink>
        </w:p>
        <w:p w14:paraId="03E18058" w14:textId="5F4AB84F"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29" w:history="1">
            <w:r w:rsidR="000D2F38" w:rsidRPr="000D2F38">
              <w:rPr>
                <w:rStyle w:val="Hyperlink"/>
                <w:rFonts w:ascii="Times New Roman" w:hAnsi="Times New Roman" w:cs="Times New Roman"/>
                <w:noProof/>
              </w:rPr>
              <w:t xml:space="preserve">3.3.3. Introducing the (p)ppGpp-overproducing construct into </w:t>
            </w:r>
            <w:r w:rsidR="000D2F38" w:rsidRPr="000D2F38">
              <w:rPr>
                <w:rStyle w:val="Hyperlink"/>
                <w:rFonts w:ascii="Times New Roman" w:hAnsi="Times New Roman" w:cs="Times New Roman"/>
                <w:i/>
                <w:iCs/>
                <w:noProof/>
              </w:rPr>
              <w:t>S. aureus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_Toc142043629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71</w:t>
            </w:r>
            <w:r w:rsidR="000D2F38" w:rsidRPr="000D2F38">
              <w:rPr>
                <w:rFonts w:ascii="Times New Roman" w:hAnsi="Times New Roman" w:cs="Times New Roman"/>
                <w:noProof/>
                <w:webHidden/>
              </w:rPr>
              <w:fldChar w:fldCharType="end"/>
            </w:r>
          </w:hyperlink>
        </w:p>
        <w:p w14:paraId="7D05732D" w14:textId="5DFE8036"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30" w:history="1">
            <w:r w:rsidR="000D2F38" w:rsidRPr="000D2F38">
              <w:rPr>
                <w:rStyle w:val="Hyperlink"/>
                <w:rFonts w:ascii="Times New Roman" w:hAnsi="Times New Roman" w:cs="Times New Roman"/>
                <w:noProof/>
              </w:rPr>
              <w:t xml:space="preserve">3.3.4. Characterisation of the </w:t>
            </w:r>
            <w:r w:rsidR="000D2F38" w:rsidRPr="000D2F38">
              <w:rPr>
                <w:rStyle w:val="Hyperlink"/>
                <w:rFonts w:ascii="Times New Roman" w:hAnsi="Times New Roman" w:cs="Times New Roman"/>
                <w:i/>
                <w:iCs/>
                <w:noProof/>
              </w:rPr>
              <w:t xml:space="preserve">S. aureus </w:t>
            </w:r>
            <w:r w:rsidR="000D2F38" w:rsidRPr="000D2F38">
              <w:rPr>
                <w:rStyle w:val="Hyperlink"/>
                <w:rFonts w:ascii="Times New Roman" w:hAnsi="Times New Roman" w:cs="Times New Roman"/>
                <w:noProof/>
              </w:rPr>
              <w:t>(p)ppGpp-overproducing strains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73</w:t>
            </w:r>
            <w:r w:rsidR="000D2F38" w:rsidRPr="000D2F38">
              <w:rPr>
                <w:rFonts w:ascii="Times New Roman" w:hAnsi="Times New Roman" w:cs="Times New Roman"/>
                <w:noProof/>
                <w:webHidden/>
              </w:rPr>
              <w:fldChar w:fldCharType="end"/>
            </w:r>
          </w:hyperlink>
        </w:p>
        <w:p w14:paraId="552082ED" w14:textId="54391688"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31" w:history="1">
            <w:r w:rsidR="000D2F38" w:rsidRPr="000D2F38">
              <w:rPr>
                <w:rStyle w:val="Hyperlink"/>
                <w:rFonts w:ascii="Times New Roman" w:hAnsi="Times New Roman" w:cs="Times New Roman"/>
                <w:noProof/>
              </w:rPr>
              <w:t>3.3.5. Characterisation and construction of alternative (p)ppGpp overproduction strains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76</w:t>
            </w:r>
            <w:r w:rsidR="000D2F38" w:rsidRPr="000D2F38">
              <w:rPr>
                <w:rFonts w:ascii="Times New Roman" w:hAnsi="Times New Roman" w:cs="Times New Roman"/>
                <w:noProof/>
                <w:webHidden/>
              </w:rPr>
              <w:fldChar w:fldCharType="end"/>
            </w:r>
          </w:hyperlink>
        </w:p>
        <w:p w14:paraId="5B4BA86B" w14:textId="1C461048"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32" w:history="1">
            <w:r w:rsidR="000D2F38" w:rsidRPr="000D2F38">
              <w:rPr>
                <w:rStyle w:val="Hyperlink"/>
                <w:rFonts w:ascii="Times New Roman" w:hAnsi="Times New Roman" w:cs="Times New Roman"/>
                <w:noProof/>
              </w:rPr>
              <w:t>3.4. Construction of fluorescent (p)ppGpp probes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78</w:t>
            </w:r>
            <w:r w:rsidR="000D2F38" w:rsidRPr="000D2F38">
              <w:rPr>
                <w:rFonts w:ascii="Times New Roman" w:hAnsi="Times New Roman" w:cs="Times New Roman"/>
                <w:noProof/>
                <w:webHidden/>
              </w:rPr>
              <w:fldChar w:fldCharType="end"/>
            </w:r>
          </w:hyperlink>
        </w:p>
        <w:p w14:paraId="00890769" w14:textId="34A743B9"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33" w:history="1">
            <w:r w:rsidR="000D2F38" w:rsidRPr="000D2F38">
              <w:rPr>
                <w:rStyle w:val="Hyperlink"/>
                <w:rFonts w:ascii="Times New Roman" w:hAnsi="Times New Roman" w:cs="Times New Roman"/>
                <w:noProof/>
              </w:rPr>
              <w:t>3.4.1. Construction of a riboswitch-Broccoli molecular (p)ppGpp biosensor</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_Toc142043633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79</w:t>
            </w:r>
            <w:r w:rsidR="000D2F38" w:rsidRPr="000D2F38">
              <w:rPr>
                <w:rFonts w:ascii="Times New Roman" w:hAnsi="Times New Roman" w:cs="Times New Roman"/>
                <w:noProof/>
                <w:webHidden/>
              </w:rPr>
              <w:fldChar w:fldCharType="end"/>
            </w:r>
          </w:hyperlink>
        </w:p>
        <w:p w14:paraId="23EE0842" w14:textId="7A278271"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34" w:history="1">
            <w:r w:rsidR="000D2F38" w:rsidRPr="000D2F38">
              <w:rPr>
                <w:rStyle w:val="Hyperlink"/>
                <w:rFonts w:ascii="Times New Roman" w:hAnsi="Times New Roman" w:cs="Times New Roman"/>
                <w:noProof/>
              </w:rPr>
              <w:t>3.4.2. Characterisation of the riboswitch-Broccoli molecular (p)ppGpp biosensor</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83</w:t>
            </w:r>
            <w:r w:rsidR="000D2F38" w:rsidRPr="000D2F38">
              <w:rPr>
                <w:rFonts w:ascii="Times New Roman" w:hAnsi="Times New Roman" w:cs="Times New Roman"/>
                <w:noProof/>
                <w:webHidden/>
              </w:rPr>
              <w:fldChar w:fldCharType="end"/>
            </w:r>
          </w:hyperlink>
        </w:p>
        <w:p w14:paraId="7DBF9FE5" w14:textId="338CCF63"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35" w:history="1">
            <w:r w:rsidR="000D2F38" w:rsidRPr="000D2F38">
              <w:rPr>
                <w:rStyle w:val="Hyperlink"/>
                <w:rFonts w:ascii="Times New Roman" w:hAnsi="Times New Roman" w:cs="Times New Roman"/>
                <w:noProof/>
              </w:rPr>
              <w:t>3.4.3. Construction of a riboswitch-Broccoli molecular (p)ppGpp biosensor using a multicopy vector</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86</w:t>
            </w:r>
            <w:r w:rsidR="000D2F38" w:rsidRPr="000D2F38">
              <w:rPr>
                <w:rFonts w:ascii="Times New Roman" w:hAnsi="Times New Roman" w:cs="Times New Roman"/>
                <w:noProof/>
                <w:webHidden/>
              </w:rPr>
              <w:fldChar w:fldCharType="end"/>
            </w:r>
          </w:hyperlink>
        </w:p>
        <w:p w14:paraId="3B660A51" w14:textId="15D2960E"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36" w:history="1">
            <w:r w:rsidR="000D2F38" w:rsidRPr="000D2F38">
              <w:rPr>
                <w:rStyle w:val="Hyperlink"/>
                <w:rFonts w:ascii="Times New Roman" w:hAnsi="Times New Roman" w:cs="Times New Roman"/>
                <w:noProof/>
              </w:rPr>
              <w:t>3.4.4. Construction of a dual promoter-reporter fusion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88</w:t>
            </w:r>
            <w:r w:rsidR="000D2F38" w:rsidRPr="000D2F38">
              <w:rPr>
                <w:rFonts w:ascii="Times New Roman" w:hAnsi="Times New Roman" w:cs="Times New Roman"/>
                <w:noProof/>
                <w:webHidden/>
              </w:rPr>
              <w:fldChar w:fldCharType="end"/>
            </w:r>
          </w:hyperlink>
        </w:p>
        <w:p w14:paraId="54A699DE" w14:textId="4629D9F8"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37" w:history="1">
            <w:r w:rsidR="000D2F38" w:rsidRPr="000D2F38">
              <w:rPr>
                <w:rStyle w:val="Hyperlink"/>
                <w:rFonts w:ascii="Times New Roman" w:hAnsi="Times New Roman" w:cs="Times New Roman"/>
                <w:noProof/>
              </w:rPr>
              <w:t>3.4.5. Construction and characterisation of synthetase-reporter fusions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93</w:t>
            </w:r>
            <w:r w:rsidR="000D2F38" w:rsidRPr="000D2F38">
              <w:rPr>
                <w:rFonts w:ascii="Times New Roman" w:hAnsi="Times New Roman" w:cs="Times New Roman"/>
                <w:noProof/>
                <w:webHidden/>
              </w:rPr>
              <w:fldChar w:fldCharType="end"/>
            </w:r>
          </w:hyperlink>
        </w:p>
        <w:p w14:paraId="1669CEB0" w14:textId="22CA70A3"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38" w:history="1">
            <w:r w:rsidR="000D2F38" w:rsidRPr="000D2F38">
              <w:rPr>
                <w:rStyle w:val="Hyperlink"/>
                <w:rFonts w:ascii="Times New Roman" w:hAnsi="Times New Roman" w:cs="Times New Roman"/>
                <w:noProof/>
              </w:rPr>
              <w:t>3.5. Discussion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_Toc142043638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94</w:t>
            </w:r>
            <w:r w:rsidR="000D2F38" w:rsidRPr="000D2F38">
              <w:rPr>
                <w:rFonts w:ascii="Times New Roman" w:hAnsi="Times New Roman" w:cs="Times New Roman"/>
                <w:noProof/>
                <w:webHidden/>
              </w:rPr>
              <w:fldChar w:fldCharType="end"/>
            </w:r>
          </w:hyperlink>
        </w:p>
        <w:p w14:paraId="742B0522" w14:textId="566E5159"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639" w:history="1">
            <w:r w:rsidR="000D2F38" w:rsidRPr="000D2F38">
              <w:rPr>
                <w:rStyle w:val="Hyperlink"/>
                <w:rFonts w:ascii="Times New Roman" w:hAnsi="Times New Roman" w:cs="Times New Roman"/>
              </w:rPr>
              <w:t xml:space="preserve">Chapter 4: The role of (p)ppGpp for survival of </w:t>
            </w:r>
            <w:r w:rsidR="000D2F38" w:rsidRPr="000D2F38">
              <w:rPr>
                <w:rStyle w:val="Hyperlink"/>
                <w:rFonts w:ascii="Times New Roman" w:hAnsi="Times New Roman" w:cs="Times New Roman"/>
                <w:i/>
                <w:iCs/>
              </w:rPr>
              <w:t>S. aureus in vitro</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_Toc142043639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100</w:t>
            </w:r>
            <w:r w:rsidR="000D2F38" w:rsidRPr="000D2F38">
              <w:rPr>
                <w:rFonts w:ascii="Times New Roman" w:hAnsi="Times New Roman" w:cs="Times New Roman"/>
                <w:webHidden/>
              </w:rPr>
              <w:fldChar w:fldCharType="end"/>
            </w:r>
          </w:hyperlink>
        </w:p>
        <w:p w14:paraId="3170E955" w14:textId="099881E1"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40" w:history="1">
            <w:r w:rsidR="000D2F38" w:rsidRPr="000D2F38">
              <w:rPr>
                <w:rStyle w:val="Hyperlink"/>
                <w:rFonts w:ascii="Times New Roman" w:hAnsi="Times New Roman" w:cs="Times New Roman"/>
                <w:noProof/>
              </w:rPr>
              <w:t>4.1. Introduction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100</w:t>
            </w:r>
            <w:r w:rsidR="000D2F38" w:rsidRPr="000D2F38">
              <w:rPr>
                <w:rFonts w:ascii="Times New Roman" w:hAnsi="Times New Roman" w:cs="Times New Roman"/>
                <w:noProof/>
                <w:webHidden/>
              </w:rPr>
              <w:fldChar w:fldCharType="end"/>
            </w:r>
          </w:hyperlink>
        </w:p>
        <w:p w14:paraId="53B41EA5" w14:textId="2B781546"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41" w:history="1">
            <w:r w:rsidR="000D2F38" w:rsidRPr="000D2F38">
              <w:rPr>
                <w:rStyle w:val="Hyperlink"/>
                <w:rFonts w:ascii="Times New Roman" w:hAnsi="Times New Roman" w:cs="Times New Roman"/>
                <w:noProof/>
              </w:rPr>
              <w:t xml:space="preserve">4.2. </w:t>
            </w:r>
            <w:r w:rsidR="000D2F38" w:rsidRPr="000D2F38">
              <w:rPr>
                <w:rStyle w:val="Hyperlink"/>
                <w:rFonts w:ascii="Times New Roman" w:hAnsi="Times New Roman" w:cs="Times New Roman"/>
                <w:i/>
                <w:iCs/>
                <w:noProof/>
              </w:rPr>
              <w:t>In vitro</w:t>
            </w:r>
            <w:r w:rsidR="000D2F38" w:rsidRPr="000D2F38">
              <w:rPr>
                <w:rStyle w:val="Hyperlink"/>
                <w:rFonts w:ascii="Times New Roman" w:hAnsi="Times New Roman" w:cs="Times New Roman"/>
                <w:noProof/>
              </w:rPr>
              <w:t xml:space="preserve"> investigation of the importance of the stringent response under conditions that mimic the phagolysosome</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101</w:t>
            </w:r>
            <w:r w:rsidR="000D2F38" w:rsidRPr="000D2F38">
              <w:rPr>
                <w:rFonts w:ascii="Times New Roman" w:hAnsi="Times New Roman" w:cs="Times New Roman"/>
                <w:noProof/>
                <w:webHidden/>
              </w:rPr>
              <w:fldChar w:fldCharType="end"/>
            </w:r>
          </w:hyperlink>
        </w:p>
        <w:p w14:paraId="400885B2" w14:textId="0E3A3A17"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42" w:history="1">
            <w:r w:rsidR="000D2F38" w:rsidRPr="000D2F38">
              <w:rPr>
                <w:rStyle w:val="Hyperlink"/>
                <w:rFonts w:ascii="Times New Roman" w:hAnsi="Times New Roman" w:cs="Times New Roman"/>
                <w:noProof/>
              </w:rPr>
              <w:t xml:space="preserve">4.2.1. The effect of antimicrobial peptides on the viability of </w:t>
            </w:r>
            <w:r w:rsidR="000D2F38" w:rsidRPr="000D2F38">
              <w:rPr>
                <w:rStyle w:val="Hyperlink"/>
                <w:rFonts w:ascii="Times New Roman" w:hAnsi="Times New Roman" w:cs="Times New Roman"/>
                <w:i/>
                <w:iCs/>
                <w:noProof/>
              </w:rPr>
              <w:t>S. aureus</w:t>
            </w:r>
            <w:r w:rsidR="000D2F38" w:rsidRPr="000D2F38">
              <w:rPr>
                <w:rStyle w:val="Hyperlink"/>
                <w:rFonts w:ascii="Times New Roman" w:hAnsi="Times New Roman" w:cs="Times New Roman"/>
                <w:noProof/>
              </w:rPr>
              <w:t xml:space="preserve"> stringent response mutants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101</w:t>
            </w:r>
            <w:r w:rsidR="000D2F38" w:rsidRPr="000D2F38">
              <w:rPr>
                <w:rFonts w:ascii="Times New Roman" w:hAnsi="Times New Roman" w:cs="Times New Roman"/>
                <w:noProof/>
                <w:webHidden/>
              </w:rPr>
              <w:fldChar w:fldCharType="end"/>
            </w:r>
          </w:hyperlink>
        </w:p>
        <w:p w14:paraId="21FDCAC4" w14:textId="47B3E572"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43" w:history="1">
            <w:r w:rsidR="000D2F38" w:rsidRPr="000D2F38">
              <w:rPr>
                <w:rStyle w:val="Hyperlink"/>
                <w:rFonts w:ascii="Times New Roman" w:hAnsi="Times New Roman" w:cs="Times New Roman"/>
                <w:noProof/>
              </w:rPr>
              <w:t xml:space="preserve">4.2.2. The effect of low pH on the viability of </w:t>
            </w:r>
            <w:r w:rsidR="000D2F38" w:rsidRPr="000D2F38">
              <w:rPr>
                <w:rStyle w:val="Hyperlink"/>
                <w:rFonts w:ascii="Times New Roman" w:hAnsi="Times New Roman" w:cs="Times New Roman"/>
                <w:i/>
                <w:iCs/>
                <w:noProof/>
              </w:rPr>
              <w:t>S. aureus</w:t>
            </w:r>
            <w:r w:rsidR="000D2F38" w:rsidRPr="000D2F38">
              <w:rPr>
                <w:rStyle w:val="Hyperlink"/>
                <w:rFonts w:ascii="Times New Roman" w:hAnsi="Times New Roman" w:cs="Times New Roman"/>
                <w:noProof/>
              </w:rPr>
              <w:t xml:space="preserve"> stringent response mutants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_Toc142043643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103</w:t>
            </w:r>
            <w:r w:rsidR="000D2F38" w:rsidRPr="000D2F38">
              <w:rPr>
                <w:rFonts w:ascii="Times New Roman" w:hAnsi="Times New Roman" w:cs="Times New Roman"/>
                <w:noProof/>
                <w:webHidden/>
              </w:rPr>
              <w:fldChar w:fldCharType="end"/>
            </w:r>
          </w:hyperlink>
        </w:p>
        <w:p w14:paraId="20589786" w14:textId="2CB7BD76"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44" w:history="1">
            <w:r w:rsidR="000D2F38" w:rsidRPr="000D2F38">
              <w:rPr>
                <w:rStyle w:val="Hyperlink"/>
                <w:rFonts w:ascii="Times New Roman" w:hAnsi="Times New Roman" w:cs="Times New Roman"/>
                <w:noProof/>
              </w:rPr>
              <w:t>4.2.3. Tolerance of the JE2 WT and (p)ppGpp</w:t>
            </w:r>
            <w:r w:rsidR="000D2F38" w:rsidRPr="000D2F38">
              <w:rPr>
                <w:rStyle w:val="Hyperlink"/>
                <w:rFonts w:ascii="Times New Roman" w:hAnsi="Times New Roman" w:cs="Times New Roman"/>
                <w:noProof/>
                <w:vertAlign w:val="superscript"/>
              </w:rPr>
              <w:t xml:space="preserve">0 </w:t>
            </w:r>
            <w:r w:rsidR="000D2F38" w:rsidRPr="000D2F38">
              <w:rPr>
                <w:rStyle w:val="Hyperlink"/>
                <w:rFonts w:ascii="Times New Roman" w:hAnsi="Times New Roman" w:cs="Times New Roman"/>
                <w:noProof/>
              </w:rPr>
              <w:t>mutant to reactive oxygen species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110</w:t>
            </w:r>
            <w:r w:rsidR="000D2F38" w:rsidRPr="000D2F38">
              <w:rPr>
                <w:rFonts w:ascii="Times New Roman" w:hAnsi="Times New Roman" w:cs="Times New Roman"/>
                <w:noProof/>
                <w:webHidden/>
              </w:rPr>
              <w:fldChar w:fldCharType="end"/>
            </w:r>
          </w:hyperlink>
        </w:p>
        <w:p w14:paraId="01B9ACC0" w14:textId="7FB7B2AB"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45" w:history="1">
            <w:r w:rsidR="000D2F38" w:rsidRPr="000D2F38">
              <w:rPr>
                <w:rStyle w:val="Hyperlink"/>
                <w:rFonts w:ascii="Times New Roman" w:hAnsi="Times New Roman" w:cs="Times New Roman"/>
                <w:noProof/>
              </w:rPr>
              <w:t>4.2.4. The effect of (p)ppGpp overproduction on the tolerance of JE2 WT and (p)ppGpp</w:t>
            </w:r>
            <w:r w:rsidR="000D2F38" w:rsidRPr="000D2F38">
              <w:rPr>
                <w:rStyle w:val="Hyperlink"/>
                <w:rFonts w:ascii="Times New Roman" w:hAnsi="Times New Roman" w:cs="Times New Roman"/>
                <w:noProof/>
                <w:vertAlign w:val="superscript"/>
              </w:rPr>
              <w:t>0</w:t>
            </w:r>
            <w:r w:rsidR="000D2F38" w:rsidRPr="000D2F38">
              <w:rPr>
                <w:rStyle w:val="Hyperlink"/>
                <w:rFonts w:ascii="Times New Roman" w:hAnsi="Times New Roman" w:cs="Times New Roman"/>
                <w:i/>
                <w:iCs/>
                <w:noProof/>
              </w:rPr>
              <w:t xml:space="preserve"> in vitro</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111</w:t>
            </w:r>
            <w:r w:rsidR="000D2F38" w:rsidRPr="000D2F38">
              <w:rPr>
                <w:rFonts w:ascii="Times New Roman" w:hAnsi="Times New Roman" w:cs="Times New Roman"/>
                <w:noProof/>
                <w:webHidden/>
              </w:rPr>
              <w:fldChar w:fldCharType="end"/>
            </w:r>
          </w:hyperlink>
        </w:p>
        <w:p w14:paraId="4B24F6A6" w14:textId="68C74E6F"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46" w:history="1">
            <w:r w:rsidR="000D2F38" w:rsidRPr="000D2F38">
              <w:rPr>
                <w:rStyle w:val="Hyperlink"/>
                <w:rFonts w:ascii="Times New Roman" w:hAnsi="Times New Roman" w:cs="Times New Roman"/>
                <w:noProof/>
              </w:rPr>
              <w:t>4.2.5. Determining the contribution of each synthetase to acid and ROS stress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113</w:t>
            </w:r>
            <w:r w:rsidR="000D2F38" w:rsidRPr="000D2F38">
              <w:rPr>
                <w:rFonts w:ascii="Times New Roman" w:hAnsi="Times New Roman" w:cs="Times New Roman"/>
                <w:noProof/>
                <w:webHidden/>
              </w:rPr>
              <w:fldChar w:fldCharType="end"/>
            </w:r>
          </w:hyperlink>
        </w:p>
        <w:p w14:paraId="64172149" w14:textId="0B9511C6"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47" w:history="1">
            <w:r w:rsidR="000D2F38" w:rsidRPr="000D2F38">
              <w:rPr>
                <w:rStyle w:val="Hyperlink"/>
                <w:rFonts w:ascii="Times New Roman" w:hAnsi="Times New Roman" w:cs="Times New Roman"/>
                <w:noProof/>
              </w:rPr>
              <w:t xml:space="preserve">4.2.6. The effect of a </w:t>
            </w:r>
            <w:r w:rsidR="000D2F38" w:rsidRPr="000D2F38">
              <w:rPr>
                <w:rStyle w:val="Hyperlink"/>
                <w:rFonts w:ascii="Times New Roman" w:hAnsi="Times New Roman" w:cs="Times New Roman"/>
                <w:i/>
                <w:iCs/>
                <w:noProof/>
              </w:rPr>
              <w:t>codY</w:t>
            </w:r>
            <w:r w:rsidR="000D2F38" w:rsidRPr="000D2F38">
              <w:rPr>
                <w:rStyle w:val="Hyperlink"/>
                <w:rFonts w:ascii="Times New Roman" w:hAnsi="Times New Roman" w:cs="Times New Roman"/>
                <w:noProof/>
              </w:rPr>
              <w:t xml:space="preserve"> deletion on the tolerance of JE2 WT and (p)ppGpp</w:t>
            </w:r>
            <w:r w:rsidR="000D2F38" w:rsidRPr="000D2F38">
              <w:rPr>
                <w:rStyle w:val="Hyperlink"/>
                <w:rFonts w:ascii="Times New Roman" w:hAnsi="Times New Roman" w:cs="Times New Roman"/>
                <w:noProof/>
                <w:vertAlign w:val="superscript"/>
              </w:rPr>
              <w:t>0</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114</w:t>
            </w:r>
            <w:r w:rsidR="000D2F38" w:rsidRPr="000D2F38">
              <w:rPr>
                <w:rFonts w:ascii="Times New Roman" w:hAnsi="Times New Roman" w:cs="Times New Roman"/>
                <w:noProof/>
                <w:webHidden/>
              </w:rPr>
              <w:fldChar w:fldCharType="end"/>
            </w:r>
          </w:hyperlink>
        </w:p>
        <w:p w14:paraId="6664DC56" w14:textId="2052070E"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48" w:history="1">
            <w:r w:rsidR="000D2F38" w:rsidRPr="000D2F38">
              <w:rPr>
                <w:rStyle w:val="Hyperlink"/>
                <w:rFonts w:ascii="Times New Roman" w:hAnsi="Times New Roman" w:cs="Times New Roman"/>
                <w:noProof/>
              </w:rPr>
              <w:t>4.3. Discussion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_Toc142043648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116</w:t>
            </w:r>
            <w:r w:rsidR="000D2F38" w:rsidRPr="000D2F38">
              <w:rPr>
                <w:rFonts w:ascii="Times New Roman" w:hAnsi="Times New Roman" w:cs="Times New Roman"/>
                <w:noProof/>
                <w:webHidden/>
              </w:rPr>
              <w:fldChar w:fldCharType="end"/>
            </w:r>
          </w:hyperlink>
        </w:p>
        <w:p w14:paraId="4665C1E2" w14:textId="2D537D6F"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649" w:history="1">
            <w:r w:rsidR="000D2F38" w:rsidRPr="000D2F38">
              <w:rPr>
                <w:rStyle w:val="Hyperlink"/>
                <w:rFonts w:ascii="Times New Roman" w:hAnsi="Times New Roman" w:cs="Times New Roman"/>
              </w:rPr>
              <w:t>Chapter 5: The role of (p)ppGpp within macrophage and zebrafish embryo infection models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_Toc142043649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120</w:t>
            </w:r>
            <w:r w:rsidR="000D2F38" w:rsidRPr="000D2F38">
              <w:rPr>
                <w:rFonts w:ascii="Times New Roman" w:hAnsi="Times New Roman" w:cs="Times New Roman"/>
                <w:webHidden/>
              </w:rPr>
              <w:fldChar w:fldCharType="end"/>
            </w:r>
          </w:hyperlink>
        </w:p>
        <w:p w14:paraId="48CBD17E" w14:textId="53DF6A60"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50" w:history="1">
            <w:r w:rsidR="000D2F38" w:rsidRPr="000D2F38">
              <w:rPr>
                <w:rStyle w:val="Hyperlink"/>
                <w:rFonts w:ascii="Times New Roman" w:hAnsi="Times New Roman" w:cs="Times New Roman"/>
                <w:noProof/>
              </w:rPr>
              <w:t>5.1. Introduction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120</w:t>
            </w:r>
            <w:r w:rsidR="000D2F38" w:rsidRPr="000D2F38">
              <w:rPr>
                <w:rFonts w:ascii="Times New Roman" w:hAnsi="Times New Roman" w:cs="Times New Roman"/>
                <w:noProof/>
                <w:webHidden/>
              </w:rPr>
              <w:fldChar w:fldCharType="end"/>
            </w:r>
          </w:hyperlink>
        </w:p>
        <w:p w14:paraId="4E30B92C" w14:textId="3148DB0C"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51" w:history="1">
            <w:r w:rsidR="000D2F38" w:rsidRPr="000D2F38">
              <w:rPr>
                <w:rStyle w:val="Hyperlink"/>
                <w:rFonts w:ascii="Times New Roman" w:hAnsi="Times New Roman" w:cs="Times New Roman"/>
                <w:noProof/>
              </w:rPr>
              <w:t xml:space="preserve">5.2. The absence of a functional stringent response does not affect the killing of </w:t>
            </w:r>
            <w:r w:rsidR="000D2F38" w:rsidRPr="000D2F38">
              <w:rPr>
                <w:rStyle w:val="Hyperlink"/>
                <w:rFonts w:ascii="Times New Roman" w:hAnsi="Times New Roman" w:cs="Times New Roman"/>
                <w:i/>
                <w:iCs/>
                <w:noProof/>
              </w:rPr>
              <w:t xml:space="preserve">S. aureus </w:t>
            </w:r>
            <w:r w:rsidR="000D2F38" w:rsidRPr="000D2F38">
              <w:rPr>
                <w:rStyle w:val="Hyperlink"/>
                <w:rFonts w:ascii="Times New Roman" w:hAnsi="Times New Roman" w:cs="Times New Roman"/>
                <w:noProof/>
              </w:rPr>
              <w:t>by RAW 264.7 macrophages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121</w:t>
            </w:r>
            <w:r w:rsidR="000D2F38" w:rsidRPr="000D2F38">
              <w:rPr>
                <w:rFonts w:ascii="Times New Roman" w:hAnsi="Times New Roman" w:cs="Times New Roman"/>
                <w:noProof/>
                <w:webHidden/>
              </w:rPr>
              <w:fldChar w:fldCharType="end"/>
            </w:r>
          </w:hyperlink>
        </w:p>
        <w:p w14:paraId="3E3CA420" w14:textId="2ECE5F4C"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52" w:history="1">
            <w:r w:rsidR="000D2F38" w:rsidRPr="000D2F38">
              <w:rPr>
                <w:rStyle w:val="Hyperlink"/>
                <w:rFonts w:ascii="Times New Roman" w:hAnsi="Times New Roman" w:cs="Times New Roman"/>
                <w:noProof/>
              </w:rPr>
              <w:t>5.3. Investigating the expression of (p)ppGpp synthetases in the presence of stressors and during macrophage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125</w:t>
            </w:r>
            <w:r w:rsidR="000D2F38" w:rsidRPr="000D2F38">
              <w:rPr>
                <w:rFonts w:ascii="Times New Roman" w:hAnsi="Times New Roman" w:cs="Times New Roman"/>
                <w:noProof/>
                <w:webHidden/>
              </w:rPr>
              <w:fldChar w:fldCharType="end"/>
            </w:r>
          </w:hyperlink>
        </w:p>
        <w:p w14:paraId="377142FB" w14:textId="301E12E1"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53" w:history="1">
            <w:r w:rsidR="000D2F38" w:rsidRPr="000D2F38">
              <w:rPr>
                <w:rStyle w:val="Hyperlink"/>
                <w:rFonts w:ascii="Times New Roman" w:hAnsi="Times New Roman" w:cs="Times New Roman"/>
                <w:noProof/>
              </w:rPr>
              <w:t>5.4. The stringent response may be important in establishing oral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_Toc142043653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127</w:t>
            </w:r>
            <w:r w:rsidR="000D2F38" w:rsidRPr="000D2F38">
              <w:rPr>
                <w:rFonts w:ascii="Times New Roman" w:hAnsi="Times New Roman" w:cs="Times New Roman"/>
                <w:noProof/>
                <w:webHidden/>
              </w:rPr>
              <w:fldChar w:fldCharType="end"/>
            </w:r>
          </w:hyperlink>
        </w:p>
        <w:p w14:paraId="0F236B7B" w14:textId="6727829D"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54" w:history="1">
            <w:r w:rsidR="000D2F38" w:rsidRPr="000D2F38">
              <w:rPr>
                <w:rStyle w:val="Hyperlink"/>
                <w:rFonts w:ascii="Times New Roman" w:hAnsi="Times New Roman" w:cs="Times New Roman"/>
                <w:noProof/>
              </w:rPr>
              <w:t xml:space="preserve">5.5. Investigating the importance of (p)ppGpp for </w:t>
            </w:r>
            <w:r w:rsidR="000D2F38" w:rsidRPr="000D2F38">
              <w:rPr>
                <w:rStyle w:val="Hyperlink"/>
                <w:rFonts w:ascii="Times New Roman" w:hAnsi="Times New Roman" w:cs="Times New Roman"/>
                <w:i/>
                <w:iCs/>
                <w:noProof/>
              </w:rPr>
              <w:t xml:space="preserve">S. aureus </w:t>
            </w:r>
            <w:r w:rsidR="000D2F38" w:rsidRPr="000D2F38">
              <w:rPr>
                <w:rStyle w:val="Hyperlink"/>
                <w:rFonts w:ascii="Times New Roman" w:hAnsi="Times New Roman" w:cs="Times New Roman"/>
                <w:noProof/>
              </w:rPr>
              <w:t>survival and virulence during systemic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_Toc142043654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130</w:t>
            </w:r>
            <w:r w:rsidR="000D2F38" w:rsidRPr="000D2F38">
              <w:rPr>
                <w:rFonts w:ascii="Times New Roman" w:hAnsi="Times New Roman" w:cs="Times New Roman"/>
                <w:noProof/>
                <w:webHidden/>
              </w:rPr>
              <w:fldChar w:fldCharType="end"/>
            </w:r>
          </w:hyperlink>
        </w:p>
        <w:p w14:paraId="5CDF0E6C" w14:textId="6C46F696"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55" w:history="1">
            <w:r w:rsidR="000D2F38" w:rsidRPr="000D2F38">
              <w:rPr>
                <w:rStyle w:val="Hyperlink"/>
                <w:rFonts w:ascii="Times New Roman" w:hAnsi="Times New Roman" w:cs="Times New Roman"/>
                <w:noProof/>
              </w:rPr>
              <w:t xml:space="preserve">5.5.1. Optimisation of the dose of </w:t>
            </w:r>
            <w:r w:rsidR="000D2F38" w:rsidRPr="000D2F38">
              <w:rPr>
                <w:rStyle w:val="Hyperlink"/>
                <w:rFonts w:ascii="Times New Roman" w:hAnsi="Times New Roman" w:cs="Times New Roman"/>
                <w:i/>
                <w:iCs/>
                <w:noProof/>
              </w:rPr>
              <w:t>S. aureus</w:t>
            </w:r>
            <w:r w:rsidR="000D2F38" w:rsidRPr="000D2F38">
              <w:rPr>
                <w:rStyle w:val="Hyperlink"/>
                <w:rFonts w:ascii="Times New Roman" w:hAnsi="Times New Roman" w:cs="Times New Roman"/>
                <w:noProof/>
              </w:rPr>
              <w:t xml:space="preserve"> required to kill 50% of embryos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_Toc142043655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130</w:t>
            </w:r>
            <w:r w:rsidR="000D2F38" w:rsidRPr="000D2F38">
              <w:rPr>
                <w:rFonts w:ascii="Times New Roman" w:hAnsi="Times New Roman" w:cs="Times New Roman"/>
                <w:noProof/>
                <w:webHidden/>
              </w:rPr>
              <w:fldChar w:fldCharType="end"/>
            </w:r>
          </w:hyperlink>
        </w:p>
        <w:p w14:paraId="74391CAC" w14:textId="28E4137E"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56" w:history="1">
            <w:r w:rsidR="000D2F38" w:rsidRPr="000D2F38">
              <w:rPr>
                <w:rStyle w:val="Hyperlink"/>
                <w:rFonts w:ascii="Times New Roman" w:hAnsi="Times New Roman" w:cs="Times New Roman"/>
                <w:noProof/>
              </w:rPr>
              <w:t>5.5.2. The effect of (p)ppGpp on the establishment of systemic infection in zebrafish embryos</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_Toc142043656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132</w:t>
            </w:r>
            <w:r w:rsidR="000D2F38" w:rsidRPr="000D2F38">
              <w:rPr>
                <w:rFonts w:ascii="Times New Roman" w:hAnsi="Times New Roman" w:cs="Times New Roman"/>
                <w:noProof/>
                <w:webHidden/>
              </w:rPr>
              <w:fldChar w:fldCharType="end"/>
            </w:r>
          </w:hyperlink>
        </w:p>
        <w:p w14:paraId="4E0DF1B6" w14:textId="2B4EE32F" w:rsidR="000D2F38" w:rsidRPr="000D2F38" w:rsidRDefault="00000000">
          <w:pPr>
            <w:pStyle w:val="TOC3"/>
            <w:tabs>
              <w:tab w:val="right" w:leader="underscore" w:pos="9016"/>
            </w:tabs>
            <w:rPr>
              <w:rFonts w:ascii="Times New Roman" w:eastAsiaTheme="minorEastAsia" w:hAnsi="Times New Roman" w:cs="Times New Roman"/>
              <w:noProof/>
              <w:kern w:val="2"/>
              <w:lang w:eastAsia="en-GB"/>
              <w14:ligatures w14:val="standardContextual"/>
            </w:rPr>
          </w:pPr>
          <w:hyperlink w:anchor="_Toc142043657" w:history="1">
            <w:r w:rsidR="000D2F38" w:rsidRPr="000D2F38">
              <w:rPr>
                <w:rStyle w:val="Hyperlink"/>
                <w:rFonts w:ascii="Times New Roman" w:hAnsi="Times New Roman" w:cs="Times New Roman"/>
                <w:noProof/>
              </w:rPr>
              <w:t>5.5.3. Determining whether the (p)ppGpp</w:t>
            </w:r>
            <w:r w:rsidR="000D2F38" w:rsidRPr="000D2F38">
              <w:rPr>
                <w:rStyle w:val="Hyperlink"/>
                <w:rFonts w:ascii="Times New Roman" w:hAnsi="Times New Roman" w:cs="Times New Roman"/>
                <w:noProof/>
                <w:vertAlign w:val="superscript"/>
              </w:rPr>
              <w:t>0</w:t>
            </w:r>
            <w:r w:rsidR="000D2F38" w:rsidRPr="000D2F38">
              <w:rPr>
                <w:rStyle w:val="Hyperlink"/>
                <w:rFonts w:ascii="Times New Roman" w:hAnsi="Times New Roman" w:cs="Times New Roman"/>
                <w:noProof/>
              </w:rPr>
              <w:t xml:space="preserve"> mutant attenuation </w:t>
            </w:r>
            <w:r w:rsidR="000D2F38" w:rsidRPr="000D2F38">
              <w:rPr>
                <w:rStyle w:val="Hyperlink"/>
                <w:rFonts w:ascii="Times New Roman" w:hAnsi="Times New Roman" w:cs="Times New Roman"/>
                <w:i/>
                <w:iCs/>
                <w:noProof/>
              </w:rPr>
              <w:t>in vivo</w:t>
            </w:r>
            <w:r w:rsidR="000D2F38" w:rsidRPr="000D2F38">
              <w:rPr>
                <w:rStyle w:val="Hyperlink"/>
                <w:rFonts w:ascii="Times New Roman" w:hAnsi="Times New Roman" w:cs="Times New Roman"/>
                <w:noProof/>
              </w:rPr>
              <w:t xml:space="preserve"> is due to a growth or virulence defect</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_Toc142043657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134</w:t>
            </w:r>
            <w:r w:rsidR="000D2F38" w:rsidRPr="000D2F38">
              <w:rPr>
                <w:rFonts w:ascii="Times New Roman" w:hAnsi="Times New Roman" w:cs="Times New Roman"/>
                <w:noProof/>
                <w:webHidden/>
              </w:rPr>
              <w:fldChar w:fldCharType="end"/>
            </w:r>
          </w:hyperlink>
        </w:p>
        <w:p w14:paraId="07FEBD72" w14:textId="2C06ACCB"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58" w:history="1">
            <w:r w:rsidR="000D2F38" w:rsidRPr="000D2F38">
              <w:rPr>
                <w:rStyle w:val="Hyperlink"/>
                <w:rFonts w:ascii="Times New Roman" w:hAnsi="Times New Roman" w:cs="Times New Roman"/>
                <w:noProof/>
              </w:rPr>
              <w:t>5.6. Control of the stringent response mutant within zebrafish embryos is myeloid cell-dependent</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_Toc142043658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136</w:t>
            </w:r>
            <w:r w:rsidR="000D2F38" w:rsidRPr="000D2F38">
              <w:rPr>
                <w:rFonts w:ascii="Times New Roman" w:hAnsi="Times New Roman" w:cs="Times New Roman"/>
                <w:noProof/>
                <w:webHidden/>
              </w:rPr>
              <w:fldChar w:fldCharType="end"/>
            </w:r>
          </w:hyperlink>
        </w:p>
        <w:p w14:paraId="52B66839" w14:textId="415FA0AB"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59" w:history="1">
            <w:r w:rsidR="000D2F38" w:rsidRPr="000D2F38">
              <w:rPr>
                <w:rStyle w:val="Hyperlink"/>
                <w:rFonts w:ascii="Times New Roman" w:hAnsi="Times New Roman" w:cs="Times New Roman"/>
                <w:noProof/>
              </w:rPr>
              <w:t xml:space="preserve">5.7. The effect of (p)ppGpp overproduction </w:t>
            </w:r>
            <w:r w:rsidR="000D2F38" w:rsidRPr="000D2F38">
              <w:rPr>
                <w:rStyle w:val="Hyperlink"/>
                <w:rFonts w:ascii="Times New Roman" w:hAnsi="Times New Roman" w:cs="Times New Roman"/>
                <w:i/>
                <w:iCs/>
                <w:noProof/>
              </w:rPr>
              <w:t>in vivo</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_Toc142043659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138</w:t>
            </w:r>
            <w:r w:rsidR="000D2F38" w:rsidRPr="000D2F38">
              <w:rPr>
                <w:rFonts w:ascii="Times New Roman" w:hAnsi="Times New Roman" w:cs="Times New Roman"/>
                <w:noProof/>
                <w:webHidden/>
              </w:rPr>
              <w:fldChar w:fldCharType="end"/>
            </w:r>
          </w:hyperlink>
        </w:p>
        <w:p w14:paraId="3AC93A2F" w14:textId="50C414C5"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60" w:history="1">
            <w:r w:rsidR="000D2F38" w:rsidRPr="000D2F38">
              <w:rPr>
                <w:rStyle w:val="Hyperlink"/>
                <w:rFonts w:ascii="Times New Roman" w:hAnsi="Times New Roman" w:cs="Times New Roman"/>
                <w:noProof/>
              </w:rPr>
              <w:t>5.8. Determination of the (p)ppGpp synthetase required for</w:t>
            </w:r>
            <w:r w:rsidR="000D2F38" w:rsidRPr="000D2F38">
              <w:rPr>
                <w:rStyle w:val="Hyperlink"/>
                <w:rFonts w:ascii="Times New Roman" w:hAnsi="Times New Roman" w:cs="Times New Roman"/>
                <w:i/>
                <w:iCs/>
                <w:noProof/>
              </w:rPr>
              <w:t xml:space="preserve"> S. aureus </w:t>
            </w:r>
            <w:r w:rsidR="000D2F38" w:rsidRPr="000D2F38">
              <w:rPr>
                <w:rStyle w:val="Hyperlink"/>
                <w:rFonts w:ascii="Times New Roman" w:hAnsi="Times New Roman" w:cs="Times New Roman"/>
                <w:noProof/>
              </w:rPr>
              <w:t>systemic infection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_Toc142043660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139</w:t>
            </w:r>
            <w:r w:rsidR="000D2F38" w:rsidRPr="000D2F38">
              <w:rPr>
                <w:rFonts w:ascii="Times New Roman" w:hAnsi="Times New Roman" w:cs="Times New Roman"/>
                <w:noProof/>
                <w:webHidden/>
              </w:rPr>
              <w:fldChar w:fldCharType="end"/>
            </w:r>
          </w:hyperlink>
        </w:p>
        <w:p w14:paraId="54C9F0FE" w14:textId="64C7D967"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61" w:history="1">
            <w:r w:rsidR="000D2F38" w:rsidRPr="000D2F38">
              <w:rPr>
                <w:rStyle w:val="Hyperlink"/>
                <w:rFonts w:ascii="Times New Roman" w:hAnsi="Times New Roman" w:cs="Times New Roman"/>
                <w:noProof/>
              </w:rPr>
              <w:t xml:space="preserve">5.9. Investigating the effect of deleting CodY on </w:t>
            </w:r>
            <w:r w:rsidR="000D2F38" w:rsidRPr="000D2F38">
              <w:rPr>
                <w:rStyle w:val="Hyperlink"/>
                <w:rFonts w:ascii="Times New Roman" w:hAnsi="Times New Roman" w:cs="Times New Roman"/>
                <w:i/>
                <w:iCs/>
                <w:noProof/>
              </w:rPr>
              <w:t xml:space="preserve">S. aureus </w:t>
            </w:r>
            <w:r w:rsidR="000D2F38" w:rsidRPr="000D2F38">
              <w:rPr>
                <w:rStyle w:val="Hyperlink"/>
                <w:rFonts w:ascii="Times New Roman" w:hAnsi="Times New Roman" w:cs="Times New Roman"/>
                <w:noProof/>
              </w:rPr>
              <w:t>virulence</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_Toc142043661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142</w:t>
            </w:r>
            <w:r w:rsidR="000D2F38" w:rsidRPr="000D2F38">
              <w:rPr>
                <w:rFonts w:ascii="Times New Roman" w:hAnsi="Times New Roman" w:cs="Times New Roman"/>
                <w:noProof/>
                <w:webHidden/>
              </w:rPr>
              <w:fldChar w:fldCharType="end"/>
            </w:r>
          </w:hyperlink>
        </w:p>
        <w:p w14:paraId="622F2AE5" w14:textId="1CF9CB06" w:rsidR="000D2F38" w:rsidRPr="000D2F38" w:rsidRDefault="00000000">
          <w:pPr>
            <w:pStyle w:val="TOC2"/>
            <w:tabs>
              <w:tab w:val="right" w:leader="underscore" w:pos="9016"/>
            </w:tabs>
            <w:rPr>
              <w:rFonts w:ascii="Times New Roman" w:eastAsiaTheme="minorEastAsia" w:hAnsi="Times New Roman" w:cs="Times New Roman"/>
              <w:noProof/>
              <w:kern w:val="2"/>
              <w:lang w:eastAsia="en-GB"/>
              <w14:ligatures w14:val="standardContextual"/>
            </w:rPr>
          </w:pPr>
          <w:hyperlink w:anchor="_Toc142043662" w:history="1">
            <w:r w:rsidR="000D2F38" w:rsidRPr="000D2F38">
              <w:rPr>
                <w:rStyle w:val="Hyperlink"/>
                <w:rFonts w:ascii="Times New Roman" w:hAnsi="Times New Roman" w:cs="Times New Roman"/>
                <w:noProof/>
              </w:rPr>
              <w:t>5.10. Discussion</w:t>
            </w:r>
            <w:r w:rsidR="000D2F38" w:rsidRPr="000D2F38">
              <w:rPr>
                <w:rFonts w:ascii="Times New Roman" w:hAnsi="Times New Roman" w:cs="Times New Roman"/>
                <w:noProof/>
                <w:webHidden/>
              </w:rPr>
              <w:tab/>
            </w:r>
            <w:r w:rsidR="000D2F38" w:rsidRPr="000D2F38">
              <w:rPr>
                <w:rFonts w:ascii="Times New Roman" w:hAnsi="Times New Roman" w:cs="Times New Roman"/>
                <w:noProof/>
                <w:webHidden/>
              </w:rPr>
              <w:fldChar w:fldCharType="begin"/>
            </w:r>
            <w:r w:rsidR="000D2F38" w:rsidRPr="000D2F38">
              <w:rPr>
                <w:rFonts w:ascii="Times New Roman" w:hAnsi="Times New Roman" w:cs="Times New Roman"/>
                <w:noProof/>
                <w:webHidden/>
              </w:rPr>
              <w:instrText xml:space="preserve"> PAGEREF _Toc142043662 \h </w:instrText>
            </w:r>
            <w:r w:rsidR="000D2F38" w:rsidRPr="000D2F38">
              <w:rPr>
                <w:rFonts w:ascii="Times New Roman" w:hAnsi="Times New Roman" w:cs="Times New Roman"/>
                <w:noProof/>
                <w:webHidden/>
              </w:rPr>
            </w:r>
            <w:r w:rsidR="000D2F38" w:rsidRPr="000D2F38">
              <w:rPr>
                <w:rFonts w:ascii="Times New Roman" w:hAnsi="Times New Roman" w:cs="Times New Roman"/>
                <w:noProof/>
                <w:webHidden/>
              </w:rPr>
              <w:fldChar w:fldCharType="separate"/>
            </w:r>
            <w:r w:rsidR="000D2F38" w:rsidRPr="000D2F38">
              <w:rPr>
                <w:rFonts w:ascii="Times New Roman" w:hAnsi="Times New Roman" w:cs="Times New Roman"/>
                <w:noProof/>
                <w:webHidden/>
              </w:rPr>
              <w:t>143</w:t>
            </w:r>
            <w:r w:rsidR="000D2F38" w:rsidRPr="000D2F38">
              <w:rPr>
                <w:rFonts w:ascii="Times New Roman" w:hAnsi="Times New Roman" w:cs="Times New Roman"/>
                <w:noProof/>
                <w:webHidden/>
              </w:rPr>
              <w:fldChar w:fldCharType="end"/>
            </w:r>
          </w:hyperlink>
        </w:p>
        <w:p w14:paraId="468D7F3D" w14:textId="64D5A763" w:rsidR="000D2F38" w:rsidRPr="000D2F38" w:rsidRDefault="00000000">
          <w:pPr>
            <w:pStyle w:val="TOC1"/>
            <w:rPr>
              <w:rFonts w:ascii="Times New Roman" w:eastAsiaTheme="minorEastAsia" w:hAnsi="Times New Roman" w:cs="Times New Roman"/>
              <w:b w:val="0"/>
              <w:bCs w:val="0"/>
              <w:kern w:val="2"/>
              <w:lang w:eastAsia="en-GB"/>
              <w14:ligatures w14:val="standardContextual"/>
            </w:rPr>
          </w:pPr>
          <w:hyperlink w:anchor="_Toc142043663" w:history="1">
            <w:r w:rsidR="000D2F38" w:rsidRPr="000D2F38">
              <w:rPr>
                <w:rStyle w:val="Hyperlink"/>
                <w:rFonts w:ascii="Times New Roman" w:hAnsi="Times New Roman" w:cs="Times New Roman"/>
              </w:rPr>
              <w:t>Chapter 6: Discussion</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_Toc142043663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150</w:t>
            </w:r>
            <w:r w:rsidR="000D2F38" w:rsidRPr="000D2F38">
              <w:rPr>
                <w:rFonts w:ascii="Times New Roman" w:hAnsi="Times New Roman" w:cs="Times New Roman"/>
                <w:webHidden/>
              </w:rPr>
              <w:fldChar w:fldCharType="end"/>
            </w:r>
          </w:hyperlink>
        </w:p>
        <w:p w14:paraId="3D571E27" w14:textId="76ECCA9C" w:rsidR="000D2F38" w:rsidRDefault="00000000">
          <w:pPr>
            <w:pStyle w:val="TOC1"/>
            <w:rPr>
              <w:rFonts w:eastAsiaTheme="minorEastAsia"/>
              <w:b w:val="0"/>
              <w:bCs w:val="0"/>
              <w:kern w:val="2"/>
              <w:lang w:eastAsia="en-GB"/>
              <w14:ligatures w14:val="standardContextual"/>
            </w:rPr>
          </w:pPr>
          <w:hyperlink w:anchor="_Toc142043664" w:history="1">
            <w:r w:rsidR="000D2F38" w:rsidRPr="000D2F38">
              <w:rPr>
                <w:rStyle w:val="Hyperlink"/>
                <w:rFonts w:ascii="Times New Roman" w:hAnsi="Times New Roman" w:cs="Times New Roman"/>
              </w:rPr>
              <w:t>References</w:t>
            </w:r>
            <w:r w:rsidR="000D2F38" w:rsidRPr="000D2F38">
              <w:rPr>
                <w:rFonts w:ascii="Times New Roman" w:hAnsi="Times New Roman" w:cs="Times New Roman"/>
                <w:webHidden/>
              </w:rPr>
              <w:tab/>
            </w:r>
            <w:r w:rsidR="000D2F38" w:rsidRPr="000D2F38">
              <w:rPr>
                <w:rFonts w:ascii="Times New Roman" w:hAnsi="Times New Roman" w:cs="Times New Roman"/>
                <w:webHidden/>
              </w:rPr>
              <w:fldChar w:fldCharType="begin"/>
            </w:r>
            <w:r w:rsidR="000D2F38" w:rsidRPr="000D2F38">
              <w:rPr>
                <w:rFonts w:ascii="Times New Roman" w:hAnsi="Times New Roman" w:cs="Times New Roman"/>
                <w:webHidden/>
              </w:rPr>
              <w:instrText xml:space="preserve"> PAGEREF _Toc142043664 \h </w:instrText>
            </w:r>
            <w:r w:rsidR="000D2F38" w:rsidRPr="000D2F38">
              <w:rPr>
                <w:rFonts w:ascii="Times New Roman" w:hAnsi="Times New Roman" w:cs="Times New Roman"/>
                <w:webHidden/>
              </w:rPr>
            </w:r>
            <w:r w:rsidR="000D2F38" w:rsidRPr="000D2F38">
              <w:rPr>
                <w:rFonts w:ascii="Times New Roman" w:hAnsi="Times New Roman" w:cs="Times New Roman"/>
                <w:webHidden/>
              </w:rPr>
              <w:fldChar w:fldCharType="separate"/>
            </w:r>
            <w:r w:rsidR="000D2F38" w:rsidRPr="000D2F38">
              <w:rPr>
                <w:rFonts w:ascii="Times New Roman" w:hAnsi="Times New Roman" w:cs="Times New Roman"/>
                <w:webHidden/>
              </w:rPr>
              <w:t>158</w:t>
            </w:r>
            <w:r w:rsidR="000D2F38" w:rsidRPr="000D2F38">
              <w:rPr>
                <w:rFonts w:ascii="Times New Roman" w:hAnsi="Times New Roman" w:cs="Times New Roman"/>
                <w:webHidden/>
              </w:rPr>
              <w:fldChar w:fldCharType="end"/>
            </w:r>
          </w:hyperlink>
        </w:p>
        <w:p w14:paraId="5423FB1C" w14:textId="522C9396" w:rsidR="005F13CD" w:rsidRDefault="005F13CD">
          <w:r w:rsidRPr="00626313">
            <w:rPr>
              <w:rFonts w:ascii="Times New Roman" w:hAnsi="Times New Roman" w:cs="Times New Roman"/>
            </w:rPr>
            <w:fldChar w:fldCharType="end"/>
          </w:r>
        </w:p>
      </w:sdtContent>
    </w:sdt>
    <w:p w14:paraId="01895F40" w14:textId="0E17C749" w:rsidR="00D00F20" w:rsidRDefault="00D00F20" w:rsidP="00D00F20"/>
    <w:p w14:paraId="4144F55E" w14:textId="0D85DED2" w:rsidR="00D00F20" w:rsidRDefault="00D00F20" w:rsidP="00D00F20"/>
    <w:p w14:paraId="63C1DAFB" w14:textId="1EFAADF8" w:rsidR="00D00F20" w:rsidRDefault="00D00F20" w:rsidP="00D00F20"/>
    <w:p w14:paraId="11F0D452" w14:textId="5F0DFD5E" w:rsidR="00D00F20" w:rsidRDefault="00D00F20" w:rsidP="00D00F20"/>
    <w:p w14:paraId="36BDE61A" w14:textId="2E313CF4" w:rsidR="00D00F20" w:rsidRDefault="00D00F20" w:rsidP="00D00F20"/>
    <w:p w14:paraId="31FC1763" w14:textId="2F19F407" w:rsidR="00D00F20" w:rsidRDefault="00D00F20" w:rsidP="00D00F20"/>
    <w:p w14:paraId="11B379D3" w14:textId="2D555FDB" w:rsidR="00D00F20" w:rsidRDefault="00D00F20" w:rsidP="00D00F20"/>
    <w:p w14:paraId="3F4B23FC" w14:textId="40B042B4" w:rsidR="00D00F20" w:rsidRDefault="00D00F20" w:rsidP="00D00F20"/>
    <w:p w14:paraId="44FBCA28" w14:textId="0A874769" w:rsidR="00D00F20" w:rsidRDefault="00D00F20" w:rsidP="00D00F20"/>
    <w:p w14:paraId="02CB49AF" w14:textId="4BD67D70" w:rsidR="00D00F20" w:rsidRDefault="00D00F20" w:rsidP="00D00F20"/>
    <w:p w14:paraId="7E971ABC" w14:textId="05E9A878" w:rsidR="00D00F20" w:rsidRDefault="00D00F20" w:rsidP="00D00F20"/>
    <w:p w14:paraId="6FF0B4F8" w14:textId="005B82D6" w:rsidR="00D00F20" w:rsidRDefault="00D00F20" w:rsidP="00D00F20"/>
    <w:p w14:paraId="51B6FF38" w14:textId="7469D904" w:rsidR="00D00F20" w:rsidRDefault="00D00F20" w:rsidP="00D00F20"/>
    <w:p w14:paraId="1BB7563B" w14:textId="6373DEF0" w:rsidR="00D00F20" w:rsidRDefault="00D00F20" w:rsidP="00D00F20"/>
    <w:p w14:paraId="6F3C7E4B" w14:textId="7EC5ECAB" w:rsidR="00D00F20" w:rsidRDefault="00D00F20" w:rsidP="00D00F20"/>
    <w:p w14:paraId="059219EB" w14:textId="50F8FE33" w:rsidR="00D00F20" w:rsidRDefault="00D00F20" w:rsidP="00D00F20"/>
    <w:p w14:paraId="7B3CBC59" w14:textId="62336833" w:rsidR="00D00F20" w:rsidRDefault="00D00F20" w:rsidP="00D00F20"/>
    <w:p w14:paraId="69316A08" w14:textId="6C7C2BF3" w:rsidR="00A03111" w:rsidRDefault="00A03111" w:rsidP="00D00F20"/>
    <w:p w14:paraId="72AF0714" w14:textId="3FAF8992" w:rsidR="00A03111" w:rsidRDefault="00A03111" w:rsidP="00D00F20"/>
    <w:p w14:paraId="4C3D70E4" w14:textId="6C20C646" w:rsidR="00A03111" w:rsidRDefault="00A03111" w:rsidP="00D00F20"/>
    <w:p w14:paraId="40635767" w14:textId="3E1CDA84" w:rsidR="00A03111" w:rsidRDefault="00A03111" w:rsidP="00D00F20"/>
    <w:p w14:paraId="73F7DA75" w14:textId="0684B8E9" w:rsidR="00A03111" w:rsidRDefault="00A03111" w:rsidP="00D00F20"/>
    <w:p w14:paraId="2CB6869B" w14:textId="77777777" w:rsidR="00A03111" w:rsidRPr="00D00F20" w:rsidRDefault="00A03111" w:rsidP="00D00F20"/>
    <w:p w14:paraId="241CE0A2" w14:textId="77777777" w:rsidR="00D00F20" w:rsidRPr="00D00F20" w:rsidRDefault="00D00F20" w:rsidP="00D00F20">
      <w:bookmarkStart w:id="6" w:name="_Hlk130548338"/>
    </w:p>
    <w:p w14:paraId="4E97FB7E" w14:textId="0431F9E1" w:rsidR="00810565" w:rsidRDefault="00810565" w:rsidP="00810565">
      <w:pPr>
        <w:pStyle w:val="Heading1"/>
      </w:pPr>
      <w:bookmarkStart w:id="7" w:name="_Toc142043562"/>
      <w:bookmarkStart w:id="8" w:name="_Hlk142043665"/>
      <w:r>
        <w:lastRenderedPageBreak/>
        <w:t xml:space="preserve">List of </w:t>
      </w:r>
      <w:r w:rsidR="008B41CE">
        <w:t>F</w:t>
      </w:r>
      <w:r>
        <w:t>igures</w:t>
      </w:r>
      <w:bookmarkEnd w:id="7"/>
    </w:p>
    <w:p w14:paraId="5C1DB0A8" w14:textId="77777777" w:rsidR="00D00F20" w:rsidRPr="00D00F20" w:rsidRDefault="00D00F20" w:rsidP="00D00F20"/>
    <w:tbl>
      <w:tblPr>
        <w:tblStyle w:val="PlainTable3"/>
        <w:tblW w:w="0" w:type="auto"/>
        <w:tblLook w:val="04A0" w:firstRow="1" w:lastRow="0" w:firstColumn="1" w:lastColumn="0" w:noHBand="0" w:noVBand="1"/>
      </w:tblPr>
      <w:tblGrid>
        <w:gridCol w:w="1129"/>
        <w:gridCol w:w="7069"/>
        <w:gridCol w:w="828"/>
      </w:tblGrid>
      <w:tr w:rsidR="00D00F20" w:rsidRPr="00791EF2" w14:paraId="48335ECC" w14:textId="77777777" w:rsidTr="00A744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0345F454" w14:textId="77777777" w:rsidR="00D00F20" w:rsidRPr="00C335C0" w:rsidRDefault="00D00F20" w:rsidP="00A74445">
            <w:pPr>
              <w:rPr>
                <w:rFonts w:ascii="Times New Roman" w:hAnsi="Times New Roman" w:cs="Times New Roman"/>
              </w:rPr>
            </w:pPr>
            <w:r w:rsidRPr="00C335C0">
              <w:rPr>
                <w:rFonts w:ascii="Times New Roman" w:hAnsi="Times New Roman" w:cs="Times New Roman"/>
              </w:rPr>
              <w:t>Figure</w:t>
            </w:r>
          </w:p>
        </w:tc>
        <w:tc>
          <w:tcPr>
            <w:tcW w:w="7088" w:type="dxa"/>
          </w:tcPr>
          <w:p w14:paraId="2DBADD35" w14:textId="77777777" w:rsidR="00D00F20" w:rsidRPr="00791EF2" w:rsidRDefault="00D00F20" w:rsidP="00A7444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91EF2">
              <w:rPr>
                <w:rFonts w:ascii="Times New Roman" w:hAnsi="Times New Roman" w:cs="Times New Roman"/>
              </w:rPr>
              <w:t xml:space="preserve">Title </w:t>
            </w:r>
          </w:p>
        </w:tc>
        <w:tc>
          <w:tcPr>
            <w:tcW w:w="799" w:type="dxa"/>
          </w:tcPr>
          <w:p w14:paraId="74C517EA" w14:textId="77777777" w:rsidR="00D00F20" w:rsidRPr="00791EF2" w:rsidRDefault="00D00F20" w:rsidP="00A7444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91EF2">
              <w:rPr>
                <w:rFonts w:ascii="Times New Roman" w:hAnsi="Times New Roman" w:cs="Times New Roman"/>
              </w:rPr>
              <w:t xml:space="preserve">Page </w:t>
            </w:r>
          </w:p>
        </w:tc>
      </w:tr>
      <w:tr w:rsidR="00D00F20" w:rsidRPr="00791EF2" w14:paraId="52288979"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5C89C6F" w14:textId="77777777" w:rsidR="00D00F20" w:rsidRPr="00791EF2" w:rsidRDefault="00D00F20" w:rsidP="00A74445">
            <w:pPr>
              <w:rPr>
                <w:rFonts w:ascii="Times New Roman" w:hAnsi="Times New Roman" w:cs="Times New Roman"/>
                <w:b w:val="0"/>
                <w:bCs w:val="0"/>
              </w:rPr>
            </w:pPr>
          </w:p>
        </w:tc>
        <w:tc>
          <w:tcPr>
            <w:tcW w:w="7088" w:type="dxa"/>
          </w:tcPr>
          <w:p w14:paraId="2C2656D8" w14:textId="77777777" w:rsidR="00D00F20" w:rsidRPr="00791EF2" w:rsidRDefault="00D00F20"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791EF2">
              <w:rPr>
                <w:rFonts w:ascii="Times New Roman" w:hAnsi="Times New Roman" w:cs="Times New Roman"/>
                <w:b/>
                <w:bCs/>
                <w:i/>
                <w:iCs/>
              </w:rPr>
              <w:t>Chapter 1</w:t>
            </w:r>
          </w:p>
        </w:tc>
        <w:tc>
          <w:tcPr>
            <w:tcW w:w="799" w:type="dxa"/>
          </w:tcPr>
          <w:p w14:paraId="55DE7482" w14:textId="77777777" w:rsidR="00D00F20" w:rsidRPr="00791EF2" w:rsidRDefault="00D00F20"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00F20" w:rsidRPr="00791EF2" w14:paraId="6A4D3A62"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782ED686"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1.1.3</w:t>
            </w:r>
          </w:p>
        </w:tc>
        <w:tc>
          <w:tcPr>
            <w:tcW w:w="7088" w:type="dxa"/>
          </w:tcPr>
          <w:p w14:paraId="37E8BE47"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 xml:space="preserve">The </w:t>
            </w:r>
            <w:r w:rsidRPr="00791EF2">
              <w:rPr>
                <w:rFonts w:ascii="Times New Roman" w:hAnsi="Times New Roman" w:cs="Times New Roman"/>
                <w:i/>
                <w:iCs/>
              </w:rPr>
              <w:t xml:space="preserve">S. aureus </w:t>
            </w:r>
            <w:r w:rsidRPr="00791EF2">
              <w:rPr>
                <w:rFonts w:ascii="Times New Roman" w:hAnsi="Times New Roman" w:cs="Times New Roman"/>
              </w:rPr>
              <w:t>virulence factors</w:t>
            </w:r>
          </w:p>
        </w:tc>
        <w:tc>
          <w:tcPr>
            <w:tcW w:w="799" w:type="dxa"/>
          </w:tcPr>
          <w:p w14:paraId="76D87D56" w14:textId="426D2F30"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r>
      <w:tr w:rsidR="00D00F20" w:rsidRPr="00791EF2" w14:paraId="439F763F"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FC5C268"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1.2</w:t>
            </w:r>
          </w:p>
        </w:tc>
        <w:tc>
          <w:tcPr>
            <w:tcW w:w="7088" w:type="dxa"/>
          </w:tcPr>
          <w:p w14:paraId="50BFCC79"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structure of (pp)pGpp and RSH domain architecture</w:t>
            </w:r>
          </w:p>
        </w:tc>
        <w:tc>
          <w:tcPr>
            <w:tcW w:w="799" w:type="dxa"/>
          </w:tcPr>
          <w:p w14:paraId="69141CBD" w14:textId="40E9CA65"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r>
      <w:tr w:rsidR="00D00F20" w:rsidRPr="00791EF2" w14:paraId="09750CB1"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578824D4" w14:textId="77777777" w:rsidR="00D00F20" w:rsidRPr="00791EF2" w:rsidRDefault="00D00F20" w:rsidP="00A74445">
            <w:pPr>
              <w:rPr>
                <w:rFonts w:ascii="Times New Roman" w:hAnsi="Times New Roman" w:cs="Times New Roman"/>
                <w:b w:val="0"/>
                <w:bCs w:val="0"/>
              </w:rPr>
            </w:pPr>
            <w:r>
              <w:rPr>
                <w:rFonts w:ascii="Times New Roman" w:hAnsi="Times New Roman" w:cs="Times New Roman"/>
                <w:b w:val="0"/>
                <w:bCs w:val="0"/>
              </w:rPr>
              <w:t>1.2.1.2</w:t>
            </w:r>
          </w:p>
        </w:tc>
        <w:tc>
          <w:tcPr>
            <w:tcW w:w="7088" w:type="dxa"/>
          </w:tcPr>
          <w:p w14:paraId="1CF9BFF8" w14:textId="77777777" w:rsidR="00D00F20" w:rsidRPr="003D06A9"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06A9">
              <w:rPr>
                <w:rFonts w:ascii="Times New Roman" w:hAnsi="Times New Roman" w:cs="Times New Roman"/>
              </w:rPr>
              <w:t>Structure of RelA bound to the ribosome</w:t>
            </w:r>
          </w:p>
        </w:tc>
        <w:tc>
          <w:tcPr>
            <w:tcW w:w="799" w:type="dxa"/>
          </w:tcPr>
          <w:p w14:paraId="34465699" w14:textId="6251657E"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D00F20" w:rsidRPr="00791EF2" w14:paraId="747DCAA9"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74A55C"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1.2.2.1</w:t>
            </w:r>
          </w:p>
        </w:tc>
        <w:tc>
          <w:tcPr>
            <w:tcW w:w="7088" w:type="dxa"/>
          </w:tcPr>
          <w:p w14:paraId="17F8AA11"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effects of (p)ppGpp on bacterial transcription</w:t>
            </w:r>
          </w:p>
        </w:tc>
        <w:tc>
          <w:tcPr>
            <w:tcW w:w="799" w:type="dxa"/>
          </w:tcPr>
          <w:p w14:paraId="39A11A61" w14:textId="51A140CA"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w:t>
            </w:r>
          </w:p>
        </w:tc>
      </w:tr>
      <w:tr w:rsidR="00D00F20" w:rsidRPr="00791EF2" w14:paraId="3D3BC9A0"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18D4A3EB"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1.2.2.2</w:t>
            </w:r>
          </w:p>
        </w:tc>
        <w:tc>
          <w:tcPr>
            <w:tcW w:w="7088" w:type="dxa"/>
          </w:tcPr>
          <w:p w14:paraId="30A11EDA"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effects of (p)ppGpp on bacterial translation</w:t>
            </w:r>
          </w:p>
        </w:tc>
        <w:tc>
          <w:tcPr>
            <w:tcW w:w="799" w:type="dxa"/>
          </w:tcPr>
          <w:p w14:paraId="302958AE" w14:textId="46C441E4"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w:t>
            </w:r>
          </w:p>
        </w:tc>
      </w:tr>
      <w:tr w:rsidR="00D00F20" w:rsidRPr="00791EF2" w14:paraId="1D8EA043"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9B2E4BA"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1.3.4</w:t>
            </w:r>
          </w:p>
        </w:tc>
        <w:tc>
          <w:tcPr>
            <w:tcW w:w="7088" w:type="dxa"/>
          </w:tcPr>
          <w:p w14:paraId="1EFD991A"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Phagosomal maturation</w:t>
            </w:r>
          </w:p>
        </w:tc>
        <w:tc>
          <w:tcPr>
            <w:tcW w:w="799" w:type="dxa"/>
          </w:tcPr>
          <w:p w14:paraId="01E732A5" w14:textId="6BC10DF1"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37</w:t>
            </w:r>
          </w:p>
        </w:tc>
      </w:tr>
      <w:tr w:rsidR="00D00F20" w:rsidRPr="00791EF2" w14:paraId="181E3C08"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03A6E64A"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1.3.4.3</w:t>
            </w:r>
          </w:p>
        </w:tc>
        <w:tc>
          <w:tcPr>
            <w:tcW w:w="7088" w:type="dxa"/>
          </w:tcPr>
          <w:p w14:paraId="34DD54FD"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phagolysosome</w:t>
            </w:r>
          </w:p>
        </w:tc>
        <w:tc>
          <w:tcPr>
            <w:tcW w:w="799" w:type="dxa"/>
          </w:tcPr>
          <w:p w14:paraId="2A1238EA" w14:textId="0D420071"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w:t>
            </w:r>
          </w:p>
        </w:tc>
      </w:tr>
      <w:tr w:rsidR="00D00F20" w:rsidRPr="00791EF2" w14:paraId="4261A248"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F1BC45" w14:textId="77777777" w:rsidR="00D00F20" w:rsidRPr="00791EF2" w:rsidRDefault="00D00F20" w:rsidP="00A74445">
            <w:pPr>
              <w:rPr>
                <w:rFonts w:ascii="Times New Roman" w:hAnsi="Times New Roman" w:cs="Times New Roman"/>
                <w:b w:val="0"/>
                <w:bCs w:val="0"/>
              </w:rPr>
            </w:pPr>
            <w:r>
              <w:rPr>
                <w:rFonts w:ascii="Times New Roman" w:hAnsi="Times New Roman" w:cs="Times New Roman"/>
                <w:b w:val="0"/>
                <w:bCs w:val="0"/>
              </w:rPr>
              <w:t>1.2.4</w:t>
            </w:r>
          </w:p>
        </w:tc>
        <w:tc>
          <w:tcPr>
            <w:tcW w:w="7088" w:type="dxa"/>
          </w:tcPr>
          <w:p w14:paraId="06D09A35" w14:textId="77777777" w:rsidR="00D00F20" w:rsidRPr="00354FAB"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54FAB">
              <w:rPr>
                <w:rFonts w:ascii="Times New Roman" w:hAnsi="Times New Roman" w:cs="Times New Roman"/>
              </w:rPr>
              <w:t>Structures of stringent response inhibitors</w:t>
            </w:r>
          </w:p>
        </w:tc>
        <w:tc>
          <w:tcPr>
            <w:tcW w:w="799" w:type="dxa"/>
          </w:tcPr>
          <w:p w14:paraId="0BB88F64" w14:textId="77777777" w:rsidR="00D00F20" w:rsidRPr="00791EF2" w:rsidRDefault="00D00F20"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00F20" w:rsidRPr="00791EF2" w14:paraId="7CE5374B"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369B6B6A" w14:textId="77777777" w:rsidR="00D00F20" w:rsidRPr="00791EF2" w:rsidRDefault="00D00F20" w:rsidP="00A74445">
            <w:pPr>
              <w:rPr>
                <w:rFonts w:ascii="Times New Roman" w:hAnsi="Times New Roman" w:cs="Times New Roman"/>
                <w:b w:val="0"/>
                <w:bCs w:val="0"/>
              </w:rPr>
            </w:pPr>
          </w:p>
        </w:tc>
        <w:tc>
          <w:tcPr>
            <w:tcW w:w="7088" w:type="dxa"/>
          </w:tcPr>
          <w:p w14:paraId="03749163"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r w:rsidRPr="00791EF2">
              <w:rPr>
                <w:rFonts w:ascii="Times New Roman" w:hAnsi="Times New Roman" w:cs="Times New Roman"/>
                <w:b/>
                <w:bCs/>
                <w:i/>
                <w:iCs/>
              </w:rPr>
              <w:t>Chapter 2</w:t>
            </w:r>
          </w:p>
        </w:tc>
        <w:tc>
          <w:tcPr>
            <w:tcW w:w="799" w:type="dxa"/>
          </w:tcPr>
          <w:p w14:paraId="29FA2835" w14:textId="77777777" w:rsidR="00D00F20" w:rsidRPr="00791EF2" w:rsidRDefault="00D00F20"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00F20" w:rsidRPr="00791EF2" w14:paraId="5E2A24BF"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0872160"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3.2.1</w:t>
            </w:r>
          </w:p>
        </w:tc>
        <w:tc>
          <w:tcPr>
            <w:tcW w:w="7088" w:type="dxa"/>
          </w:tcPr>
          <w:p w14:paraId="5B180D5B"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i/>
                <w:iCs/>
              </w:rPr>
              <w:t>S. aureus</w:t>
            </w:r>
            <w:r w:rsidRPr="00791EF2">
              <w:rPr>
                <w:rFonts w:ascii="Times New Roman" w:hAnsi="Times New Roman" w:cs="Times New Roman"/>
              </w:rPr>
              <w:t xml:space="preserve"> (p)ppGpp-synthetase mutant strains grow similarly in rich media</w:t>
            </w:r>
          </w:p>
        </w:tc>
        <w:tc>
          <w:tcPr>
            <w:tcW w:w="799" w:type="dxa"/>
          </w:tcPr>
          <w:p w14:paraId="44C53FB7" w14:textId="012F9F46"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66</w:t>
            </w:r>
          </w:p>
        </w:tc>
      </w:tr>
      <w:tr w:rsidR="00D00F20" w:rsidRPr="00791EF2" w14:paraId="664CB722"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11D0A85A"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3.2.2</w:t>
            </w:r>
          </w:p>
        </w:tc>
        <w:tc>
          <w:tcPr>
            <w:tcW w:w="7088" w:type="dxa"/>
          </w:tcPr>
          <w:p w14:paraId="0CD74CEE"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91EF2">
              <w:rPr>
                <w:rFonts w:ascii="Times New Roman" w:hAnsi="Times New Roman" w:cs="Times New Roman"/>
              </w:rPr>
              <w:t>Characterisation of the (p)ppGpp-synthetase deletion mutants</w:t>
            </w:r>
          </w:p>
        </w:tc>
        <w:tc>
          <w:tcPr>
            <w:tcW w:w="799" w:type="dxa"/>
          </w:tcPr>
          <w:p w14:paraId="3AAEFDD5" w14:textId="1CCD6E16"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67</w:t>
            </w:r>
          </w:p>
        </w:tc>
      </w:tr>
      <w:tr w:rsidR="00D00F20" w:rsidRPr="00791EF2" w14:paraId="36CB2F54"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81A7CA1"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3.3.1</w:t>
            </w:r>
          </w:p>
        </w:tc>
        <w:tc>
          <w:tcPr>
            <w:tcW w:w="7088" w:type="dxa"/>
          </w:tcPr>
          <w:p w14:paraId="1B2BE7D6"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Cloning the (p)ppGpp enzymatic N-terminal domain into the integrative vectors pCL55-iTET and pCL55-iTET</w:t>
            </w:r>
            <w:r w:rsidRPr="00791EF2">
              <w:rPr>
                <w:rFonts w:ascii="Times New Roman" w:hAnsi="Times New Roman" w:cs="Times New Roman"/>
                <w:vertAlign w:val="subscript"/>
              </w:rPr>
              <w:t>r862</w:t>
            </w:r>
          </w:p>
        </w:tc>
        <w:tc>
          <w:tcPr>
            <w:tcW w:w="799" w:type="dxa"/>
          </w:tcPr>
          <w:p w14:paraId="7E69AAD2" w14:textId="28E9829A"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70</w:t>
            </w:r>
          </w:p>
        </w:tc>
      </w:tr>
      <w:tr w:rsidR="00D00F20" w:rsidRPr="00791EF2" w14:paraId="2A8307FE"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2BE378DE"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3.3.2</w:t>
            </w:r>
          </w:p>
        </w:tc>
        <w:tc>
          <w:tcPr>
            <w:tcW w:w="7088" w:type="dxa"/>
          </w:tcPr>
          <w:p w14:paraId="50A09DD6" w14:textId="1B73D4A6"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Mechanism and confirmation of the integration of the overproduction plasmids</w:t>
            </w:r>
          </w:p>
        </w:tc>
        <w:tc>
          <w:tcPr>
            <w:tcW w:w="799" w:type="dxa"/>
          </w:tcPr>
          <w:p w14:paraId="3CD3F5A1" w14:textId="49774827"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72</w:t>
            </w:r>
          </w:p>
        </w:tc>
      </w:tr>
      <w:tr w:rsidR="00D00F20" w:rsidRPr="00791EF2" w14:paraId="5D163760"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FD66154"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3.3.3</w:t>
            </w:r>
          </w:p>
        </w:tc>
        <w:tc>
          <w:tcPr>
            <w:tcW w:w="7088" w:type="dxa"/>
          </w:tcPr>
          <w:p w14:paraId="5E60CD59"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Characterisation of the (p)ppGpp overproduction strain</w:t>
            </w:r>
          </w:p>
        </w:tc>
        <w:tc>
          <w:tcPr>
            <w:tcW w:w="799" w:type="dxa"/>
          </w:tcPr>
          <w:p w14:paraId="42B2B6A9" w14:textId="2C6593B2"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w:t>
            </w:r>
          </w:p>
        </w:tc>
      </w:tr>
      <w:tr w:rsidR="00D00F20" w:rsidRPr="00791EF2" w14:paraId="60CDEDE6"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385750BE"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3.3.4</w:t>
            </w:r>
          </w:p>
        </w:tc>
        <w:tc>
          <w:tcPr>
            <w:tcW w:w="7088" w:type="dxa"/>
          </w:tcPr>
          <w:p w14:paraId="08C14DF6" w14:textId="45B1B7B3"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Characterisation and construction of alternative (p)ppGpp overproduction strains</w:t>
            </w:r>
          </w:p>
        </w:tc>
        <w:tc>
          <w:tcPr>
            <w:tcW w:w="799" w:type="dxa"/>
          </w:tcPr>
          <w:p w14:paraId="7AD88E09" w14:textId="5C681004"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77</w:t>
            </w:r>
          </w:p>
        </w:tc>
      </w:tr>
      <w:tr w:rsidR="00D00F20" w:rsidRPr="00791EF2" w14:paraId="02D57525"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72C697E"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3.4.1</w:t>
            </w:r>
          </w:p>
        </w:tc>
        <w:tc>
          <w:tcPr>
            <w:tcW w:w="7088" w:type="dxa"/>
          </w:tcPr>
          <w:p w14:paraId="5DD7F7EA"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Components of the riboswitch-Broccoli molecular (p)ppgpp biosensor</w:t>
            </w:r>
          </w:p>
        </w:tc>
        <w:tc>
          <w:tcPr>
            <w:tcW w:w="799" w:type="dxa"/>
          </w:tcPr>
          <w:p w14:paraId="414EB07D" w14:textId="41ED0AC2"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r>
      <w:tr w:rsidR="00D00F20" w:rsidRPr="00791EF2" w14:paraId="13A06FEA"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51FBB5BA"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3.4.2</w:t>
            </w:r>
          </w:p>
        </w:tc>
        <w:tc>
          <w:tcPr>
            <w:tcW w:w="7088" w:type="dxa"/>
          </w:tcPr>
          <w:p w14:paraId="40777DA2"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Construction of the Broccoli positive control and the riboswitch-Broccoli molecular (p)ppGpp biosensor using an integrative vector</w:t>
            </w:r>
          </w:p>
        </w:tc>
        <w:tc>
          <w:tcPr>
            <w:tcW w:w="799" w:type="dxa"/>
          </w:tcPr>
          <w:p w14:paraId="431B9142" w14:textId="6E52EEA5"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83</w:t>
            </w:r>
          </w:p>
        </w:tc>
      </w:tr>
      <w:tr w:rsidR="00D00F20" w:rsidRPr="00791EF2" w14:paraId="4E9ECF6B"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CF21CCF"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3.4.3</w:t>
            </w:r>
          </w:p>
        </w:tc>
        <w:tc>
          <w:tcPr>
            <w:tcW w:w="7088" w:type="dxa"/>
          </w:tcPr>
          <w:p w14:paraId="3F47D889"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i/>
                <w:iCs/>
              </w:rPr>
              <w:t>In vitro</w:t>
            </w:r>
            <w:r w:rsidRPr="00791EF2">
              <w:rPr>
                <w:rFonts w:ascii="Times New Roman" w:hAnsi="Times New Roman" w:cs="Times New Roman"/>
              </w:rPr>
              <w:t xml:space="preserve"> and </w:t>
            </w:r>
            <w:r w:rsidRPr="00791EF2">
              <w:rPr>
                <w:rFonts w:ascii="Times New Roman" w:hAnsi="Times New Roman" w:cs="Times New Roman"/>
                <w:i/>
                <w:iCs/>
              </w:rPr>
              <w:t>in vivo</w:t>
            </w:r>
            <w:r w:rsidRPr="00791EF2">
              <w:rPr>
                <w:rFonts w:ascii="Times New Roman" w:hAnsi="Times New Roman" w:cs="Times New Roman"/>
              </w:rPr>
              <w:t xml:space="preserve"> characterisation of the riboswitch-Broccoli molecular (p)ppGpp biosensor using an integrative plasmid</w:t>
            </w:r>
          </w:p>
        </w:tc>
        <w:tc>
          <w:tcPr>
            <w:tcW w:w="799" w:type="dxa"/>
          </w:tcPr>
          <w:p w14:paraId="424AE778" w14:textId="788137DD"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85</w:t>
            </w:r>
          </w:p>
        </w:tc>
      </w:tr>
      <w:tr w:rsidR="00D00F20" w:rsidRPr="00791EF2" w14:paraId="0A64541F"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3D881A22"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3.4.4</w:t>
            </w:r>
          </w:p>
        </w:tc>
        <w:tc>
          <w:tcPr>
            <w:tcW w:w="7088" w:type="dxa"/>
          </w:tcPr>
          <w:p w14:paraId="295F5129" w14:textId="52B79654"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91EF2">
              <w:rPr>
                <w:rFonts w:ascii="Times New Roman" w:hAnsi="Times New Roman" w:cs="Times New Roman"/>
              </w:rPr>
              <w:t>Construction of the Broccoli positive control and the riboswitch-Broccoli molecular (p)ppGpp biosensor using an multicopy plasmid</w:t>
            </w:r>
          </w:p>
        </w:tc>
        <w:tc>
          <w:tcPr>
            <w:tcW w:w="799" w:type="dxa"/>
          </w:tcPr>
          <w:p w14:paraId="48B95E52" w14:textId="5D35FB3F"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87</w:t>
            </w:r>
          </w:p>
        </w:tc>
      </w:tr>
      <w:tr w:rsidR="00D00F20" w:rsidRPr="00791EF2" w14:paraId="3269F9CD"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5FBE50E"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3.4.5</w:t>
            </w:r>
          </w:p>
        </w:tc>
        <w:tc>
          <w:tcPr>
            <w:tcW w:w="7088" w:type="dxa"/>
          </w:tcPr>
          <w:p w14:paraId="6B8F21F9" w14:textId="4DE12E3C"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riboswitch-Broccoli molecular (p)ppGpp biosensor (multicopy plasmid) does not fluoresce in response to amino acid stress</w:t>
            </w:r>
          </w:p>
        </w:tc>
        <w:tc>
          <w:tcPr>
            <w:tcW w:w="799" w:type="dxa"/>
          </w:tcPr>
          <w:p w14:paraId="6D175021" w14:textId="0FFD0599"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88</w:t>
            </w:r>
          </w:p>
        </w:tc>
      </w:tr>
      <w:tr w:rsidR="00D00F20" w:rsidRPr="00791EF2" w14:paraId="034FE695"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26A0F209"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3.4.6</w:t>
            </w:r>
          </w:p>
        </w:tc>
        <w:tc>
          <w:tcPr>
            <w:tcW w:w="7088" w:type="dxa"/>
          </w:tcPr>
          <w:p w14:paraId="0771FE77"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Construction of the dual promoter-reporter fusion plasmids.</w:t>
            </w:r>
          </w:p>
        </w:tc>
        <w:tc>
          <w:tcPr>
            <w:tcW w:w="799" w:type="dxa"/>
          </w:tcPr>
          <w:p w14:paraId="3B3BE1BD" w14:textId="58DB5D1E"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w:t>
            </w:r>
          </w:p>
        </w:tc>
      </w:tr>
      <w:tr w:rsidR="00D00F20" w:rsidRPr="00791EF2" w14:paraId="6C76191A"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B4D8A38"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3.4.7</w:t>
            </w:r>
          </w:p>
        </w:tc>
        <w:tc>
          <w:tcPr>
            <w:tcW w:w="7088" w:type="dxa"/>
          </w:tcPr>
          <w:p w14:paraId="58BC40A4" w14:textId="680EE8E2"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Transcriptional activity of the dual promoter-reporter fusion during amino acid stress</w:t>
            </w:r>
          </w:p>
        </w:tc>
        <w:tc>
          <w:tcPr>
            <w:tcW w:w="799" w:type="dxa"/>
          </w:tcPr>
          <w:p w14:paraId="4908AA32" w14:textId="1ED29CAE"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92</w:t>
            </w:r>
          </w:p>
        </w:tc>
      </w:tr>
      <w:tr w:rsidR="00D00F20" w:rsidRPr="00791EF2" w14:paraId="16D8AC05"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09ADEB97"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3.4.8.</w:t>
            </w:r>
          </w:p>
        </w:tc>
        <w:tc>
          <w:tcPr>
            <w:tcW w:w="7088" w:type="dxa"/>
          </w:tcPr>
          <w:p w14:paraId="7033BE1E" w14:textId="1F09142C"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Construction and characterisation of the synthetase-GFP fusions</w:t>
            </w:r>
          </w:p>
        </w:tc>
        <w:tc>
          <w:tcPr>
            <w:tcW w:w="799" w:type="dxa"/>
          </w:tcPr>
          <w:p w14:paraId="0C1182EE" w14:textId="4EE19355"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94</w:t>
            </w:r>
          </w:p>
        </w:tc>
      </w:tr>
      <w:tr w:rsidR="00D00F20" w:rsidRPr="00791EF2" w14:paraId="52AB6086"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14C0134" w14:textId="77777777" w:rsidR="00D00F20" w:rsidRPr="00791EF2" w:rsidRDefault="00D00F20" w:rsidP="00A74445">
            <w:pPr>
              <w:rPr>
                <w:rFonts w:ascii="Times New Roman" w:hAnsi="Times New Roman" w:cs="Times New Roman"/>
                <w:b w:val="0"/>
                <w:bCs w:val="0"/>
              </w:rPr>
            </w:pPr>
          </w:p>
        </w:tc>
        <w:tc>
          <w:tcPr>
            <w:tcW w:w="7088" w:type="dxa"/>
          </w:tcPr>
          <w:p w14:paraId="2BD6E303"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791EF2">
              <w:rPr>
                <w:rFonts w:ascii="Times New Roman" w:hAnsi="Times New Roman" w:cs="Times New Roman"/>
                <w:b/>
                <w:bCs/>
                <w:i/>
                <w:iCs/>
              </w:rPr>
              <w:t>Chapter 4</w:t>
            </w:r>
          </w:p>
        </w:tc>
        <w:tc>
          <w:tcPr>
            <w:tcW w:w="799" w:type="dxa"/>
          </w:tcPr>
          <w:p w14:paraId="6DCFA9A0" w14:textId="77777777" w:rsidR="00D00F20" w:rsidRPr="00791EF2" w:rsidRDefault="00D00F20"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00F20" w:rsidRPr="00791EF2" w14:paraId="7371B474"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13A2E932"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4.2.1</w:t>
            </w:r>
          </w:p>
        </w:tc>
        <w:tc>
          <w:tcPr>
            <w:tcW w:w="7088" w:type="dxa"/>
          </w:tcPr>
          <w:p w14:paraId="6BD8E7F2" w14:textId="6FDCA820"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 xml:space="preserve">Antimicrobial activity of 12 </w:t>
            </w:r>
            <w:r w:rsidRPr="00791EF2">
              <w:rPr>
                <w:rFonts w:ascii="Times New Roman" w:hAnsi="Times New Roman" w:cs="Times New Roman"/>
                <w:lang w:val="el-GR"/>
              </w:rPr>
              <w:t>μ</w:t>
            </w:r>
            <w:r w:rsidRPr="00791EF2">
              <w:rPr>
                <w:rFonts w:ascii="Times New Roman" w:hAnsi="Times New Roman" w:cs="Times New Roman"/>
              </w:rPr>
              <w:t>M LL-37 and 32-64</w:t>
            </w:r>
            <w:r w:rsidRPr="00791EF2">
              <w:rPr>
                <w:rFonts w:ascii="Times New Roman" w:hAnsi="Times New Roman" w:cs="Times New Roman"/>
                <w:i/>
                <w:iCs/>
              </w:rPr>
              <w:t xml:space="preserve"> </w:t>
            </w:r>
            <w:r w:rsidRPr="00791EF2">
              <w:rPr>
                <w:rFonts w:ascii="Times New Roman" w:hAnsi="Times New Roman" w:cs="Times New Roman"/>
                <w:lang w:val="el-GR"/>
              </w:rPr>
              <w:t>μ</w:t>
            </w:r>
            <w:r w:rsidRPr="00791EF2">
              <w:rPr>
                <w:rFonts w:ascii="Times New Roman" w:hAnsi="Times New Roman" w:cs="Times New Roman"/>
              </w:rPr>
              <w:t xml:space="preserve">g/ml polymyxin B against </w:t>
            </w:r>
            <w:r w:rsidRPr="00791EF2">
              <w:rPr>
                <w:rFonts w:ascii="Times New Roman" w:hAnsi="Times New Roman" w:cs="Times New Roman"/>
                <w:i/>
                <w:iCs/>
              </w:rPr>
              <w:t>S. aureus</w:t>
            </w:r>
            <w:r w:rsidRPr="00791EF2">
              <w:rPr>
                <w:rFonts w:ascii="Times New Roman" w:hAnsi="Times New Roman" w:cs="Times New Roman"/>
              </w:rPr>
              <w:t xml:space="preserve"> reveals no difference in growth between WT, stringent response mutants and </w:t>
            </w:r>
            <w:r w:rsidR="001108C9" w:rsidRPr="000B3602">
              <w:rPr>
                <w:rFonts w:ascii="Times New Roman" w:hAnsi="Times New Roman" w:cs="Times New Roman"/>
                <w:i/>
                <w:iCs/>
              </w:rPr>
              <w:t>codY</w:t>
            </w:r>
            <w:r w:rsidR="001108C9" w:rsidRPr="000B3602">
              <w:rPr>
                <w:rFonts w:ascii="Times New Roman" w:hAnsi="Times New Roman" w:cs="Times New Roman"/>
              </w:rPr>
              <w:t>::Tn</w:t>
            </w:r>
          </w:p>
        </w:tc>
        <w:tc>
          <w:tcPr>
            <w:tcW w:w="799" w:type="dxa"/>
          </w:tcPr>
          <w:p w14:paraId="7B47255F" w14:textId="76AD97FF"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102</w:t>
            </w:r>
          </w:p>
        </w:tc>
      </w:tr>
      <w:tr w:rsidR="00D00F20" w:rsidRPr="00791EF2" w14:paraId="1D891347"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C24CB96"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4.2.2</w:t>
            </w:r>
          </w:p>
        </w:tc>
        <w:tc>
          <w:tcPr>
            <w:tcW w:w="7088" w:type="dxa"/>
          </w:tcPr>
          <w:p w14:paraId="5AA326A9" w14:textId="50ED1C93"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(p)ppGpp</w:t>
            </w:r>
            <w:r w:rsidRPr="00791EF2">
              <w:rPr>
                <w:rFonts w:ascii="Times New Roman" w:hAnsi="Times New Roman" w:cs="Times New Roman"/>
                <w:vertAlign w:val="superscript"/>
              </w:rPr>
              <w:t xml:space="preserve">0 </w:t>
            </w:r>
            <w:r w:rsidRPr="00791EF2">
              <w:rPr>
                <w:rFonts w:ascii="Times New Roman" w:hAnsi="Times New Roman" w:cs="Times New Roman"/>
              </w:rPr>
              <w:t>displays a slight growth defect during acid stress</w:t>
            </w:r>
          </w:p>
        </w:tc>
        <w:tc>
          <w:tcPr>
            <w:tcW w:w="799" w:type="dxa"/>
          </w:tcPr>
          <w:p w14:paraId="400F1443" w14:textId="2973E0BD"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w:t>
            </w:r>
          </w:p>
        </w:tc>
      </w:tr>
      <w:tr w:rsidR="00D00F20" w:rsidRPr="00791EF2" w14:paraId="1FEDE661"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2EB54277"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4.2.3</w:t>
            </w:r>
          </w:p>
        </w:tc>
        <w:tc>
          <w:tcPr>
            <w:tcW w:w="7088" w:type="dxa"/>
          </w:tcPr>
          <w:p w14:paraId="7AC3A77E"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Biolog Phenotype MicroArray PM10 plate map</w:t>
            </w:r>
          </w:p>
        </w:tc>
        <w:tc>
          <w:tcPr>
            <w:tcW w:w="799" w:type="dxa"/>
          </w:tcPr>
          <w:p w14:paraId="3EFD8BED" w14:textId="584CA45B"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106</w:t>
            </w:r>
          </w:p>
        </w:tc>
      </w:tr>
      <w:tr w:rsidR="00D00F20" w:rsidRPr="00791EF2" w14:paraId="3E943F21"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4ABE491"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4.2.4</w:t>
            </w:r>
          </w:p>
        </w:tc>
        <w:tc>
          <w:tcPr>
            <w:tcW w:w="7088" w:type="dxa"/>
          </w:tcPr>
          <w:p w14:paraId="516C5389"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Growth of JE2 and the (p)ppGpp</w:t>
            </w:r>
            <w:r w:rsidRPr="00791EF2">
              <w:rPr>
                <w:rFonts w:ascii="Times New Roman" w:hAnsi="Times New Roman" w:cs="Times New Roman"/>
                <w:vertAlign w:val="superscript"/>
              </w:rPr>
              <w:t xml:space="preserve">0 </w:t>
            </w:r>
            <w:r w:rsidRPr="00791EF2">
              <w:rPr>
                <w:rFonts w:ascii="Times New Roman" w:hAnsi="Times New Roman" w:cs="Times New Roman"/>
              </w:rPr>
              <w:t>mutant under different pH in a Biolog Phenotype MicroArray PM10 plate</w:t>
            </w:r>
          </w:p>
        </w:tc>
        <w:tc>
          <w:tcPr>
            <w:tcW w:w="799" w:type="dxa"/>
          </w:tcPr>
          <w:p w14:paraId="43CD85D6" w14:textId="04E0AD5A"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107</w:t>
            </w:r>
          </w:p>
        </w:tc>
      </w:tr>
      <w:tr w:rsidR="00D00F20" w:rsidRPr="00791EF2" w14:paraId="123651E4"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5846AD67"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4.2.5</w:t>
            </w:r>
          </w:p>
        </w:tc>
        <w:tc>
          <w:tcPr>
            <w:tcW w:w="7088" w:type="dxa"/>
          </w:tcPr>
          <w:p w14:paraId="2A772F25"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Tolerance of the (p)ppGpp</w:t>
            </w:r>
            <w:r w:rsidRPr="00791EF2">
              <w:rPr>
                <w:rFonts w:ascii="Times New Roman" w:hAnsi="Times New Roman" w:cs="Times New Roman"/>
                <w:vertAlign w:val="superscript"/>
              </w:rPr>
              <w:t xml:space="preserve">0 </w:t>
            </w:r>
            <w:r w:rsidRPr="00791EF2">
              <w:rPr>
                <w:rFonts w:ascii="Times New Roman" w:hAnsi="Times New Roman" w:cs="Times New Roman"/>
              </w:rPr>
              <w:t>mutant to itaconic acid stress is reduced in comparison to WT</w:t>
            </w:r>
          </w:p>
        </w:tc>
        <w:tc>
          <w:tcPr>
            <w:tcW w:w="799" w:type="dxa"/>
          </w:tcPr>
          <w:p w14:paraId="39587968" w14:textId="084C0CBF"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109</w:t>
            </w:r>
          </w:p>
        </w:tc>
      </w:tr>
      <w:tr w:rsidR="00D00F20" w:rsidRPr="00791EF2" w14:paraId="33861B42"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8F059C4"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4.2.6</w:t>
            </w:r>
          </w:p>
        </w:tc>
        <w:tc>
          <w:tcPr>
            <w:tcW w:w="7088" w:type="dxa"/>
          </w:tcPr>
          <w:p w14:paraId="47B0880C"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antimicrobial effects of itaconic acid are due to its ability to decrease the pH of bacterial culture</w:t>
            </w:r>
          </w:p>
        </w:tc>
        <w:tc>
          <w:tcPr>
            <w:tcW w:w="799" w:type="dxa"/>
          </w:tcPr>
          <w:p w14:paraId="5A601803" w14:textId="750F85FE"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110</w:t>
            </w:r>
          </w:p>
        </w:tc>
      </w:tr>
      <w:tr w:rsidR="00D00F20" w:rsidRPr="00791EF2" w14:paraId="38B4CB1D"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3AD08998"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4.2.7</w:t>
            </w:r>
          </w:p>
        </w:tc>
        <w:tc>
          <w:tcPr>
            <w:tcW w:w="7088" w:type="dxa"/>
          </w:tcPr>
          <w:p w14:paraId="6D3B6528"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Tolerance of the (p)ppGpp</w:t>
            </w:r>
            <w:r w:rsidRPr="00791EF2">
              <w:rPr>
                <w:rFonts w:ascii="Times New Roman" w:hAnsi="Times New Roman" w:cs="Times New Roman"/>
                <w:vertAlign w:val="superscript"/>
              </w:rPr>
              <w:t xml:space="preserve">0 </w:t>
            </w:r>
            <w:r w:rsidRPr="00791EF2">
              <w:rPr>
                <w:rFonts w:ascii="Times New Roman" w:hAnsi="Times New Roman" w:cs="Times New Roman"/>
              </w:rPr>
              <w:t>mutant to reactive oxygen species found within professional phagocytes is reduced in comparison to WT</w:t>
            </w:r>
          </w:p>
        </w:tc>
        <w:tc>
          <w:tcPr>
            <w:tcW w:w="799" w:type="dxa"/>
          </w:tcPr>
          <w:p w14:paraId="1AA4A0AD" w14:textId="255CD166"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111</w:t>
            </w:r>
          </w:p>
        </w:tc>
      </w:tr>
      <w:tr w:rsidR="00D00F20" w:rsidRPr="00791EF2" w14:paraId="5B9FDC98"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AE0EF34"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4.2.8</w:t>
            </w:r>
          </w:p>
        </w:tc>
        <w:tc>
          <w:tcPr>
            <w:tcW w:w="7088" w:type="dxa"/>
          </w:tcPr>
          <w:p w14:paraId="7245654B"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 xml:space="preserve">Tolerance of </w:t>
            </w:r>
            <w:r w:rsidRPr="00791EF2">
              <w:rPr>
                <w:rFonts w:ascii="Times New Roman" w:hAnsi="Times New Roman" w:cs="Times New Roman"/>
                <w:i/>
                <w:iCs/>
              </w:rPr>
              <w:t xml:space="preserve">S. aureus </w:t>
            </w:r>
            <w:r w:rsidRPr="00791EF2">
              <w:rPr>
                <w:rFonts w:ascii="Times New Roman" w:hAnsi="Times New Roman" w:cs="Times New Roman"/>
              </w:rPr>
              <w:t>to stressors found within professional phagocytes is increased in the presence of surplus (p)ppGpp</w:t>
            </w:r>
          </w:p>
        </w:tc>
        <w:tc>
          <w:tcPr>
            <w:tcW w:w="799" w:type="dxa"/>
          </w:tcPr>
          <w:p w14:paraId="6B4BF26B" w14:textId="193F4D2B"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112</w:t>
            </w:r>
          </w:p>
        </w:tc>
      </w:tr>
      <w:tr w:rsidR="00D00F20" w:rsidRPr="00791EF2" w14:paraId="3B6653B7"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1EDE9873"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4.2.9</w:t>
            </w:r>
          </w:p>
        </w:tc>
        <w:tc>
          <w:tcPr>
            <w:tcW w:w="7088" w:type="dxa"/>
          </w:tcPr>
          <w:p w14:paraId="5C8B3676"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(p)ppGpp produced by Rel and RelP are sufficient to tolerate oxidative stress however only RelP is required to tolerate acid stress</w:t>
            </w:r>
          </w:p>
        </w:tc>
        <w:tc>
          <w:tcPr>
            <w:tcW w:w="799" w:type="dxa"/>
          </w:tcPr>
          <w:p w14:paraId="63B54008" w14:textId="2AF79464"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114</w:t>
            </w:r>
          </w:p>
        </w:tc>
      </w:tr>
      <w:tr w:rsidR="00D00F20" w:rsidRPr="00791EF2" w14:paraId="0F880CF4"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FA66108"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lastRenderedPageBreak/>
              <w:t>4.2.10</w:t>
            </w:r>
          </w:p>
        </w:tc>
        <w:tc>
          <w:tcPr>
            <w:tcW w:w="7088" w:type="dxa"/>
          </w:tcPr>
          <w:p w14:paraId="0CE549AC"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absence of CodY restores tolerance of the (p)ppGpp</w:t>
            </w:r>
            <w:r w:rsidRPr="00791EF2">
              <w:rPr>
                <w:rFonts w:ascii="Times New Roman" w:hAnsi="Times New Roman" w:cs="Times New Roman"/>
                <w:vertAlign w:val="superscript"/>
              </w:rPr>
              <w:t>0</w:t>
            </w:r>
            <w:r w:rsidRPr="00791EF2">
              <w:rPr>
                <w:rFonts w:ascii="Times New Roman" w:hAnsi="Times New Roman" w:cs="Times New Roman"/>
                <w:i/>
                <w:iCs/>
              </w:rPr>
              <w:t xml:space="preserve"> </w:t>
            </w:r>
            <w:r w:rsidRPr="00791EF2">
              <w:rPr>
                <w:rFonts w:ascii="Times New Roman" w:hAnsi="Times New Roman" w:cs="Times New Roman"/>
              </w:rPr>
              <w:t>null</w:t>
            </w:r>
            <w:r w:rsidRPr="00791EF2">
              <w:rPr>
                <w:rFonts w:ascii="Times New Roman" w:hAnsi="Times New Roman" w:cs="Times New Roman"/>
                <w:i/>
                <w:iCs/>
              </w:rPr>
              <w:t xml:space="preserve"> </w:t>
            </w:r>
            <w:r w:rsidRPr="00791EF2">
              <w:rPr>
                <w:rFonts w:ascii="Times New Roman" w:hAnsi="Times New Roman" w:cs="Times New Roman"/>
              </w:rPr>
              <w:t>mutant to WT levels in the presence of itaconic acid and H</w:t>
            </w:r>
            <w:r w:rsidRPr="00791EF2">
              <w:rPr>
                <w:rFonts w:ascii="Times New Roman" w:hAnsi="Times New Roman" w:cs="Times New Roman"/>
                <w:vertAlign w:val="subscript"/>
              </w:rPr>
              <w:t>2</w:t>
            </w:r>
            <w:r w:rsidRPr="00791EF2">
              <w:rPr>
                <w:rFonts w:ascii="Times New Roman" w:hAnsi="Times New Roman" w:cs="Times New Roman"/>
              </w:rPr>
              <w:t>O</w:t>
            </w:r>
            <w:r w:rsidRPr="00791EF2">
              <w:rPr>
                <w:rFonts w:ascii="Times New Roman" w:hAnsi="Times New Roman" w:cs="Times New Roman"/>
                <w:vertAlign w:val="subscript"/>
              </w:rPr>
              <w:t>2</w:t>
            </w:r>
            <w:r w:rsidRPr="00791EF2">
              <w:rPr>
                <w:rFonts w:ascii="Times New Roman" w:hAnsi="Times New Roman" w:cs="Times New Roman"/>
              </w:rPr>
              <w:t xml:space="preserve"> </w:t>
            </w:r>
            <w:r w:rsidRPr="00791EF2">
              <w:rPr>
                <w:rFonts w:ascii="Times New Roman" w:hAnsi="Times New Roman" w:cs="Times New Roman"/>
                <w:i/>
                <w:iCs/>
              </w:rPr>
              <w:t>in vitro</w:t>
            </w:r>
          </w:p>
        </w:tc>
        <w:tc>
          <w:tcPr>
            <w:tcW w:w="799" w:type="dxa"/>
          </w:tcPr>
          <w:p w14:paraId="53481630" w14:textId="22E5B70C"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115</w:t>
            </w:r>
          </w:p>
        </w:tc>
      </w:tr>
      <w:tr w:rsidR="00D00F20" w:rsidRPr="00791EF2" w14:paraId="434E6B7C"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71659420" w14:textId="77777777" w:rsidR="00D00F20" w:rsidRPr="00791EF2" w:rsidRDefault="00D00F20" w:rsidP="00A74445">
            <w:pPr>
              <w:rPr>
                <w:rFonts w:ascii="Times New Roman" w:hAnsi="Times New Roman" w:cs="Times New Roman"/>
                <w:b w:val="0"/>
                <w:bCs w:val="0"/>
              </w:rPr>
            </w:pPr>
          </w:p>
        </w:tc>
        <w:tc>
          <w:tcPr>
            <w:tcW w:w="7088" w:type="dxa"/>
          </w:tcPr>
          <w:p w14:paraId="60F08543"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r w:rsidRPr="00791EF2">
              <w:rPr>
                <w:rFonts w:ascii="Times New Roman" w:hAnsi="Times New Roman" w:cs="Times New Roman"/>
                <w:b/>
                <w:bCs/>
                <w:i/>
                <w:iCs/>
              </w:rPr>
              <w:t>Chapter 5</w:t>
            </w:r>
          </w:p>
        </w:tc>
        <w:tc>
          <w:tcPr>
            <w:tcW w:w="799" w:type="dxa"/>
          </w:tcPr>
          <w:p w14:paraId="06353C13" w14:textId="77777777" w:rsidR="00D00F20" w:rsidRPr="00791EF2" w:rsidRDefault="00D00F20"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00F20" w:rsidRPr="00791EF2" w14:paraId="07B003FD"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27E51EF"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5.2.1</w:t>
            </w:r>
          </w:p>
        </w:tc>
        <w:tc>
          <w:tcPr>
            <w:tcW w:w="7088" w:type="dxa"/>
          </w:tcPr>
          <w:p w14:paraId="331A0827" w14:textId="336E1A0E"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JE2 WT and the (p)ppGpp</w:t>
            </w:r>
            <w:r w:rsidRPr="00791EF2">
              <w:rPr>
                <w:rFonts w:ascii="Times New Roman" w:hAnsi="Times New Roman" w:cs="Times New Roman"/>
                <w:vertAlign w:val="superscript"/>
              </w:rPr>
              <w:t xml:space="preserve">0 </w:t>
            </w:r>
            <w:r w:rsidRPr="00791EF2">
              <w:rPr>
                <w:rFonts w:ascii="Times New Roman" w:hAnsi="Times New Roman" w:cs="Times New Roman"/>
              </w:rPr>
              <w:t>mutant are killed similarly by RAW 264.7 murine macrophages</w:t>
            </w:r>
          </w:p>
        </w:tc>
        <w:tc>
          <w:tcPr>
            <w:tcW w:w="799" w:type="dxa"/>
          </w:tcPr>
          <w:p w14:paraId="08B7A134" w14:textId="02D73CE3"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122</w:t>
            </w:r>
          </w:p>
        </w:tc>
      </w:tr>
      <w:tr w:rsidR="00D00F20" w:rsidRPr="00791EF2" w14:paraId="1A2417E1"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0695A7F4"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5.2.2</w:t>
            </w:r>
          </w:p>
        </w:tc>
        <w:tc>
          <w:tcPr>
            <w:tcW w:w="7088" w:type="dxa"/>
          </w:tcPr>
          <w:p w14:paraId="3658E11B"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 xml:space="preserve">Optimisation of </w:t>
            </w:r>
            <w:r w:rsidRPr="00791EF2">
              <w:rPr>
                <w:rFonts w:ascii="Times New Roman" w:hAnsi="Times New Roman" w:cs="Times New Roman"/>
                <w:i/>
                <w:iCs/>
              </w:rPr>
              <w:t xml:space="preserve">S. aureus </w:t>
            </w:r>
            <w:r w:rsidRPr="00791EF2">
              <w:rPr>
                <w:rFonts w:ascii="Times New Roman" w:hAnsi="Times New Roman" w:cs="Times New Roman"/>
              </w:rPr>
              <w:t>uptake by RAW 264.7 murine macrophages</w:t>
            </w:r>
          </w:p>
        </w:tc>
        <w:tc>
          <w:tcPr>
            <w:tcW w:w="799" w:type="dxa"/>
          </w:tcPr>
          <w:p w14:paraId="0AC09BC2" w14:textId="7734CBFA"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123</w:t>
            </w:r>
          </w:p>
        </w:tc>
      </w:tr>
      <w:tr w:rsidR="00D00F20" w:rsidRPr="00791EF2" w14:paraId="7738654A"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5B4C144"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5.2.3</w:t>
            </w:r>
          </w:p>
        </w:tc>
        <w:tc>
          <w:tcPr>
            <w:tcW w:w="7088" w:type="dxa"/>
          </w:tcPr>
          <w:p w14:paraId="32674630" w14:textId="21EA5F15"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JE2 WT and the (p)ppGpp</w:t>
            </w:r>
            <w:r w:rsidRPr="00791EF2">
              <w:rPr>
                <w:rFonts w:ascii="Times New Roman" w:hAnsi="Times New Roman" w:cs="Times New Roman"/>
                <w:vertAlign w:val="superscript"/>
              </w:rPr>
              <w:t xml:space="preserve">0 </w:t>
            </w:r>
            <w:r w:rsidRPr="00791EF2">
              <w:rPr>
                <w:rFonts w:ascii="Times New Roman" w:hAnsi="Times New Roman" w:cs="Times New Roman"/>
              </w:rPr>
              <w:t>mutant are killed similarly by RAW 264.7 murine macrophages</w:t>
            </w:r>
          </w:p>
        </w:tc>
        <w:tc>
          <w:tcPr>
            <w:tcW w:w="799" w:type="dxa"/>
          </w:tcPr>
          <w:p w14:paraId="3EFC7C46" w14:textId="45BA8203"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124</w:t>
            </w:r>
          </w:p>
        </w:tc>
      </w:tr>
      <w:tr w:rsidR="00D00F20" w:rsidRPr="00791EF2" w14:paraId="49AB3DE2"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4992BC3F"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5.3.1</w:t>
            </w:r>
          </w:p>
        </w:tc>
        <w:tc>
          <w:tcPr>
            <w:tcW w:w="7088" w:type="dxa"/>
          </w:tcPr>
          <w:p w14:paraId="1D4C9A2D"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The Rel-GFP synthetase fusions do not fluoresce in the presence of mupirocin or intracellularly within MDMs</w:t>
            </w:r>
          </w:p>
        </w:tc>
        <w:tc>
          <w:tcPr>
            <w:tcW w:w="799" w:type="dxa"/>
          </w:tcPr>
          <w:p w14:paraId="1EC3694C" w14:textId="3EBCE94D"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127</w:t>
            </w:r>
          </w:p>
        </w:tc>
      </w:tr>
      <w:tr w:rsidR="00D00F20" w:rsidRPr="00791EF2" w14:paraId="67216783"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971E68F"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5.4.1</w:t>
            </w:r>
          </w:p>
        </w:tc>
        <w:tc>
          <w:tcPr>
            <w:tcW w:w="7088" w:type="dxa"/>
          </w:tcPr>
          <w:p w14:paraId="31A6E586" w14:textId="1C670DB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JE2 WT displays enhanced replication in comparison to the (p)ppGpp</w:t>
            </w:r>
            <w:r w:rsidRPr="00791EF2">
              <w:rPr>
                <w:rFonts w:ascii="Times New Roman" w:hAnsi="Times New Roman" w:cs="Times New Roman"/>
                <w:vertAlign w:val="superscript"/>
              </w:rPr>
              <w:t xml:space="preserve">0 </w:t>
            </w:r>
            <w:r w:rsidRPr="00791EF2">
              <w:rPr>
                <w:rFonts w:ascii="Times New Roman" w:hAnsi="Times New Roman" w:cs="Times New Roman"/>
              </w:rPr>
              <w:t>mutant in human tonsillar epithelial cells during both stationary and exponential growth phases</w:t>
            </w:r>
          </w:p>
        </w:tc>
        <w:tc>
          <w:tcPr>
            <w:tcW w:w="799" w:type="dxa"/>
          </w:tcPr>
          <w:p w14:paraId="6AC01CE5" w14:textId="363D3F05"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129</w:t>
            </w:r>
          </w:p>
        </w:tc>
      </w:tr>
      <w:tr w:rsidR="00D00F20" w:rsidRPr="00791EF2" w14:paraId="13C9A969"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078D0321"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5.5.1</w:t>
            </w:r>
          </w:p>
        </w:tc>
        <w:tc>
          <w:tcPr>
            <w:tcW w:w="7088" w:type="dxa"/>
          </w:tcPr>
          <w:p w14:paraId="47BDCA1A" w14:textId="77777777"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Optimisation of zebrafish embryo injections into the circulation valley</w:t>
            </w:r>
          </w:p>
        </w:tc>
        <w:tc>
          <w:tcPr>
            <w:tcW w:w="799" w:type="dxa"/>
          </w:tcPr>
          <w:p w14:paraId="56FF1B5D" w14:textId="509D7160"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131</w:t>
            </w:r>
          </w:p>
        </w:tc>
      </w:tr>
      <w:tr w:rsidR="00D00F20" w:rsidRPr="00791EF2" w14:paraId="150EBBFB"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A74E6D4"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5.5.2</w:t>
            </w:r>
          </w:p>
        </w:tc>
        <w:tc>
          <w:tcPr>
            <w:tcW w:w="7088" w:type="dxa"/>
          </w:tcPr>
          <w:p w14:paraId="31C82A02"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Injection into the pericardial cavity results in systemic infection</w:t>
            </w:r>
          </w:p>
        </w:tc>
        <w:tc>
          <w:tcPr>
            <w:tcW w:w="799" w:type="dxa"/>
          </w:tcPr>
          <w:p w14:paraId="67006425" w14:textId="73237A8F"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132</w:t>
            </w:r>
          </w:p>
        </w:tc>
      </w:tr>
      <w:tr w:rsidR="00D00F20" w:rsidRPr="00791EF2" w14:paraId="3986B3A2"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714E4C2B"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5.5.3</w:t>
            </w:r>
          </w:p>
        </w:tc>
        <w:tc>
          <w:tcPr>
            <w:tcW w:w="7088" w:type="dxa"/>
          </w:tcPr>
          <w:p w14:paraId="63CD1278" w14:textId="3885E758"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 xml:space="preserve">Systemic infection of zebrafish embryos with </w:t>
            </w:r>
            <w:r w:rsidRPr="00791EF2">
              <w:rPr>
                <w:rFonts w:ascii="Times New Roman" w:hAnsi="Times New Roman" w:cs="Times New Roman"/>
                <w:i/>
                <w:iCs/>
              </w:rPr>
              <w:t>S. aureus</w:t>
            </w:r>
            <w:r w:rsidRPr="00791EF2">
              <w:rPr>
                <w:rFonts w:ascii="Times New Roman" w:hAnsi="Times New Roman" w:cs="Times New Roman"/>
              </w:rPr>
              <w:t xml:space="preserve"> (p)ppGpp</w:t>
            </w:r>
            <w:r w:rsidRPr="00791EF2">
              <w:rPr>
                <w:rFonts w:ascii="Times New Roman" w:hAnsi="Times New Roman" w:cs="Times New Roman"/>
                <w:vertAlign w:val="superscript"/>
              </w:rPr>
              <w:t xml:space="preserve">0 </w:t>
            </w:r>
            <w:r w:rsidRPr="00791EF2">
              <w:rPr>
                <w:rFonts w:ascii="Times New Roman" w:hAnsi="Times New Roman" w:cs="Times New Roman"/>
              </w:rPr>
              <w:t>mutant results in reduced killing of embryos in comparison to WT when using both stationary and exponential phase cultures</w:t>
            </w:r>
          </w:p>
        </w:tc>
        <w:tc>
          <w:tcPr>
            <w:tcW w:w="799" w:type="dxa"/>
          </w:tcPr>
          <w:p w14:paraId="4D4A6161" w14:textId="64DD0B72"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133</w:t>
            </w:r>
          </w:p>
        </w:tc>
      </w:tr>
      <w:tr w:rsidR="00D00F20" w:rsidRPr="00791EF2" w14:paraId="70265E13"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FA62F2E"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5.5.4</w:t>
            </w:r>
          </w:p>
        </w:tc>
        <w:tc>
          <w:tcPr>
            <w:tcW w:w="7088" w:type="dxa"/>
          </w:tcPr>
          <w:p w14:paraId="256CF60B" w14:textId="0408E7D9"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JE2 WT and the (p)ppGpp</w:t>
            </w:r>
            <w:r w:rsidRPr="00791EF2">
              <w:rPr>
                <w:rFonts w:ascii="Times New Roman" w:hAnsi="Times New Roman" w:cs="Times New Roman"/>
                <w:vertAlign w:val="superscript"/>
              </w:rPr>
              <w:t xml:space="preserve">0 </w:t>
            </w:r>
            <w:r w:rsidRPr="00791EF2">
              <w:rPr>
                <w:rFonts w:ascii="Times New Roman" w:hAnsi="Times New Roman" w:cs="Times New Roman"/>
              </w:rPr>
              <w:t xml:space="preserve">mutant replicate similarly </w:t>
            </w:r>
            <w:r w:rsidRPr="00791EF2">
              <w:rPr>
                <w:rFonts w:ascii="Times New Roman" w:hAnsi="Times New Roman" w:cs="Times New Roman"/>
                <w:i/>
                <w:iCs/>
              </w:rPr>
              <w:t>in vivo</w:t>
            </w:r>
            <w:r w:rsidRPr="00791EF2">
              <w:rPr>
                <w:rFonts w:ascii="Times New Roman" w:hAnsi="Times New Roman" w:cs="Times New Roman"/>
              </w:rPr>
              <w:t xml:space="preserve"> in a systemic zebrafish embryo infection model</w:t>
            </w:r>
          </w:p>
        </w:tc>
        <w:tc>
          <w:tcPr>
            <w:tcW w:w="799" w:type="dxa"/>
          </w:tcPr>
          <w:p w14:paraId="6027C110" w14:textId="5B706EA3"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135</w:t>
            </w:r>
          </w:p>
        </w:tc>
      </w:tr>
      <w:tr w:rsidR="00D00F20" w:rsidRPr="00791EF2" w14:paraId="1B8389F1"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0AF3E1E3"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5.6.1</w:t>
            </w:r>
          </w:p>
        </w:tc>
        <w:tc>
          <w:tcPr>
            <w:tcW w:w="7088" w:type="dxa"/>
          </w:tcPr>
          <w:p w14:paraId="492D72FE" w14:textId="64B3313E"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lang w:val="en-US"/>
              </w:rPr>
              <w:t xml:space="preserve">Knockdown of PU.1 transcription factor mRNA restores virulence to wildtype levels in the </w:t>
            </w:r>
            <w:r w:rsidRPr="00791EF2">
              <w:rPr>
                <w:rFonts w:ascii="Times New Roman" w:hAnsi="Times New Roman" w:cs="Times New Roman"/>
                <w:i/>
                <w:iCs/>
                <w:lang w:val="en-US"/>
              </w:rPr>
              <w:t xml:space="preserve">S. aureus </w:t>
            </w:r>
            <w:r w:rsidRPr="00791EF2">
              <w:rPr>
                <w:rFonts w:ascii="Times New Roman" w:hAnsi="Times New Roman" w:cs="Times New Roman"/>
              </w:rPr>
              <w:t>(p)ppGpp</w:t>
            </w:r>
            <w:r w:rsidRPr="00791EF2">
              <w:rPr>
                <w:rFonts w:ascii="Times New Roman" w:hAnsi="Times New Roman" w:cs="Times New Roman"/>
                <w:vertAlign w:val="superscript"/>
              </w:rPr>
              <w:t xml:space="preserve">0 </w:t>
            </w:r>
            <w:r w:rsidRPr="00791EF2">
              <w:rPr>
                <w:rFonts w:ascii="Times New Roman" w:hAnsi="Times New Roman" w:cs="Times New Roman"/>
                <w:lang w:val="en-US"/>
              </w:rPr>
              <w:t>mutant</w:t>
            </w:r>
          </w:p>
        </w:tc>
        <w:tc>
          <w:tcPr>
            <w:tcW w:w="799" w:type="dxa"/>
          </w:tcPr>
          <w:p w14:paraId="6FA15695" w14:textId="06E014A1"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w:t>
            </w:r>
          </w:p>
        </w:tc>
      </w:tr>
      <w:tr w:rsidR="00D00F20" w:rsidRPr="00791EF2" w14:paraId="10AD0FF9"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04FA71D"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5.7.1</w:t>
            </w:r>
          </w:p>
        </w:tc>
        <w:tc>
          <w:tcPr>
            <w:tcW w:w="7088" w:type="dxa"/>
          </w:tcPr>
          <w:p w14:paraId="2ACABEBB"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91EF2">
              <w:rPr>
                <w:rFonts w:ascii="Times New Roman" w:hAnsi="Times New Roman" w:cs="Times New Roman"/>
              </w:rPr>
              <w:t xml:space="preserve">(p)ppGpp overproduction in systemic zebrafish embryo infection model attenuates </w:t>
            </w:r>
            <w:r w:rsidRPr="00791EF2">
              <w:rPr>
                <w:rFonts w:ascii="Times New Roman" w:hAnsi="Times New Roman" w:cs="Times New Roman"/>
                <w:i/>
                <w:iCs/>
              </w:rPr>
              <w:t xml:space="preserve">S. aureus </w:t>
            </w:r>
            <w:r w:rsidRPr="00791EF2">
              <w:rPr>
                <w:rFonts w:ascii="Times New Roman" w:hAnsi="Times New Roman" w:cs="Times New Roman"/>
              </w:rPr>
              <w:t>virulence</w:t>
            </w:r>
          </w:p>
        </w:tc>
        <w:tc>
          <w:tcPr>
            <w:tcW w:w="799" w:type="dxa"/>
          </w:tcPr>
          <w:p w14:paraId="3F03D271" w14:textId="56ED6E4F"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139</w:t>
            </w:r>
          </w:p>
        </w:tc>
      </w:tr>
      <w:tr w:rsidR="00D00F20" w:rsidRPr="00791EF2" w14:paraId="0C39A787"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5A4A6B8B"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5.8.1</w:t>
            </w:r>
          </w:p>
        </w:tc>
        <w:tc>
          <w:tcPr>
            <w:tcW w:w="7088" w:type="dxa"/>
          </w:tcPr>
          <w:p w14:paraId="740C9427" w14:textId="49750751" w:rsidR="00D00F20" w:rsidRPr="00791EF2" w:rsidRDefault="00D00F20" w:rsidP="00D00F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rPr>
              <w:t xml:space="preserve">(p)ppGpp produced by Rel is important for </w:t>
            </w:r>
            <w:r w:rsidRPr="00791EF2">
              <w:rPr>
                <w:rFonts w:ascii="Times New Roman" w:hAnsi="Times New Roman" w:cs="Times New Roman"/>
                <w:i/>
                <w:iCs/>
              </w:rPr>
              <w:t>S. aureus</w:t>
            </w:r>
            <w:r w:rsidRPr="00791EF2">
              <w:rPr>
                <w:rFonts w:ascii="Times New Roman" w:hAnsi="Times New Roman" w:cs="Times New Roman"/>
              </w:rPr>
              <w:t xml:space="preserve"> virulence in a systemic zebrafish embryo infection model</w:t>
            </w:r>
          </w:p>
        </w:tc>
        <w:tc>
          <w:tcPr>
            <w:tcW w:w="799" w:type="dxa"/>
          </w:tcPr>
          <w:p w14:paraId="219C8226" w14:textId="197A9FC5" w:rsidR="00D00F20" w:rsidRPr="00791EF2" w:rsidRDefault="00815193"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141</w:t>
            </w:r>
          </w:p>
        </w:tc>
      </w:tr>
      <w:tr w:rsidR="00D00F20" w:rsidRPr="00791EF2" w14:paraId="7091DB11"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ADC909B" w14:textId="77777777" w:rsidR="00D00F20" w:rsidRPr="00791EF2" w:rsidRDefault="00D00F20" w:rsidP="00A74445">
            <w:pPr>
              <w:rPr>
                <w:rFonts w:ascii="Times New Roman" w:hAnsi="Times New Roman" w:cs="Times New Roman"/>
                <w:b w:val="0"/>
                <w:bCs w:val="0"/>
              </w:rPr>
            </w:pPr>
            <w:r w:rsidRPr="00791EF2">
              <w:rPr>
                <w:rFonts w:ascii="Times New Roman" w:hAnsi="Times New Roman" w:cs="Times New Roman"/>
                <w:b w:val="0"/>
                <w:bCs w:val="0"/>
              </w:rPr>
              <w:t>5.9.1</w:t>
            </w:r>
          </w:p>
        </w:tc>
        <w:tc>
          <w:tcPr>
            <w:tcW w:w="7088" w:type="dxa"/>
          </w:tcPr>
          <w:p w14:paraId="1AA44461" w14:textId="77777777" w:rsidR="00D00F20" w:rsidRPr="00791EF2" w:rsidRDefault="00D00F20" w:rsidP="00D00F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1EF2">
              <w:rPr>
                <w:rFonts w:ascii="Times New Roman" w:hAnsi="Times New Roman" w:cs="Times New Roman"/>
                <w:lang w:val="en-US"/>
              </w:rPr>
              <w:t xml:space="preserve">Deletion of </w:t>
            </w:r>
            <w:r w:rsidRPr="00791EF2">
              <w:rPr>
                <w:rFonts w:ascii="Times New Roman" w:hAnsi="Times New Roman" w:cs="Times New Roman"/>
                <w:i/>
                <w:iCs/>
                <w:lang w:val="en-US"/>
              </w:rPr>
              <w:t xml:space="preserve">codY </w:t>
            </w:r>
            <w:r w:rsidRPr="00791EF2">
              <w:rPr>
                <w:rFonts w:ascii="Times New Roman" w:hAnsi="Times New Roman" w:cs="Times New Roman"/>
                <w:lang w:val="en-US"/>
              </w:rPr>
              <w:t xml:space="preserve">transcriptional repressor does not affect virulence of </w:t>
            </w:r>
            <w:r w:rsidRPr="00791EF2">
              <w:rPr>
                <w:rFonts w:ascii="Times New Roman" w:hAnsi="Times New Roman" w:cs="Times New Roman"/>
                <w:i/>
                <w:iCs/>
                <w:lang w:val="en-US"/>
              </w:rPr>
              <w:t xml:space="preserve">S. aureus </w:t>
            </w:r>
            <w:r w:rsidRPr="00791EF2">
              <w:rPr>
                <w:rFonts w:ascii="Times New Roman" w:hAnsi="Times New Roman" w:cs="Times New Roman"/>
                <w:lang w:val="en-US"/>
              </w:rPr>
              <w:t>in a systemic zebrafish embryo infection model</w:t>
            </w:r>
            <w:r w:rsidRPr="00791EF2">
              <w:rPr>
                <w:rFonts w:ascii="Times New Roman" w:hAnsi="Times New Roman" w:cs="Times New Roman"/>
                <w:i/>
                <w:iCs/>
                <w:lang w:val="en-US"/>
              </w:rPr>
              <w:t>.</w:t>
            </w:r>
          </w:p>
        </w:tc>
        <w:tc>
          <w:tcPr>
            <w:tcW w:w="799" w:type="dxa"/>
          </w:tcPr>
          <w:p w14:paraId="2AE00E50" w14:textId="61E037A4" w:rsidR="00D00F20" w:rsidRPr="00791EF2" w:rsidRDefault="00815193"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143</w:t>
            </w:r>
          </w:p>
        </w:tc>
      </w:tr>
      <w:bookmarkEnd w:id="8"/>
    </w:tbl>
    <w:p w14:paraId="27F077CD" w14:textId="7A0EF8E4" w:rsidR="00D00F20" w:rsidRDefault="00D00F20" w:rsidP="00D00F20"/>
    <w:p w14:paraId="2B6F3731" w14:textId="64A53016" w:rsidR="00D00F20" w:rsidRDefault="00D00F20" w:rsidP="00D00F20"/>
    <w:bookmarkEnd w:id="6"/>
    <w:p w14:paraId="30329B4D" w14:textId="207CB49D" w:rsidR="00D00F20" w:rsidRDefault="00D00F20" w:rsidP="00D00F20"/>
    <w:p w14:paraId="6B29A421" w14:textId="378A6F90" w:rsidR="00D00F20" w:rsidRDefault="00D00F20" w:rsidP="00D00F20"/>
    <w:p w14:paraId="54E6BE9A" w14:textId="332B0B3D" w:rsidR="00D00F20" w:rsidRDefault="00D00F20" w:rsidP="00D00F20"/>
    <w:p w14:paraId="155AEF37" w14:textId="5C97D277" w:rsidR="00D00F20" w:rsidRDefault="00D00F20" w:rsidP="00D00F20"/>
    <w:p w14:paraId="477215FE" w14:textId="7EC2874A" w:rsidR="00D00F20" w:rsidRDefault="00D00F20" w:rsidP="00D00F20"/>
    <w:p w14:paraId="07CD0FCE" w14:textId="60E4174B" w:rsidR="00D00F20" w:rsidRDefault="00D00F20" w:rsidP="00D00F20"/>
    <w:p w14:paraId="295E80B3" w14:textId="297C0E72" w:rsidR="00D00F20" w:rsidRDefault="00D00F20" w:rsidP="00D00F20"/>
    <w:p w14:paraId="174306D4" w14:textId="0169BD93" w:rsidR="00D00F20" w:rsidRDefault="00D00F20" w:rsidP="00D00F20"/>
    <w:p w14:paraId="509A599D" w14:textId="4C6CB221" w:rsidR="00D00F20" w:rsidRDefault="00D00F20" w:rsidP="00D00F20"/>
    <w:p w14:paraId="00FA75FB" w14:textId="238CD76E" w:rsidR="00D00F20" w:rsidRDefault="00D00F20" w:rsidP="00D00F20"/>
    <w:p w14:paraId="6D31681B" w14:textId="4D6CF0C4" w:rsidR="00D00F20" w:rsidRDefault="00D00F20" w:rsidP="00D00F20"/>
    <w:p w14:paraId="675D6B23" w14:textId="77777777" w:rsidR="00033564" w:rsidRPr="00D00F20" w:rsidRDefault="00033564" w:rsidP="00D00F20"/>
    <w:p w14:paraId="1310CBAC" w14:textId="54FF79FF" w:rsidR="00810565" w:rsidRDefault="00810565" w:rsidP="00810565">
      <w:pPr>
        <w:pStyle w:val="Heading1"/>
      </w:pPr>
      <w:bookmarkStart w:id="9" w:name="_Toc142043563"/>
      <w:r>
        <w:lastRenderedPageBreak/>
        <w:t xml:space="preserve">List of </w:t>
      </w:r>
      <w:r w:rsidR="008B41CE">
        <w:t>T</w:t>
      </w:r>
      <w:r>
        <w:t>ables</w:t>
      </w:r>
      <w:bookmarkEnd w:id="9"/>
    </w:p>
    <w:tbl>
      <w:tblPr>
        <w:tblStyle w:val="PlainTable3"/>
        <w:tblW w:w="0" w:type="auto"/>
        <w:tblLook w:val="04A0" w:firstRow="1" w:lastRow="0" w:firstColumn="1" w:lastColumn="0" w:noHBand="0" w:noVBand="1"/>
      </w:tblPr>
      <w:tblGrid>
        <w:gridCol w:w="1129"/>
        <w:gridCol w:w="6804"/>
        <w:gridCol w:w="1083"/>
      </w:tblGrid>
      <w:tr w:rsidR="00033564" w:rsidRPr="007D269D" w14:paraId="01520C04" w14:textId="77777777" w:rsidTr="00A744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05E4190D" w14:textId="77777777" w:rsidR="00033564" w:rsidRPr="00C335C0" w:rsidRDefault="00033564" w:rsidP="00A74445">
            <w:pPr>
              <w:rPr>
                <w:rFonts w:ascii="Times New Roman" w:hAnsi="Times New Roman" w:cs="Times New Roman"/>
              </w:rPr>
            </w:pPr>
            <w:bookmarkStart w:id="10" w:name="_Hlk142043666"/>
            <w:r w:rsidRPr="00C335C0">
              <w:rPr>
                <w:rFonts w:ascii="Times New Roman" w:hAnsi="Times New Roman" w:cs="Times New Roman"/>
              </w:rPr>
              <w:t>Table</w:t>
            </w:r>
          </w:p>
        </w:tc>
        <w:tc>
          <w:tcPr>
            <w:tcW w:w="6804" w:type="dxa"/>
          </w:tcPr>
          <w:p w14:paraId="1AA1BA74" w14:textId="77777777" w:rsidR="00033564" w:rsidRPr="00791EF2" w:rsidRDefault="00033564" w:rsidP="00A7444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91EF2">
              <w:rPr>
                <w:rFonts w:ascii="Times New Roman" w:hAnsi="Times New Roman" w:cs="Times New Roman"/>
              </w:rPr>
              <w:t>Title</w:t>
            </w:r>
          </w:p>
        </w:tc>
        <w:tc>
          <w:tcPr>
            <w:tcW w:w="1083" w:type="dxa"/>
          </w:tcPr>
          <w:p w14:paraId="497AA67E" w14:textId="77777777" w:rsidR="00033564" w:rsidRPr="00791EF2" w:rsidRDefault="00033564" w:rsidP="00A7444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91EF2">
              <w:rPr>
                <w:rFonts w:ascii="Times New Roman" w:hAnsi="Times New Roman" w:cs="Times New Roman"/>
              </w:rPr>
              <w:t>Page</w:t>
            </w:r>
          </w:p>
        </w:tc>
      </w:tr>
      <w:tr w:rsidR="00033564" w:rsidRPr="007D269D" w14:paraId="461F0AF8"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3A39992" w14:textId="77777777" w:rsidR="00033564" w:rsidRPr="00791EF2" w:rsidRDefault="00033564" w:rsidP="00A74445">
            <w:pPr>
              <w:rPr>
                <w:rFonts w:ascii="Times New Roman" w:hAnsi="Times New Roman" w:cs="Times New Roman"/>
                <w:b w:val="0"/>
                <w:bCs w:val="0"/>
              </w:rPr>
            </w:pPr>
          </w:p>
        </w:tc>
        <w:tc>
          <w:tcPr>
            <w:tcW w:w="6804" w:type="dxa"/>
          </w:tcPr>
          <w:p w14:paraId="76473EA5" w14:textId="77777777" w:rsidR="00033564" w:rsidRPr="00791EF2"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791EF2">
              <w:rPr>
                <w:rFonts w:ascii="Times New Roman" w:hAnsi="Times New Roman" w:cs="Times New Roman"/>
                <w:b/>
                <w:bCs/>
                <w:i/>
                <w:iCs/>
              </w:rPr>
              <w:t>Chapter 1</w:t>
            </w:r>
          </w:p>
        </w:tc>
        <w:tc>
          <w:tcPr>
            <w:tcW w:w="1083" w:type="dxa"/>
          </w:tcPr>
          <w:p w14:paraId="263B259F" w14:textId="77777777" w:rsidR="00033564" w:rsidRPr="007D269D"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33564" w:rsidRPr="007D269D" w14:paraId="2CAFD5C0"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2FF4AD80" w14:textId="77777777" w:rsidR="00033564" w:rsidRPr="00791EF2" w:rsidRDefault="00033564" w:rsidP="00A74445">
            <w:pPr>
              <w:rPr>
                <w:rFonts w:ascii="Times New Roman" w:hAnsi="Times New Roman" w:cs="Times New Roman"/>
                <w:b w:val="0"/>
                <w:bCs w:val="0"/>
              </w:rPr>
            </w:pPr>
            <w:r w:rsidRPr="00791EF2">
              <w:rPr>
                <w:rFonts w:ascii="Times New Roman" w:hAnsi="Times New Roman" w:cs="Times New Roman"/>
                <w:b w:val="0"/>
                <w:bCs w:val="0"/>
              </w:rPr>
              <w:t>1</w:t>
            </w:r>
          </w:p>
        </w:tc>
        <w:tc>
          <w:tcPr>
            <w:tcW w:w="6804" w:type="dxa"/>
          </w:tcPr>
          <w:p w14:paraId="58B0E66F" w14:textId="77777777" w:rsidR="00033564" w:rsidRPr="007D269D" w:rsidRDefault="00033564"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269D">
              <w:rPr>
                <w:rFonts w:ascii="Times New Roman" w:hAnsi="Times New Roman" w:cs="Times New Roman"/>
              </w:rPr>
              <w:t>Advantages of zebrafish models in comparison to murine models</w:t>
            </w:r>
          </w:p>
        </w:tc>
        <w:tc>
          <w:tcPr>
            <w:tcW w:w="1083" w:type="dxa"/>
          </w:tcPr>
          <w:p w14:paraId="15850F7C" w14:textId="1EF7C26A" w:rsidR="00033564" w:rsidRPr="007D269D" w:rsidRDefault="00F750D5"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w:t>
            </w:r>
          </w:p>
        </w:tc>
      </w:tr>
      <w:tr w:rsidR="00033564" w:rsidRPr="007D269D" w14:paraId="23E8A431"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A7E816" w14:textId="77777777" w:rsidR="00033564" w:rsidRPr="00791EF2" w:rsidRDefault="00033564" w:rsidP="00A74445">
            <w:pPr>
              <w:rPr>
                <w:rFonts w:ascii="Times New Roman" w:hAnsi="Times New Roman" w:cs="Times New Roman"/>
                <w:b w:val="0"/>
                <w:bCs w:val="0"/>
              </w:rPr>
            </w:pPr>
          </w:p>
        </w:tc>
        <w:tc>
          <w:tcPr>
            <w:tcW w:w="6804" w:type="dxa"/>
          </w:tcPr>
          <w:p w14:paraId="747F7CD0" w14:textId="77777777" w:rsidR="00033564" w:rsidRPr="00791EF2"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791EF2">
              <w:rPr>
                <w:rFonts w:ascii="Times New Roman" w:hAnsi="Times New Roman" w:cs="Times New Roman"/>
                <w:b/>
                <w:bCs/>
                <w:i/>
                <w:iCs/>
              </w:rPr>
              <w:t>Chapter 2</w:t>
            </w:r>
          </w:p>
        </w:tc>
        <w:tc>
          <w:tcPr>
            <w:tcW w:w="1083" w:type="dxa"/>
          </w:tcPr>
          <w:p w14:paraId="59E43C42" w14:textId="77777777" w:rsidR="00033564" w:rsidRPr="007D269D"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33564" w:rsidRPr="007D269D" w14:paraId="58680B36"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2EEFBB14" w14:textId="77777777" w:rsidR="00033564" w:rsidRPr="00791EF2" w:rsidRDefault="00033564" w:rsidP="00A74445">
            <w:pPr>
              <w:rPr>
                <w:rFonts w:ascii="Times New Roman" w:hAnsi="Times New Roman" w:cs="Times New Roman"/>
                <w:b w:val="0"/>
                <w:bCs w:val="0"/>
              </w:rPr>
            </w:pPr>
            <w:r w:rsidRPr="00791EF2">
              <w:rPr>
                <w:rFonts w:ascii="Times New Roman" w:hAnsi="Times New Roman" w:cs="Times New Roman"/>
                <w:b w:val="0"/>
                <w:bCs w:val="0"/>
              </w:rPr>
              <w:t>2</w:t>
            </w:r>
          </w:p>
        </w:tc>
        <w:tc>
          <w:tcPr>
            <w:tcW w:w="6804" w:type="dxa"/>
          </w:tcPr>
          <w:p w14:paraId="3DE8A87C" w14:textId="77777777" w:rsidR="00033564" w:rsidRPr="007D269D" w:rsidRDefault="00033564"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269D">
              <w:rPr>
                <w:rFonts w:ascii="Times New Roman" w:hAnsi="Times New Roman" w:cs="Times New Roman"/>
              </w:rPr>
              <w:t>Bacterial strains</w:t>
            </w:r>
          </w:p>
        </w:tc>
        <w:tc>
          <w:tcPr>
            <w:tcW w:w="1083" w:type="dxa"/>
          </w:tcPr>
          <w:p w14:paraId="21947C0F" w14:textId="1F86164C" w:rsidR="00033564" w:rsidRPr="007D269D" w:rsidRDefault="00F750D5"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51</w:t>
            </w:r>
          </w:p>
        </w:tc>
      </w:tr>
      <w:tr w:rsidR="00033564" w:rsidRPr="007D269D" w14:paraId="6FF6C1B3"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A830690" w14:textId="77777777" w:rsidR="00033564" w:rsidRPr="00791EF2" w:rsidRDefault="00033564" w:rsidP="00A74445">
            <w:pPr>
              <w:rPr>
                <w:rFonts w:ascii="Times New Roman" w:hAnsi="Times New Roman" w:cs="Times New Roman"/>
                <w:b w:val="0"/>
                <w:bCs w:val="0"/>
              </w:rPr>
            </w:pPr>
            <w:r w:rsidRPr="00791EF2">
              <w:rPr>
                <w:rFonts w:ascii="Times New Roman" w:hAnsi="Times New Roman" w:cs="Times New Roman"/>
                <w:b w:val="0"/>
                <w:bCs w:val="0"/>
              </w:rPr>
              <w:t>3</w:t>
            </w:r>
          </w:p>
        </w:tc>
        <w:tc>
          <w:tcPr>
            <w:tcW w:w="6804" w:type="dxa"/>
          </w:tcPr>
          <w:p w14:paraId="7F9F8405" w14:textId="77777777" w:rsidR="00033564" w:rsidRPr="007D269D"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269D">
              <w:rPr>
                <w:rFonts w:ascii="Times New Roman" w:hAnsi="Times New Roman" w:cs="Times New Roman"/>
              </w:rPr>
              <w:t>List of ingredients that comprise CDM</w:t>
            </w:r>
          </w:p>
        </w:tc>
        <w:tc>
          <w:tcPr>
            <w:tcW w:w="1083" w:type="dxa"/>
          </w:tcPr>
          <w:p w14:paraId="2598BF7C" w14:textId="389F6E9E" w:rsidR="00033564" w:rsidRPr="007D269D" w:rsidRDefault="00F750D5"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54</w:t>
            </w:r>
          </w:p>
        </w:tc>
      </w:tr>
      <w:tr w:rsidR="00033564" w:rsidRPr="007D269D" w14:paraId="11FF1A41"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6871DF12" w14:textId="77777777" w:rsidR="00033564" w:rsidRPr="00791EF2" w:rsidRDefault="00033564" w:rsidP="00A74445">
            <w:pPr>
              <w:rPr>
                <w:rFonts w:ascii="Times New Roman" w:hAnsi="Times New Roman" w:cs="Times New Roman"/>
                <w:b w:val="0"/>
                <w:bCs w:val="0"/>
              </w:rPr>
            </w:pPr>
            <w:r w:rsidRPr="00791EF2">
              <w:rPr>
                <w:rFonts w:ascii="Times New Roman" w:hAnsi="Times New Roman" w:cs="Times New Roman"/>
                <w:b w:val="0"/>
                <w:bCs w:val="0"/>
              </w:rPr>
              <w:t>4</w:t>
            </w:r>
          </w:p>
        </w:tc>
        <w:tc>
          <w:tcPr>
            <w:tcW w:w="6804" w:type="dxa"/>
          </w:tcPr>
          <w:p w14:paraId="738796DE" w14:textId="77777777" w:rsidR="00033564" w:rsidRPr="007D269D" w:rsidRDefault="00033564"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269D">
              <w:rPr>
                <w:rFonts w:ascii="Times New Roman" w:hAnsi="Times New Roman" w:cs="Times New Roman"/>
              </w:rPr>
              <w:t>Primers</w:t>
            </w:r>
          </w:p>
        </w:tc>
        <w:tc>
          <w:tcPr>
            <w:tcW w:w="1083" w:type="dxa"/>
          </w:tcPr>
          <w:p w14:paraId="33B3C0FB" w14:textId="33EA032D" w:rsidR="00033564" w:rsidRPr="007D269D" w:rsidRDefault="00F750D5"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w:t>
            </w:r>
          </w:p>
        </w:tc>
      </w:tr>
      <w:tr w:rsidR="00033564" w:rsidRPr="007D269D" w14:paraId="0350ADE9"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29EE484" w14:textId="77777777" w:rsidR="00033564" w:rsidRPr="00791EF2" w:rsidRDefault="00033564" w:rsidP="00A74445">
            <w:pPr>
              <w:rPr>
                <w:rFonts w:ascii="Times New Roman" w:hAnsi="Times New Roman" w:cs="Times New Roman"/>
                <w:b w:val="0"/>
                <w:bCs w:val="0"/>
              </w:rPr>
            </w:pPr>
          </w:p>
        </w:tc>
        <w:tc>
          <w:tcPr>
            <w:tcW w:w="6804" w:type="dxa"/>
          </w:tcPr>
          <w:p w14:paraId="24B15892" w14:textId="77777777" w:rsidR="00033564" w:rsidRPr="00791EF2"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791EF2">
              <w:rPr>
                <w:rFonts w:ascii="Times New Roman" w:hAnsi="Times New Roman" w:cs="Times New Roman"/>
                <w:b/>
                <w:bCs/>
                <w:i/>
                <w:iCs/>
              </w:rPr>
              <w:t>Chapter 3</w:t>
            </w:r>
          </w:p>
        </w:tc>
        <w:tc>
          <w:tcPr>
            <w:tcW w:w="1083" w:type="dxa"/>
          </w:tcPr>
          <w:p w14:paraId="429FB0DC" w14:textId="0322AC57" w:rsidR="00033564" w:rsidRPr="007D269D"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33564" w:rsidRPr="007D269D" w14:paraId="5C0B7B69"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492C69C8" w14:textId="77777777" w:rsidR="00033564" w:rsidRPr="00791EF2" w:rsidRDefault="00033564" w:rsidP="00A74445">
            <w:pPr>
              <w:rPr>
                <w:rFonts w:ascii="Times New Roman" w:hAnsi="Times New Roman" w:cs="Times New Roman"/>
                <w:b w:val="0"/>
                <w:bCs w:val="0"/>
              </w:rPr>
            </w:pPr>
            <w:r w:rsidRPr="00791EF2">
              <w:rPr>
                <w:rFonts w:ascii="Times New Roman" w:hAnsi="Times New Roman" w:cs="Times New Roman"/>
                <w:b w:val="0"/>
                <w:bCs w:val="0"/>
              </w:rPr>
              <w:t>5</w:t>
            </w:r>
          </w:p>
        </w:tc>
        <w:tc>
          <w:tcPr>
            <w:tcW w:w="6804" w:type="dxa"/>
          </w:tcPr>
          <w:p w14:paraId="47E308F5" w14:textId="77777777" w:rsidR="00033564" w:rsidRPr="007D269D" w:rsidRDefault="00033564"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269D">
              <w:rPr>
                <w:rFonts w:ascii="Times New Roman" w:hAnsi="Times New Roman" w:cs="Times New Roman"/>
              </w:rPr>
              <w:t>RNA sequences for the construction of a riboswitch-Broccoli biosensor.</w:t>
            </w:r>
          </w:p>
        </w:tc>
        <w:tc>
          <w:tcPr>
            <w:tcW w:w="1083" w:type="dxa"/>
          </w:tcPr>
          <w:p w14:paraId="6BDB6DAD" w14:textId="764D5522" w:rsidR="00033564" w:rsidRPr="007D269D" w:rsidRDefault="00F750D5"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81</w:t>
            </w:r>
          </w:p>
        </w:tc>
      </w:tr>
      <w:tr w:rsidR="00033564" w:rsidRPr="007D269D" w14:paraId="3EE0D41E"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F8A44D6" w14:textId="77777777" w:rsidR="00033564" w:rsidRPr="00791EF2" w:rsidRDefault="00033564" w:rsidP="00A74445">
            <w:pPr>
              <w:rPr>
                <w:rFonts w:ascii="Times New Roman" w:hAnsi="Times New Roman" w:cs="Times New Roman"/>
                <w:b w:val="0"/>
                <w:bCs w:val="0"/>
              </w:rPr>
            </w:pPr>
          </w:p>
        </w:tc>
        <w:tc>
          <w:tcPr>
            <w:tcW w:w="6804" w:type="dxa"/>
          </w:tcPr>
          <w:p w14:paraId="367F897A" w14:textId="77777777" w:rsidR="00033564" w:rsidRPr="00791EF2"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791EF2">
              <w:rPr>
                <w:rFonts w:ascii="Times New Roman" w:hAnsi="Times New Roman" w:cs="Times New Roman"/>
                <w:b/>
                <w:bCs/>
                <w:i/>
                <w:iCs/>
              </w:rPr>
              <w:t>Chapter 4</w:t>
            </w:r>
          </w:p>
        </w:tc>
        <w:tc>
          <w:tcPr>
            <w:tcW w:w="1083" w:type="dxa"/>
          </w:tcPr>
          <w:p w14:paraId="55C9EEF3" w14:textId="77777777" w:rsidR="00033564" w:rsidRPr="007D269D" w:rsidRDefault="00033564"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33564" w:rsidRPr="007D269D" w14:paraId="7F72403A" w14:textId="77777777" w:rsidTr="00A74445">
        <w:tc>
          <w:tcPr>
            <w:cnfStyle w:val="001000000000" w:firstRow="0" w:lastRow="0" w:firstColumn="1" w:lastColumn="0" w:oddVBand="0" w:evenVBand="0" w:oddHBand="0" w:evenHBand="0" w:firstRowFirstColumn="0" w:firstRowLastColumn="0" w:lastRowFirstColumn="0" w:lastRowLastColumn="0"/>
            <w:tcW w:w="1129" w:type="dxa"/>
          </w:tcPr>
          <w:p w14:paraId="523655B2" w14:textId="77777777" w:rsidR="00033564" w:rsidRPr="00791EF2" w:rsidRDefault="00033564" w:rsidP="00A74445">
            <w:pPr>
              <w:rPr>
                <w:rFonts w:ascii="Times New Roman" w:hAnsi="Times New Roman" w:cs="Times New Roman"/>
                <w:b w:val="0"/>
                <w:bCs w:val="0"/>
              </w:rPr>
            </w:pPr>
            <w:r w:rsidRPr="00791EF2">
              <w:rPr>
                <w:rFonts w:ascii="Times New Roman" w:hAnsi="Times New Roman" w:cs="Times New Roman"/>
                <w:b w:val="0"/>
                <w:bCs w:val="0"/>
              </w:rPr>
              <w:t>6</w:t>
            </w:r>
          </w:p>
        </w:tc>
        <w:tc>
          <w:tcPr>
            <w:tcW w:w="6804" w:type="dxa"/>
          </w:tcPr>
          <w:p w14:paraId="09825C7E" w14:textId="77777777" w:rsidR="00033564" w:rsidRPr="007D269D" w:rsidRDefault="00033564"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269D">
              <w:rPr>
                <w:rFonts w:ascii="Times New Roman" w:hAnsi="Times New Roman" w:cs="Times New Roman"/>
              </w:rPr>
              <w:t>pH of bacterial culture used for tolerance assays in the presence of 20 mM itaconic acid and neutralised itaconic acid.</w:t>
            </w:r>
          </w:p>
        </w:tc>
        <w:tc>
          <w:tcPr>
            <w:tcW w:w="1083" w:type="dxa"/>
          </w:tcPr>
          <w:p w14:paraId="6923048B" w14:textId="4790DF1B" w:rsidR="00033564" w:rsidRPr="007D269D" w:rsidRDefault="00F750D5"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109</w:t>
            </w:r>
          </w:p>
        </w:tc>
      </w:tr>
      <w:bookmarkEnd w:id="10"/>
    </w:tbl>
    <w:p w14:paraId="787F79B4" w14:textId="3ED728A4" w:rsidR="00033564" w:rsidRDefault="00033564" w:rsidP="00033564"/>
    <w:p w14:paraId="5F3F03BA" w14:textId="0F7EE2D8" w:rsidR="00033564" w:rsidRDefault="00033564" w:rsidP="00033564"/>
    <w:p w14:paraId="11D13E01" w14:textId="2344756C" w:rsidR="00033564" w:rsidRDefault="00033564" w:rsidP="00033564"/>
    <w:p w14:paraId="14596789" w14:textId="44E5A832" w:rsidR="00033564" w:rsidRDefault="00033564" w:rsidP="00033564"/>
    <w:p w14:paraId="39724D32" w14:textId="7108587E" w:rsidR="00033564" w:rsidRDefault="00033564" w:rsidP="00033564"/>
    <w:p w14:paraId="6837D81A" w14:textId="416A40E0" w:rsidR="00033564" w:rsidRDefault="00033564" w:rsidP="00033564"/>
    <w:p w14:paraId="2447ACA4" w14:textId="6CB6CC31" w:rsidR="00033564" w:rsidRDefault="00033564" w:rsidP="00033564"/>
    <w:p w14:paraId="3BC471FB" w14:textId="7A557F86" w:rsidR="00033564" w:rsidRDefault="00033564" w:rsidP="00033564"/>
    <w:p w14:paraId="3D0A339D" w14:textId="4B6AD24B" w:rsidR="00033564" w:rsidRDefault="00033564" w:rsidP="00033564"/>
    <w:p w14:paraId="5C12734B" w14:textId="4ADDDB3D" w:rsidR="00033564" w:rsidRDefault="00033564" w:rsidP="00033564"/>
    <w:p w14:paraId="3C308894" w14:textId="2CF4724E" w:rsidR="00033564" w:rsidRDefault="00033564" w:rsidP="00033564"/>
    <w:p w14:paraId="38D1DA53" w14:textId="65B180A3" w:rsidR="00033564" w:rsidRDefault="00033564" w:rsidP="00033564"/>
    <w:p w14:paraId="65A0C8ED" w14:textId="64491286" w:rsidR="00033564" w:rsidRDefault="00033564" w:rsidP="00033564"/>
    <w:p w14:paraId="62588421" w14:textId="78D1E3F1" w:rsidR="00033564" w:rsidRDefault="00033564" w:rsidP="00033564"/>
    <w:p w14:paraId="27227B5B" w14:textId="70E30DA0" w:rsidR="00033564" w:rsidRDefault="00033564" w:rsidP="00033564"/>
    <w:p w14:paraId="518E9C79" w14:textId="6715B6C8" w:rsidR="00033564" w:rsidRDefault="00033564" w:rsidP="00033564"/>
    <w:p w14:paraId="4711F4EA" w14:textId="16EDA22E" w:rsidR="00033564" w:rsidRDefault="00033564" w:rsidP="00033564"/>
    <w:p w14:paraId="35738B24" w14:textId="2CADA20C" w:rsidR="00033564" w:rsidRDefault="00033564" w:rsidP="00033564"/>
    <w:p w14:paraId="1C2E6228" w14:textId="3A784A0F" w:rsidR="00033564" w:rsidRDefault="00033564" w:rsidP="00033564"/>
    <w:p w14:paraId="33BDFDC3" w14:textId="1ABCF34A" w:rsidR="00033564" w:rsidRDefault="00033564" w:rsidP="00033564"/>
    <w:p w14:paraId="5DCE225E" w14:textId="48094ABD" w:rsidR="00033564" w:rsidRDefault="00033564" w:rsidP="00033564"/>
    <w:p w14:paraId="78AB7791" w14:textId="77777777" w:rsidR="00033564" w:rsidRPr="00033564" w:rsidRDefault="00033564" w:rsidP="00033564"/>
    <w:p w14:paraId="1BD80C91" w14:textId="344F8474" w:rsidR="00810565" w:rsidRDefault="00810565" w:rsidP="00810565">
      <w:pPr>
        <w:pStyle w:val="Heading1"/>
      </w:pPr>
      <w:bookmarkStart w:id="11" w:name="_Toc142043564"/>
      <w:r>
        <w:lastRenderedPageBreak/>
        <w:t xml:space="preserve">List of </w:t>
      </w:r>
      <w:r w:rsidR="008B41CE">
        <w:t>A</w:t>
      </w:r>
      <w:r>
        <w:t>bbreviations</w:t>
      </w:r>
      <w:bookmarkEnd w:id="11"/>
    </w:p>
    <w:p w14:paraId="1B3FE6FC" w14:textId="7D8D0FCF" w:rsidR="00DB06BD" w:rsidRDefault="00DB06BD" w:rsidP="00DB06BD"/>
    <w:p w14:paraId="0BB0CCA4"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 xml:space="preserve">ACT/RRM </w:t>
      </w:r>
      <w:r w:rsidRPr="00B62240">
        <w:rPr>
          <w:rFonts w:ascii="Times New Roman" w:hAnsi="Times New Roman" w:cs="Times New Roman"/>
        </w:rPr>
        <w:tab/>
      </w:r>
      <w:r w:rsidRPr="00B62240">
        <w:rPr>
          <w:rFonts w:ascii="Times New Roman" w:hAnsi="Times New Roman" w:cs="Times New Roman"/>
        </w:rPr>
        <w:tab/>
        <w:t>Aspartokinase, Chorismite Mutase and TyrR/RNA Recognition Motif</w:t>
      </w:r>
    </w:p>
    <w:p w14:paraId="18A75D36" w14:textId="77777777" w:rsidR="00033564" w:rsidRDefault="00033564" w:rsidP="00033564">
      <w:pPr>
        <w:spacing w:after="0"/>
        <w:rPr>
          <w:rFonts w:ascii="Times New Roman" w:hAnsi="Times New Roman" w:cs="Times New Roman"/>
        </w:rPr>
      </w:pPr>
      <w:r>
        <w:rPr>
          <w:rFonts w:ascii="Times New Roman" w:hAnsi="Times New Roman" w:cs="Times New Roman"/>
        </w:rPr>
        <w:t>ACP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Acyl-carrier Protein</w:t>
      </w:r>
    </w:p>
    <w:p w14:paraId="67AFABD8" w14:textId="77777777" w:rsidR="00033564" w:rsidRPr="00320EC1" w:rsidRDefault="00033564" w:rsidP="00033564">
      <w:pPr>
        <w:spacing w:after="0"/>
        <w:rPr>
          <w:rFonts w:ascii="Times New Roman" w:hAnsi="Times New Roman" w:cs="Times New Roman"/>
        </w:rPr>
      </w:pPr>
      <w:r w:rsidRPr="00320EC1">
        <w:rPr>
          <w:rFonts w:ascii="Times New Roman" w:hAnsi="Times New Roman" w:cs="Times New Roman"/>
        </w:rPr>
        <w:t>AhpC</w:t>
      </w:r>
      <w:r w:rsidRPr="00320EC1">
        <w:rPr>
          <w:rFonts w:ascii="Times New Roman" w:hAnsi="Times New Roman" w:cs="Times New Roman"/>
        </w:rPr>
        <w:tab/>
      </w:r>
      <w:r w:rsidRPr="00320EC1">
        <w:rPr>
          <w:rFonts w:ascii="Times New Roman" w:hAnsi="Times New Roman" w:cs="Times New Roman"/>
        </w:rPr>
        <w:tab/>
      </w:r>
      <w:r w:rsidRPr="00320EC1">
        <w:rPr>
          <w:rFonts w:ascii="Times New Roman" w:hAnsi="Times New Roman" w:cs="Times New Roman"/>
        </w:rPr>
        <w:tab/>
        <w:t>Alkylhydroperoxide Reductase</w:t>
      </w:r>
    </w:p>
    <w:p w14:paraId="59606565" w14:textId="77777777" w:rsidR="00033564" w:rsidRPr="001142FC" w:rsidRDefault="00033564" w:rsidP="00033564">
      <w:pPr>
        <w:spacing w:after="0"/>
        <w:rPr>
          <w:rFonts w:ascii="Times New Roman" w:hAnsi="Times New Roman" w:cs="Times New Roman"/>
        </w:rPr>
      </w:pPr>
      <w:r w:rsidRPr="001142FC">
        <w:rPr>
          <w:rFonts w:ascii="Times New Roman" w:hAnsi="Times New Roman" w:cs="Times New Roman"/>
        </w:rPr>
        <w:t>AIP</w:t>
      </w:r>
      <w:r w:rsidRPr="001142FC">
        <w:rPr>
          <w:rFonts w:ascii="Times New Roman" w:hAnsi="Times New Roman" w:cs="Times New Roman"/>
        </w:rPr>
        <w:tab/>
      </w:r>
      <w:r w:rsidRPr="001142FC">
        <w:rPr>
          <w:rFonts w:ascii="Times New Roman" w:hAnsi="Times New Roman" w:cs="Times New Roman"/>
        </w:rPr>
        <w:tab/>
      </w:r>
      <w:r w:rsidRPr="001142FC">
        <w:rPr>
          <w:rFonts w:ascii="Times New Roman" w:hAnsi="Times New Roman" w:cs="Times New Roman"/>
        </w:rPr>
        <w:tab/>
        <w:t>Autoind</w:t>
      </w:r>
      <w:r>
        <w:rPr>
          <w:rFonts w:ascii="Times New Roman" w:hAnsi="Times New Roman" w:cs="Times New Roman"/>
        </w:rPr>
        <w:t>ucing Peptide</w:t>
      </w:r>
    </w:p>
    <w:p w14:paraId="621EAB0E" w14:textId="77777777" w:rsidR="00033564" w:rsidRPr="001142FC" w:rsidRDefault="00033564" w:rsidP="00033564">
      <w:pPr>
        <w:spacing w:after="0"/>
        <w:rPr>
          <w:rFonts w:ascii="Times New Roman" w:hAnsi="Times New Roman" w:cs="Times New Roman"/>
        </w:rPr>
      </w:pPr>
      <w:r w:rsidRPr="001142FC">
        <w:rPr>
          <w:rFonts w:ascii="Times New Roman" w:hAnsi="Times New Roman" w:cs="Times New Roman"/>
        </w:rPr>
        <w:t>AMP</w:t>
      </w:r>
      <w:r w:rsidRPr="001142FC">
        <w:rPr>
          <w:rFonts w:ascii="Times New Roman" w:hAnsi="Times New Roman" w:cs="Times New Roman"/>
        </w:rPr>
        <w:tab/>
      </w:r>
      <w:r w:rsidRPr="001142FC">
        <w:rPr>
          <w:rFonts w:ascii="Times New Roman" w:hAnsi="Times New Roman" w:cs="Times New Roman"/>
        </w:rPr>
        <w:tab/>
      </w:r>
      <w:r w:rsidRPr="001142FC">
        <w:rPr>
          <w:rFonts w:ascii="Times New Roman" w:hAnsi="Times New Roman" w:cs="Times New Roman"/>
        </w:rPr>
        <w:tab/>
        <w:t>Antimicrobial Peptide</w:t>
      </w:r>
    </w:p>
    <w:p w14:paraId="4D953058" w14:textId="77777777" w:rsidR="00033564" w:rsidRDefault="00033564" w:rsidP="00033564">
      <w:pPr>
        <w:spacing w:after="0"/>
        <w:rPr>
          <w:rFonts w:ascii="Times New Roman" w:hAnsi="Times New Roman" w:cs="Times New Roman"/>
        </w:rPr>
      </w:pPr>
      <w:r>
        <w:rPr>
          <w:rFonts w:ascii="Times New Roman" w:hAnsi="Times New Roman" w:cs="Times New Roman"/>
        </w:rPr>
        <w:t>APC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Antigen-presenting Cell</w:t>
      </w:r>
    </w:p>
    <w:p w14:paraId="6F6C8E43"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Atc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Anhydrotetracycline </w:t>
      </w:r>
    </w:p>
    <w:p w14:paraId="329A8891"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ATP</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 xml:space="preserve">Adenosine Triphosphate </w:t>
      </w:r>
    </w:p>
    <w:p w14:paraId="6D75EFA0" w14:textId="77777777" w:rsidR="00033564" w:rsidRDefault="00033564" w:rsidP="00033564">
      <w:pPr>
        <w:spacing w:after="0"/>
        <w:rPr>
          <w:rFonts w:ascii="Times New Roman" w:hAnsi="Times New Roman" w:cs="Times New Roman"/>
        </w:rPr>
      </w:pPr>
      <w:r>
        <w:rPr>
          <w:rFonts w:ascii="Times New Roman" w:hAnsi="Times New Roman" w:cs="Times New Roman"/>
        </w:rPr>
        <w:t>Bap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Biofilm Associated Protein</w:t>
      </w:r>
    </w:p>
    <w:p w14:paraId="6076BBDE" w14:textId="77777777" w:rsidR="00033564" w:rsidRDefault="00033564" w:rsidP="00033564">
      <w:pPr>
        <w:spacing w:after="0"/>
        <w:rPr>
          <w:rFonts w:ascii="Times New Roman" w:hAnsi="Times New Roman" w:cs="Times New Roman"/>
        </w:rPr>
      </w:pPr>
      <w:r>
        <w:rPr>
          <w:rFonts w:ascii="Times New Roman" w:hAnsi="Times New Roman" w:cs="Times New Roman"/>
        </w:rPr>
        <w:t>BCAA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Branched-chain Amino Acids</w:t>
      </w:r>
    </w:p>
    <w:p w14:paraId="46121F78" w14:textId="77777777" w:rsidR="00033564" w:rsidRDefault="00033564" w:rsidP="00033564">
      <w:pPr>
        <w:spacing w:after="0"/>
        <w:rPr>
          <w:rFonts w:ascii="Times New Roman" w:hAnsi="Times New Roman" w:cs="Times New Roman"/>
        </w:rPr>
      </w:pPr>
      <w:r>
        <w:rPr>
          <w:rFonts w:ascii="Times New Roman" w:hAnsi="Times New Roman" w:cs="Times New Roman"/>
        </w:rPr>
        <w:t>BMDMs</w:t>
      </w:r>
      <w:r>
        <w:rPr>
          <w:rFonts w:ascii="Times New Roman" w:hAnsi="Times New Roman" w:cs="Times New Roman"/>
        </w:rPr>
        <w:tab/>
      </w:r>
      <w:r>
        <w:rPr>
          <w:rFonts w:ascii="Times New Roman" w:hAnsi="Times New Roman" w:cs="Times New Roman"/>
        </w:rPr>
        <w:tab/>
        <w:t>Bone marrow-derived Macrophages</w:t>
      </w:r>
    </w:p>
    <w:p w14:paraId="404E270B"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C5aR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C5a Receptor</w:t>
      </w:r>
    </w:p>
    <w:p w14:paraId="113CB2C8"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CA-MRSA</w:t>
      </w:r>
      <w:r w:rsidRPr="00B62240">
        <w:rPr>
          <w:rFonts w:ascii="Times New Roman" w:hAnsi="Times New Roman" w:cs="Times New Roman"/>
        </w:rPr>
        <w:tab/>
      </w:r>
      <w:r w:rsidRPr="00B62240">
        <w:rPr>
          <w:rFonts w:ascii="Times New Roman" w:hAnsi="Times New Roman" w:cs="Times New Roman"/>
        </w:rPr>
        <w:tab/>
        <w:t xml:space="preserve">Community-Associated Methicillin Resistant </w:t>
      </w:r>
      <w:r w:rsidRPr="00B62240">
        <w:rPr>
          <w:rFonts w:ascii="Times New Roman" w:hAnsi="Times New Roman" w:cs="Times New Roman"/>
          <w:i/>
          <w:iCs/>
        </w:rPr>
        <w:t>Staphylococcus aureus</w:t>
      </w:r>
      <w:r w:rsidRPr="00B62240">
        <w:rPr>
          <w:rFonts w:ascii="Times New Roman" w:hAnsi="Times New Roman" w:cs="Times New Roman"/>
        </w:rPr>
        <w:t xml:space="preserve"> </w:t>
      </w:r>
    </w:p>
    <w:p w14:paraId="60A357B4" w14:textId="77777777" w:rsidR="00033564" w:rsidRDefault="00033564" w:rsidP="00033564">
      <w:pPr>
        <w:spacing w:after="0"/>
        <w:rPr>
          <w:rFonts w:ascii="Times New Roman" w:hAnsi="Times New Roman" w:cs="Times New Roman"/>
        </w:rPr>
      </w:pPr>
      <w:r>
        <w:rPr>
          <w:rFonts w:ascii="Times New Roman" w:hAnsi="Times New Roman" w:cs="Times New Roman"/>
        </w:rPr>
        <w:t>c-di-AMP</w:t>
      </w:r>
      <w:r>
        <w:rPr>
          <w:rFonts w:ascii="Times New Roman" w:hAnsi="Times New Roman" w:cs="Times New Roman"/>
        </w:rPr>
        <w:tab/>
      </w:r>
      <w:r>
        <w:rPr>
          <w:rFonts w:ascii="Times New Roman" w:hAnsi="Times New Roman" w:cs="Times New Roman"/>
        </w:rPr>
        <w:tab/>
        <w:t>Cyclic di-AMP</w:t>
      </w:r>
    </w:p>
    <w:p w14:paraId="7568854E" w14:textId="77777777" w:rsidR="00033564" w:rsidRDefault="00033564" w:rsidP="00033564">
      <w:pPr>
        <w:spacing w:after="0"/>
        <w:rPr>
          <w:rFonts w:ascii="Times New Roman" w:hAnsi="Times New Roman" w:cs="Times New Roman"/>
        </w:rPr>
      </w:pPr>
      <w:r w:rsidRPr="00E65525">
        <w:rPr>
          <w:rFonts w:ascii="Times New Roman" w:hAnsi="Times New Roman" w:cs="Times New Roman"/>
        </w:rPr>
        <w:t>CHIPS</w:t>
      </w:r>
      <w:r w:rsidRPr="00E65525">
        <w:rPr>
          <w:rFonts w:ascii="Times New Roman" w:hAnsi="Times New Roman" w:cs="Times New Roman"/>
        </w:rPr>
        <w:tab/>
      </w:r>
      <w:r w:rsidRPr="00E65525">
        <w:rPr>
          <w:rFonts w:ascii="Times New Roman" w:hAnsi="Times New Roman" w:cs="Times New Roman"/>
        </w:rPr>
        <w:tab/>
      </w:r>
      <w:r w:rsidRPr="00E65525">
        <w:rPr>
          <w:rFonts w:ascii="Times New Roman" w:hAnsi="Times New Roman" w:cs="Times New Roman"/>
        </w:rPr>
        <w:tab/>
        <w:t xml:space="preserve">Chemotaxis Inhibitory Protein of Staphylococcus </w:t>
      </w:r>
    </w:p>
    <w:p w14:paraId="45CEF746" w14:textId="77777777" w:rsidR="00033564" w:rsidRDefault="00033564" w:rsidP="00033564">
      <w:pPr>
        <w:spacing w:after="0"/>
        <w:rPr>
          <w:rFonts w:ascii="Times New Roman" w:hAnsi="Times New Roman" w:cs="Times New Roman"/>
        </w:rPr>
      </w:pPr>
      <w:r>
        <w:rPr>
          <w:rFonts w:ascii="Times New Roman" w:hAnsi="Times New Roman" w:cs="Times New Roman"/>
        </w:rPr>
        <w:t>ClfA/B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Clumping Factor A/B</w:t>
      </w:r>
    </w:p>
    <w:p w14:paraId="2FF10EAC" w14:textId="77777777" w:rsidR="00033564" w:rsidRDefault="00033564" w:rsidP="00033564">
      <w:pPr>
        <w:spacing w:after="0"/>
        <w:rPr>
          <w:rFonts w:ascii="Times New Roman" w:hAnsi="Times New Roman" w:cs="Times New Roman"/>
        </w:rPr>
      </w:pPr>
      <w:r>
        <w:rPr>
          <w:rFonts w:ascii="Times New Roman" w:hAnsi="Times New Roman" w:cs="Times New Roman"/>
        </w:rPr>
        <w:t>CLR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C-type Lectin Receptor</w:t>
      </w:r>
    </w:p>
    <w:p w14:paraId="4DCCB8F2" w14:textId="77777777" w:rsidR="00033564" w:rsidRDefault="00033564" w:rsidP="00033564">
      <w:pPr>
        <w:spacing w:after="0"/>
        <w:rPr>
          <w:rFonts w:ascii="Times New Roman" w:hAnsi="Times New Roman" w:cs="Times New Roman"/>
        </w:rPr>
      </w:pPr>
      <w:r>
        <w:rPr>
          <w:rFonts w:ascii="Times New Roman" w:hAnsi="Times New Roman" w:cs="Times New Roman"/>
        </w:rPr>
        <w:t>Cna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Collagen adhesin</w:t>
      </w:r>
    </w:p>
    <w:p w14:paraId="41DFFB4C"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 xml:space="preserve">CR3/4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Complement Receptor 3/4 </w:t>
      </w:r>
    </w:p>
    <w:p w14:paraId="48B87537" w14:textId="67AC706D" w:rsidR="00033564" w:rsidRDefault="00033564" w:rsidP="00033564">
      <w:pPr>
        <w:spacing w:after="0"/>
        <w:rPr>
          <w:rFonts w:ascii="Times New Roman" w:hAnsi="Times New Roman" w:cs="Times New Roman"/>
        </w:rPr>
      </w:pPr>
      <w:r>
        <w:rPr>
          <w:rFonts w:ascii="Times New Roman" w:hAnsi="Times New Roman" w:cs="Times New Roman"/>
        </w:rPr>
        <w:t>C</w:t>
      </w:r>
      <w:r w:rsidR="00E315F1">
        <w:rPr>
          <w:rFonts w:ascii="Times New Roman" w:hAnsi="Times New Roman" w:cs="Times New Roman"/>
        </w:rPr>
        <w:t>c</w:t>
      </w:r>
      <w:r>
        <w:rPr>
          <w:rFonts w:ascii="Times New Roman" w:hAnsi="Times New Roman" w:cs="Times New Roman"/>
        </w:rPr>
        <w:t>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w:t>
      </w:r>
      <w:r w:rsidR="000D765B">
        <w:rPr>
          <w:rFonts w:ascii="Times New Roman" w:hAnsi="Times New Roman" w:cs="Times New Roman"/>
        </w:rPr>
        <w:t>s</w:t>
      </w:r>
      <w:r>
        <w:rPr>
          <w:rFonts w:ascii="Times New Roman" w:hAnsi="Times New Roman" w:cs="Times New Roman"/>
        </w:rPr>
        <w:t xml:space="preserve">sette Chromosome Recombinase </w:t>
      </w:r>
    </w:p>
    <w:p w14:paraId="67759A51"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CTD</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C-Terminal Domain</w:t>
      </w:r>
    </w:p>
    <w:p w14:paraId="25ADFF60" w14:textId="77777777" w:rsidR="00033564" w:rsidRDefault="00033564" w:rsidP="00033564">
      <w:pPr>
        <w:spacing w:after="0"/>
        <w:rPr>
          <w:rFonts w:ascii="Times New Roman" w:hAnsi="Times New Roman" w:cs="Times New Roman"/>
        </w:rPr>
      </w:pPr>
      <w:r>
        <w:rPr>
          <w:rFonts w:ascii="Times New Roman" w:hAnsi="Times New Roman" w:cs="Times New Roman"/>
        </w:rPr>
        <w:t>CWA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Cell wall-associated </w:t>
      </w:r>
    </w:p>
    <w:p w14:paraId="1F2AD992"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DAMP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Danger Associated Molecular Pattern</w:t>
      </w:r>
    </w:p>
    <w:p w14:paraId="49E98BC2"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DksA</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DnaK Suppressor</w:t>
      </w:r>
    </w:p>
    <w:p w14:paraId="1FA36386" w14:textId="77777777" w:rsidR="00033564" w:rsidRDefault="00033564" w:rsidP="00033564">
      <w:pPr>
        <w:spacing w:after="0"/>
        <w:rPr>
          <w:rFonts w:ascii="Times New Roman" w:hAnsi="Times New Roman" w:cs="Times New Roman"/>
        </w:rPr>
      </w:pPr>
      <w:r>
        <w:rPr>
          <w:rFonts w:ascii="Times New Roman" w:hAnsi="Times New Roman" w:cs="Times New Roman"/>
        </w:rPr>
        <w:t>Eap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Extracellular adherence protein</w:t>
      </w:r>
    </w:p>
    <w:p w14:paraId="5A2DE18C" w14:textId="77777777" w:rsidR="00033564" w:rsidRDefault="00033564" w:rsidP="00033564">
      <w:pPr>
        <w:spacing w:after="0"/>
        <w:rPr>
          <w:rFonts w:ascii="Times New Roman" w:hAnsi="Times New Roman" w:cs="Times New Roman"/>
        </w:rPr>
      </w:pPr>
      <w:r w:rsidRPr="00083F6D">
        <w:rPr>
          <w:rFonts w:ascii="Times New Roman" w:hAnsi="Times New Roman" w:cs="Times New Roman"/>
        </w:rPr>
        <w:t>EEA1</w:t>
      </w:r>
      <w:r w:rsidRPr="00083F6D">
        <w:rPr>
          <w:rFonts w:ascii="Times New Roman" w:hAnsi="Times New Roman" w:cs="Times New Roman"/>
        </w:rPr>
        <w:tab/>
      </w:r>
      <w:r w:rsidRPr="00083F6D">
        <w:rPr>
          <w:rFonts w:ascii="Times New Roman" w:hAnsi="Times New Roman" w:cs="Times New Roman"/>
        </w:rPr>
        <w:tab/>
      </w:r>
      <w:r w:rsidRPr="00083F6D">
        <w:rPr>
          <w:rFonts w:ascii="Times New Roman" w:hAnsi="Times New Roman" w:cs="Times New Roman"/>
        </w:rPr>
        <w:tab/>
        <w:t>Early Endosome Antigen 1</w:t>
      </w:r>
    </w:p>
    <w:p w14:paraId="2D3297D8" w14:textId="77777777" w:rsidR="00033564" w:rsidRDefault="00033564" w:rsidP="00033564">
      <w:pPr>
        <w:spacing w:after="0"/>
        <w:rPr>
          <w:rFonts w:ascii="Times New Roman" w:hAnsi="Times New Roman" w:cs="Times New Roman"/>
        </w:rPr>
      </w:pPr>
      <w:r w:rsidRPr="009F2B3E">
        <w:rPr>
          <w:rFonts w:ascii="Times New Roman" w:hAnsi="Times New Roman" w:cs="Times New Roman"/>
        </w:rPr>
        <w:t>Efb</w:t>
      </w:r>
      <w:r w:rsidRPr="009F2B3E">
        <w:rPr>
          <w:rFonts w:ascii="Times New Roman" w:hAnsi="Times New Roman" w:cs="Times New Roman"/>
        </w:rPr>
        <w:tab/>
      </w:r>
      <w:r w:rsidRPr="009F2B3E">
        <w:rPr>
          <w:rFonts w:ascii="Times New Roman" w:hAnsi="Times New Roman" w:cs="Times New Roman"/>
        </w:rPr>
        <w:tab/>
      </w:r>
      <w:r w:rsidRPr="009F2B3E">
        <w:rPr>
          <w:rFonts w:ascii="Times New Roman" w:hAnsi="Times New Roman" w:cs="Times New Roman"/>
        </w:rPr>
        <w:tab/>
        <w:t>E</w:t>
      </w:r>
      <w:r>
        <w:rPr>
          <w:rFonts w:ascii="Times New Roman" w:hAnsi="Times New Roman" w:cs="Times New Roman"/>
        </w:rPr>
        <w:t>xtracellular Fibrinogen-binding protein</w:t>
      </w:r>
    </w:p>
    <w:p w14:paraId="08F80719" w14:textId="77777777" w:rsidR="00033564" w:rsidRPr="0082578A" w:rsidRDefault="00033564" w:rsidP="00033564">
      <w:pPr>
        <w:spacing w:after="0"/>
        <w:rPr>
          <w:rFonts w:ascii="Times New Roman" w:hAnsi="Times New Roman" w:cs="Times New Roman"/>
        </w:rPr>
      </w:pPr>
      <w:r w:rsidRPr="0082578A">
        <w:rPr>
          <w:rFonts w:ascii="Times New Roman" w:hAnsi="Times New Roman" w:cs="Times New Roman"/>
        </w:rPr>
        <w:t>EF-G</w:t>
      </w:r>
      <w:r w:rsidRPr="0082578A">
        <w:rPr>
          <w:rFonts w:ascii="Times New Roman" w:hAnsi="Times New Roman" w:cs="Times New Roman"/>
        </w:rPr>
        <w:tab/>
      </w:r>
      <w:r w:rsidRPr="0082578A">
        <w:rPr>
          <w:rFonts w:ascii="Times New Roman" w:hAnsi="Times New Roman" w:cs="Times New Roman"/>
        </w:rPr>
        <w:tab/>
      </w:r>
      <w:r w:rsidRPr="0082578A">
        <w:rPr>
          <w:rFonts w:ascii="Times New Roman" w:hAnsi="Times New Roman" w:cs="Times New Roman"/>
        </w:rPr>
        <w:tab/>
        <w:t>Elongation fact</w:t>
      </w:r>
      <w:r>
        <w:rPr>
          <w:rFonts w:ascii="Times New Roman" w:hAnsi="Times New Roman" w:cs="Times New Roman"/>
        </w:rPr>
        <w:t>or G</w:t>
      </w:r>
    </w:p>
    <w:p w14:paraId="2E350474" w14:textId="77777777" w:rsidR="00033564" w:rsidRDefault="00033564" w:rsidP="00033564">
      <w:pPr>
        <w:spacing w:after="0"/>
        <w:rPr>
          <w:rFonts w:ascii="Times New Roman" w:hAnsi="Times New Roman" w:cs="Times New Roman"/>
          <w:lang w:val="es-ES"/>
        </w:rPr>
      </w:pPr>
      <w:r w:rsidRPr="00E00021">
        <w:rPr>
          <w:rFonts w:ascii="Times New Roman" w:hAnsi="Times New Roman" w:cs="Times New Roman"/>
          <w:lang w:val="es-ES"/>
        </w:rPr>
        <w:t>EF-Tu</w:t>
      </w:r>
      <w:r w:rsidRPr="00E00021">
        <w:rPr>
          <w:rFonts w:ascii="Times New Roman" w:hAnsi="Times New Roman" w:cs="Times New Roman"/>
          <w:lang w:val="es-ES"/>
        </w:rPr>
        <w:tab/>
      </w:r>
      <w:r w:rsidRPr="00E00021">
        <w:rPr>
          <w:rFonts w:ascii="Times New Roman" w:hAnsi="Times New Roman" w:cs="Times New Roman"/>
          <w:lang w:val="es-ES"/>
        </w:rPr>
        <w:tab/>
      </w:r>
      <w:r w:rsidRPr="00E00021">
        <w:rPr>
          <w:rFonts w:ascii="Times New Roman" w:hAnsi="Times New Roman" w:cs="Times New Roman"/>
          <w:lang w:val="es-ES"/>
        </w:rPr>
        <w:tab/>
        <w:t>Elongation factor Tu</w:t>
      </w:r>
      <w:r w:rsidRPr="00E00021">
        <w:rPr>
          <w:rFonts w:ascii="Times New Roman" w:hAnsi="Times New Roman" w:cs="Times New Roman"/>
          <w:lang w:val="es-ES"/>
        </w:rPr>
        <w:tab/>
      </w:r>
    </w:p>
    <w:p w14:paraId="42F89CB9" w14:textId="77777777" w:rsidR="00033564" w:rsidRPr="00CC374D" w:rsidRDefault="00033564" w:rsidP="00033564">
      <w:pPr>
        <w:spacing w:after="0"/>
        <w:rPr>
          <w:rFonts w:ascii="Times New Roman" w:hAnsi="Times New Roman" w:cs="Times New Roman"/>
          <w:i/>
          <w:iCs/>
        </w:rPr>
      </w:pPr>
      <w:r w:rsidRPr="00CC374D">
        <w:rPr>
          <w:rFonts w:ascii="Times New Roman" w:hAnsi="Times New Roman" w:cs="Times New Roman"/>
        </w:rPr>
        <w:t>EHEC</w:t>
      </w:r>
      <w:r w:rsidRPr="00CC374D">
        <w:rPr>
          <w:rFonts w:ascii="Times New Roman" w:hAnsi="Times New Roman" w:cs="Times New Roman"/>
        </w:rPr>
        <w:tab/>
      </w:r>
      <w:r w:rsidRPr="00CC374D">
        <w:rPr>
          <w:rFonts w:ascii="Times New Roman" w:hAnsi="Times New Roman" w:cs="Times New Roman"/>
        </w:rPr>
        <w:tab/>
      </w:r>
      <w:r w:rsidRPr="00CC374D">
        <w:rPr>
          <w:rFonts w:ascii="Times New Roman" w:hAnsi="Times New Roman" w:cs="Times New Roman"/>
        </w:rPr>
        <w:tab/>
        <w:t xml:space="preserve">Enterohaemorrhagic </w:t>
      </w:r>
      <w:r w:rsidRPr="00CC374D">
        <w:rPr>
          <w:rFonts w:ascii="Times New Roman" w:hAnsi="Times New Roman" w:cs="Times New Roman"/>
          <w:i/>
          <w:iCs/>
        </w:rPr>
        <w:t>E. co</w:t>
      </w:r>
      <w:r>
        <w:rPr>
          <w:rFonts w:ascii="Times New Roman" w:hAnsi="Times New Roman" w:cs="Times New Roman"/>
          <w:i/>
          <w:iCs/>
        </w:rPr>
        <w:t>li</w:t>
      </w:r>
    </w:p>
    <w:p w14:paraId="56A14317" w14:textId="77777777" w:rsidR="00033564" w:rsidRDefault="00033564" w:rsidP="00033564">
      <w:pPr>
        <w:spacing w:after="0"/>
        <w:rPr>
          <w:rFonts w:ascii="Times New Roman" w:hAnsi="Times New Roman" w:cs="Times New Roman"/>
          <w:i/>
          <w:iCs/>
        </w:rPr>
      </w:pPr>
      <w:r w:rsidRPr="00CC374D">
        <w:rPr>
          <w:rFonts w:ascii="Times New Roman" w:hAnsi="Times New Roman" w:cs="Times New Roman"/>
        </w:rPr>
        <w:t xml:space="preserve">EPEC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C374D">
        <w:rPr>
          <w:rFonts w:ascii="Times New Roman" w:hAnsi="Times New Roman" w:cs="Times New Roman"/>
        </w:rPr>
        <w:t>Entero</w:t>
      </w:r>
      <w:r>
        <w:rPr>
          <w:rFonts w:ascii="Times New Roman" w:hAnsi="Times New Roman" w:cs="Times New Roman"/>
        </w:rPr>
        <w:t>pathogeni</w:t>
      </w:r>
      <w:r w:rsidRPr="00CC374D">
        <w:rPr>
          <w:rFonts w:ascii="Times New Roman" w:hAnsi="Times New Roman" w:cs="Times New Roman"/>
        </w:rPr>
        <w:t xml:space="preserve">c </w:t>
      </w:r>
      <w:r w:rsidRPr="00CC374D">
        <w:rPr>
          <w:rFonts w:ascii="Times New Roman" w:hAnsi="Times New Roman" w:cs="Times New Roman"/>
          <w:i/>
          <w:iCs/>
        </w:rPr>
        <w:t>E. co</w:t>
      </w:r>
      <w:r>
        <w:rPr>
          <w:rFonts w:ascii="Times New Roman" w:hAnsi="Times New Roman" w:cs="Times New Roman"/>
          <w:i/>
          <w:iCs/>
        </w:rPr>
        <w:t>li</w:t>
      </w:r>
    </w:p>
    <w:p w14:paraId="0397BA0D" w14:textId="77777777" w:rsidR="00033564" w:rsidRPr="00C62469" w:rsidRDefault="00033564" w:rsidP="00033564">
      <w:pPr>
        <w:spacing w:after="0"/>
        <w:rPr>
          <w:rFonts w:ascii="Times New Roman" w:hAnsi="Times New Roman" w:cs="Times New Roman"/>
        </w:rPr>
      </w:pPr>
      <w:r w:rsidRPr="00C62469">
        <w:rPr>
          <w:rFonts w:ascii="Times New Roman" w:hAnsi="Times New Roman" w:cs="Times New Roman"/>
        </w:rPr>
        <w:t>EPS</w:t>
      </w:r>
      <w:r w:rsidRPr="00C62469">
        <w:rPr>
          <w:rFonts w:ascii="Times New Roman" w:hAnsi="Times New Roman" w:cs="Times New Roman"/>
        </w:rPr>
        <w:tab/>
      </w:r>
      <w:r w:rsidRPr="00C62469">
        <w:rPr>
          <w:rFonts w:ascii="Times New Roman" w:hAnsi="Times New Roman" w:cs="Times New Roman"/>
        </w:rPr>
        <w:tab/>
      </w:r>
      <w:r w:rsidRPr="00C62469">
        <w:rPr>
          <w:rFonts w:ascii="Times New Roman" w:hAnsi="Times New Roman" w:cs="Times New Roman"/>
        </w:rPr>
        <w:tab/>
        <w:t>Extra</w:t>
      </w:r>
      <w:r>
        <w:rPr>
          <w:rFonts w:ascii="Times New Roman" w:hAnsi="Times New Roman" w:cs="Times New Roman"/>
        </w:rPr>
        <w:t>cellular P</w:t>
      </w:r>
      <w:r w:rsidRPr="00C62469">
        <w:rPr>
          <w:rFonts w:ascii="Times New Roman" w:hAnsi="Times New Roman" w:cs="Times New Roman"/>
        </w:rPr>
        <w:t>olymeric S</w:t>
      </w:r>
      <w:r>
        <w:rPr>
          <w:rFonts w:ascii="Times New Roman" w:hAnsi="Times New Roman" w:cs="Times New Roman"/>
        </w:rPr>
        <w:t>ubstance</w:t>
      </w:r>
    </w:p>
    <w:p w14:paraId="6EC93F64" w14:textId="77777777" w:rsidR="00033564" w:rsidRPr="00C62469" w:rsidRDefault="00033564" w:rsidP="00033564">
      <w:pPr>
        <w:spacing w:after="0"/>
        <w:rPr>
          <w:rFonts w:ascii="Times New Roman" w:hAnsi="Times New Roman" w:cs="Times New Roman"/>
        </w:rPr>
      </w:pPr>
      <w:r w:rsidRPr="00C62469">
        <w:rPr>
          <w:rFonts w:ascii="Times New Roman" w:hAnsi="Times New Roman" w:cs="Times New Roman"/>
        </w:rPr>
        <w:t>ETA/B</w:t>
      </w:r>
      <w:r w:rsidRPr="00C62469">
        <w:rPr>
          <w:rFonts w:ascii="Times New Roman" w:hAnsi="Times New Roman" w:cs="Times New Roman"/>
        </w:rPr>
        <w:tab/>
      </w:r>
      <w:r w:rsidRPr="00C62469">
        <w:rPr>
          <w:rFonts w:ascii="Times New Roman" w:hAnsi="Times New Roman" w:cs="Times New Roman"/>
        </w:rPr>
        <w:tab/>
      </w:r>
      <w:r w:rsidRPr="00C62469">
        <w:rPr>
          <w:rFonts w:ascii="Times New Roman" w:hAnsi="Times New Roman" w:cs="Times New Roman"/>
        </w:rPr>
        <w:tab/>
        <w:t>Exfoliative Toxin A/B</w:t>
      </w:r>
    </w:p>
    <w:p w14:paraId="3991C1C9" w14:textId="77777777" w:rsidR="00033564" w:rsidRDefault="00033564" w:rsidP="00033564">
      <w:pPr>
        <w:spacing w:after="0"/>
        <w:rPr>
          <w:rFonts w:ascii="Times New Roman" w:hAnsi="Times New Roman" w:cs="Times New Roman"/>
        </w:rPr>
      </w:pPr>
      <w:r w:rsidRPr="001F77D8">
        <w:rPr>
          <w:rFonts w:ascii="Times New Roman" w:hAnsi="Times New Roman" w:cs="Times New Roman"/>
        </w:rPr>
        <w:t>FnBP</w:t>
      </w:r>
      <w:r>
        <w:rPr>
          <w:rFonts w:ascii="Times New Roman" w:hAnsi="Times New Roman" w:cs="Times New Roman"/>
        </w:rPr>
        <w:t>A/B</w:t>
      </w:r>
      <w:r>
        <w:rPr>
          <w:rFonts w:ascii="Times New Roman" w:hAnsi="Times New Roman" w:cs="Times New Roman"/>
        </w:rPr>
        <w:tab/>
      </w:r>
      <w:r w:rsidRPr="001F77D8">
        <w:rPr>
          <w:rFonts w:ascii="Times New Roman" w:hAnsi="Times New Roman" w:cs="Times New Roman"/>
        </w:rPr>
        <w:tab/>
      </w:r>
      <w:r>
        <w:rPr>
          <w:rFonts w:ascii="Times New Roman" w:hAnsi="Times New Roman" w:cs="Times New Roman"/>
        </w:rPr>
        <w:t>Fibronectin-binding Protein A/B</w:t>
      </w:r>
    </w:p>
    <w:p w14:paraId="27C40992" w14:textId="77777777" w:rsidR="00033564" w:rsidRDefault="00033564" w:rsidP="00033564">
      <w:pPr>
        <w:spacing w:after="0"/>
        <w:rPr>
          <w:rFonts w:ascii="Times New Roman" w:hAnsi="Times New Roman" w:cs="Times New Roman"/>
        </w:rPr>
      </w:pPr>
      <w:r>
        <w:rPr>
          <w:rFonts w:ascii="Times New Roman" w:hAnsi="Times New Roman" w:cs="Times New Roman"/>
        </w:rPr>
        <w:t>FPR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Formylated Peptide Receptor</w:t>
      </w:r>
    </w:p>
    <w:p w14:paraId="26AFFFCE" w14:textId="77777777" w:rsidR="00033564" w:rsidRPr="001F77D8" w:rsidRDefault="00033564" w:rsidP="00033564">
      <w:pPr>
        <w:spacing w:after="0"/>
        <w:rPr>
          <w:rFonts w:ascii="Times New Roman" w:hAnsi="Times New Roman" w:cs="Times New Roman"/>
        </w:rPr>
      </w:pPr>
      <w:r>
        <w:rPr>
          <w:rFonts w:ascii="Times New Roman" w:hAnsi="Times New Roman" w:cs="Times New Roman"/>
        </w:rPr>
        <w:t>GFP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Green Fluorescent Protein</w:t>
      </w:r>
    </w:p>
    <w:p w14:paraId="48F54C8A"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Gmk</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Guanylate Kinase</w:t>
      </w:r>
    </w:p>
    <w:p w14:paraId="058627A6"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GMP</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Guanosine Monophosphate</w:t>
      </w:r>
    </w:p>
    <w:p w14:paraId="06ABB2CC"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GppA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w:t>
      </w:r>
      <w:r w:rsidRPr="00476C9F">
        <w:rPr>
          <w:rFonts w:ascii="Times New Roman" w:hAnsi="Times New Roman" w:cs="Times New Roman"/>
        </w:rPr>
        <w:t xml:space="preserve">uanosine </w:t>
      </w:r>
      <w:r>
        <w:rPr>
          <w:rFonts w:ascii="Times New Roman" w:hAnsi="Times New Roman" w:cs="Times New Roman"/>
        </w:rPr>
        <w:t>P</w:t>
      </w:r>
      <w:r w:rsidRPr="00476C9F">
        <w:rPr>
          <w:rFonts w:ascii="Times New Roman" w:hAnsi="Times New Roman" w:cs="Times New Roman"/>
        </w:rPr>
        <w:t xml:space="preserve">entaphosphate </w:t>
      </w:r>
      <w:r>
        <w:rPr>
          <w:rFonts w:ascii="Times New Roman" w:hAnsi="Times New Roman" w:cs="Times New Roman"/>
        </w:rPr>
        <w:t>P</w:t>
      </w:r>
      <w:r w:rsidRPr="00476C9F">
        <w:rPr>
          <w:rFonts w:ascii="Times New Roman" w:hAnsi="Times New Roman" w:cs="Times New Roman"/>
        </w:rPr>
        <w:t>hosphohydrolase</w:t>
      </w:r>
      <w:r>
        <w:rPr>
          <w:rFonts w:ascii="Times New Roman" w:hAnsi="Times New Roman" w:cs="Times New Roman"/>
        </w:rPr>
        <w:t xml:space="preserve"> A</w:t>
      </w:r>
    </w:p>
    <w:p w14:paraId="03F6E506"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GTP</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Guanosine Triphosphate</w:t>
      </w:r>
    </w:p>
    <w:p w14:paraId="31BCD166"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GuaA</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G</w:t>
      </w:r>
      <w:r>
        <w:rPr>
          <w:rFonts w:ascii="Times New Roman" w:hAnsi="Times New Roman" w:cs="Times New Roman"/>
        </w:rPr>
        <w:t xml:space="preserve">uanosine monophosphate </w:t>
      </w:r>
      <w:r w:rsidRPr="00B62240">
        <w:rPr>
          <w:rFonts w:ascii="Times New Roman" w:hAnsi="Times New Roman" w:cs="Times New Roman"/>
        </w:rPr>
        <w:t>Synthase</w:t>
      </w:r>
    </w:p>
    <w:p w14:paraId="33BA1511"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GuaB</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IMP Dehydrogenase</w:t>
      </w:r>
    </w:p>
    <w:p w14:paraId="04C6ECF2"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HA-MRSA</w:t>
      </w:r>
      <w:r w:rsidRPr="00B62240">
        <w:rPr>
          <w:rFonts w:ascii="Times New Roman" w:hAnsi="Times New Roman" w:cs="Times New Roman"/>
        </w:rPr>
        <w:tab/>
      </w:r>
      <w:r w:rsidRPr="00B62240">
        <w:rPr>
          <w:rFonts w:ascii="Times New Roman" w:hAnsi="Times New Roman" w:cs="Times New Roman"/>
        </w:rPr>
        <w:tab/>
        <w:t xml:space="preserve">Hospital-Associated Methicillin Resistant </w:t>
      </w:r>
      <w:r w:rsidRPr="00B62240">
        <w:rPr>
          <w:rFonts w:ascii="Times New Roman" w:hAnsi="Times New Roman" w:cs="Times New Roman"/>
          <w:i/>
          <w:iCs/>
        </w:rPr>
        <w:t>Staphylococcus aureus</w:t>
      </w:r>
      <w:r w:rsidRPr="00B62240">
        <w:rPr>
          <w:rFonts w:ascii="Times New Roman" w:hAnsi="Times New Roman" w:cs="Times New Roman"/>
        </w:rPr>
        <w:t xml:space="preserve"> </w:t>
      </w:r>
    </w:p>
    <w:p w14:paraId="5E7CA321"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HD</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Hydrolase Domain</w:t>
      </w:r>
    </w:p>
    <w:p w14:paraId="6E8B1110" w14:textId="77777777" w:rsidR="00033564" w:rsidRDefault="00033564" w:rsidP="00033564">
      <w:pPr>
        <w:spacing w:after="0"/>
        <w:rPr>
          <w:rFonts w:ascii="Times New Roman" w:hAnsi="Times New Roman" w:cs="Times New Roman"/>
        </w:rPr>
      </w:pPr>
      <w:r>
        <w:rPr>
          <w:rFonts w:ascii="Times New Roman" w:hAnsi="Times New Roman" w:cs="Times New Roman"/>
        </w:rPr>
        <w:t>HNP1-4</w:t>
      </w:r>
      <w:r>
        <w:rPr>
          <w:rFonts w:ascii="Times New Roman" w:hAnsi="Times New Roman" w:cs="Times New Roman"/>
        </w:rPr>
        <w:tab/>
      </w:r>
      <w:r>
        <w:rPr>
          <w:rFonts w:ascii="Times New Roman" w:hAnsi="Times New Roman" w:cs="Times New Roman"/>
        </w:rPr>
        <w:tab/>
        <w:t xml:space="preserve">Human Neutrophil </w:t>
      </w:r>
      <w:r w:rsidRPr="00257EA7">
        <w:rPr>
          <w:rFonts w:ascii="Times New Roman" w:hAnsi="Times New Roman" w:cs="Times New Roman"/>
        </w:rPr>
        <w:t>α</w:t>
      </w:r>
      <w:r>
        <w:rPr>
          <w:rFonts w:ascii="Times New Roman" w:hAnsi="Times New Roman" w:cs="Times New Roman"/>
        </w:rPr>
        <w:t xml:space="preserve">-defensin 1-4 </w:t>
      </w:r>
    </w:p>
    <w:p w14:paraId="681A781D" w14:textId="77777777" w:rsidR="00033564" w:rsidRDefault="00033564" w:rsidP="00033564">
      <w:pPr>
        <w:spacing w:after="0"/>
        <w:rPr>
          <w:rFonts w:ascii="Times New Roman" w:hAnsi="Times New Roman" w:cs="Times New Roman"/>
        </w:rPr>
      </w:pPr>
      <w:r>
        <w:rPr>
          <w:rFonts w:ascii="Times New Roman" w:hAnsi="Times New Roman" w:cs="Times New Roman"/>
        </w:rPr>
        <w:t>Hpf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Hours Post Fertilisation</w:t>
      </w:r>
    </w:p>
    <w:p w14:paraId="5A7EE08D" w14:textId="77777777" w:rsidR="00033564" w:rsidRDefault="00033564" w:rsidP="00033564">
      <w:pPr>
        <w:spacing w:after="0"/>
        <w:rPr>
          <w:rFonts w:ascii="Times New Roman" w:hAnsi="Times New Roman" w:cs="Times New Roman"/>
        </w:rPr>
      </w:pPr>
      <w:r>
        <w:rPr>
          <w:rFonts w:ascii="Times New Roman" w:hAnsi="Times New Roman" w:cs="Times New Roman"/>
        </w:rPr>
        <w:t xml:space="preserve">Hpf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Hibernation Promoting Factor</w:t>
      </w:r>
    </w:p>
    <w:p w14:paraId="50797044" w14:textId="77777777" w:rsidR="00033564" w:rsidRDefault="00033564" w:rsidP="00033564">
      <w:pPr>
        <w:spacing w:after="0"/>
        <w:rPr>
          <w:rFonts w:ascii="Times New Roman" w:hAnsi="Times New Roman" w:cs="Times New Roman"/>
        </w:rPr>
      </w:pPr>
      <w:r>
        <w:rPr>
          <w:rFonts w:ascii="Times New Roman" w:hAnsi="Times New Roman" w:cs="Times New Roman"/>
        </w:rPr>
        <w:t>Hpi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Hours Post Infection</w:t>
      </w:r>
    </w:p>
    <w:p w14:paraId="5DD4C1E2" w14:textId="77777777" w:rsidR="00033564" w:rsidRDefault="00033564" w:rsidP="00033564">
      <w:pPr>
        <w:spacing w:after="0"/>
        <w:rPr>
          <w:rFonts w:ascii="Times New Roman" w:hAnsi="Times New Roman" w:cs="Times New Roman"/>
        </w:rPr>
      </w:pPr>
      <w:r>
        <w:rPr>
          <w:rFonts w:ascii="Times New Roman" w:hAnsi="Times New Roman" w:cs="Times New Roman"/>
        </w:rPr>
        <w:lastRenderedPageBreak/>
        <w:t>HprT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w:t>
      </w:r>
      <w:r w:rsidRPr="000609AC">
        <w:rPr>
          <w:rFonts w:ascii="Times New Roman" w:hAnsi="Times New Roman" w:cs="Times New Roman"/>
        </w:rPr>
        <w:t>ypoxanthine</w:t>
      </w:r>
      <w:r>
        <w:rPr>
          <w:rFonts w:ascii="Times New Roman" w:hAnsi="Times New Roman" w:cs="Times New Roman"/>
        </w:rPr>
        <w:t xml:space="preserve"> P</w:t>
      </w:r>
      <w:r w:rsidRPr="000609AC">
        <w:rPr>
          <w:rFonts w:ascii="Times New Roman" w:hAnsi="Times New Roman" w:cs="Times New Roman"/>
        </w:rPr>
        <w:t>hosphoribosyl</w:t>
      </w:r>
      <w:r>
        <w:rPr>
          <w:rFonts w:ascii="Times New Roman" w:hAnsi="Times New Roman" w:cs="Times New Roman"/>
        </w:rPr>
        <w:t>t</w:t>
      </w:r>
      <w:r w:rsidRPr="000609AC">
        <w:rPr>
          <w:rFonts w:ascii="Times New Roman" w:hAnsi="Times New Roman" w:cs="Times New Roman"/>
        </w:rPr>
        <w:t>ransferase</w:t>
      </w:r>
    </w:p>
    <w:p w14:paraId="461EEB7E" w14:textId="77777777" w:rsidR="00033564" w:rsidRDefault="00033564" w:rsidP="00033564">
      <w:pPr>
        <w:spacing w:after="0"/>
        <w:rPr>
          <w:rFonts w:ascii="Times New Roman" w:hAnsi="Times New Roman" w:cs="Times New Roman"/>
        </w:rPr>
      </w:pPr>
      <w:r>
        <w:rPr>
          <w:rFonts w:ascii="Times New Roman" w:hAnsi="Times New Roman" w:cs="Times New Roman"/>
        </w:rPr>
        <w:t>HSC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Haematopoietic Stem Cell</w:t>
      </w:r>
    </w:p>
    <w:p w14:paraId="2B3D2C4C" w14:textId="485611B6" w:rsidR="00033564" w:rsidRDefault="00E315F1" w:rsidP="00033564">
      <w:pPr>
        <w:spacing w:after="0"/>
        <w:rPr>
          <w:rFonts w:ascii="Times New Roman" w:hAnsi="Times New Roman" w:cs="Times New Roman"/>
        </w:rPr>
      </w:pPr>
      <w:r>
        <w:rPr>
          <w:rFonts w:ascii="Times New Roman" w:hAnsi="Times New Roman" w:cs="Times New Roman"/>
        </w:rPr>
        <w:t>HT</w:t>
      </w:r>
      <w:r w:rsidR="00033564">
        <w:rPr>
          <w:rFonts w:ascii="Times New Roman" w:hAnsi="Times New Roman" w:cs="Times New Roman"/>
        </w:rPr>
        <w:t>E</w:t>
      </w:r>
      <w:r w:rsidR="00033564">
        <w:rPr>
          <w:rFonts w:ascii="Times New Roman" w:hAnsi="Times New Roman" w:cs="Times New Roman"/>
        </w:rPr>
        <w:tab/>
      </w:r>
      <w:r w:rsidR="00033564">
        <w:rPr>
          <w:rFonts w:ascii="Times New Roman" w:hAnsi="Times New Roman" w:cs="Times New Roman"/>
        </w:rPr>
        <w:tab/>
      </w:r>
      <w:r w:rsidR="00033564">
        <w:rPr>
          <w:rFonts w:ascii="Times New Roman" w:hAnsi="Times New Roman" w:cs="Times New Roman"/>
        </w:rPr>
        <w:tab/>
        <w:t>Human Tonsillar Epithelial</w:t>
      </w:r>
    </w:p>
    <w:p w14:paraId="64D92C2F" w14:textId="77777777" w:rsidR="00033564" w:rsidRDefault="00033564" w:rsidP="00033564">
      <w:pPr>
        <w:spacing w:after="0"/>
        <w:rPr>
          <w:rFonts w:ascii="Times New Roman" w:hAnsi="Times New Roman" w:cs="Times New Roman"/>
        </w:rPr>
      </w:pPr>
      <w:r>
        <w:rPr>
          <w:rFonts w:ascii="Times New Roman" w:hAnsi="Times New Roman" w:cs="Times New Roman"/>
        </w:rPr>
        <w:t>IEC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Intestinal Epithelial Cell</w:t>
      </w:r>
    </w:p>
    <w:p w14:paraId="7A80F956"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IFN-</w:t>
      </w:r>
      <w:r w:rsidRPr="000F3D7C">
        <w:rPr>
          <w:rFonts w:ascii="Times New Roman" w:hAnsi="Times New Roman" w:cs="Times New Roman"/>
        </w:rPr>
        <w:t>γ</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r>
      <w:r>
        <w:rPr>
          <w:rFonts w:ascii="Times New Roman" w:hAnsi="Times New Roman" w:cs="Times New Roman"/>
        </w:rPr>
        <w:t>Interferon-</w:t>
      </w:r>
      <w:r w:rsidRPr="000F3D7C">
        <w:rPr>
          <w:rFonts w:ascii="Times New Roman" w:hAnsi="Times New Roman" w:cs="Times New Roman"/>
        </w:rPr>
        <w:t>γ</w:t>
      </w:r>
    </w:p>
    <w:p w14:paraId="40EA5885"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IMP</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 xml:space="preserve">Inosine </w:t>
      </w:r>
      <w:r>
        <w:rPr>
          <w:rFonts w:ascii="Times New Roman" w:hAnsi="Times New Roman" w:cs="Times New Roman"/>
        </w:rPr>
        <w:t>mono</w:t>
      </w:r>
      <w:r w:rsidRPr="00B62240">
        <w:rPr>
          <w:rFonts w:ascii="Times New Roman" w:hAnsi="Times New Roman" w:cs="Times New Roman"/>
        </w:rPr>
        <w:t>phosphate</w:t>
      </w:r>
    </w:p>
    <w:p w14:paraId="7952BEF4" w14:textId="77777777" w:rsidR="00033564" w:rsidRDefault="00033564" w:rsidP="00033564">
      <w:pPr>
        <w:spacing w:after="0"/>
        <w:rPr>
          <w:rFonts w:ascii="Times New Roman" w:hAnsi="Times New Roman" w:cs="Times New Roman"/>
        </w:rPr>
      </w:pPr>
      <w:r w:rsidRPr="00BC4B35">
        <w:rPr>
          <w:rFonts w:ascii="Times New Roman" w:hAnsi="Times New Roman" w:cs="Times New Roman"/>
        </w:rPr>
        <w:t>iNOS</w:t>
      </w:r>
      <w:r w:rsidRPr="00BC4B35">
        <w:rPr>
          <w:rFonts w:ascii="Times New Roman" w:hAnsi="Times New Roman" w:cs="Times New Roman"/>
        </w:rPr>
        <w:tab/>
      </w:r>
      <w:r w:rsidRPr="00BC4B35">
        <w:rPr>
          <w:rFonts w:ascii="Times New Roman" w:hAnsi="Times New Roman" w:cs="Times New Roman"/>
        </w:rPr>
        <w:tab/>
      </w:r>
      <w:r w:rsidRPr="00BC4B35">
        <w:rPr>
          <w:rFonts w:ascii="Times New Roman" w:hAnsi="Times New Roman" w:cs="Times New Roman"/>
        </w:rPr>
        <w:tab/>
        <w:t>Inducible Nitric Oxide Synthas</w:t>
      </w:r>
      <w:r>
        <w:rPr>
          <w:rFonts w:ascii="Times New Roman" w:hAnsi="Times New Roman" w:cs="Times New Roman"/>
        </w:rPr>
        <w:t>e</w:t>
      </w:r>
    </w:p>
    <w:p w14:paraId="76749245" w14:textId="410C3904" w:rsidR="00033564" w:rsidRDefault="00033564" w:rsidP="00033564">
      <w:pPr>
        <w:spacing w:after="0"/>
        <w:rPr>
          <w:rFonts w:ascii="Times New Roman" w:hAnsi="Times New Roman" w:cs="Times New Roman"/>
        </w:rPr>
      </w:pPr>
      <w:r>
        <w:rPr>
          <w:rFonts w:ascii="Times New Roman" w:hAnsi="Times New Roman" w:cs="Times New Roman"/>
        </w:rPr>
        <w:t>iNTP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Initiating Nucleotide</w:t>
      </w:r>
      <w:r w:rsidR="00E315F1">
        <w:rPr>
          <w:rFonts w:ascii="Times New Roman" w:hAnsi="Times New Roman" w:cs="Times New Roman"/>
        </w:rPr>
        <w:t xml:space="preserve"> Triphosphate</w:t>
      </w:r>
    </w:p>
    <w:p w14:paraId="711C562D" w14:textId="77777777" w:rsidR="00033564" w:rsidRPr="00BC4B35" w:rsidRDefault="00033564" w:rsidP="00033564">
      <w:pPr>
        <w:spacing w:after="0"/>
        <w:rPr>
          <w:rFonts w:ascii="Times New Roman" w:hAnsi="Times New Roman" w:cs="Times New Roman"/>
        </w:rPr>
      </w:pPr>
      <w:r>
        <w:rPr>
          <w:rFonts w:ascii="Times New Roman" w:hAnsi="Times New Roman" w:cs="Times New Roman"/>
        </w:rPr>
        <w:t>IL-6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Interleukin-6</w:t>
      </w:r>
    </w:p>
    <w:p w14:paraId="6722F8F4" w14:textId="77777777" w:rsidR="00033564" w:rsidRDefault="00033564" w:rsidP="00033564">
      <w:pPr>
        <w:spacing w:after="0"/>
        <w:rPr>
          <w:rFonts w:ascii="Times New Roman" w:hAnsi="Times New Roman" w:cs="Times New Roman"/>
        </w:rPr>
      </w:pPr>
      <w:r>
        <w:rPr>
          <w:rFonts w:ascii="Times New Roman" w:hAnsi="Times New Roman" w:cs="Times New Roman"/>
        </w:rPr>
        <w:t>IF2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Initiation Factor 2</w:t>
      </w:r>
    </w:p>
    <w:p w14:paraId="43B5852D" w14:textId="77777777" w:rsidR="00033564" w:rsidRDefault="00033564" w:rsidP="00033564">
      <w:pPr>
        <w:spacing w:after="0"/>
        <w:rPr>
          <w:rFonts w:ascii="Times New Roman" w:hAnsi="Times New Roman" w:cs="Times New Roman"/>
        </w:rPr>
      </w:pPr>
      <w:r>
        <w:rPr>
          <w:rFonts w:ascii="Times New Roman" w:hAnsi="Times New Roman" w:cs="Times New Roman"/>
        </w:rPr>
        <w:t>LAMP-1/2</w:t>
      </w:r>
      <w:r>
        <w:rPr>
          <w:rFonts w:ascii="Times New Roman" w:hAnsi="Times New Roman" w:cs="Times New Roman"/>
        </w:rPr>
        <w:tab/>
      </w:r>
      <w:r>
        <w:rPr>
          <w:rFonts w:ascii="Times New Roman" w:hAnsi="Times New Roman" w:cs="Times New Roman"/>
        </w:rPr>
        <w:tab/>
      </w:r>
      <w:r w:rsidRPr="001754C8">
        <w:rPr>
          <w:rFonts w:ascii="Times New Roman" w:hAnsi="Times New Roman" w:cs="Times New Roman"/>
        </w:rPr>
        <w:t xml:space="preserve">Lysosome-associated membrane proteins 1 and 2 </w:t>
      </w:r>
    </w:p>
    <w:p w14:paraId="25C2F5B4" w14:textId="77777777" w:rsidR="00033564" w:rsidRPr="00CC374D" w:rsidRDefault="00033564" w:rsidP="00033564">
      <w:pPr>
        <w:spacing w:after="0"/>
        <w:rPr>
          <w:rFonts w:ascii="Times New Roman" w:hAnsi="Times New Roman" w:cs="Times New Roman"/>
        </w:rPr>
      </w:pPr>
      <w:r w:rsidRPr="00CC374D">
        <w:rPr>
          <w:rFonts w:ascii="Times New Roman" w:hAnsi="Times New Roman" w:cs="Times New Roman"/>
        </w:rPr>
        <w:t>LEE</w:t>
      </w:r>
      <w:r w:rsidRPr="00CC374D">
        <w:rPr>
          <w:rFonts w:ascii="Times New Roman" w:hAnsi="Times New Roman" w:cs="Times New Roman"/>
        </w:rPr>
        <w:tab/>
      </w:r>
      <w:r w:rsidRPr="00CC374D">
        <w:rPr>
          <w:rFonts w:ascii="Times New Roman" w:hAnsi="Times New Roman" w:cs="Times New Roman"/>
        </w:rPr>
        <w:tab/>
      </w:r>
      <w:r w:rsidRPr="00CC374D">
        <w:rPr>
          <w:rFonts w:ascii="Times New Roman" w:hAnsi="Times New Roman" w:cs="Times New Roman"/>
        </w:rPr>
        <w:tab/>
        <w:t>Locus of Enterocyt</w:t>
      </w:r>
      <w:r>
        <w:rPr>
          <w:rFonts w:ascii="Times New Roman" w:hAnsi="Times New Roman" w:cs="Times New Roman"/>
        </w:rPr>
        <w:t xml:space="preserve">e Effacement </w:t>
      </w:r>
    </w:p>
    <w:p w14:paraId="4358B283" w14:textId="77777777" w:rsidR="00033564" w:rsidRPr="00CC374D" w:rsidRDefault="00033564" w:rsidP="00033564">
      <w:pPr>
        <w:spacing w:after="0"/>
        <w:rPr>
          <w:rFonts w:ascii="Times New Roman" w:hAnsi="Times New Roman" w:cs="Times New Roman"/>
        </w:rPr>
      </w:pPr>
      <w:r w:rsidRPr="00CC374D">
        <w:rPr>
          <w:rFonts w:ascii="Times New Roman" w:hAnsi="Times New Roman" w:cs="Times New Roman"/>
        </w:rPr>
        <w:t>LPS</w:t>
      </w:r>
      <w:r w:rsidRPr="00CC374D">
        <w:rPr>
          <w:rFonts w:ascii="Times New Roman" w:hAnsi="Times New Roman" w:cs="Times New Roman"/>
        </w:rPr>
        <w:tab/>
      </w:r>
      <w:r w:rsidRPr="00CC374D">
        <w:rPr>
          <w:rFonts w:ascii="Times New Roman" w:hAnsi="Times New Roman" w:cs="Times New Roman"/>
        </w:rPr>
        <w:tab/>
      </w:r>
      <w:r w:rsidRPr="00CC374D">
        <w:rPr>
          <w:rFonts w:ascii="Times New Roman" w:hAnsi="Times New Roman" w:cs="Times New Roman"/>
        </w:rPr>
        <w:tab/>
        <w:t>Lipopolysaccharide</w:t>
      </w:r>
    </w:p>
    <w:p w14:paraId="3CC5274D" w14:textId="77777777" w:rsidR="00033564" w:rsidRPr="00045314" w:rsidRDefault="00033564" w:rsidP="00033564">
      <w:pPr>
        <w:spacing w:after="0"/>
        <w:rPr>
          <w:rFonts w:ascii="Times New Roman" w:hAnsi="Times New Roman" w:cs="Times New Roman"/>
        </w:rPr>
      </w:pPr>
      <w:r w:rsidRPr="00045314">
        <w:rPr>
          <w:rFonts w:ascii="Times New Roman" w:hAnsi="Times New Roman" w:cs="Times New Roman"/>
        </w:rPr>
        <w:t>LTA</w:t>
      </w:r>
      <w:r w:rsidRPr="00045314">
        <w:rPr>
          <w:rFonts w:ascii="Times New Roman" w:hAnsi="Times New Roman" w:cs="Times New Roman"/>
        </w:rPr>
        <w:tab/>
      </w:r>
      <w:r w:rsidRPr="00045314">
        <w:rPr>
          <w:rFonts w:ascii="Times New Roman" w:hAnsi="Times New Roman" w:cs="Times New Roman"/>
        </w:rPr>
        <w:tab/>
      </w:r>
      <w:r w:rsidRPr="00045314">
        <w:rPr>
          <w:rFonts w:ascii="Times New Roman" w:hAnsi="Times New Roman" w:cs="Times New Roman"/>
        </w:rPr>
        <w:tab/>
        <w:t>Lipoteichoic Acid</w:t>
      </w:r>
    </w:p>
    <w:p w14:paraId="72819B66" w14:textId="77777777" w:rsidR="00033564" w:rsidRDefault="00033564" w:rsidP="00033564">
      <w:pPr>
        <w:spacing w:after="0"/>
        <w:rPr>
          <w:rFonts w:ascii="Times New Roman" w:hAnsi="Times New Roman" w:cs="Times New Roman"/>
        </w:rPr>
      </w:pPr>
      <w:r>
        <w:rPr>
          <w:rFonts w:ascii="Times New Roman" w:hAnsi="Times New Roman" w:cs="Times New Roman"/>
        </w:rPr>
        <w:t>LukAB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Leukocidin AB</w:t>
      </w:r>
    </w:p>
    <w:p w14:paraId="71337D81" w14:textId="77777777" w:rsidR="00033564" w:rsidRDefault="00033564" w:rsidP="00033564">
      <w:pPr>
        <w:spacing w:after="0"/>
        <w:rPr>
          <w:rFonts w:ascii="Times New Roman" w:hAnsi="Times New Roman" w:cs="Times New Roman"/>
        </w:rPr>
      </w:pPr>
      <w:r>
        <w:rPr>
          <w:rFonts w:ascii="Times New Roman" w:hAnsi="Times New Roman" w:cs="Times New Roman"/>
        </w:rPr>
        <w:t>MBL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Mannose-binding Lectin</w:t>
      </w:r>
    </w:p>
    <w:p w14:paraId="5F62BBF7"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MDR</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Multi-Drug Resistance</w:t>
      </w:r>
    </w:p>
    <w:p w14:paraId="69D1E78B"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MGE</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Mobile Genetic Element</w:t>
      </w:r>
    </w:p>
    <w:p w14:paraId="34ACA028" w14:textId="77777777" w:rsidR="00033564" w:rsidRDefault="00033564" w:rsidP="00033564">
      <w:pPr>
        <w:spacing w:after="0"/>
        <w:rPr>
          <w:rFonts w:ascii="Times New Roman" w:hAnsi="Times New Roman" w:cs="Times New Roman"/>
        </w:rPr>
      </w:pPr>
      <w:r>
        <w:rPr>
          <w:rFonts w:ascii="Times New Roman" w:hAnsi="Times New Roman" w:cs="Times New Roman"/>
        </w:rPr>
        <w:t>MIP-3</w:t>
      </w:r>
      <w:r w:rsidRPr="00732ADC">
        <w:rPr>
          <w:rFonts w:ascii="Times New Roman" w:hAnsi="Times New Roman" w:cs="Times New Roman"/>
        </w:rPr>
        <w:t>α</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32ADC">
        <w:rPr>
          <w:rFonts w:ascii="Times New Roman" w:hAnsi="Times New Roman" w:cs="Times New Roman"/>
        </w:rPr>
        <w:t>Macrophage Inflammatory Protein-3 α</w:t>
      </w:r>
    </w:p>
    <w:p w14:paraId="5D88DE25"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MPO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Myeloperoxidase</w:t>
      </w:r>
    </w:p>
    <w:p w14:paraId="66BF1372"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MRSA</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Methicillin</w:t>
      </w:r>
      <w:r>
        <w:rPr>
          <w:rFonts w:ascii="Times New Roman" w:hAnsi="Times New Roman" w:cs="Times New Roman"/>
        </w:rPr>
        <w:t>-</w:t>
      </w:r>
      <w:r w:rsidRPr="00B62240">
        <w:rPr>
          <w:rFonts w:ascii="Times New Roman" w:hAnsi="Times New Roman" w:cs="Times New Roman"/>
        </w:rPr>
        <w:t xml:space="preserve">Resistant </w:t>
      </w:r>
      <w:r w:rsidRPr="00B62240">
        <w:rPr>
          <w:rFonts w:ascii="Times New Roman" w:hAnsi="Times New Roman" w:cs="Times New Roman"/>
          <w:i/>
          <w:iCs/>
        </w:rPr>
        <w:t>Staphylococcus aureus</w:t>
      </w:r>
      <w:r w:rsidRPr="00B62240">
        <w:rPr>
          <w:rFonts w:ascii="Times New Roman" w:hAnsi="Times New Roman" w:cs="Times New Roman"/>
        </w:rPr>
        <w:t xml:space="preserve"> </w:t>
      </w:r>
    </w:p>
    <w:p w14:paraId="4B59ECBB" w14:textId="77777777" w:rsidR="00033564" w:rsidRDefault="00033564" w:rsidP="00033564">
      <w:pPr>
        <w:spacing w:after="0"/>
        <w:rPr>
          <w:rFonts w:ascii="Times New Roman" w:hAnsi="Times New Roman" w:cs="Times New Roman"/>
        </w:rPr>
      </w:pPr>
      <w:r>
        <w:rPr>
          <w:rFonts w:ascii="Times New Roman" w:hAnsi="Times New Roman" w:cs="Times New Roman"/>
        </w:rPr>
        <w:t>MSCRAMM</w:t>
      </w:r>
      <w:r>
        <w:rPr>
          <w:rFonts w:ascii="Times New Roman" w:hAnsi="Times New Roman" w:cs="Times New Roman"/>
        </w:rPr>
        <w:tab/>
      </w:r>
      <w:r>
        <w:rPr>
          <w:rFonts w:ascii="Times New Roman" w:hAnsi="Times New Roman" w:cs="Times New Roman"/>
        </w:rPr>
        <w:tab/>
        <w:t>M</w:t>
      </w:r>
      <w:r w:rsidRPr="002E0CAF">
        <w:rPr>
          <w:rFonts w:ascii="Times New Roman" w:hAnsi="Times New Roman" w:cs="Times New Roman"/>
        </w:rPr>
        <w:t xml:space="preserve">icrobial </w:t>
      </w:r>
      <w:r>
        <w:rPr>
          <w:rFonts w:ascii="Times New Roman" w:hAnsi="Times New Roman" w:cs="Times New Roman"/>
        </w:rPr>
        <w:t>S</w:t>
      </w:r>
      <w:r w:rsidRPr="002E0CAF">
        <w:rPr>
          <w:rFonts w:ascii="Times New Roman" w:hAnsi="Times New Roman" w:cs="Times New Roman"/>
        </w:rPr>
        <w:t xml:space="preserve">urface </w:t>
      </w:r>
      <w:r>
        <w:rPr>
          <w:rFonts w:ascii="Times New Roman" w:hAnsi="Times New Roman" w:cs="Times New Roman"/>
        </w:rPr>
        <w:t>C</w:t>
      </w:r>
      <w:r w:rsidRPr="002E0CAF">
        <w:rPr>
          <w:rFonts w:ascii="Times New Roman" w:hAnsi="Times New Roman" w:cs="Times New Roman"/>
        </w:rPr>
        <w:t xml:space="preserve">omponent </w:t>
      </w:r>
      <w:r>
        <w:rPr>
          <w:rFonts w:ascii="Times New Roman" w:hAnsi="Times New Roman" w:cs="Times New Roman"/>
        </w:rPr>
        <w:t>R</w:t>
      </w:r>
      <w:r w:rsidRPr="002E0CAF">
        <w:rPr>
          <w:rFonts w:ascii="Times New Roman" w:hAnsi="Times New Roman" w:cs="Times New Roman"/>
        </w:rPr>
        <w:t>ecogni</w:t>
      </w:r>
      <w:r>
        <w:rPr>
          <w:rFonts w:ascii="Times New Roman" w:hAnsi="Times New Roman" w:cs="Times New Roman"/>
        </w:rPr>
        <w:t>s</w:t>
      </w:r>
      <w:r w:rsidRPr="002E0CAF">
        <w:rPr>
          <w:rFonts w:ascii="Times New Roman" w:hAnsi="Times New Roman" w:cs="Times New Roman"/>
        </w:rPr>
        <w:t xml:space="preserve">ing </w:t>
      </w:r>
      <w:r>
        <w:rPr>
          <w:rFonts w:ascii="Times New Roman" w:hAnsi="Times New Roman" w:cs="Times New Roman"/>
        </w:rPr>
        <w:t>A</w:t>
      </w:r>
      <w:r w:rsidRPr="002E0CAF">
        <w:rPr>
          <w:rFonts w:ascii="Times New Roman" w:hAnsi="Times New Roman" w:cs="Times New Roman"/>
        </w:rPr>
        <w:t xml:space="preserve">dhesive </w:t>
      </w:r>
      <w:r>
        <w:rPr>
          <w:rFonts w:ascii="Times New Roman" w:hAnsi="Times New Roman" w:cs="Times New Roman"/>
        </w:rPr>
        <w:t>M</w:t>
      </w:r>
      <w:r w:rsidRPr="002E0CAF">
        <w:rPr>
          <w:rFonts w:ascii="Times New Roman" w:hAnsi="Times New Roman" w:cs="Times New Roman"/>
        </w:rPr>
        <w:t xml:space="preserve">atrix </w:t>
      </w:r>
      <w:r>
        <w:rPr>
          <w:rFonts w:ascii="Times New Roman" w:hAnsi="Times New Roman" w:cs="Times New Roman"/>
        </w:rPr>
        <w:t>M</w:t>
      </w:r>
      <w:r w:rsidRPr="002E0CAF">
        <w:rPr>
          <w:rFonts w:ascii="Times New Roman" w:hAnsi="Times New Roman" w:cs="Times New Roman"/>
        </w:rPr>
        <w:t>olecules</w:t>
      </w:r>
    </w:p>
    <w:p w14:paraId="53DBA67D" w14:textId="77777777" w:rsidR="00033564" w:rsidRPr="003D5EA1" w:rsidRDefault="00033564" w:rsidP="00033564">
      <w:pPr>
        <w:spacing w:after="0"/>
        <w:rPr>
          <w:rFonts w:ascii="Times New Roman" w:hAnsi="Times New Roman" w:cs="Times New Roman"/>
        </w:rPr>
      </w:pPr>
      <w:r>
        <w:rPr>
          <w:rFonts w:ascii="Times New Roman" w:hAnsi="Times New Roman" w:cs="Times New Roman"/>
        </w:rPr>
        <w:t>MSSA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62240">
        <w:rPr>
          <w:rFonts w:ascii="Times New Roman" w:hAnsi="Times New Roman" w:cs="Times New Roman"/>
        </w:rPr>
        <w:t>Methicillin</w:t>
      </w:r>
      <w:r>
        <w:rPr>
          <w:rFonts w:ascii="Times New Roman" w:hAnsi="Times New Roman" w:cs="Times New Roman"/>
        </w:rPr>
        <w:t>-Sensitive</w:t>
      </w:r>
      <w:r w:rsidRPr="00B62240">
        <w:rPr>
          <w:rFonts w:ascii="Times New Roman" w:hAnsi="Times New Roman" w:cs="Times New Roman"/>
        </w:rPr>
        <w:t xml:space="preserve"> </w:t>
      </w:r>
      <w:r w:rsidRPr="00B62240">
        <w:rPr>
          <w:rFonts w:ascii="Times New Roman" w:hAnsi="Times New Roman" w:cs="Times New Roman"/>
          <w:i/>
          <w:iCs/>
        </w:rPr>
        <w:t>Staphylococcus aureus</w:t>
      </w:r>
      <w:r w:rsidRPr="00B62240">
        <w:rPr>
          <w:rFonts w:ascii="Times New Roman" w:hAnsi="Times New Roman" w:cs="Times New Roman"/>
        </w:rPr>
        <w:t xml:space="preserve"> </w:t>
      </w:r>
    </w:p>
    <w:p w14:paraId="2C8EDA1C" w14:textId="77777777" w:rsidR="00033564" w:rsidRDefault="00033564" w:rsidP="00033564">
      <w:pPr>
        <w:spacing w:after="0"/>
        <w:rPr>
          <w:rFonts w:ascii="Times New Roman" w:hAnsi="Times New Roman" w:cs="Times New Roman"/>
        </w:rPr>
      </w:pPr>
      <w:r>
        <w:rPr>
          <w:rFonts w:ascii="Times New Roman" w:hAnsi="Times New Roman" w:cs="Times New Roman"/>
        </w:rPr>
        <w:t>NADPH</w:t>
      </w:r>
      <w:r>
        <w:rPr>
          <w:rFonts w:ascii="Times New Roman" w:hAnsi="Times New Roman" w:cs="Times New Roman"/>
        </w:rPr>
        <w:tab/>
      </w:r>
      <w:r>
        <w:rPr>
          <w:rFonts w:ascii="Times New Roman" w:hAnsi="Times New Roman" w:cs="Times New Roman"/>
        </w:rPr>
        <w:tab/>
      </w:r>
      <w:r w:rsidRPr="0045656D">
        <w:rPr>
          <w:rFonts w:ascii="Times New Roman" w:hAnsi="Times New Roman" w:cs="Times New Roman"/>
        </w:rPr>
        <w:t xml:space="preserve">Nicotinamide </w:t>
      </w:r>
      <w:r>
        <w:rPr>
          <w:rFonts w:ascii="Times New Roman" w:hAnsi="Times New Roman" w:cs="Times New Roman"/>
        </w:rPr>
        <w:t>A</w:t>
      </w:r>
      <w:r w:rsidRPr="0045656D">
        <w:rPr>
          <w:rFonts w:ascii="Times New Roman" w:hAnsi="Times New Roman" w:cs="Times New Roman"/>
        </w:rPr>
        <w:t xml:space="preserve">denine </w:t>
      </w:r>
      <w:r>
        <w:rPr>
          <w:rFonts w:ascii="Times New Roman" w:hAnsi="Times New Roman" w:cs="Times New Roman"/>
        </w:rPr>
        <w:t>D</w:t>
      </w:r>
      <w:r w:rsidRPr="0045656D">
        <w:rPr>
          <w:rFonts w:ascii="Times New Roman" w:hAnsi="Times New Roman" w:cs="Times New Roman"/>
        </w:rPr>
        <w:t xml:space="preserve">inucleotide </w:t>
      </w:r>
      <w:r>
        <w:rPr>
          <w:rFonts w:ascii="Times New Roman" w:hAnsi="Times New Roman" w:cs="Times New Roman"/>
        </w:rPr>
        <w:t>P</w:t>
      </w:r>
      <w:r w:rsidRPr="0045656D">
        <w:rPr>
          <w:rFonts w:ascii="Times New Roman" w:hAnsi="Times New Roman" w:cs="Times New Roman"/>
        </w:rPr>
        <w:t>hosphate</w:t>
      </w:r>
    </w:p>
    <w:p w14:paraId="7F522FB2" w14:textId="5A731D79" w:rsidR="00033564" w:rsidRDefault="00033564" w:rsidP="00033564">
      <w:pPr>
        <w:spacing w:after="0"/>
        <w:rPr>
          <w:rFonts w:ascii="Times New Roman" w:hAnsi="Times New Roman" w:cs="Times New Roman"/>
        </w:rPr>
      </w:pPr>
      <w:bookmarkStart w:id="12" w:name="_Hlk128143969"/>
      <w:r>
        <w:rPr>
          <w:rFonts w:ascii="Times New Roman" w:hAnsi="Times New Roman" w:cs="Times New Roman"/>
        </w:rPr>
        <w:t>NOX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5656D">
        <w:rPr>
          <w:rFonts w:ascii="Times New Roman" w:hAnsi="Times New Roman" w:cs="Times New Roman"/>
        </w:rPr>
        <w:t xml:space="preserve">Nicotinamide </w:t>
      </w:r>
      <w:r w:rsidR="00E315F1">
        <w:rPr>
          <w:rFonts w:ascii="Times New Roman" w:hAnsi="Times New Roman" w:cs="Times New Roman"/>
        </w:rPr>
        <w:t>A</w:t>
      </w:r>
      <w:r w:rsidRPr="0045656D">
        <w:rPr>
          <w:rFonts w:ascii="Times New Roman" w:hAnsi="Times New Roman" w:cs="Times New Roman"/>
        </w:rPr>
        <w:t xml:space="preserve">denine </w:t>
      </w:r>
      <w:r w:rsidR="00E315F1">
        <w:rPr>
          <w:rFonts w:ascii="Times New Roman" w:hAnsi="Times New Roman" w:cs="Times New Roman"/>
        </w:rPr>
        <w:t>D</w:t>
      </w:r>
      <w:r w:rsidRPr="0045656D">
        <w:rPr>
          <w:rFonts w:ascii="Times New Roman" w:hAnsi="Times New Roman" w:cs="Times New Roman"/>
        </w:rPr>
        <w:t xml:space="preserve">inucleotide </w:t>
      </w:r>
      <w:r w:rsidR="00E315F1">
        <w:rPr>
          <w:rFonts w:ascii="Times New Roman" w:hAnsi="Times New Roman" w:cs="Times New Roman"/>
        </w:rPr>
        <w:t>P</w:t>
      </w:r>
      <w:r w:rsidRPr="0045656D">
        <w:rPr>
          <w:rFonts w:ascii="Times New Roman" w:hAnsi="Times New Roman" w:cs="Times New Roman"/>
        </w:rPr>
        <w:t>hosphate</w:t>
      </w:r>
      <w:bookmarkEnd w:id="12"/>
      <w:r>
        <w:rPr>
          <w:rFonts w:ascii="Times New Roman" w:hAnsi="Times New Roman" w:cs="Times New Roman"/>
        </w:rPr>
        <w:t xml:space="preserve"> </w:t>
      </w:r>
      <w:r w:rsidR="00E315F1">
        <w:rPr>
          <w:rFonts w:ascii="Times New Roman" w:hAnsi="Times New Roman" w:cs="Times New Roman"/>
        </w:rPr>
        <w:t>O</w:t>
      </w:r>
      <w:r>
        <w:rPr>
          <w:rFonts w:ascii="Times New Roman" w:hAnsi="Times New Roman" w:cs="Times New Roman"/>
        </w:rPr>
        <w:t>xidase</w:t>
      </w:r>
    </w:p>
    <w:p w14:paraId="0EFCC377" w14:textId="340BC5AD" w:rsidR="00033564" w:rsidRDefault="00033564" w:rsidP="00033564">
      <w:pPr>
        <w:spacing w:after="0"/>
        <w:rPr>
          <w:rFonts w:ascii="Times New Roman" w:hAnsi="Times New Roman" w:cs="Times New Roman"/>
        </w:rPr>
      </w:pPr>
      <w:r>
        <w:rPr>
          <w:rFonts w:ascii="Times New Roman" w:hAnsi="Times New Roman" w:cs="Times New Roman"/>
        </w:rPr>
        <w:t>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Neutrophil </w:t>
      </w:r>
      <w:r w:rsidR="00E315F1">
        <w:rPr>
          <w:rFonts w:ascii="Times New Roman" w:hAnsi="Times New Roman" w:cs="Times New Roman"/>
        </w:rPr>
        <w:t>E</w:t>
      </w:r>
      <w:r>
        <w:rPr>
          <w:rFonts w:ascii="Times New Roman" w:hAnsi="Times New Roman" w:cs="Times New Roman"/>
        </w:rPr>
        <w:t>lastase</w:t>
      </w:r>
    </w:p>
    <w:p w14:paraId="11E37331"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NLR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NOD-like Receptor</w:t>
      </w:r>
    </w:p>
    <w:p w14:paraId="5DC6D2CD"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Ndk</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Nucleoside Diphosphate Kinase</w:t>
      </w:r>
    </w:p>
    <w:p w14:paraId="2F91DE90" w14:textId="77777777" w:rsidR="00033564" w:rsidRDefault="00033564" w:rsidP="00033564">
      <w:pPr>
        <w:spacing w:after="0"/>
        <w:rPr>
          <w:rFonts w:ascii="Times New Roman" w:hAnsi="Times New Roman" w:cs="Times New Roman"/>
        </w:rPr>
      </w:pPr>
      <w:r>
        <w:rPr>
          <w:rFonts w:ascii="Times New Roman" w:hAnsi="Times New Roman" w:cs="Times New Roman"/>
        </w:rPr>
        <w:t>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Nitric Oxide</w:t>
      </w:r>
    </w:p>
    <w:p w14:paraId="0A13F6DC"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NST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Neutrophil Serine Protease</w:t>
      </w:r>
    </w:p>
    <w:p w14:paraId="3AF20068"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NTD</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N-</w:t>
      </w:r>
      <w:r>
        <w:rPr>
          <w:rFonts w:ascii="Times New Roman" w:hAnsi="Times New Roman" w:cs="Times New Roman"/>
        </w:rPr>
        <w:t>t</w:t>
      </w:r>
      <w:r w:rsidRPr="00B62240">
        <w:rPr>
          <w:rFonts w:ascii="Times New Roman" w:hAnsi="Times New Roman" w:cs="Times New Roman"/>
        </w:rPr>
        <w:t>erminal Domain</w:t>
      </w:r>
    </w:p>
    <w:p w14:paraId="71066F3E" w14:textId="77777777" w:rsidR="00033564" w:rsidRDefault="00033564" w:rsidP="00033564">
      <w:pPr>
        <w:spacing w:after="0"/>
        <w:rPr>
          <w:rFonts w:ascii="Times New Roman" w:hAnsi="Times New Roman" w:cs="Times New Roman"/>
        </w:rPr>
      </w:pPr>
      <w:r>
        <w:rPr>
          <w:rFonts w:ascii="Times New Roman" w:hAnsi="Times New Roman" w:cs="Times New Roman"/>
        </w:rPr>
        <w:t>NuDix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w:t>
      </w:r>
      <w:r w:rsidRPr="00685EF5">
        <w:rPr>
          <w:rFonts w:ascii="Times New Roman" w:hAnsi="Times New Roman" w:cs="Times New Roman"/>
        </w:rPr>
        <w:t xml:space="preserve">ucleoside </w:t>
      </w:r>
      <w:r>
        <w:rPr>
          <w:rFonts w:ascii="Times New Roman" w:hAnsi="Times New Roman" w:cs="Times New Roman"/>
        </w:rPr>
        <w:t>D</w:t>
      </w:r>
      <w:r w:rsidRPr="00685EF5">
        <w:rPr>
          <w:rFonts w:ascii="Times New Roman" w:hAnsi="Times New Roman" w:cs="Times New Roman"/>
        </w:rPr>
        <w:t>iphosphate linked moiety X</w:t>
      </w:r>
    </w:p>
    <w:p w14:paraId="1EE69915" w14:textId="77777777" w:rsidR="00033564" w:rsidRDefault="00033564" w:rsidP="00033564">
      <w:pPr>
        <w:spacing w:after="0"/>
        <w:rPr>
          <w:rFonts w:ascii="Times New Roman" w:hAnsi="Times New Roman" w:cs="Times New Roman"/>
        </w:rPr>
      </w:pPr>
      <w:r>
        <w:rPr>
          <w:rFonts w:ascii="Times New Roman" w:hAnsi="Times New Roman" w:cs="Times New Roman"/>
        </w:rPr>
        <w:t>ORPL1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w:t>
      </w:r>
      <w:r w:rsidRPr="00CC36D9">
        <w:rPr>
          <w:rFonts w:ascii="Times New Roman" w:hAnsi="Times New Roman" w:cs="Times New Roman"/>
        </w:rPr>
        <w:t>xysterol-binding protein–</w:t>
      </w:r>
      <w:r>
        <w:rPr>
          <w:rFonts w:ascii="Times New Roman" w:hAnsi="Times New Roman" w:cs="Times New Roman"/>
        </w:rPr>
        <w:t>R</w:t>
      </w:r>
      <w:r w:rsidRPr="00CC36D9">
        <w:rPr>
          <w:rFonts w:ascii="Times New Roman" w:hAnsi="Times New Roman" w:cs="Times New Roman"/>
        </w:rPr>
        <w:t xml:space="preserve">elated </w:t>
      </w:r>
      <w:r>
        <w:rPr>
          <w:rFonts w:ascii="Times New Roman" w:hAnsi="Times New Roman" w:cs="Times New Roman"/>
        </w:rPr>
        <w:t>P</w:t>
      </w:r>
      <w:r w:rsidRPr="00CC36D9">
        <w:rPr>
          <w:rFonts w:ascii="Times New Roman" w:hAnsi="Times New Roman" w:cs="Times New Roman"/>
        </w:rPr>
        <w:t>rotein 1</w:t>
      </w:r>
    </w:p>
    <w:p w14:paraId="0F8B8257"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PAMP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Pathogen Associated Molecular Pattern</w:t>
      </w:r>
    </w:p>
    <w:p w14:paraId="7613F08F"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PBP</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Penicillin-Binding Protein</w:t>
      </w:r>
    </w:p>
    <w:p w14:paraId="76009D8D"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PBP2a</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Penicillin-Binding Protein 2a</w:t>
      </w:r>
    </w:p>
    <w:p w14:paraId="10A910F4" w14:textId="77777777" w:rsidR="00033564" w:rsidRDefault="00033564" w:rsidP="00033564">
      <w:pPr>
        <w:spacing w:after="0"/>
        <w:rPr>
          <w:rFonts w:ascii="Times New Roman" w:hAnsi="Times New Roman" w:cs="Times New Roman"/>
        </w:rPr>
      </w:pPr>
      <w:r>
        <w:rPr>
          <w:rFonts w:ascii="Times New Roman" w:hAnsi="Times New Roman" w:cs="Times New Roman"/>
        </w:rPr>
        <w:t>PG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Phosphatidylglycerol</w:t>
      </w:r>
    </w:p>
    <w:p w14:paraId="40FC1551" w14:textId="77777777" w:rsidR="00033564" w:rsidRDefault="00033564" w:rsidP="00033564">
      <w:pPr>
        <w:spacing w:after="0"/>
        <w:rPr>
          <w:rFonts w:ascii="Times New Roman" w:hAnsi="Times New Roman" w:cs="Times New Roman"/>
        </w:rPr>
      </w:pPr>
      <w:r w:rsidRPr="008C0D87">
        <w:rPr>
          <w:rFonts w:ascii="Times New Roman" w:hAnsi="Times New Roman" w:cs="Times New Roman"/>
          <w:color w:val="000000" w:themeColor="text1"/>
        </w:rPr>
        <w:t>PI(3)P</w:t>
      </w:r>
      <w:r w:rsidRPr="008C0D87">
        <w:rPr>
          <w:rFonts w:ascii="Times New Roman" w:hAnsi="Times New Roman" w:cs="Times New Roman"/>
          <w:color w:val="000000" w:themeColor="text1"/>
        </w:rPr>
        <w:tab/>
      </w:r>
      <w:r>
        <w:rPr>
          <w:rFonts w:ascii="Times New Roman" w:hAnsi="Times New Roman" w:cs="Times New Roman"/>
        </w:rPr>
        <w:tab/>
      </w:r>
      <w:r>
        <w:rPr>
          <w:rFonts w:ascii="Times New Roman" w:hAnsi="Times New Roman" w:cs="Times New Roman"/>
        </w:rPr>
        <w:tab/>
        <w:t>P</w:t>
      </w:r>
      <w:r w:rsidRPr="005243B1">
        <w:rPr>
          <w:rFonts w:ascii="Times New Roman" w:hAnsi="Times New Roman" w:cs="Times New Roman"/>
        </w:rPr>
        <w:t>hosphatidylinositol 3-phosphat</w:t>
      </w:r>
      <w:r>
        <w:rPr>
          <w:rFonts w:ascii="Times New Roman" w:hAnsi="Times New Roman" w:cs="Times New Roman"/>
        </w:rPr>
        <w:t xml:space="preserve">e </w:t>
      </w:r>
    </w:p>
    <w:p w14:paraId="21CA9281"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PMN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Polymorphonuclear leukocyte</w:t>
      </w:r>
    </w:p>
    <w:p w14:paraId="73631CAD"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(p)ppGpp</w:t>
      </w:r>
      <w:r w:rsidRPr="00B62240">
        <w:rPr>
          <w:rFonts w:ascii="Times New Roman" w:hAnsi="Times New Roman" w:cs="Times New Roman"/>
        </w:rPr>
        <w:tab/>
      </w:r>
      <w:r w:rsidRPr="00B62240">
        <w:rPr>
          <w:rFonts w:ascii="Times New Roman" w:hAnsi="Times New Roman" w:cs="Times New Roman"/>
        </w:rPr>
        <w:tab/>
        <w:t>Guanosine penta/tetraphosphate</w:t>
      </w:r>
    </w:p>
    <w:p w14:paraId="3C50136E" w14:textId="77777777" w:rsidR="00033564" w:rsidRDefault="00033564" w:rsidP="00033564">
      <w:pPr>
        <w:spacing w:after="0"/>
        <w:rPr>
          <w:rFonts w:ascii="Times New Roman" w:hAnsi="Times New Roman" w:cs="Times New Roman"/>
        </w:rPr>
      </w:pPr>
      <w:r>
        <w:rPr>
          <w:rFonts w:ascii="Times New Roman" w:hAnsi="Times New Roman" w:cs="Times New Roman"/>
        </w:rPr>
        <w:t>PRA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613D2">
        <w:rPr>
          <w:rFonts w:ascii="Times New Roman" w:hAnsi="Times New Roman" w:cs="Times New Roman"/>
          <w:lang w:val="en-US"/>
        </w:rPr>
        <w:t>5-phosphoribosylamine</w:t>
      </w:r>
    </w:p>
    <w:p w14:paraId="67064318"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PRPP</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Phosphoribosyl Pyrophosphate</w:t>
      </w:r>
    </w:p>
    <w:p w14:paraId="7648CB47"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PRR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Pattern Recognition Receptor</w:t>
      </w:r>
    </w:p>
    <w:p w14:paraId="61AB61A5"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PSM</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Phenol-Soluble Modulin</w:t>
      </w:r>
    </w:p>
    <w:p w14:paraId="06CDE4B7" w14:textId="77777777" w:rsidR="00033564" w:rsidRPr="00C6118F" w:rsidRDefault="00033564" w:rsidP="00033564">
      <w:pPr>
        <w:spacing w:after="0"/>
        <w:rPr>
          <w:rFonts w:ascii="Times New Roman" w:hAnsi="Times New Roman" w:cs="Times New Roman"/>
        </w:rPr>
      </w:pPr>
      <w:r w:rsidRPr="00C6118F">
        <w:rPr>
          <w:rFonts w:ascii="Times New Roman" w:hAnsi="Times New Roman" w:cs="Times New Roman"/>
        </w:rPr>
        <w:t>PurF</w:t>
      </w:r>
      <w:r w:rsidRPr="00C6118F">
        <w:rPr>
          <w:rFonts w:ascii="Times New Roman" w:hAnsi="Times New Roman" w:cs="Times New Roman"/>
        </w:rPr>
        <w:tab/>
      </w:r>
      <w:r w:rsidRPr="00C6118F">
        <w:rPr>
          <w:rFonts w:ascii="Times New Roman" w:hAnsi="Times New Roman" w:cs="Times New Roman"/>
        </w:rPr>
        <w:tab/>
      </w:r>
      <w:r w:rsidRPr="00C6118F">
        <w:rPr>
          <w:rFonts w:ascii="Times New Roman" w:hAnsi="Times New Roman" w:cs="Times New Roman"/>
        </w:rPr>
        <w:tab/>
      </w:r>
      <w:r>
        <w:rPr>
          <w:rFonts w:ascii="Times New Roman" w:hAnsi="Times New Roman" w:cs="Times New Roman"/>
        </w:rPr>
        <w:t>I</w:t>
      </w:r>
      <w:r w:rsidRPr="00D309DA">
        <w:rPr>
          <w:rFonts w:ascii="Times New Roman" w:hAnsi="Times New Roman" w:cs="Times New Roman"/>
        </w:rPr>
        <w:t>nosine monophosphate amidophosphoribosyl transferase</w:t>
      </w:r>
    </w:p>
    <w:p w14:paraId="23CBF7EE" w14:textId="77777777" w:rsidR="00033564" w:rsidRPr="00CC374D" w:rsidRDefault="00033564" w:rsidP="00033564">
      <w:pPr>
        <w:spacing w:after="0"/>
        <w:rPr>
          <w:rFonts w:ascii="Times New Roman" w:hAnsi="Times New Roman" w:cs="Times New Roman"/>
        </w:rPr>
      </w:pPr>
      <w:r w:rsidRPr="00CC374D">
        <w:rPr>
          <w:rFonts w:ascii="Times New Roman" w:hAnsi="Times New Roman" w:cs="Times New Roman"/>
        </w:rPr>
        <w:t>PVL</w:t>
      </w:r>
      <w:r w:rsidRPr="00CC374D">
        <w:rPr>
          <w:rFonts w:ascii="Times New Roman" w:hAnsi="Times New Roman" w:cs="Times New Roman"/>
        </w:rPr>
        <w:tab/>
      </w:r>
      <w:r w:rsidRPr="00CC374D">
        <w:rPr>
          <w:rFonts w:ascii="Times New Roman" w:hAnsi="Times New Roman" w:cs="Times New Roman"/>
        </w:rPr>
        <w:tab/>
      </w:r>
      <w:r w:rsidRPr="00CC374D">
        <w:rPr>
          <w:rFonts w:ascii="Times New Roman" w:hAnsi="Times New Roman" w:cs="Times New Roman"/>
        </w:rPr>
        <w:tab/>
        <w:t xml:space="preserve">Panton-Valentine Leukocidin </w:t>
      </w:r>
    </w:p>
    <w:p w14:paraId="62F328D2" w14:textId="42050FF9" w:rsidR="00033564" w:rsidRPr="00911137" w:rsidRDefault="00033564" w:rsidP="00033564">
      <w:pPr>
        <w:spacing w:after="0"/>
        <w:rPr>
          <w:rFonts w:ascii="Times New Roman" w:hAnsi="Times New Roman" w:cs="Times New Roman"/>
        </w:rPr>
      </w:pPr>
      <w:r w:rsidRPr="00911137">
        <w:rPr>
          <w:rFonts w:ascii="Times New Roman" w:hAnsi="Times New Roman" w:cs="Times New Roman"/>
        </w:rPr>
        <w:t>Rai</w:t>
      </w:r>
      <w:r>
        <w:rPr>
          <w:rFonts w:ascii="Times New Roman" w:hAnsi="Times New Roman" w:cs="Times New Roman"/>
        </w:rPr>
        <w: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Ribosome-associated Inhibitor</w:t>
      </w:r>
      <w:r w:rsidR="00E315F1">
        <w:rPr>
          <w:rFonts w:ascii="Times New Roman" w:hAnsi="Times New Roman" w:cs="Times New Roman"/>
        </w:rPr>
        <w:t xml:space="preserve"> A</w:t>
      </w:r>
      <w:r>
        <w:rPr>
          <w:rFonts w:ascii="Times New Roman" w:hAnsi="Times New Roman" w:cs="Times New Roman"/>
        </w:rPr>
        <w:tab/>
      </w:r>
      <w:r>
        <w:rPr>
          <w:rFonts w:ascii="Times New Roman" w:hAnsi="Times New Roman" w:cs="Times New Roman"/>
        </w:rPr>
        <w:tab/>
      </w:r>
    </w:p>
    <w:p w14:paraId="2571E572" w14:textId="77777777" w:rsidR="00033564" w:rsidRPr="00911137" w:rsidRDefault="00033564" w:rsidP="00033564">
      <w:pPr>
        <w:spacing w:after="0"/>
        <w:rPr>
          <w:rFonts w:ascii="Times New Roman" w:hAnsi="Times New Roman" w:cs="Times New Roman"/>
        </w:rPr>
      </w:pPr>
      <w:r w:rsidRPr="00911137">
        <w:rPr>
          <w:rFonts w:ascii="Times New Roman" w:hAnsi="Times New Roman" w:cs="Times New Roman"/>
        </w:rPr>
        <w:t>RbgA</w:t>
      </w:r>
      <w:r w:rsidRPr="00911137">
        <w:rPr>
          <w:rFonts w:ascii="Times New Roman" w:hAnsi="Times New Roman" w:cs="Times New Roman"/>
        </w:rPr>
        <w:tab/>
      </w:r>
      <w:r w:rsidRPr="00911137">
        <w:rPr>
          <w:rFonts w:ascii="Times New Roman" w:hAnsi="Times New Roman" w:cs="Times New Roman"/>
        </w:rPr>
        <w:tab/>
      </w:r>
      <w:r w:rsidRPr="00911137">
        <w:rPr>
          <w:rFonts w:ascii="Times New Roman" w:hAnsi="Times New Roman" w:cs="Times New Roman"/>
        </w:rPr>
        <w:tab/>
        <w:t xml:space="preserve">Ribosome Biogenesis GTPase A </w:t>
      </w:r>
    </w:p>
    <w:p w14:paraId="1D7C0222" w14:textId="77777777" w:rsidR="00033564" w:rsidRPr="0082578A" w:rsidRDefault="00033564" w:rsidP="00033564">
      <w:pPr>
        <w:spacing w:after="0"/>
        <w:rPr>
          <w:rFonts w:ascii="Times New Roman" w:hAnsi="Times New Roman" w:cs="Times New Roman"/>
        </w:rPr>
      </w:pPr>
      <w:r w:rsidRPr="0082578A">
        <w:rPr>
          <w:rFonts w:ascii="Times New Roman" w:hAnsi="Times New Roman" w:cs="Times New Roman"/>
        </w:rPr>
        <w:t>RF1/2</w:t>
      </w:r>
      <w:r>
        <w:rPr>
          <w:rFonts w:ascii="Times New Roman" w:hAnsi="Times New Roman" w:cs="Times New Roman"/>
        </w:rPr>
        <w:t>/3</w:t>
      </w:r>
      <w:r w:rsidRPr="0082578A">
        <w:rPr>
          <w:rFonts w:ascii="Times New Roman" w:hAnsi="Times New Roman" w:cs="Times New Roman"/>
        </w:rPr>
        <w:tab/>
      </w:r>
      <w:r w:rsidRPr="0082578A">
        <w:rPr>
          <w:rFonts w:ascii="Times New Roman" w:hAnsi="Times New Roman" w:cs="Times New Roman"/>
        </w:rPr>
        <w:tab/>
        <w:t>Release F</w:t>
      </w:r>
      <w:r>
        <w:rPr>
          <w:rFonts w:ascii="Times New Roman" w:hAnsi="Times New Roman" w:cs="Times New Roman"/>
        </w:rPr>
        <w:t xml:space="preserve">actor 1/2/3 </w:t>
      </w:r>
    </w:p>
    <w:p w14:paraId="396AA346" w14:textId="77777777" w:rsidR="00033564" w:rsidRDefault="00033564" w:rsidP="00033564">
      <w:pPr>
        <w:spacing w:after="0"/>
        <w:rPr>
          <w:rFonts w:ascii="Times New Roman" w:hAnsi="Times New Roman" w:cs="Times New Roman"/>
        </w:rPr>
      </w:pPr>
      <w:r w:rsidRPr="00CC36D9">
        <w:rPr>
          <w:rFonts w:ascii="Times New Roman" w:hAnsi="Times New Roman" w:cs="Times New Roman"/>
        </w:rPr>
        <w:t>RILP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C36D9">
        <w:rPr>
          <w:rFonts w:ascii="Times New Roman" w:hAnsi="Times New Roman" w:cs="Times New Roman"/>
        </w:rPr>
        <w:t xml:space="preserve">Rab7-interacting </w:t>
      </w:r>
      <w:r>
        <w:rPr>
          <w:rFonts w:ascii="Times New Roman" w:hAnsi="Times New Roman" w:cs="Times New Roman"/>
        </w:rPr>
        <w:t>Ly</w:t>
      </w:r>
      <w:r w:rsidRPr="00CC36D9">
        <w:rPr>
          <w:rFonts w:ascii="Times New Roman" w:hAnsi="Times New Roman" w:cs="Times New Roman"/>
        </w:rPr>
        <w:t xml:space="preserve">sosomal </w:t>
      </w:r>
      <w:r>
        <w:rPr>
          <w:rFonts w:ascii="Times New Roman" w:hAnsi="Times New Roman" w:cs="Times New Roman"/>
        </w:rPr>
        <w:t>P</w:t>
      </w:r>
      <w:r w:rsidRPr="00CC36D9">
        <w:rPr>
          <w:rFonts w:ascii="Times New Roman" w:hAnsi="Times New Roman" w:cs="Times New Roman"/>
        </w:rPr>
        <w:t xml:space="preserve">rotein </w:t>
      </w:r>
    </w:p>
    <w:p w14:paraId="4B0694DD" w14:textId="77777777" w:rsidR="00033564" w:rsidRDefault="00033564" w:rsidP="00033564">
      <w:pPr>
        <w:spacing w:after="0"/>
        <w:rPr>
          <w:rFonts w:ascii="Times New Roman" w:hAnsi="Times New Roman" w:cs="Times New Roman"/>
        </w:rPr>
      </w:pPr>
      <w:r>
        <w:rPr>
          <w:rFonts w:ascii="Times New Roman" w:hAnsi="Times New Roman" w:cs="Times New Roman"/>
        </w:rPr>
        <w:t>RLR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RIG-I-like Receptor</w:t>
      </w:r>
    </w:p>
    <w:p w14:paraId="5689B35B" w14:textId="77777777" w:rsidR="00033564" w:rsidRPr="00BD1EFA" w:rsidRDefault="00033564" w:rsidP="00033564">
      <w:pPr>
        <w:spacing w:after="0"/>
        <w:rPr>
          <w:rFonts w:ascii="Times New Roman" w:hAnsi="Times New Roman" w:cs="Times New Roman"/>
        </w:rPr>
      </w:pPr>
      <w:r>
        <w:rPr>
          <w:rFonts w:ascii="Times New Roman" w:hAnsi="Times New Roman" w:cs="Times New Roman"/>
        </w:rPr>
        <w:lastRenderedPageBreak/>
        <w:t>RMF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Ribosome Modulating Factor</w:t>
      </w:r>
    </w:p>
    <w:p w14:paraId="7BB2986D" w14:textId="77777777" w:rsidR="00033564" w:rsidRPr="00320EC1" w:rsidRDefault="00033564" w:rsidP="00033564">
      <w:pPr>
        <w:spacing w:after="0"/>
        <w:rPr>
          <w:rFonts w:ascii="Times New Roman" w:hAnsi="Times New Roman" w:cs="Times New Roman"/>
        </w:rPr>
      </w:pPr>
      <w:r w:rsidRPr="00320EC1">
        <w:rPr>
          <w:rFonts w:ascii="Times New Roman" w:hAnsi="Times New Roman" w:cs="Times New Roman"/>
        </w:rPr>
        <w:t>RNAP</w:t>
      </w:r>
      <w:r w:rsidRPr="00320EC1">
        <w:rPr>
          <w:rFonts w:ascii="Times New Roman" w:hAnsi="Times New Roman" w:cs="Times New Roman"/>
        </w:rPr>
        <w:tab/>
      </w:r>
      <w:r w:rsidRPr="00320EC1">
        <w:rPr>
          <w:rFonts w:ascii="Times New Roman" w:hAnsi="Times New Roman" w:cs="Times New Roman"/>
        </w:rPr>
        <w:tab/>
      </w:r>
      <w:r w:rsidRPr="00320EC1">
        <w:rPr>
          <w:rFonts w:ascii="Times New Roman" w:hAnsi="Times New Roman" w:cs="Times New Roman"/>
        </w:rPr>
        <w:tab/>
        <w:t xml:space="preserve">RNA </w:t>
      </w:r>
      <w:r>
        <w:rPr>
          <w:rFonts w:ascii="Times New Roman" w:hAnsi="Times New Roman" w:cs="Times New Roman"/>
        </w:rPr>
        <w:t>P</w:t>
      </w:r>
      <w:r w:rsidRPr="00320EC1">
        <w:rPr>
          <w:rFonts w:ascii="Times New Roman" w:hAnsi="Times New Roman" w:cs="Times New Roman"/>
        </w:rPr>
        <w:t xml:space="preserve">olymerase </w:t>
      </w:r>
    </w:p>
    <w:p w14:paraId="0D8E7CCB" w14:textId="30574CC4" w:rsidR="00033564" w:rsidRPr="00320EC1" w:rsidRDefault="00033564" w:rsidP="00033564">
      <w:pPr>
        <w:spacing w:after="0"/>
        <w:rPr>
          <w:rFonts w:ascii="Times New Roman" w:hAnsi="Times New Roman" w:cs="Times New Roman"/>
        </w:rPr>
      </w:pPr>
      <w:r w:rsidRPr="00320EC1">
        <w:rPr>
          <w:rFonts w:ascii="Times New Roman" w:hAnsi="Times New Roman" w:cs="Times New Roman"/>
        </w:rPr>
        <w:t>Rot</w:t>
      </w:r>
      <w:r w:rsidRPr="00320EC1">
        <w:rPr>
          <w:rFonts w:ascii="Times New Roman" w:hAnsi="Times New Roman" w:cs="Times New Roman"/>
        </w:rPr>
        <w:tab/>
      </w:r>
      <w:r w:rsidRPr="00320EC1">
        <w:rPr>
          <w:rFonts w:ascii="Times New Roman" w:hAnsi="Times New Roman" w:cs="Times New Roman"/>
        </w:rPr>
        <w:tab/>
      </w:r>
      <w:r w:rsidRPr="00320EC1">
        <w:rPr>
          <w:rFonts w:ascii="Times New Roman" w:hAnsi="Times New Roman" w:cs="Times New Roman"/>
        </w:rPr>
        <w:tab/>
        <w:t xml:space="preserve">Repressor of </w:t>
      </w:r>
      <w:r w:rsidR="00E315F1">
        <w:rPr>
          <w:rFonts w:ascii="Times New Roman" w:hAnsi="Times New Roman" w:cs="Times New Roman"/>
        </w:rPr>
        <w:t>T</w:t>
      </w:r>
      <w:r w:rsidRPr="00320EC1">
        <w:rPr>
          <w:rFonts w:ascii="Times New Roman" w:hAnsi="Times New Roman" w:cs="Times New Roman"/>
        </w:rPr>
        <w:t>oxins</w:t>
      </w:r>
    </w:p>
    <w:p w14:paraId="2E564081" w14:textId="77777777" w:rsidR="00033564" w:rsidRPr="00320EC1" w:rsidRDefault="00033564" w:rsidP="00033564">
      <w:pPr>
        <w:spacing w:after="0"/>
        <w:rPr>
          <w:rFonts w:ascii="Times New Roman" w:hAnsi="Times New Roman" w:cs="Times New Roman"/>
        </w:rPr>
      </w:pPr>
      <w:r w:rsidRPr="00320EC1">
        <w:rPr>
          <w:rFonts w:ascii="Times New Roman" w:hAnsi="Times New Roman" w:cs="Times New Roman"/>
        </w:rPr>
        <w:t>rRNA</w:t>
      </w:r>
      <w:r w:rsidRPr="00320EC1">
        <w:rPr>
          <w:rFonts w:ascii="Times New Roman" w:hAnsi="Times New Roman" w:cs="Times New Roman"/>
        </w:rPr>
        <w:tab/>
      </w:r>
      <w:r w:rsidRPr="00320EC1">
        <w:rPr>
          <w:rFonts w:ascii="Times New Roman" w:hAnsi="Times New Roman" w:cs="Times New Roman"/>
        </w:rPr>
        <w:tab/>
      </w:r>
      <w:r w:rsidRPr="00320EC1">
        <w:rPr>
          <w:rFonts w:ascii="Times New Roman" w:hAnsi="Times New Roman" w:cs="Times New Roman"/>
        </w:rPr>
        <w:tab/>
        <w:t>Ribosomal RNA</w:t>
      </w:r>
    </w:p>
    <w:p w14:paraId="3DF556A7"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RsgA</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Ribosome Small Subunit-dependent GTPase A</w:t>
      </w:r>
    </w:p>
    <w:p w14:paraId="080A0A94"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RSH</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RelA/SpoT Homologue</w:t>
      </w:r>
    </w:p>
    <w:p w14:paraId="0444954E" w14:textId="77777777" w:rsidR="00033564" w:rsidRPr="00291FCF" w:rsidRDefault="00033564" w:rsidP="00033564">
      <w:pPr>
        <w:spacing w:after="0"/>
        <w:rPr>
          <w:rFonts w:ascii="Times New Roman" w:hAnsi="Times New Roman" w:cs="Times New Roman"/>
          <w:i/>
          <w:iCs/>
        </w:rPr>
      </w:pPr>
      <w:r>
        <w:rPr>
          <w:rFonts w:ascii="Times New Roman" w:hAnsi="Times New Roman" w:cs="Times New Roman"/>
          <w:i/>
          <w:iCs/>
        </w:rPr>
        <w:t>sae</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sidRPr="001F3867">
        <w:rPr>
          <w:rFonts w:ascii="Times New Roman" w:hAnsi="Times New Roman" w:cs="Times New Roman"/>
          <w:i/>
          <w:iCs/>
          <w:color w:val="000000" w:themeColor="text1"/>
        </w:rPr>
        <w:t>S. aureus</w:t>
      </w:r>
      <w:r w:rsidRPr="001F3867">
        <w:rPr>
          <w:rFonts w:ascii="Times New Roman" w:hAnsi="Times New Roman" w:cs="Times New Roman"/>
          <w:color w:val="000000" w:themeColor="text1"/>
        </w:rPr>
        <w:t xml:space="preserve"> exoprotein expression</w:t>
      </w:r>
      <w:r>
        <w:rPr>
          <w:rFonts w:ascii="Times New Roman" w:hAnsi="Times New Roman" w:cs="Times New Roman"/>
          <w:color w:val="000000" w:themeColor="text1"/>
        </w:rPr>
        <w:t xml:space="preserve">  </w:t>
      </w:r>
    </w:p>
    <w:p w14:paraId="56207407"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SAH</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Short Alarmone Hydrolase</w:t>
      </w:r>
    </w:p>
    <w:p w14:paraId="36100E34"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SAS</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Short Alarmone Synthetase</w:t>
      </w:r>
    </w:p>
    <w:p w14:paraId="20FDBCAE" w14:textId="77777777" w:rsidR="00033564" w:rsidRDefault="00033564" w:rsidP="00033564">
      <w:pPr>
        <w:spacing w:after="0"/>
        <w:rPr>
          <w:rFonts w:ascii="Times New Roman" w:hAnsi="Times New Roman" w:cs="Times New Roman"/>
        </w:rPr>
      </w:pPr>
      <w:r>
        <w:rPr>
          <w:rFonts w:ascii="Times New Roman" w:hAnsi="Times New Roman" w:cs="Times New Roman"/>
        </w:rPr>
        <w:t>SasG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02DB3">
        <w:rPr>
          <w:rFonts w:ascii="Times New Roman" w:hAnsi="Times New Roman" w:cs="Times New Roman"/>
          <w:i/>
          <w:iCs/>
        </w:rPr>
        <w:t>S. aureus</w:t>
      </w:r>
      <w:r w:rsidRPr="00402DB3">
        <w:rPr>
          <w:rFonts w:ascii="Times New Roman" w:hAnsi="Times New Roman" w:cs="Times New Roman"/>
        </w:rPr>
        <w:t xml:space="preserve"> surface protein </w:t>
      </w:r>
      <w:r>
        <w:rPr>
          <w:rFonts w:ascii="Times New Roman" w:hAnsi="Times New Roman" w:cs="Times New Roman"/>
        </w:rPr>
        <w:t>G</w:t>
      </w:r>
    </w:p>
    <w:p w14:paraId="413C263E" w14:textId="77777777" w:rsidR="00033564" w:rsidRDefault="00033564" w:rsidP="00033564">
      <w:pPr>
        <w:spacing w:after="0"/>
        <w:rPr>
          <w:rFonts w:ascii="Times New Roman" w:hAnsi="Times New Roman" w:cs="Times New Roman"/>
        </w:rPr>
      </w:pPr>
      <w:r>
        <w:rPr>
          <w:rFonts w:ascii="Times New Roman" w:hAnsi="Times New Roman" w:cs="Times New Roman"/>
        </w:rPr>
        <w:t>Sbi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B113E">
        <w:rPr>
          <w:rFonts w:ascii="Times New Roman" w:hAnsi="Times New Roman" w:cs="Times New Roman"/>
          <w:i/>
          <w:iCs/>
        </w:rPr>
        <w:t>S. aureus </w:t>
      </w:r>
      <w:r>
        <w:rPr>
          <w:rFonts w:ascii="Times New Roman" w:hAnsi="Times New Roman" w:cs="Times New Roman"/>
        </w:rPr>
        <w:t>B</w:t>
      </w:r>
      <w:r w:rsidRPr="00BB113E">
        <w:rPr>
          <w:rFonts w:ascii="Times New Roman" w:hAnsi="Times New Roman" w:cs="Times New Roman"/>
        </w:rPr>
        <w:t>inder of IgG protein</w:t>
      </w:r>
      <w:r w:rsidRPr="00B62240">
        <w:rPr>
          <w:rFonts w:ascii="Times New Roman" w:hAnsi="Times New Roman" w:cs="Times New Roman"/>
        </w:rPr>
        <w:tab/>
        <w:t xml:space="preserve"> </w:t>
      </w:r>
    </w:p>
    <w:p w14:paraId="3B93F9DB"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SCIN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Staphylococcal Complement Inhibitor</w:t>
      </w:r>
    </w:p>
    <w:p w14:paraId="36E51E86" w14:textId="77777777" w:rsidR="00033564" w:rsidRDefault="00033564" w:rsidP="00033564">
      <w:pPr>
        <w:spacing w:after="0"/>
        <w:rPr>
          <w:rFonts w:ascii="Times New Roman" w:hAnsi="Times New Roman" w:cs="Times New Roman"/>
          <w:i/>
          <w:iCs/>
        </w:rPr>
      </w:pPr>
      <w:r w:rsidRPr="00B62240">
        <w:rPr>
          <w:rFonts w:ascii="Times New Roman" w:hAnsi="Times New Roman" w:cs="Times New Roman"/>
        </w:rPr>
        <w:t>SCC</w:t>
      </w:r>
      <w:r w:rsidRPr="00B62240">
        <w:rPr>
          <w:rFonts w:ascii="Times New Roman" w:hAnsi="Times New Roman" w:cs="Times New Roman"/>
          <w:i/>
          <w:iCs/>
        </w:rPr>
        <w:t>mec</w:t>
      </w:r>
      <w:r w:rsidRPr="00B62240">
        <w:rPr>
          <w:rFonts w:ascii="Times New Roman" w:hAnsi="Times New Roman" w:cs="Times New Roman"/>
          <w:i/>
          <w:iCs/>
        </w:rPr>
        <w:tab/>
      </w:r>
      <w:r w:rsidRPr="00B62240">
        <w:rPr>
          <w:rFonts w:ascii="Times New Roman" w:hAnsi="Times New Roman" w:cs="Times New Roman"/>
          <w:i/>
          <w:iCs/>
        </w:rPr>
        <w:tab/>
      </w:r>
      <w:r w:rsidRPr="00B62240">
        <w:rPr>
          <w:rFonts w:ascii="Times New Roman" w:hAnsi="Times New Roman" w:cs="Times New Roman"/>
        </w:rPr>
        <w:t xml:space="preserve">Staphylococcal Chromosome Cassette </w:t>
      </w:r>
      <w:r w:rsidRPr="00B62240">
        <w:rPr>
          <w:rFonts w:ascii="Times New Roman" w:hAnsi="Times New Roman" w:cs="Times New Roman"/>
          <w:i/>
          <w:iCs/>
        </w:rPr>
        <w:t>mec</w:t>
      </w:r>
    </w:p>
    <w:p w14:paraId="0ED0DDF7" w14:textId="77777777" w:rsidR="00033564" w:rsidRPr="00BC4B35" w:rsidRDefault="00033564" w:rsidP="00033564">
      <w:pPr>
        <w:spacing w:after="0"/>
        <w:rPr>
          <w:rFonts w:ascii="Times New Roman" w:hAnsi="Times New Roman" w:cs="Times New Roman"/>
        </w:rPr>
      </w:pPr>
      <w:r>
        <w:rPr>
          <w:rFonts w:ascii="Times New Roman" w:hAnsi="Times New Roman" w:cs="Times New Roman"/>
        </w:rPr>
        <w:t xml:space="preserve">SCV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Small Colony Variant </w:t>
      </w:r>
    </w:p>
    <w:p w14:paraId="7DDFF3B1" w14:textId="77777777" w:rsidR="00033564" w:rsidRPr="008C0D87" w:rsidRDefault="00033564" w:rsidP="00033564">
      <w:pPr>
        <w:spacing w:after="0"/>
        <w:rPr>
          <w:rFonts w:ascii="Times New Roman" w:hAnsi="Times New Roman" w:cs="Times New Roman"/>
        </w:rPr>
      </w:pPr>
      <w:r>
        <w:rPr>
          <w:rFonts w:ascii="Times New Roman" w:hAnsi="Times New Roman" w:cs="Times New Roman"/>
        </w:rPr>
        <w:t>SNARE</w:t>
      </w:r>
      <w:r>
        <w:rPr>
          <w:rFonts w:ascii="Times New Roman" w:hAnsi="Times New Roman" w:cs="Times New Roman"/>
        </w:rPr>
        <w:tab/>
      </w:r>
      <w:r>
        <w:rPr>
          <w:rFonts w:ascii="Times New Roman" w:hAnsi="Times New Roman" w:cs="Times New Roman"/>
        </w:rPr>
        <w:tab/>
      </w:r>
      <w:r w:rsidRPr="002E7D3D">
        <w:rPr>
          <w:rFonts w:ascii="Times New Roman" w:hAnsi="Times New Roman" w:cs="Times New Roman"/>
        </w:rPr>
        <w:t>N-ethylmaleimide-sensitive factor attachment protein receptor</w:t>
      </w:r>
    </w:p>
    <w:p w14:paraId="1394B887" w14:textId="77777777" w:rsidR="00033564" w:rsidRDefault="00033564" w:rsidP="00033564">
      <w:pPr>
        <w:spacing w:after="0"/>
        <w:rPr>
          <w:rFonts w:ascii="Times New Roman" w:hAnsi="Times New Roman" w:cs="Times New Roman"/>
        </w:rPr>
      </w:pPr>
      <w:r>
        <w:rPr>
          <w:rFonts w:ascii="Times New Roman" w:hAnsi="Times New Roman" w:cs="Times New Roman"/>
        </w:rPr>
        <w:t>SNP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Single Nucleotide Polymorphism</w:t>
      </w:r>
    </w:p>
    <w:p w14:paraId="4B77C3D2" w14:textId="77777777" w:rsidR="00033564" w:rsidRDefault="00033564" w:rsidP="00033564">
      <w:pPr>
        <w:spacing w:after="0"/>
        <w:rPr>
          <w:rFonts w:ascii="Times New Roman" w:hAnsi="Times New Roman" w:cs="Times New Roman"/>
        </w:rPr>
      </w:pPr>
      <w:r>
        <w:rPr>
          <w:rFonts w:ascii="Times New Roman" w:hAnsi="Times New Roman" w:cs="Times New Roman"/>
        </w:rPr>
        <w:t>SOD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Superoxide Dismutase</w:t>
      </w:r>
    </w:p>
    <w:p w14:paraId="4CA032A5" w14:textId="77777777" w:rsidR="00033564" w:rsidRDefault="00033564" w:rsidP="00033564">
      <w:pPr>
        <w:spacing w:after="0"/>
        <w:rPr>
          <w:rFonts w:ascii="Times New Roman" w:hAnsi="Times New Roman" w:cs="Times New Roman"/>
        </w:rPr>
      </w:pPr>
      <w:r>
        <w:rPr>
          <w:rFonts w:ascii="Times New Roman" w:hAnsi="Times New Roman" w:cs="Times New Roman"/>
          <w:i/>
          <w:iCs/>
        </w:rPr>
        <w:t>spa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Staphylococcal Protein A</w:t>
      </w:r>
    </w:p>
    <w:p w14:paraId="38C3B83D" w14:textId="77777777" w:rsidR="00033564" w:rsidRPr="00D7613F" w:rsidRDefault="00033564" w:rsidP="00033564">
      <w:pPr>
        <w:spacing w:after="0"/>
        <w:rPr>
          <w:rFonts w:ascii="Times New Roman" w:hAnsi="Times New Roman" w:cs="Times New Roman"/>
        </w:rPr>
      </w:pPr>
      <w:r>
        <w:rPr>
          <w:rFonts w:ascii="Times New Roman" w:hAnsi="Times New Roman" w:cs="Times New Roman"/>
        </w:rPr>
        <w:t xml:space="preserve">SPI-1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Salmonella</w:t>
      </w:r>
      <w:r>
        <w:rPr>
          <w:rFonts w:ascii="Times New Roman" w:hAnsi="Times New Roman" w:cs="Times New Roman"/>
        </w:rPr>
        <w:t xml:space="preserve"> pathogenicity Island 1</w:t>
      </w:r>
    </w:p>
    <w:p w14:paraId="477FBCE6" w14:textId="77777777" w:rsidR="00033564" w:rsidRDefault="00033564" w:rsidP="00033564">
      <w:pPr>
        <w:spacing w:after="0"/>
        <w:rPr>
          <w:rFonts w:ascii="Times New Roman" w:hAnsi="Times New Roman" w:cs="Times New Roman"/>
        </w:rPr>
      </w:pPr>
      <w:r>
        <w:rPr>
          <w:rFonts w:ascii="Times New Roman" w:hAnsi="Times New Roman" w:cs="Times New Roman"/>
        </w:rPr>
        <w:t>SPIN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Staphylococcal Peroxidase Inhibitor</w:t>
      </w:r>
    </w:p>
    <w:p w14:paraId="0A7E9B00" w14:textId="77777777" w:rsidR="00033564" w:rsidRPr="00FB258B" w:rsidRDefault="00033564" w:rsidP="00033564">
      <w:pPr>
        <w:spacing w:after="0"/>
        <w:rPr>
          <w:rFonts w:ascii="Times New Roman" w:hAnsi="Times New Roman" w:cs="Times New Roman"/>
        </w:rPr>
      </w:pPr>
      <w:r>
        <w:rPr>
          <w:rFonts w:ascii="Times New Roman" w:hAnsi="Times New Roman" w:cs="Times New Roman"/>
        </w:rPr>
        <w:t>SSTI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Skin and Soft Tissue Infection</w:t>
      </w:r>
    </w:p>
    <w:p w14:paraId="360D0181"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SYNTH</w:t>
      </w:r>
      <w:r w:rsidRPr="00B62240">
        <w:rPr>
          <w:rFonts w:ascii="Times New Roman" w:hAnsi="Times New Roman" w:cs="Times New Roman"/>
        </w:rPr>
        <w:tab/>
      </w:r>
      <w:r w:rsidRPr="00B62240">
        <w:rPr>
          <w:rFonts w:ascii="Times New Roman" w:hAnsi="Times New Roman" w:cs="Times New Roman"/>
        </w:rPr>
        <w:tab/>
        <w:t>Synthetase Domain</w:t>
      </w:r>
    </w:p>
    <w:p w14:paraId="2BFF75AD" w14:textId="77777777" w:rsidR="00033564" w:rsidRDefault="00033564" w:rsidP="00033564">
      <w:pPr>
        <w:spacing w:after="0"/>
        <w:rPr>
          <w:rFonts w:ascii="Times New Roman" w:hAnsi="Times New Roman" w:cs="Times New Roman"/>
        </w:rPr>
      </w:pPr>
      <w:r>
        <w:rPr>
          <w:rFonts w:ascii="Times New Roman" w:hAnsi="Times New Roman" w:cs="Times New Roman"/>
        </w:rPr>
        <w:t>T3SS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Type III Secretion System</w:t>
      </w:r>
    </w:p>
    <w:p w14:paraId="02523017" w14:textId="599E9760" w:rsidR="00033564" w:rsidRDefault="00033564" w:rsidP="00033564">
      <w:pPr>
        <w:spacing w:after="0"/>
        <w:rPr>
          <w:rFonts w:ascii="Times New Roman" w:hAnsi="Times New Roman" w:cs="Times New Roman"/>
        </w:rPr>
      </w:pPr>
      <w:r>
        <w:rPr>
          <w:rFonts w:ascii="Times New Roman" w:hAnsi="Times New Roman" w:cs="Times New Roman"/>
        </w:rPr>
        <w:t>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Toxin-</w:t>
      </w:r>
      <w:r w:rsidR="00E315F1">
        <w:rPr>
          <w:rFonts w:ascii="Times New Roman" w:hAnsi="Times New Roman" w:cs="Times New Roman"/>
        </w:rPr>
        <w:t>A</w:t>
      </w:r>
      <w:r>
        <w:rPr>
          <w:rFonts w:ascii="Times New Roman" w:hAnsi="Times New Roman" w:cs="Times New Roman"/>
        </w:rPr>
        <w:t>ntitoxin</w:t>
      </w:r>
    </w:p>
    <w:p w14:paraId="260B8559" w14:textId="1A761ED8" w:rsidR="00033564" w:rsidRDefault="00033564" w:rsidP="00033564">
      <w:pPr>
        <w:spacing w:after="0"/>
        <w:rPr>
          <w:rFonts w:ascii="Times New Roman" w:hAnsi="Times New Roman" w:cs="Times New Roman"/>
        </w:rPr>
      </w:pPr>
      <w:r>
        <w:rPr>
          <w:rFonts w:ascii="Times New Roman" w:hAnsi="Times New Roman" w:cs="Times New Roman"/>
        </w:rPr>
        <w:t>TCR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w:t>
      </w:r>
      <w:r w:rsidR="00E315F1">
        <w:rPr>
          <w:rFonts w:ascii="Times New Roman" w:hAnsi="Times New Roman" w:cs="Times New Roman"/>
        </w:rPr>
        <w:t>-</w:t>
      </w:r>
      <w:r>
        <w:rPr>
          <w:rFonts w:ascii="Times New Roman" w:hAnsi="Times New Roman" w:cs="Times New Roman"/>
        </w:rPr>
        <w:t>cell Receptor</w:t>
      </w:r>
    </w:p>
    <w:p w14:paraId="23077A82"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TCS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Two-component System</w:t>
      </w:r>
      <w:r w:rsidRPr="00B62240">
        <w:rPr>
          <w:rFonts w:ascii="Times New Roman" w:hAnsi="Times New Roman" w:cs="Times New Roman"/>
        </w:rPr>
        <w:tab/>
      </w:r>
    </w:p>
    <w:p w14:paraId="70F3892B"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TGS</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Threonyl-tRNA Synthetase GTPase and SpoT</w:t>
      </w:r>
      <w:r w:rsidRPr="00B62240">
        <w:rPr>
          <w:rFonts w:ascii="Times New Roman" w:hAnsi="Times New Roman" w:cs="Times New Roman"/>
        </w:rPr>
        <w:tab/>
      </w:r>
      <w:r w:rsidRPr="00B62240">
        <w:rPr>
          <w:rFonts w:ascii="Times New Roman" w:hAnsi="Times New Roman" w:cs="Times New Roman"/>
        </w:rPr>
        <w:tab/>
      </w:r>
    </w:p>
    <w:p w14:paraId="49E21C73"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TIR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72213">
        <w:rPr>
          <w:rFonts w:ascii="Times New Roman" w:hAnsi="Times New Roman" w:cs="Times New Roman"/>
        </w:rPr>
        <w:t xml:space="preserve">Toll/interleukin-1 </w:t>
      </w:r>
      <w:r>
        <w:rPr>
          <w:rFonts w:ascii="Times New Roman" w:hAnsi="Times New Roman" w:cs="Times New Roman"/>
        </w:rPr>
        <w:t>R</w:t>
      </w:r>
      <w:r w:rsidRPr="00272213">
        <w:rPr>
          <w:rFonts w:ascii="Times New Roman" w:hAnsi="Times New Roman" w:cs="Times New Roman"/>
        </w:rPr>
        <w:t>ecepto</w:t>
      </w:r>
      <w:r>
        <w:rPr>
          <w:rFonts w:ascii="Times New Roman" w:hAnsi="Times New Roman" w:cs="Times New Roman"/>
        </w:rPr>
        <w:t>r</w:t>
      </w:r>
      <w:r w:rsidRPr="00B62240">
        <w:rPr>
          <w:rFonts w:ascii="Times New Roman" w:hAnsi="Times New Roman" w:cs="Times New Roman"/>
        </w:rPr>
        <w:tab/>
      </w:r>
    </w:p>
    <w:p w14:paraId="026A3BED" w14:textId="77777777" w:rsidR="00033564" w:rsidRDefault="00033564" w:rsidP="00033564">
      <w:pPr>
        <w:spacing w:after="0"/>
        <w:rPr>
          <w:rFonts w:ascii="Times New Roman" w:hAnsi="Times New Roman" w:cs="Times New Roman"/>
        </w:rPr>
      </w:pPr>
      <w:r w:rsidRPr="00B62240">
        <w:rPr>
          <w:rFonts w:ascii="Times New Roman" w:hAnsi="Times New Roman" w:cs="Times New Roman"/>
        </w:rPr>
        <w:t>TLC</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Thin Layer Chromatography</w:t>
      </w:r>
    </w:p>
    <w:p w14:paraId="4089A5E6" w14:textId="77777777" w:rsidR="00033564" w:rsidRDefault="00033564" w:rsidP="00033564">
      <w:pPr>
        <w:spacing w:after="0"/>
        <w:rPr>
          <w:rFonts w:ascii="Times New Roman" w:hAnsi="Times New Roman" w:cs="Times New Roman"/>
        </w:rPr>
      </w:pPr>
      <w:r>
        <w:rPr>
          <w:rFonts w:ascii="Times New Roman" w:hAnsi="Times New Roman" w:cs="Times New Roman"/>
        </w:rPr>
        <w:t>TLR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Toll-like Receptor</w:t>
      </w:r>
    </w:p>
    <w:p w14:paraId="7BAE483D" w14:textId="77777777" w:rsidR="00033564" w:rsidRDefault="00033564" w:rsidP="00033564">
      <w:pPr>
        <w:spacing w:after="0"/>
        <w:rPr>
          <w:rFonts w:ascii="Times New Roman" w:hAnsi="Times New Roman" w:cs="Times New Roman"/>
        </w:rPr>
      </w:pPr>
      <w:r>
        <w:rPr>
          <w:rFonts w:ascii="Times New Roman" w:hAnsi="Times New Roman" w:cs="Times New Roman"/>
        </w:rPr>
        <w:t>TRAF3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w:t>
      </w:r>
      <w:r w:rsidRPr="00470734">
        <w:rPr>
          <w:rFonts w:ascii="Times New Roman" w:hAnsi="Times New Roman" w:cs="Times New Roman"/>
        </w:rPr>
        <w:t>umo</w:t>
      </w:r>
      <w:r>
        <w:rPr>
          <w:rFonts w:ascii="Times New Roman" w:hAnsi="Times New Roman" w:cs="Times New Roman"/>
        </w:rPr>
        <w:t>u</w:t>
      </w:r>
      <w:r w:rsidRPr="00470734">
        <w:rPr>
          <w:rFonts w:ascii="Times New Roman" w:hAnsi="Times New Roman" w:cs="Times New Roman"/>
        </w:rPr>
        <w:t xml:space="preserve">r </w:t>
      </w:r>
      <w:r>
        <w:rPr>
          <w:rFonts w:ascii="Times New Roman" w:hAnsi="Times New Roman" w:cs="Times New Roman"/>
        </w:rPr>
        <w:t>N</w:t>
      </w:r>
      <w:r w:rsidRPr="00470734">
        <w:rPr>
          <w:rFonts w:ascii="Times New Roman" w:hAnsi="Times New Roman" w:cs="Times New Roman"/>
        </w:rPr>
        <w:t xml:space="preserve">ecrosis-associated </w:t>
      </w:r>
      <w:r>
        <w:rPr>
          <w:rFonts w:ascii="Times New Roman" w:hAnsi="Times New Roman" w:cs="Times New Roman"/>
        </w:rPr>
        <w:t>F</w:t>
      </w:r>
      <w:r w:rsidRPr="00470734">
        <w:rPr>
          <w:rFonts w:ascii="Times New Roman" w:hAnsi="Times New Roman" w:cs="Times New Roman"/>
        </w:rPr>
        <w:t>actor 3</w:t>
      </w:r>
    </w:p>
    <w:p w14:paraId="68163B47" w14:textId="77777777" w:rsidR="00033564" w:rsidRDefault="00033564" w:rsidP="00033564">
      <w:pPr>
        <w:spacing w:after="0"/>
        <w:rPr>
          <w:rFonts w:ascii="Times New Roman" w:hAnsi="Times New Roman" w:cs="Times New Roman"/>
        </w:rPr>
      </w:pPr>
      <w:r>
        <w:rPr>
          <w:rFonts w:ascii="Times New Roman" w:hAnsi="Times New Roman" w:cs="Times New Roman"/>
        </w:rPr>
        <w:t>TRM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Tissue-resident macrophage</w:t>
      </w:r>
    </w:p>
    <w:p w14:paraId="0C15E142" w14:textId="33181815" w:rsidR="00E315F1" w:rsidRDefault="00E315F1" w:rsidP="00033564">
      <w:pPr>
        <w:spacing w:after="0"/>
        <w:rPr>
          <w:rFonts w:ascii="Times New Roman" w:hAnsi="Times New Roman" w:cs="Times New Roman"/>
        </w:rPr>
      </w:pPr>
      <w:r>
        <w:rPr>
          <w:rFonts w:ascii="Times New Roman" w:hAnsi="Times New Roman" w:cs="Times New Roman"/>
        </w:rPr>
        <w:t>TT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Transcriptional Terminator</w:t>
      </w:r>
    </w:p>
    <w:p w14:paraId="37ECFB05" w14:textId="77777777" w:rsidR="00033564" w:rsidRDefault="00033564" w:rsidP="00033564">
      <w:pPr>
        <w:spacing w:after="0"/>
        <w:rPr>
          <w:rFonts w:ascii="Times New Roman" w:hAnsi="Times New Roman" w:cs="Times New Roman"/>
        </w:rPr>
      </w:pPr>
      <w:r>
        <w:rPr>
          <w:rFonts w:ascii="Times New Roman" w:hAnsi="Times New Roman" w:cs="Times New Roman"/>
        </w:rPr>
        <w:t>V-ATPase</w:t>
      </w:r>
      <w:r>
        <w:rPr>
          <w:rFonts w:ascii="Times New Roman" w:hAnsi="Times New Roman" w:cs="Times New Roman"/>
        </w:rPr>
        <w:tab/>
      </w:r>
      <w:r>
        <w:rPr>
          <w:rFonts w:ascii="Times New Roman" w:hAnsi="Times New Roman" w:cs="Times New Roman"/>
        </w:rPr>
        <w:tab/>
        <w:t>Vacuolar-Type ATPase</w:t>
      </w:r>
    </w:p>
    <w:p w14:paraId="1966BBB2" w14:textId="77777777" w:rsidR="00033564" w:rsidRDefault="00033564" w:rsidP="00033564">
      <w:pPr>
        <w:spacing w:after="0"/>
        <w:rPr>
          <w:rFonts w:ascii="Times New Roman" w:hAnsi="Times New Roman" w:cs="Times New Roman"/>
        </w:rPr>
      </w:pPr>
      <w:r>
        <w:rPr>
          <w:rFonts w:ascii="Times New Roman" w:hAnsi="Times New Roman" w:cs="Times New Roman"/>
        </w:rPr>
        <w:t>VAMP7/8</w:t>
      </w:r>
      <w:r>
        <w:rPr>
          <w:rFonts w:ascii="Times New Roman" w:hAnsi="Times New Roman" w:cs="Times New Roman"/>
        </w:rPr>
        <w:tab/>
      </w:r>
      <w:r>
        <w:rPr>
          <w:rFonts w:ascii="Times New Roman" w:hAnsi="Times New Roman" w:cs="Times New Roman"/>
        </w:rPr>
        <w:tab/>
        <w:t>V</w:t>
      </w:r>
      <w:r w:rsidRPr="00582805">
        <w:rPr>
          <w:rFonts w:ascii="Times New Roman" w:hAnsi="Times New Roman" w:cs="Times New Roman"/>
        </w:rPr>
        <w:t>esicle-associated</w:t>
      </w:r>
      <w:r>
        <w:rPr>
          <w:rFonts w:ascii="Times New Roman" w:hAnsi="Times New Roman" w:cs="Times New Roman"/>
        </w:rPr>
        <w:t xml:space="preserve"> M</w:t>
      </w:r>
      <w:r w:rsidRPr="00582805">
        <w:rPr>
          <w:rFonts w:ascii="Times New Roman" w:hAnsi="Times New Roman" w:cs="Times New Roman"/>
        </w:rPr>
        <w:t xml:space="preserve">embrane </w:t>
      </w:r>
      <w:r>
        <w:rPr>
          <w:rFonts w:ascii="Times New Roman" w:hAnsi="Times New Roman" w:cs="Times New Roman"/>
        </w:rPr>
        <w:t>P</w:t>
      </w:r>
      <w:r w:rsidRPr="00582805">
        <w:rPr>
          <w:rFonts w:ascii="Times New Roman" w:hAnsi="Times New Roman" w:cs="Times New Roman"/>
        </w:rPr>
        <w:t>roteins</w:t>
      </w:r>
      <w:r>
        <w:rPr>
          <w:rFonts w:ascii="Times New Roman" w:hAnsi="Times New Roman" w:cs="Times New Roman"/>
        </w:rPr>
        <w:t xml:space="preserve"> 7/8</w:t>
      </w:r>
    </w:p>
    <w:p w14:paraId="153B5D14" w14:textId="77777777" w:rsidR="00033564" w:rsidRPr="00B62240" w:rsidRDefault="00033564" w:rsidP="00033564">
      <w:pPr>
        <w:spacing w:after="0"/>
        <w:rPr>
          <w:rFonts w:ascii="Times New Roman" w:hAnsi="Times New Roman" w:cs="Times New Roman"/>
        </w:rPr>
      </w:pPr>
      <w:r>
        <w:rPr>
          <w:rFonts w:ascii="Times New Roman" w:hAnsi="Times New Roman" w:cs="Times New Roman"/>
        </w:rPr>
        <w:t>VraS/R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r w:rsidRPr="0074738B">
        <w:rPr>
          <w:rFonts w:ascii="Times New Roman" w:hAnsi="Times New Roman" w:cs="Times New Roman"/>
        </w:rPr>
        <w:t>ancomycin-resistance</w:t>
      </w:r>
      <w:r>
        <w:rPr>
          <w:rFonts w:ascii="Times New Roman" w:hAnsi="Times New Roman" w:cs="Times New Roman"/>
        </w:rPr>
        <w:t xml:space="preserve"> A</w:t>
      </w:r>
      <w:r w:rsidRPr="0074738B">
        <w:rPr>
          <w:rFonts w:ascii="Times New Roman" w:hAnsi="Times New Roman" w:cs="Times New Roman"/>
        </w:rPr>
        <w:t xml:space="preserve">ssociated </w:t>
      </w:r>
      <w:r>
        <w:rPr>
          <w:rFonts w:ascii="Times New Roman" w:hAnsi="Times New Roman" w:cs="Times New Roman"/>
        </w:rPr>
        <w:t>Sen</w:t>
      </w:r>
      <w:r w:rsidRPr="0074738B">
        <w:rPr>
          <w:rFonts w:ascii="Times New Roman" w:hAnsi="Times New Roman" w:cs="Times New Roman"/>
        </w:rPr>
        <w:t>sor/</w:t>
      </w:r>
      <w:r>
        <w:rPr>
          <w:rFonts w:ascii="Times New Roman" w:hAnsi="Times New Roman" w:cs="Times New Roman"/>
        </w:rPr>
        <w:t>R</w:t>
      </w:r>
      <w:r w:rsidRPr="0074738B">
        <w:rPr>
          <w:rFonts w:ascii="Times New Roman" w:hAnsi="Times New Roman" w:cs="Times New Roman"/>
        </w:rPr>
        <w:t>egulator</w:t>
      </w:r>
    </w:p>
    <w:p w14:paraId="216E91B3" w14:textId="77777777" w:rsidR="00033564" w:rsidRDefault="00033564" w:rsidP="00033564">
      <w:pPr>
        <w:spacing w:after="0"/>
        <w:rPr>
          <w:rFonts w:ascii="Times New Roman" w:hAnsi="Times New Roman" w:cs="Times New Roman"/>
          <w:i/>
          <w:iCs/>
        </w:rPr>
      </w:pPr>
      <w:r w:rsidRPr="00B62240">
        <w:rPr>
          <w:rFonts w:ascii="Times New Roman" w:hAnsi="Times New Roman" w:cs="Times New Roman"/>
        </w:rPr>
        <w:t>VRSA</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 xml:space="preserve">Vancomycin Resistant </w:t>
      </w:r>
      <w:r w:rsidRPr="00B62240">
        <w:rPr>
          <w:rFonts w:ascii="Times New Roman" w:hAnsi="Times New Roman" w:cs="Times New Roman"/>
          <w:i/>
          <w:iCs/>
        </w:rPr>
        <w:t>Staphylococcus aureus</w:t>
      </w:r>
    </w:p>
    <w:p w14:paraId="29D833CE" w14:textId="77777777" w:rsidR="00033564" w:rsidRPr="00C514E2" w:rsidRDefault="00033564" w:rsidP="00033564">
      <w:pPr>
        <w:spacing w:after="0"/>
        <w:rPr>
          <w:rFonts w:ascii="Times New Roman" w:hAnsi="Times New Roman" w:cs="Times New Roman"/>
        </w:rPr>
      </w:pPr>
      <w:r>
        <w:rPr>
          <w:rFonts w:ascii="Times New Roman" w:hAnsi="Times New Roman" w:cs="Times New Roman"/>
        </w:rPr>
        <w:t>WTA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Wall Teichoic Acid</w:t>
      </w:r>
    </w:p>
    <w:p w14:paraId="66482D04"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XMP</w:t>
      </w:r>
      <w:r w:rsidRPr="00B62240">
        <w:rPr>
          <w:rFonts w:ascii="Times New Roman" w:hAnsi="Times New Roman" w:cs="Times New Roman"/>
        </w:rPr>
        <w:tab/>
      </w:r>
      <w:r w:rsidRPr="00B62240">
        <w:rPr>
          <w:rFonts w:ascii="Times New Roman" w:hAnsi="Times New Roman" w:cs="Times New Roman"/>
        </w:rPr>
        <w:tab/>
      </w:r>
      <w:r w:rsidRPr="00B62240">
        <w:rPr>
          <w:rFonts w:ascii="Times New Roman" w:hAnsi="Times New Roman" w:cs="Times New Roman"/>
        </w:rPr>
        <w:tab/>
        <w:t>Xanthosine 5’-phosphate</w:t>
      </w:r>
    </w:p>
    <w:p w14:paraId="79F3E1B8" w14:textId="77777777" w:rsidR="00033564" w:rsidRPr="00B62240" w:rsidRDefault="00033564" w:rsidP="00033564">
      <w:pPr>
        <w:spacing w:after="0"/>
        <w:rPr>
          <w:rFonts w:ascii="Times New Roman" w:hAnsi="Times New Roman" w:cs="Times New Roman"/>
        </w:rPr>
      </w:pPr>
      <w:r w:rsidRPr="00B62240">
        <w:rPr>
          <w:rFonts w:ascii="Times New Roman" w:hAnsi="Times New Roman" w:cs="Times New Roman"/>
        </w:rPr>
        <w:t>ZFD/CC</w:t>
      </w:r>
      <w:r w:rsidRPr="00B62240">
        <w:rPr>
          <w:rFonts w:ascii="Times New Roman" w:hAnsi="Times New Roman" w:cs="Times New Roman"/>
        </w:rPr>
        <w:tab/>
      </w:r>
      <w:r w:rsidRPr="00B62240">
        <w:rPr>
          <w:rFonts w:ascii="Times New Roman" w:hAnsi="Times New Roman" w:cs="Times New Roman"/>
        </w:rPr>
        <w:tab/>
        <w:t xml:space="preserve">Zinc Finger Domain/Conserved Cysteine </w:t>
      </w:r>
    </w:p>
    <w:p w14:paraId="11C036D9" w14:textId="77777777" w:rsidR="00FE2F02" w:rsidRDefault="00FE2F02" w:rsidP="00DB06BD">
      <w:pPr>
        <w:sectPr w:rsidR="00FE2F02" w:rsidSect="00FE2F02">
          <w:footerReference w:type="default" r:id="rId11"/>
          <w:pgSz w:w="11906" w:h="16838"/>
          <w:pgMar w:top="1440" w:right="1440" w:bottom="1440" w:left="1440" w:header="708" w:footer="708" w:gutter="0"/>
          <w:pgNumType w:fmt="lowerRoman" w:start="1"/>
          <w:cols w:space="708"/>
          <w:docGrid w:linePitch="360"/>
        </w:sectPr>
      </w:pPr>
    </w:p>
    <w:p w14:paraId="192864A0" w14:textId="77777777" w:rsidR="00033564" w:rsidRDefault="00033564" w:rsidP="00033564">
      <w:pPr>
        <w:pStyle w:val="Heading1"/>
        <w:rPr>
          <w:i/>
          <w:iCs/>
        </w:rPr>
      </w:pPr>
      <w:bookmarkStart w:id="13" w:name="_Toc142043565"/>
      <w:r w:rsidRPr="008D708F">
        <w:lastRenderedPageBreak/>
        <w:t xml:space="preserve">Chapter </w:t>
      </w:r>
      <w:r>
        <w:t>1: Introduction</w:t>
      </w:r>
      <w:bookmarkEnd w:id="13"/>
      <w:r>
        <w:t xml:space="preserve"> </w:t>
      </w:r>
    </w:p>
    <w:p w14:paraId="3DA8FAC8" w14:textId="77777777" w:rsidR="00033564" w:rsidRPr="00DE2A6A" w:rsidRDefault="00033564" w:rsidP="00033564"/>
    <w:p w14:paraId="16A9AE63" w14:textId="77777777" w:rsidR="00033564" w:rsidRPr="00014FFF" w:rsidRDefault="00033564" w:rsidP="00033564">
      <w:pPr>
        <w:pStyle w:val="Heading2"/>
      </w:pPr>
      <w:bookmarkStart w:id="14" w:name="_Toc142043566"/>
      <w:r>
        <w:t>1.</w:t>
      </w:r>
      <w:r w:rsidRPr="00014FFF">
        <w:t>1</w:t>
      </w:r>
      <w:r>
        <w:t>.</w:t>
      </w:r>
      <w:r w:rsidRPr="00014FFF">
        <w:t xml:space="preserve"> </w:t>
      </w:r>
      <w:r>
        <w:rPr>
          <w:i/>
          <w:iCs/>
        </w:rPr>
        <w:t>Staphylococcus aureus</w:t>
      </w:r>
      <w:bookmarkEnd w:id="14"/>
      <w:r w:rsidRPr="00014FFF">
        <w:t xml:space="preserve"> </w:t>
      </w:r>
    </w:p>
    <w:p w14:paraId="0693DCBE" w14:textId="77777777" w:rsidR="00033564" w:rsidRDefault="00033564" w:rsidP="00033564">
      <w:pPr>
        <w:spacing w:line="240" w:lineRule="auto"/>
      </w:pPr>
    </w:p>
    <w:p w14:paraId="71881127" w14:textId="77777777" w:rsidR="00033564" w:rsidRPr="00D42BEE" w:rsidRDefault="00033564" w:rsidP="00033564">
      <w:pPr>
        <w:spacing w:line="360" w:lineRule="auto"/>
        <w:jc w:val="both"/>
        <w:rPr>
          <w:rFonts w:ascii="Times New Roman" w:hAnsi="Times New Roman" w:cs="Times New Roman"/>
        </w:rPr>
      </w:pPr>
      <w:r w:rsidRPr="002541E9">
        <w:rPr>
          <w:rFonts w:ascii="Times New Roman" w:hAnsi="Times New Roman" w:cs="Times New Roman"/>
          <w:i/>
          <w:iCs/>
        </w:rPr>
        <w:t xml:space="preserve">Staphylococcus aureus </w:t>
      </w:r>
      <w:r w:rsidRPr="002541E9">
        <w:rPr>
          <w:rFonts w:ascii="Times New Roman" w:hAnsi="Times New Roman" w:cs="Times New Roman"/>
        </w:rPr>
        <w:t xml:space="preserve">is a Gram-positive, </w:t>
      </w:r>
      <w:r>
        <w:rPr>
          <w:rFonts w:ascii="Times New Roman" w:hAnsi="Times New Roman" w:cs="Times New Roman"/>
        </w:rPr>
        <w:t xml:space="preserve">non-motile, </w:t>
      </w:r>
      <w:r w:rsidRPr="002541E9">
        <w:rPr>
          <w:rFonts w:ascii="Times New Roman" w:hAnsi="Times New Roman" w:cs="Times New Roman"/>
        </w:rPr>
        <w:t xml:space="preserve">facultative anaerobic bacterium </w:t>
      </w:r>
      <w:r>
        <w:rPr>
          <w:rFonts w:ascii="Times New Roman" w:hAnsi="Times New Roman" w:cs="Times New Roman"/>
        </w:rPr>
        <w:t>and member of the phylum, Firmicutes</w:t>
      </w:r>
      <w:r w:rsidRPr="002541E9">
        <w:rPr>
          <w:rFonts w:ascii="Times New Roman" w:hAnsi="Times New Roman" w:cs="Times New Roman"/>
        </w:rPr>
        <w:t xml:space="preserve">. </w:t>
      </w:r>
      <w:r>
        <w:rPr>
          <w:rFonts w:ascii="Times New Roman" w:hAnsi="Times New Roman" w:cs="Times New Roman"/>
          <w:i/>
          <w:iCs/>
        </w:rPr>
        <w:t xml:space="preserve">S. aureus </w:t>
      </w:r>
      <w:r>
        <w:rPr>
          <w:rFonts w:ascii="Times New Roman" w:hAnsi="Times New Roman" w:cs="Times New Roman"/>
        </w:rPr>
        <w:t>is named according</w:t>
      </w:r>
      <w:r w:rsidRPr="002541E9">
        <w:rPr>
          <w:rFonts w:ascii="Times New Roman" w:hAnsi="Times New Roman" w:cs="Times New Roman"/>
        </w:rPr>
        <w:t xml:space="preserve"> to its clustered appearance similar to grapes, spherical shape</w:t>
      </w:r>
      <w:r>
        <w:rPr>
          <w:rFonts w:ascii="Times New Roman" w:hAnsi="Times New Roman" w:cs="Times New Roman"/>
        </w:rPr>
        <w:t xml:space="preserve"> </w:t>
      </w:r>
      <w:r w:rsidRPr="002541E9">
        <w:rPr>
          <w:rFonts w:ascii="Times New Roman" w:hAnsi="Times New Roman" w:cs="Times New Roman"/>
        </w:rPr>
        <w:t>(coccal) and golden colony colour</w:t>
      </w:r>
      <w:r>
        <w:rPr>
          <w:rFonts w:ascii="Times New Roman" w:hAnsi="Times New Roman" w:cs="Times New Roman"/>
        </w:rPr>
        <w:t xml:space="preserve"> </w:t>
      </w:r>
      <w:r w:rsidRPr="002541E9">
        <w:rPr>
          <w:rFonts w:ascii="Times New Roman" w:hAnsi="Times New Roman" w:cs="Times New Roman"/>
        </w:rPr>
        <w:t>(</w:t>
      </w:r>
      <w:r w:rsidRPr="002541E9">
        <w:rPr>
          <w:rFonts w:ascii="Times New Roman" w:hAnsi="Times New Roman" w:cs="Times New Roman"/>
          <w:i/>
          <w:iCs/>
        </w:rPr>
        <w:t>aureus</w:t>
      </w:r>
      <w:r w:rsidRPr="002541E9">
        <w:rPr>
          <w:rFonts w:ascii="Times New Roman" w:hAnsi="Times New Roman" w:cs="Times New Roman"/>
        </w:rPr>
        <w:t xml:space="preserve">). </w:t>
      </w:r>
      <w:r>
        <w:rPr>
          <w:rFonts w:ascii="Times New Roman" w:hAnsi="Times New Roman" w:cs="Times New Roman"/>
        </w:rPr>
        <w:t xml:space="preserve">Its pigment is owed to staphyloxanthin, a membrane-bound carotenoid that provides the characteristic golden colour and also functions as an antioxidant to resist oxidative stress </w:t>
      </w:r>
      <w:r w:rsidRPr="008C0EB9">
        <w:rPr>
          <w:rFonts w:ascii="Times New Roman" w:hAnsi="Times New Roman" w:cs="Times New Roman"/>
          <w:b/>
          <w:bCs/>
        </w:rPr>
        <w:fldChar w:fldCharType="begin">
          <w:fldData xml:space="preserve">PEVuZE5vdGU+PENpdGU+PEF1dGhvcj5QZWx6PC9BdXRob3I+PFllYXI+MjAwNTwvWWVhcj48SURU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</w:fldData>
        </w:fldChar>
      </w:r>
      <w:r w:rsidRPr="008C0EB9">
        <w:rPr>
          <w:rFonts w:ascii="Times New Roman" w:hAnsi="Times New Roman" w:cs="Times New Roman"/>
          <w:b/>
          <w:bCs/>
        </w:rPr>
        <w:instrText xml:space="preserve"> ADDIN EN.CITE </w:instrText>
      </w:r>
      <w:r w:rsidRPr="008C0EB9">
        <w:rPr>
          <w:rFonts w:ascii="Times New Roman" w:hAnsi="Times New Roman" w:cs="Times New Roman"/>
          <w:b/>
          <w:bCs/>
        </w:rPr>
        <w:fldChar w:fldCharType="begin">
          <w:fldData xml:space="preserve">PEVuZE5vdGU+PENpdGU+PEF1dGhvcj5QZWx6PC9BdXRob3I+PFllYXI+MjAwNTwvWWVhcj48SURU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</w:fldData>
        </w:fldChar>
      </w:r>
      <w:r w:rsidRPr="008C0EB9">
        <w:rPr>
          <w:rFonts w:ascii="Times New Roman" w:hAnsi="Times New Roman" w:cs="Times New Roman"/>
          <w:b/>
          <w:bCs/>
        </w:rPr>
        <w:instrText xml:space="preserve"> ADDIN EN.CITE.DATA </w:instrText>
      </w:r>
      <w:r w:rsidRPr="008C0EB9">
        <w:rPr>
          <w:rFonts w:ascii="Times New Roman" w:hAnsi="Times New Roman" w:cs="Times New Roman"/>
          <w:b/>
          <w:bCs/>
        </w:rPr>
      </w:r>
      <w:r w:rsidRPr="008C0EB9">
        <w:rPr>
          <w:rFonts w:ascii="Times New Roman" w:hAnsi="Times New Roman" w:cs="Times New Roman"/>
          <w:b/>
          <w:bCs/>
        </w:rPr>
        <w:fldChar w:fldCharType="end"/>
      </w:r>
      <w:r w:rsidRPr="008C0EB9">
        <w:rPr>
          <w:rFonts w:ascii="Times New Roman" w:hAnsi="Times New Roman" w:cs="Times New Roman"/>
          <w:b/>
          <w:bCs/>
        </w:rPr>
      </w:r>
      <w:r w:rsidRPr="008C0EB9">
        <w:rPr>
          <w:rFonts w:ascii="Times New Roman" w:hAnsi="Times New Roman" w:cs="Times New Roman"/>
          <w:b/>
          <w:bCs/>
        </w:rPr>
        <w:fldChar w:fldCharType="separate"/>
      </w:r>
      <w:r w:rsidRPr="008C0EB9">
        <w:rPr>
          <w:rFonts w:ascii="Times New Roman" w:hAnsi="Times New Roman" w:cs="Times New Roman"/>
          <w:b/>
          <w:bCs/>
          <w:noProof/>
        </w:rPr>
        <w:t>(Pelz</w:t>
      </w:r>
      <w:r w:rsidRPr="008C0EB9">
        <w:rPr>
          <w:rFonts w:ascii="Times New Roman" w:hAnsi="Times New Roman" w:cs="Times New Roman"/>
          <w:b/>
          <w:bCs/>
          <w:i/>
          <w:noProof/>
        </w:rPr>
        <w:t xml:space="preserve"> et al.</w:t>
      </w:r>
      <w:r w:rsidRPr="008C0EB9">
        <w:rPr>
          <w:rFonts w:ascii="Times New Roman" w:hAnsi="Times New Roman" w:cs="Times New Roman"/>
          <w:b/>
          <w:bCs/>
          <w:noProof/>
        </w:rPr>
        <w:t>, 2005; Clauditz</w:t>
      </w:r>
      <w:r w:rsidRPr="008C0EB9">
        <w:rPr>
          <w:rFonts w:ascii="Times New Roman" w:hAnsi="Times New Roman" w:cs="Times New Roman"/>
          <w:b/>
          <w:bCs/>
          <w:i/>
          <w:noProof/>
        </w:rPr>
        <w:t xml:space="preserve"> et al.</w:t>
      </w:r>
      <w:r w:rsidRPr="008C0EB9">
        <w:rPr>
          <w:rFonts w:ascii="Times New Roman" w:hAnsi="Times New Roman" w:cs="Times New Roman"/>
          <w:b/>
          <w:bCs/>
          <w:noProof/>
        </w:rPr>
        <w:t>, 2006)</w:t>
      </w:r>
      <w:r w:rsidRPr="008C0EB9">
        <w:rPr>
          <w:rFonts w:ascii="Times New Roman" w:hAnsi="Times New Roman" w:cs="Times New Roman"/>
          <w:b/>
          <w:bCs/>
        </w:rPr>
        <w:fldChar w:fldCharType="end"/>
      </w:r>
      <w:r>
        <w:rPr>
          <w:rFonts w:ascii="Times New Roman" w:hAnsi="Times New Roman" w:cs="Times New Roman"/>
        </w:rPr>
        <w:t xml:space="preserve">. The </w:t>
      </w:r>
      <w:r>
        <w:rPr>
          <w:rFonts w:ascii="Times New Roman" w:hAnsi="Times New Roman" w:cs="Times New Roman"/>
          <w:i/>
          <w:iCs/>
        </w:rPr>
        <w:t xml:space="preserve">Staphylococcus </w:t>
      </w:r>
      <w:r>
        <w:rPr>
          <w:rFonts w:ascii="Times New Roman" w:hAnsi="Times New Roman" w:cs="Times New Roman"/>
        </w:rPr>
        <w:t>genus consists of 47 species and 23 subspecies</w:t>
      </w:r>
      <w:r>
        <w:rPr>
          <w:rFonts w:ascii="Times New Roman" w:hAnsi="Times New Roman" w:cs="Times New Roman"/>
          <w:i/>
          <w:iCs/>
        </w:rPr>
        <w:t xml:space="preserve"> </w:t>
      </w:r>
      <w:r>
        <w:rPr>
          <w:rFonts w:ascii="Times New Roman" w:hAnsi="Times New Roman" w:cs="Times New Roman"/>
        </w:rPr>
        <w:t xml:space="preserve">and while most are coagulase-negative such as </w:t>
      </w:r>
      <w:r>
        <w:rPr>
          <w:rFonts w:ascii="Times New Roman" w:hAnsi="Times New Roman" w:cs="Times New Roman"/>
          <w:i/>
          <w:iCs/>
        </w:rPr>
        <w:t>Staphylococcus epidermidis</w:t>
      </w:r>
      <w:r w:rsidRPr="00761985">
        <w:rPr>
          <w:rFonts w:ascii="Times New Roman" w:hAnsi="Times New Roman" w:cs="Times New Roman"/>
        </w:rPr>
        <w:t xml:space="preserve"> and </w:t>
      </w:r>
      <w:r>
        <w:rPr>
          <w:rFonts w:ascii="Times New Roman" w:hAnsi="Times New Roman" w:cs="Times New Roman"/>
          <w:i/>
          <w:iCs/>
        </w:rPr>
        <w:t>Staphylococcus lugdunensis</w:t>
      </w:r>
      <w:r>
        <w:rPr>
          <w:rFonts w:ascii="Times New Roman" w:hAnsi="Times New Roman" w:cs="Times New Roman"/>
        </w:rPr>
        <w:t xml:space="preserve">, </w:t>
      </w:r>
      <w:r>
        <w:rPr>
          <w:rFonts w:ascii="Times New Roman" w:hAnsi="Times New Roman" w:cs="Times New Roman"/>
          <w:i/>
          <w:iCs/>
        </w:rPr>
        <w:t xml:space="preserve">S. aureus </w:t>
      </w:r>
      <w:r>
        <w:rPr>
          <w:rFonts w:ascii="Times New Roman" w:hAnsi="Times New Roman" w:cs="Times New Roman"/>
        </w:rPr>
        <w:t xml:space="preserve">is among the few that are coagulase-positive </w:t>
      </w:r>
      <w:r w:rsidRPr="00761985">
        <w:rPr>
          <w:rFonts w:ascii="Times New Roman" w:hAnsi="Times New Roman" w:cs="Times New Roman"/>
          <w:b/>
          <w:bCs/>
        </w:rPr>
        <w:fldChar w:fldCharType="begin"/>
      </w:r>
      <w:r w:rsidRPr="00761985">
        <w:rPr>
          <w:rFonts w:ascii="Times New Roman" w:hAnsi="Times New Roman" w:cs="Times New Roman"/>
          <w:b/>
          <w:bCs/>
        </w:rPr>
        <w:instrText xml:space="preserve"> ADDIN EN.CITE &lt;EndNote&gt;&lt;Cite&gt;&lt;Author&gt;Becker&lt;/Author&gt;&lt;Year&gt;2014&lt;/Year&gt;&lt;IDText&gt;Coagulase-Negative Staphylococci&lt;/IDText&gt;&lt;DisplayText&gt;(Becker, Heilmann and Peters, 2014)&lt;/DisplayText&gt;&lt;record&gt;&lt;dates&gt;&lt;pub-dates&gt;&lt;date&gt;Oct&lt;/date&gt;&lt;/pub-dates&gt;&lt;year&gt;2014&lt;/year&gt;&lt;/dates&gt;&lt;urls&gt;&lt;related-urls&gt;&lt;url&gt;&amp;lt;Go to ISI&amp;gt;://WOS:000343095200008&lt;/url&gt;&lt;/related-urls&gt;&lt;/urls&gt;&lt;isbn&gt;0893-8512&lt;/isbn&gt;&lt;titles&gt;&lt;title&gt;Coagulase-Negative Staphylococci&lt;/title&gt;&lt;secondary-title&gt;Clinical Microbiology Reviews&lt;/secondary-title&gt;&lt;/titles&gt;&lt;pages&gt;870-926&lt;/pages&gt;&lt;number&gt;4&lt;/number&gt;&lt;contributors&gt;&lt;authors&gt;&lt;author&gt;Becker, K.&lt;/author&gt;&lt;author&gt;Heilmann, C.&lt;/author&gt;&lt;author&gt;Peters, G.&lt;/author&gt;&lt;/authors&gt;&lt;/contributors&gt;&lt;added-date format="utc"&gt;1675299138&lt;/added-date&gt;&lt;ref-type name="Journal Article"&gt;17&lt;/ref-type&gt;&lt;rec-number&gt;303&lt;/rec-number&gt;&lt;last-updated-date format="utc"&gt;1675299138&lt;/last-updated-date&gt;&lt;accession-num&gt;WOS:000343095200008&lt;/accession-num&gt;&lt;electronic-resource-num&gt;10.1128/cmr.00109-13&lt;/electronic-resource-num&gt;&lt;volume&gt;27&lt;/volume&gt;&lt;/record&gt;&lt;/Cite&gt;&lt;/EndNote&gt;</w:instrText>
      </w:r>
      <w:r w:rsidRPr="00761985">
        <w:rPr>
          <w:rFonts w:ascii="Times New Roman" w:hAnsi="Times New Roman" w:cs="Times New Roman"/>
          <w:b/>
          <w:bCs/>
        </w:rPr>
        <w:fldChar w:fldCharType="separate"/>
      </w:r>
      <w:r w:rsidRPr="00761985">
        <w:rPr>
          <w:rFonts w:ascii="Times New Roman" w:hAnsi="Times New Roman" w:cs="Times New Roman"/>
          <w:b/>
          <w:bCs/>
          <w:noProof/>
        </w:rPr>
        <w:t>(Becker, Heilmann and Peters, 2014)</w:t>
      </w:r>
      <w:r w:rsidRPr="00761985">
        <w:rPr>
          <w:rFonts w:ascii="Times New Roman" w:hAnsi="Times New Roman" w:cs="Times New Roman"/>
          <w:b/>
          <w:bCs/>
        </w:rPr>
        <w:fldChar w:fldCharType="end"/>
      </w:r>
      <w:r>
        <w:rPr>
          <w:rFonts w:ascii="Times New Roman" w:hAnsi="Times New Roman" w:cs="Times New Roman"/>
        </w:rPr>
        <w:t xml:space="preserve">. Coagulase is an enzyme and virulence factor that promotes clotting by modulating the host clotting cascade and is useful for the establishment of infection </w:t>
      </w:r>
      <w:r w:rsidRPr="00D61834">
        <w:rPr>
          <w:rFonts w:ascii="Times New Roman" w:hAnsi="Times New Roman" w:cs="Times New Roman"/>
          <w:b/>
          <w:bCs/>
        </w:rPr>
        <w:fldChar w:fldCharType="begin">
          <w:fldData xml:space="preserve">PEVuZE5vdGU+PENpdGU+PEF1dGhvcj5DaGVuZzwvQXV0aG9yPjxZZWFyPjIwMTA8L1llYXI+PElE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</w:fldData>
        </w:fldChar>
      </w:r>
      <w:r w:rsidRPr="00D61834">
        <w:rPr>
          <w:rFonts w:ascii="Times New Roman" w:hAnsi="Times New Roman" w:cs="Times New Roman"/>
          <w:b/>
          <w:bCs/>
        </w:rPr>
        <w:instrText xml:space="preserve"> ADDIN EN.CITE </w:instrText>
      </w:r>
      <w:r w:rsidRPr="00D61834">
        <w:rPr>
          <w:rFonts w:ascii="Times New Roman" w:hAnsi="Times New Roman" w:cs="Times New Roman"/>
          <w:b/>
          <w:bCs/>
        </w:rPr>
        <w:fldChar w:fldCharType="begin">
          <w:fldData xml:space="preserve">PEVuZE5vdGU+PENpdGU+PEF1dGhvcj5DaGVuZzwvQXV0aG9yPjxZZWFyPjIwMTA8L1llYXI+PElE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</w:fldData>
        </w:fldChar>
      </w:r>
      <w:r w:rsidRPr="00D61834">
        <w:rPr>
          <w:rFonts w:ascii="Times New Roman" w:hAnsi="Times New Roman" w:cs="Times New Roman"/>
          <w:b/>
          <w:bCs/>
        </w:rPr>
        <w:instrText xml:space="preserve"> ADDIN EN.CITE.DATA </w:instrText>
      </w:r>
      <w:r w:rsidRPr="00D61834">
        <w:rPr>
          <w:rFonts w:ascii="Times New Roman" w:hAnsi="Times New Roman" w:cs="Times New Roman"/>
          <w:b/>
          <w:bCs/>
        </w:rPr>
      </w:r>
      <w:r w:rsidRPr="00D61834">
        <w:rPr>
          <w:rFonts w:ascii="Times New Roman" w:hAnsi="Times New Roman" w:cs="Times New Roman"/>
          <w:b/>
          <w:bCs/>
        </w:rPr>
        <w:fldChar w:fldCharType="end"/>
      </w:r>
      <w:r w:rsidRPr="00D61834">
        <w:rPr>
          <w:rFonts w:ascii="Times New Roman" w:hAnsi="Times New Roman" w:cs="Times New Roman"/>
          <w:b/>
          <w:bCs/>
        </w:rPr>
      </w:r>
      <w:r w:rsidRPr="00D61834">
        <w:rPr>
          <w:rFonts w:ascii="Times New Roman" w:hAnsi="Times New Roman" w:cs="Times New Roman"/>
          <w:b/>
          <w:bCs/>
        </w:rPr>
        <w:fldChar w:fldCharType="separate"/>
      </w:r>
      <w:r w:rsidRPr="00D61834">
        <w:rPr>
          <w:rFonts w:ascii="Times New Roman" w:hAnsi="Times New Roman" w:cs="Times New Roman"/>
          <w:b/>
          <w:bCs/>
          <w:noProof/>
        </w:rPr>
        <w:t>(Cheng</w:t>
      </w:r>
      <w:r w:rsidRPr="00D61834">
        <w:rPr>
          <w:rFonts w:ascii="Times New Roman" w:hAnsi="Times New Roman" w:cs="Times New Roman"/>
          <w:b/>
          <w:bCs/>
          <w:i/>
          <w:noProof/>
        </w:rPr>
        <w:t xml:space="preserve"> et al.</w:t>
      </w:r>
      <w:r w:rsidRPr="00D61834">
        <w:rPr>
          <w:rFonts w:ascii="Times New Roman" w:hAnsi="Times New Roman" w:cs="Times New Roman"/>
          <w:b/>
          <w:bCs/>
          <w:noProof/>
        </w:rPr>
        <w:t>, 2010; McAdow, Missiakas and Schneewind, 2012)</w:t>
      </w:r>
      <w:r w:rsidRPr="00D61834">
        <w:rPr>
          <w:rFonts w:ascii="Times New Roman" w:hAnsi="Times New Roman" w:cs="Times New Roman"/>
          <w:b/>
          <w:bCs/>
        </w:rPr>
        <w:fldChar w:fldCharType="end"/>
      </w:r>
      <w:r>
        <w:rPr>
          <w:rFonts w:ascii="Times New Roman" w:hAnsi="Times New Roman" w:cs="Times New Roman"/>
        </w:rPr>
        <w:t xml:space="preserve">, and testing for coagulase is a common method of identifying </w:t>
      </w:r>
      <w:r>
        <w:rPr>
          <w:rFonts w:ascii="Times New Roman" w:hAnsi="Times New Roman" w:cs="Times New Roman"/>
          <w:i/>
          <w:iCs/>
        </w:rPr>
        <w:t xml:space="preserve">S. aureus </w:t>
      </w:r>
      <w:r>
        <w:rPr>
          <w:rFonts w:ascii="Times New Roman" w:hAnsi="Times New Roman" w:cs="Times New Roman"/>
        </w:rPr>
        <w:t xml:space="preserve">in the laboratory for differentiation from coagulase-negative staphylococci </w:t>
      </w:r>
      <w:r w:rsidRPr="00D42BEE">
        <w:rPr>
          <w:rFonts w:ascii="Times New Roman" w:hAnsi="Times New Roman" w:cs="Times New Roman"/>
          <w:b/>
          <w:bCs/>
        </w:rPr>
        <w:fldChar w:fldCharType="begin"/>
      </w:r>
      <w:r w:rsidRPr="00D42BEE">
        <w:rPr>
          <w:rFonts w:ascii="Times New Roman" w:hAnsi="Times New Roman" w:cs="Times New Roman"/>
          <w:b/>
          <w:bCs/>
        </w:rPr>
        <w:instrText xml:space="preserve"> ADDIN EN.CITE &lt;EndNote&gt;&lt;Cite&gt;&lt;Author&gt;Foster&lt;/Author&gt;&lt;Year&gt;1996&lt;/Year&gt;&lt;IDText&gt;Medical Microbiology, Chapter 12- Staphylococcus&lt;/IDText&gt;&lt;DisplayText&gt;(Foster, 1996)&lt;/DisplayText&gt;&lt;record&gt;&lt;titles&gt;&lt;title&gt;Medical Microbiology, Chapter 12- Staphylococcus&lt;/title&gt;&lt;/titles&gt;&lt;contributors&gt;&lt;authors&gt;&lt;author&gt;Foster, Timothy&lt;/author&gt;&lt;/authors&gt;&lt;/contributors&gt;&lt;edition&gt;4th Edition&lt;/edition&gt;&lt;added-date format="utc"&gt;1675302185&lt;/added-date&gt;&lt;pub-location&gt;University of Texas Medical Branch at Galveston&lt;/pub-location&gt;&lt;ref-type name="Book"&gt;6&lt;/ref-type&gt;&lt;dates&gt;&lt;year&gt;1996&lt;/year&gt;&lt;/dates&gt;&lt;rec-number&gt;306&lt;/rec-number&gt;&lt;last-updated-date format="utc"&gt;1675302326&lt;/last-updated-date&gt;&lt;/record&gt;&lt;/Cite&gt;&lt;/EndNote&gt;</w:instrText>
      </w:r>
      <w:r w:rsidRPr="00D42BEE">
        <w:rPr>
          <w:rFonts w:ascii="Times New Roman" w:hAnsi="Times New Roman" w:cs="Times New Roman"/>
          <w:b/>
          <w:bCs/>
        </w:rPr>
        <w:fldChar w:fldCharType="separate"/>
      </w:r>
      <w:r w:rsidRPr="00D42BEE">
        <w:rPr>
          <w:rFonts w:ascii="Times New Roman" w:hAnsi="Times New Roman" w:cs="Times New Roman"/>
          <w:b/>
          <w:bCs/>
          <w:noProof/>
        </w:rPr>
        <w:t>(Foster, 1996)</w:t>
      </w:r>
      <w:r w:rsidRPr="00D42BEE">
        <w:rPr>
          <w:rFonts w:ascii="Times New Roman" w:hAnsi="Times New Roman" w:cs="Times New Roman"/>
          <w:b/>
          <w:bCs/>
        </w:rPr>
        <w:fldChar w:fldCharType="end"/>
      </w:r>
      <w:r>
        <w:rPr>
          <w:rFonts w:ascii="Times New Roman" w:hAnsi="Times New Roman" w:cs="Times New Roman"/>
        </w:rPr>
        <w:t xml:space="preserve">. </w:t>
      </w:r>
    </w:p>
    <w:p w14:paraId="0C0704D9" w14:textId="77777777" w:rsidR="00033564" w:rsidRDefault="00033564" w:rsidP="00033564">
      <w:pPr>
        <w:spacing w:line="360" w:lineRule="auto"/>
        <w:ind w:firstLine="720"/>
        <w:jc w:val="both"/>
        <w:rPr>
          <w:rFonts w:ascii="Times New Roman" w:hAnsi="Times New Roman" w:cs="Times New Roman"/>
        </w:rPr>
      </w:pPr>
      <w:r>
        <w:rPr>
          <w:rFonts w:ascii="Times New Roman" w:hAnsi="Times New Roman" w:cs="Times New Roman"/>
        </w:rPr>
        <w:t>Based on a comparative analyses of different staphylococcal genomes, t</w:t>
      </w:r>
      <w:r w:rsidRPr="002541E9">
        <w:rPr>
          <w:rFonts w:ascii="Times New Roman" w:hAnsi="Times New Roman" w:cs="Times New Roman"/>
        </w:rPr>
        <w:t xml:space="preserve">he </w:t>
      </w:r>
      <w:r w:rsidRPr="002541E9">
        <w:rPr>
          <w:rFonts w:ascii="Times New Roman" w:hAnsi="Times New Roman" w:cs="Times New Roman"/>
          <w:i/>
          <w:iCs/>
        </w:rPr>
        <w:t xml:space="preserve">S. aureus </w:t>
      </w:r>
      <w:r>
        <w:rPr>
          <w:rFonts w:ascii="Times New Roman" w:hAnsi="Times New Roman" w:cs="Times New Roman"/>
        </w:rPr>
        <w:t xml:space="preserve">genome </w:t>
      </w:r>
      <w:r w:rsidRPr="002541E9">
        <w:rPr>
          <w:rFonts w:ascii="Times New Roman" w:hAnsi="Times New Roman" w:cs="Times New Roman"/>
        </w:rPr>
        <w:t>consists of a</w:t>
      </w:r>
      <w:r>
        <w:rPr>
          <w:rFonts w:ascii="Times New Roman" w:hAnsi="Times New Roman" w:cs="Times New Roman"/>
        </w:rPr>
        <w:t xml:space="preserve">n approximately </w:t>
      </w:r>
      <w:r w:rsidRPr="002541E9">
        <w:rPr>
          <w:rFonts w:ascii="Times New Roman" w:hAnsi="Times New Roman" w:cs="Times New Roman"/>
        </w:rPr>
        <w:t>2.8 Mbp circular chromosome with low G</w:t>
      </w:r>
      <w:r>
        <w:rPr>
          <w:rFonts w:ascii="Times New Roman" w:hAnsi="Times New Roman" w:cs="Times New Roman"/>
        </w:rPr>
        <w:t>+</w:t>
      </w:r>
      <w:r w:rsidRPr="002541E9">
        <w:rPr>
          <w:rFonts w:ascii="Times New Roman" w:hAnsi="Times New Roman" w:cs="Times New Roman"/>
        </w:rPr>
        <w:t>C</w:t>
      </w:r>
      <w:r>
        <w:rPr>
          <w:rFonts w:ascii="Times New Roman" w:hAnsi="Times New Roman" w:cs="Times New Roman"/>
        </w:rPr>
        <w:t xml:space="preserve"> </w:t>
      </w:r>
      <w:r w:rsidRPr="002541E9">
        <w:rPr>
          <w:rFonts w:ascii="Times New Roman" w:hAnsi="Times New Roman" w:cs="Times New Roman"/>
        </w:rPr>
        <w:t>content of around 32%</w:t>
      </w:r>
      <w:r>
        <w:rPr>
          <w:rFonts w:ascii="Times New Roman" w:hAnsi="Times New Roman" w:cs="Times New Roman"/>
        </w:rPr>
        <w:t xml:space="preserve"> </w:t>
      </w:r>
      <w:r w:rsidRPr="00155F3E">
        <w:rPr>
          <w:rFonts w:ascii="Times New Roman" w:hAnsi="Times New Roman" w:cs="Times New Roman"/>
          <w:b/>
          <w:bCs/>
        </w:rPr>
        <w:fldChar w:fldCharType="begin"/>
      </w:r>
      <w:r w:rsidRPr="00155F3E">
        <w:rPr>
          <w:rFonts w:ascii="Times New Roman" w:hAnsi="Times New Roman" w:cs="Times New Roman"/>
          <w:b/>
          <w:bCs/>
        </w:rPr>
        <w:instrText xml:space="preserve"> ADDIN EN.CITE &lt;EndNote&gt;&lt;Cite&gt;&lt;Author&gt;Baba&lt;/Author&gt;&lt;Year&gt;2008&lt;/Year&gt;&lt;IDText&gt;Genome sequence of Staphylococcus aureus strain newman and comparative analysis of staphylococcal genomes: Polymorphism and evolution of two major pathogenicity islands&lt;/IDText&gt;&lt;DisplayText&gt;(Baba&lt;style face="italic"&gt; et al.&lt;/style&gt;, 2008)&lt;/DisplayText&gt;&lt;record&gt;&lt;dates&gt;&lt;pub-dates&gt;&lt;date&gt;Jan&lt;/date&gt;&lt;/pub-dates&gt;&lt;year&gt;2008&lt;/year&gt;&lt;/dates&gt;&lt;urls&gt;&lt;related-urls&gt;&lt;url&gt;&amp;lt;Go to ISI&amp;gt;://WOS:000252080400028&lt;/url&gt;&lt;/related-urls&gt;&lt;/urls&gt;&lt;isbn&gt;0021-9193&lt;/isbn&gt;&lt;titles&gt;&lt;title&gt;Genome sequence of Staphylococcus aureus strain newman and comparative analysis of staphylococcal genomes: Polymorphism and evolution of two major pathogenicity islands&lt;/title&gt;&lt;secondary-title&gt;Journal of Bacteriology&lt;/secondary-title&gt;&lt;/titles&gt;&lt;pages&gt;300-310&lt;/pages&gt;&lt;number&gt;1&lt;/number&gt;&lt;contributors&gt;&lt;authors&gt;&lt;author&gt;Baba, Tadashi&lt;/author&gt;&lt;author&gt;Bae, Taeok&lt;/author&gt;&lt;author&gt;Schneewind, Olaf&lt;/author&gt;&lt;author&gt;Takeuchi, Fumihiko&lt;/author&gt;&lt;author&gt;Hiramatsu, Keiichi&lt;/author&gt;&lt;/authors&gt;&lt;/contributors&gt;&lt;added-date format="utc"&gt;1663620928&lt;/added-date&gt;&lt;ref-type name="Journal Article"&gt;17&lt;/ref-type&gt;&lt;rec-number&gt;103&lt;/rec-number&gt;&lt;last-updated-date format="utc"&gt;1663624413&lt;/last-updated-date&gt;&lt;accession-num&gt;WOS:000252080400028&lt;/accession-num&gt;&lt;electronic-resource-num&gt;10.1128/jb.01000-07&lt;/electronic-resource-num&gt;&lt;volume&gt;190&lt;/volume&gt;&lt;/record&gt;&lt;/Cite&gt;&lt;/EndNote&gt;</w:instrText>
      </w:r>
      <w:r w:rsidRPr="00155F3E">
        <w:rPr>
          <w:rFonts w:ascii="Times New Roman" w:hAnsi="Times New Roman" w:cs="Times New Roman"/>
          <w:b/>
          <w:bCs/>
        </w:rPr>
        <w:fldChar w:fldCharType="separate"/>
      </w:r>
      <w:r w:rsidRPr="00155F3E">
        <w:rPr>
          <w:rFonts w:ascii="Times New Roman" w:hAnsi="Times New Roman" w:cs="Times New Roman"/>
          <w:b/>
          <w:bCs/>
          <w:noProof/>
        </w:rPr>
        <w:t>(Baba</w:t>
      </w:r>
      <w:r w:rsidRPr="00155F3E">
        <w:rPr>
          <w:rFonts w:ascii="Times New Roman" w:hAnsi="Times New Roman" w:cs="Times New Roman"/>
          <w:b/>
          <w:bCs/>
          <w:i/>
          <w:noProof/>
        </w:rPr>
        <w:t xml:space="preserve"> et al.</w:t>
      </w:r>
      <w:r w:rsidRPr="00155F3E">
        <w:rPr>
          <w:rFonts w:ascii="Times New Roman" w:hAnsi="Times New Roman" w:cs="Times New Roman"/>
          <w:b/>
          <w:bCs/>
          <w:noProof/>
        </w:rPr>
        <w:t>, 2008)</w:t>
      </w:r>
      <w:r w:rsidRPr="00155F3E">
        <w:rPr>
          <w:rFonts w:ascii="Times New Roman" w:hAnsi="Times New Roman" w:cs="Times New Roman"/>
          <w:b/>
          <w:bCs/>
        </w:rPr>
        <w:fldChar w:fldCharType="end"/>
      </w:r>
      <w:r w:rsidRPr="002541E9">
        <w:rPr>
          <w:rFonts w:ascii="Times New Roman" w:hAnsi="Times New Roman" w:cs="Times New Roman"/>
        </w:rPr>
        <w:t>.</w:t>
      </w:r>
      <w:r>
        <w:rPr>
          <w:rFonts w:ascii="Times New Roman" w:hAnsi="Times New Roman" w:cs="Times New Roman"/>
        </w:rPr>
        <w:t xml:space="preserve"> </w:t>
      </w:r>
      <w:r w:rsidRPr="002541E9">
        <w:rPr>
          <w:rFonts w:ascii="Times New Roman" w:hAnsi="Times New Roman" w:cs="Times New Roman"/>
        </w:rPr>
        <w:t xml:space="preserve"> </w:t>
      </w:r>
      <w:r>
        <w:rPr>
          <w:rFonts w:ascii="Times New Roman" w:hAnsi="Times New Roman" w:cs="Times New Roman"/>
        </w:rPr>
        <w:t>While most</w:t>
      </w:r>
      <w:r w:rsidRPr="002541E9">
        <w:rPr>
          <w:rFonts w:ascii="Times New Roman" w:hAnsi="Times New Roman" w:cs="Times New Roman"/>
        </w:rPr>
        <w:t xml:space="preserve"> of the </w:t>
      </w:r>
      <w:r w:rsidRPr="002541E9">
        <w:rPr>
          <w:rFonts w:ascii="Times New Roman" w:hAnsi="Times New Roman" w:cs="Times New Roman"/>
          <w:i/>
          <w:iCs/>
        </w:rPr>
        <w:t>S. aureus</w:t>
      </w:r>
      <w:r w:rsidRPr="002541E9">
        <w:rPr>
          <w:rFonts w:ascii="Times New Roman" w:hAnsi="Times New Roman" w:cs="Times New Roman"/>
        </w:rPr>
        <w:t xml:space="preserve"> genome is well conserved</w:t>
      </w:r>
      <w:r>
        <w:rPr>
          <w:rFonts w:ascii="Times New Roman" w:hAnsi="Times New Roman" w:cs="Times New Roman"/>
        </w:rPr>
        <w:t>,</w:t>
      </w:r>
      <w:r w:rsidRPr="002541E9">
        <w:rPr>
          <w:rFonts w:ascii="Times New Roman" w:hAnsi="Times New Roman" w:cs="Times New Roman"/>
        </w:rPr>
        <w:t xml:space="preserve"> particular sequences can be highly variable</w:t>
      </w:r>
      <w:r>
        <w:rPr>
          <w:rFonts w:ascii="Times New Roman" w:hAnsi="Times New Roman" w:cs="Times New Roman"/>
        </w:rPr>
        <w:t xml:space="preserve"> which is </w:t>
      </w:r>
      <w:r w:rsidRPr="002541E9">
        <w:rPr>
          <w:rFonts w:ascii="Times New Roman" w:hAnsi="Times New Roman" w:cs="Times New Roman"/>
        </w:rPr>
        <w:t>most likely due to horizontal gene transfer</w:t>
      </w:r>
      <w:r>
        <w:rPr>
          <w:rFonts w:ascii="Times New Roman" w:hAnsi="Times New Roman" w:cs="Times New Roman"/>
        </w:rPr>
        <w:t xml:space="preserve"> </w:t>
      </w:r>
      <w:r w:rsidRPr="00155F3E">
        <w:rPr>
          <w:rFonts w:ascii="Times New Roman" w:hAnsi="Times New Roman" w:cs="Times New Roman"/>
          <w:b/>
          <w:bCs/>
        </w:rPr>
        <w:fldChar w:fldCharType="begin"/>
      </w:r>
      <w:r w:rsidRPr="00155F3E">
        <w:rPr>
          <w:rFonts w:ascii="Times New Roman" w:hAnsi="Times New Roman" w:cs="Times New Roman"/>
          <w:b/>
          <w:bCs/>
        </w:rPr>
        <w:instrText xml:space="preserve"> ADDIN EN.CITE &lt;EndNote&gt;&lt;Cite&gt;&lt;Author&gt;Baba&lt;/Author&gt;&lt;Year&gt;2008&lt;/Year&gt;&lt;IDText&gt;Genome sequence of Staphylococcus aureus strain newman and comparative analysis of staphylococcal genomes: Polymorphism and evolution of two major pathogenicity islands&lt;/IDText&gt;&lt;DisplayText&gt;(Baba&lt;style face="italic"&gt; et al.&lt;/style&gt;, 2008)&lt;/DisplayText&gt;&lt;record&gt;&lt;dates&gt;&lt;pub-dates&gt;&lt;date&gt;Jan&lt;/date&gt;&lt;/pub-dates&gt;&lt;year&gt;2008&lt;/year&gt;&lt;/dates&gt;&lt;urls&gt;&lt;related-urls&gt;&lt;url&gt;&amp;lt;Go to ISI&amp;gt;://WOS:000252080400028&lt;/url&gt;&lt;/related-urls&gt;&lt;/urls&gt;&lt;isbn&gt;0021-9193&lt;/isbn&gt;&lt;titles&gt;&lt;title&gt;Genome sequence of Staphylococcus aureus strain newman and comparative analysis of staphylococcal genomes: Polymorphism and evolution of two major pathogenicity islands&lt;/title&gt;&lt;secondary-title&gt;Journal of Bacteriology&lt;/secondary-title&gt;&lt;/titles&gt;&lt;pages&gt;300-310&lt;/pages&gt;&lt;number&gt;1&lt;/number&gt;&lt;contributors&gt;&lt;authors&gt;&lt;author&gt;Baba, Tadashi&lt;/author&gt;&lt;author&gt;Bae, Taeok&lt;/author&gt;&lt;author&gt;Schneewind, Olaf&lt;/author&gt;&lt;author&gt;Takeuchi, Fumihiko&lt;/author&gt;&lt;author&gt;Hiramatsu, Keiichi&lt;/author&gt;&lt;/authors&gt;&lt;/contributors&gt;&lt;added-date format="utc"&gt;1663620928&lt;/added-date&gt;&lt;ref-type name="Journal Article"&gt;17&lt;/ref-type&gt;&lt;rec-number&gt;103&lt;/rec-number&gt;&lt;last-updated-date format="utc"&gt;1663624413&lt;/last-updated-date&gt;&lt;accession-num&gt;WOS:000252080400028&lt;/accession-num&gt;&lt;electronic-resource-num&gt;10.1128/jb.01000-07&lt;/electronic-resource-num&gt;&lt;volume&gt;190&lt;/volume&gt;&lt;/record&gt;&lt;/Cite&gt;&lt;/EndNote&gt;</w:instrText>
      </w:r>
      <w:r w:rsidRPr="00155F3E">
        <w:rPr>
          <w:rFonts w:ascii="Times New Roman" w:hAnsi="Times New Roman" w:cs="Times New Roman"/>
          <w:b/>
          <w:bCs/>
        </w:rPr>
        <w:fldChar w:fldCharType="separate"/>
      </w:r>
      <w:r w:rsidRPr="00155F3E">
        <w:rPr>
          <w:rFonts w:ascii="Times New Roman" w:hAnsi="Times New Roman" w:cs="Times New Roman"/>
          <w:b/>
          <w:bCs/>
          <w:noProof/>
        </w:rPr>
        <w:t>(Baba</w:t>
      </w:r>
      <w:r w:rsidRPr="00155F3E">
        <w:rPr>
          <w:rFonts w:ascii="Times New Roman" w:hAnsi="Times New Roman" w:cs="Times New Roman"/>
          <w:b/>
          <w:bCs/>
          <w:i/>
          <w:noProof/>
        </w:rPr>
        <w:t xml:space="preserve"> et al.</w:t>
      </w:r>
      <w:r w:rsidRPr="00155F3E">
        <w:rPr>
          <w:rFonts w:ascii="Times New Roman" w:hAnsi="Times New Roman" w:cs="Times New Roman"/>
          <w:b/>
          <w:bCs/>
          <w:noProof/>
        </w:rPr>
        <w:t>, 2008)</w:t>
      </w:r>
      <w:r w:rsidRPr="00155F3E">
        <w:rPr>
          <w:rFonts w:ascii="Times New Roman" w:hAnsi="Times New Roman" w:cs="Times New Roman"/>
          <w:b/>
          <w:bCs/>
        </w:rPr>
        <w:fldChar w:fldCharType="end"/>
      </w:r>
      <w:r w:rsidRPr="002541E9">
        <w:rPr>
          <w:rFonts w:ascii="Times New Roman" w:hAnsi="Times New Roman" w:cs="Times New Roman"/>
        </w:rPr>
        <w:t xml:space="preserve">. Varying mobile genetic elements (MGE) are also present including plasmids, transposons and pathogenicity islands, with many of these encoding for antibiotic resistance and virulence factors </w:t>
      </w:r>
      <w:r w:rsidRPr="00155F3E">
        <w:rPr>
          <w:rFonts w:ascii="Times New Roman" w:hAnsi="Times New Roman" w:cs="Times New Roman"/>
          <w:b/>
          <w:bCs/>
        </w:rPr>
        <w:fldChar w:fldCharType="begin">
          <w:fldData xml:space="preserve">PEVuZE5vdGU+PENpdGU+PEF1dGhvcj5NYWxhY2hvd2E8L0F1dGhvcj48WWVhcj4yMDEwPC9ZZWFy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</w:fldData>
        </w:fldChar>
      </w:r>
      <w:r w:rsidRPr="00155F3E">
        <w:rPr>
          <w:rFonts w:ascii="Times New Roman" w:hAnsi="Times New Roman" w:cs="Times New Roman"/>
          <w:b/>
          <w:bCs/>
        </w:rPr>
        <w:instrText xml:space="preserve"> ADDIN EN.CITE </w:instrText>
      </w:r>
      <w:r w:rsidRPr="00155F3E">
        <w:rPr>
          <w:rFonts w:ascii="Times New Roman" w:hAnsi="Times New Roman" w:cs="Times New Roman"/>
          <w:b/>
          <w:bCs/>
        </w:rPr>
        <w:fldChar w:fldCharType="begin">
          <w:fldData xml:space="preserve">PEVuZE5vdGU+PENpdGU+PEF1dGhvcj5NYWxhY2hvd2E8L0F1dGhvcj48WWVhcj4yMDEwPC9ZZWFy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</w:fldData>
        </w:fldChar>
      </w:r>
      <w:r w:rsidRPr="00155F3E">
        <w:rPr>
          <w:rFonts w:ascii="Times New Roman" w:hAnsi="Times New Roman" w:cs="Times New Roman"/>
          <w:b/>
          <w:bCs/>
        </w:rPr>
        <w:instrText xml:space="preserve"> ADDIN EN.CITE.DATA </w:instrText>
      </w:r>
      <w:r w:rsidRPr="00155F3E">
        <w:rPr>
          <w:rFonts w:ascii="Times New Roman" w:hAnsi="Times New Roman" w:cs="Times New Roman"/>
          <w:b/>
          <w:bCs/>
        </w:rPr>
      </w:r>
      <w:r w:rsidRPr="00155F3E">
        <w:rPr>
          <w:rFonts w:ascii="Times New Roman" w:hAnsi="Times New Roman" w:cs="Times New Roman"/>
          <w:b/>
          <w:bCs/>
        </w:rPr>
        <w:fldChar w:fldCharType="end"/>
      </w:r>
      <w:r w:rsidRPr="00155F3E">
        <w:rPr>
          <w:rFonts w:ascii="Times New Roman" w:hAnsi="Times New Roman" w:cs="Times New Roman"/>
          <w:b/>
          <w:bCs/>
        </w:rPr>
      </w:r>
      <w:r w:rsidRPr="00155F3E">
        <w:rPr>
          <w:rFonts w:ascii="Times New Roman" w:hAnsi="Times New Roman" w:cs="Times New Roman"/>
          <w:b/>
          <w:bCs/>
        </w:rPr>
        <w:fldChar w:fldCharType="separate"/>
      </w:r>
      <w:r w:rsidRPr="00155F3E">
        <w:rPr>
          <w:rFonts w:ascii="Times New Roman" w:hAnsi="Times New Roman" w:cs="Times New Roman"/>
          <w:b/>
          <w:bCs/>
          <w:noProof/>
        </w:rPr>
        <w:t>(Malachowa and DeLeo, 2010; Mlynarczyk, Mlynarczyk and Jeljaszewicz, 1998)</w:t>
      </w:r>
      <w:r w:rsidRPr="00155F3E">
        <w:rPr>
          <w:rFonts w:ascii="Times New Roman" w:hAnsi="Times New Roman" w:cs="Times New Roman"/>
          <w:b/>
          <w:bCs/>
        </w:rPr>
        <w:fldChar w:fldCharType="end"/>
      </w:r>
      <w:r w:rsidRPr="002541E9">
        <w:rPr>
          <w:rFonts w:ascii="Times New Roman" w:hAnsi="Times New Roman" w:cs="Times New Roman"/>
        </w:rPr>
        <w:t>.</w:t>
      </w:r>
    </w:p>
    <w:p w14:paraId="0451C018" w14:textId="77777777" w:rsidR="00033564" w:rsidRPr="00877818" w:rsidRDefault="00033564" w:rsidP="00033564">
      <w:pPr>
        <w:pStyle w:val="Heading3"/>
        <w:rPr>
          <w:i/>
          <w:iCs/>
        </w:rPr>
      </w:pPr>
      <w:bookmarkStart w:id="15" w:name="_Toc142043567"/>
      <w:r>
        <w:t xml:space="preserve">1.1.1. </w:t>
      </w:r>
      <w:r w:rsidRPr="00325BD0">
        <w:t xml:space="preserve">Epidemiology </w:t>
      </w:r>
      <w:r>
        <w:t xml:space="preserve">of </w:t>
      </w:r>
      <w:r>
        <w:rPr>
          <w:i/>
          <w:iCs/>
        </w:rPr>
        <w:t>S. aureus</w:t>
      </w:r>
      <w:bookmarkEnd w:id="15"/>
    </w:p>
    <w:p w14:paraId="4F43023A" w14:textId="77777777" w:rsidR="00033564" w:rsidRDefault="00033564" w:rsidP="00033564">
      <w:pPr>
        <w:spacing w:line="360" w:lineRule="auto"/>
        <w:ind w:firstLine="720"/>
        <w:jc w:val="both"/>
        <w:rPr>
          <w:rFonts w:ascii="Times New Roman" w:hAnsi="Times New Roman" w:cs="Times New Roman"/>
          <w:i/>
          <w:iCs/>
        </w:rPr>
      </w:pPr>
    </w:p>
    <w:p w14:paraId="58B95D09" w14:textId="3110B7AD" w:rsidR="00033564" w:rsidRPr="00877818" w:rsidRDefault="00033564" w:rsidP="00033564">
      <w:pPr>
        <w:spacing w:line="360" w:lineRule="auto"/>
        <w:ind w:firstLine="720"/>
        <w:jc w:val="both"/>
        <w:rPr>
          <w:rFonts w:ascii="Times New Roman" w:hAnsi="Times New Roman" w:cs="Times New Roman"/>
        </w:rPr>
      </w:pPr>
      <w:r w:rsidRPr="002541E9">
        <w:rPr>
          <w:rFonts w:ascii="Times New Roman" w:hAnsi="Times New Roman" w:cs="Times New Roman"/>
          <w:i/>
          <w:iCs/>
        </w:rPr>
        <w:t>S. aureus</w:t>
      </w:r>
      <w:r w:rsidRPr="002541E9">
        <w:rPr>
          <w:rFonts w:ascii="Times New Roman" w:hAnsi="Times New Roman" w:cs="Times New Roman"/>
        </w:rPr>
        <w:t xml:space="preserve"> is</w:t>
      </w:r>
      <w:r w:rsidRPr="002541E9">
        <w:rPr>
          <w:rFonts w:ascii="Times New Roman" w:hAnsi="Times New Roman" w:cs="Times New Roman"/>
          <w:i/>
          <w:iCs/>
        </w:rPr>
        <w:t xml:space="preserve"> </w:t>
      </w:r>
      <w:r w:rsidRPr="002541E9">
        <w:rPr>
          <w:rFonts w:ascii="Times New Roman" w:hAnsi="Times New Roman" w:cs="Times New Roman"/>
        </w:rPr>
        <w:t xml:space="preserve">a human commensal organism colonising many niches including the skin and mucosal membranes such as the anterior nares and upper respiratory tract. </w:t>
      </w:r>
      <w:r>
        <w:rPr>
          <w:rFonts w:ascii="Times New Roman" w:hAnsi="Times New Roman" w:cs="Times New Roman"/>
        </w:rPr>
        <w:t xml:space="preserve">It was first isolated in 1880 from an abscess produced by a surgical wound infection </w:t>
      </w:r>
      <w:r w:rsidRPr="00E3755F">
        <w:rPr>
          <w:rFonts w:ascii="Times New Roman" w:hAnsi="Times New Roman" w:cs="Times New Roman"/>
          <w:b/>
          <w:bCs/>
        </w:rPr>
        <w:fldChar w:fldCharType="begin"/>
      </w:r>
      <w:r w:rsidRPr="00E3755F">
        <w:rPr>
          <w:rFonts w:ascii="Times New Roman" w:hAnsi="Times New Roman" w:cs="Times New Roman"/>
          <w:b/>
          <w:bCs/>
        </w:rPr>
        <w:instrText xml:space="preserve"> ADDIN EN.CITE &lt;EndNote&gt;&lt;Cite&gt;&lt;Author&gt;Ogston&lt;/Author&gt;&lt;Year&gt;1880&lt;/Year&gt;&lt;IDText&gt;Report upon micro-organisms in surgical diseases.&lt;/IDText&gt;&lt;DisplayText&gt;(Ogston, 1880)&lt;/DisplayText&gt;&lt;record&gt;&lt;titles&gt;&lt;title&gt;Report upon micro-organisms in surgical diseases.&lt;/title&gt;&lt;secondary-title&gt;British Medical Journal&lt;/secondary-title&gt;&lt;/titles&gt;&lt;pages&gt;369-375&lt;/pages&gt;&lt;contributors&gt;&lt;authors&gt;&lt;author&gt;Ogston, Alexander&lt;/author&gt;&lt;/authors&gt;&lt;/contributors&gt;&lt;added-date format="utc"&gt;1675344008&lt;/added-date&gt;&lt;ref-type name="Journal Article"&gt;17&lt;/ref-type&gt;&lt;dates&gt;&lt;year&gt;1880&lt;/year&gt;&lt;/dates&gt;&lt;rec-number&gt;308&lt;/rec-number&gt;&lt;last-updated-date format="utc"&gt;1675344548&lt;/last-updated-date&gt;&lt;volume&gt;1&lt;/volume&gt;&lt;/record&gt;&lt;/Cite&gt;&lt;/EndNote&gt;</w:instrText>
      </w:r>
      <w:r w:rsidRPr="00E3755F">
        <w:rPr>
          <w:rFonts w:ascii="Times New Roman" w:hAnsi="Times New Roman" w:cs="Times New Roman"/>
          <w:b/>
          <w:bCs/>
        </w:rPr>
        <w:fldChar w:fldCharType="separate"/>
      </w:r>
      <w:r w:rsidRPr="00E3755F">
        <w:rPr>
          <w:rFonts w:ascii="Times New Roman" w:hAnsi="Times New Roman" w:cs="Times New Roman"/>
          <w:b/>
          <w:bCs/>
          <w:noProof/>
        </w:rPr>
        <w:t>(Ogston, 1880)</w:t>
      </w:r>
      <w:r w:rsidRPr="00E3755F">
        <w:rPr>
          <w:rFonts w:ascii="Times New Roman" w:hAnsi="Times New Roman" w:cs="Times New Roman"/>
          <w:b/>
          <w:bCs/>
        </w:rPr>
        <w:fldChar w:fldCharType="end"/>
      </w:r>
      <w:r>
        <w:rPr>
          <w:rFonts w:ascii="Times New Roman" w:hAnsi="Times New Roman" w:cs="Times New Roman"/>
        </w:rPr>
        <w:t xml:space="preserve">. </w:t>
      </w:r>
      <w:r w:rsidRPr="002541E9">
        <w:rPr>
          <w:rFonts w:ascii="Times New Roman" w:hAnsi="Times New Roman" w:cs="Times New Roman"/>
        </w:rPr>
        <w:t xml:space="preserve">The ubiquity of </w:t>
      </w:r>
      <w:r w:rsidRPr="002541E9">
        <w:rPr>
          <w:rFonts w:ascii="Times New Roman" w:hAnsi="Times New Roman" w:cs="Times New Roman"/>
          <w:i/>
          <w:iCs/>
        </w:rPr>
        <w:t xml:space="preserve">S. aureus </w:t>
      </w:r>
      <w:r w:rsidRPr="002541E9">
        <w:rPr>
          <w:rFonts w:ascii="Times New Roman" w:hAnsi="Times New Roman" w:cs="Times New Roman"/>
        </w:rPr>
        <w:t xml:space="preserve">highlights its ability to survive in </w:t>
      </w:r>
      <w:r>
        <w:rPr>
          <w:rFonts w:ascii="Times New Roman" w:hAnsi="Times New Roman" w:cs="Times New Roman"/>
        </w:rPr>
        <w:t xml:space="preserve">diverse </w:t>
      </w:r>
      <w:r w:rsidRPr="002541E9">
        <w:rPr>
          <w:rFonts w:ascii="Times New Roman" w:hAnsi="Times New Roman" w:cs="Times New Roman"/>
        </w:rPr>
        <w:t xml:space="preserve">environments. Approximately 20-30% of the human population carry </w:t>
      </w:r>
      <w:r w:rsidRPr="002541E9">
        <w:rPr>
          <w:rFonts w:ascii="Times New Roman" w:hAnsi="Times New Roman" w:cs="Times New Roman"/>
          <w:i/>
          <w:iCs/>
        </w:rPr>
        <w:t xml:space="preserve">S. aureus </w:t>
      </w:r>
      <w:r w:rsidRPr="002541E9">
        <w:rPr>
          <w:rFonts w:ascii="Times New Roman" w:hAnsi="Times New Roman" w:cs="Times New Roman"/>
        </w:rPr>
        <w:t xml:space="preserve">in the nares </w:t>
      </w:r>
      <w:r>
        <w:rPr>
          <w:rFonts w:ascii="Times New Roman" w:hAnsi="Times New Roman" w:cs="Times New Roman"/>
        </w:rPr>
        <w:t xml:space="preserve">and 5% on the skin </w:t>
      </w:r>
      <w:r w:rsidRPr="00FA643E">
        <w:rPr>
          <w:rFonts w:ascii="Times New Roman" w:hAnsi="Times New Roman" w:cs="Times New Roman"/>
          <w:b/>
          <w:bCs/>
        </w:rPr>
        <w:fldChar w:fldCharType="begin"/>
      </w:r>
      <w:r w:rsidRPr="00FA643E">
        <w:rPr>
          <w:rFonts w:ascii="Times New Roman" w:hAnsi="Times New Roman" w:cs="Times New Roman"/>
          <w:b/>
          <w:bCs/>
        </w:rPr>
        <w:instrText xml:space="preserve"> ADDIN EN.CITE &lt;EndNote&gt;&lt;Cite&gt;&lt;Author&gt;Tong&lt;/Author&gt;&lt;Year&gt;2015&lt;/Year&gt;&lt;IDText&gt;Staphylococcus aureus Infections: Epidemiology, Pathophysiology, Clinical Manifestations, and Management&lt;/IDText&gt;&lt;DisplayText&gt;(Tong&lt;style face="italic"&gt; et al.&lt;/style&gt;, 2015)&lt;/DisplayText&gt;&lt;record&gt;&lt;dates&gt;&lt;pub-dates&gt;&lt;date&gt;Jul&lt;/date&gt;&lt;/pub-dates&gt;&lt;year&gt;2015&lt;/year&gt;&lt;/dates&gt;&lt;urls&gt;&lt;related-urls&gt;&lt;url&gt;&amp;lt;Go to ISI&amp;gt;://WOS:000360495000004&lt;/url&gt;&lt;/related-urls&gt;&lt;/urls&gt;&lt;isbn&gt;0893-8512&lt;/isbn&gt;&lt;work-type&gt;Review&lt;/work-type&gt;&lt;titles&gt;&lt;title&gt;Staphylococcus aureus Infections: Epidemiology, Pathophysiology, Clinical Manifestations, and Management&lt;/title&gt;&lt;secondary-title&gt;Clinical Microbiology Reviews&lt;/secondary-title&gt;&lt;/titles&gt;&lt;pages&gt;603-661&lt;/pages&gt;&lt;number&gt;3&lt;/number&gt;&lt;contributors&gt;&lt;authors&gt;&lt;author&gt;Tong, Steven Y. C.&lt;/author&gt;&lt;author&gt;Davis, Joshua S.&lt;/author&gt;&lt;author&gt;Eichenberger, Emily&lt;/author&gt;&lt;author&gt;Holland, Thomas L.&lt;/author&gt;&lt;author&gt;Fowler, Vance G., Jr.&lt;/author&gt;&lt;/authors&gt;&lt;/contributors&gt;&lt;added-date format="utc"&gt;1676570350&lt;/added-date&gt;&lt;ref-type name="Journal Article"&gt;17&lt;/ref-type&gt;&lt;rec-number&gt;320&lt;/rec-number&gt;&lt;last-updated-date format="utc"&gt;1676570350&lt;/last-updated-date&gt;&lt;accession-num&gt;WOS:000360495000004&lt;/accession-num&gt;&lt;electronic-resource-num&gt;10.1128/cmr.00134-14&lt;/electronic-resource-num&gt;&lt;volume&gt;28&lt;/volume&gt;&lt;/record&gt;&lt;/Cite&gt;&lt;/EndNote&gt;</w:instrText>
      </w:r>
      <w:r w:rsidRPr="00FA643E">
        <w:rPr>
          <w:rFonts w:ascii="Times New Roman" w:hAnsi="Times New Roman" w:cs="Times New Roman"/>
          <w:b/>
          <w:bCs/>
        </w:rPr>
        <w:fldChar w:fldCharType="separate"/>
      </w:r>
      <w:r w:rsidRPr="00FA643E">
        <w:rPr>
          <w:rFonts w:ascii="Times New Roman" w:hAnsi="Times New Roman" w:cs="Times New Roman"/>
          <w:b/>
          <w:bCs/>
          <w:noProof/>
        </w:rPr>
        <w:t>(Tong</w:t>
      </w:r>
      <w:r w:rsidRPr="00FA643E">
        <w:rPr>
          <w:rFonts w:ascii="Times New Roman" w:hAnsi="Times New Roman" w:cs="Times New Roman"/>
          <w:b/>
          <w:bCs/>
          <w:i/>
          <w:noProof/>
        </w:rPr>
        <w:t xml:space="preserve"> et al.</w:t>
      </w:r>
      <w:r w:rsidRPr="00FA643E">
        <w:rPr>
          <w:rFonts w:ascii="Times New Roman" w:hAnsi="Times New Roman" w:cs="Times New Roman"/>
          <w:b/>
          <w:bCs/>
          <w:noProof/>
        </w:rPr>
        <w:t>, 2015)</w:t>
      </w:r>
      <w:r w:rsidRPr="00FA643E">
        <w:rPr>
          <w:rFonts w:ascii="Times New Roman" w:hAnsi="Times New Roman" w:cs="Times New Roman"/>
          <w:b/>
          <w:bCs/>
        </w:rPr>
        <w:fldChar w:fldCharType="end"/>
      </w:r>
      <w:r>
        <w:rPr>
          <w:rFonts w:ascii="Times New Roman" w:hAnsi="Times New Roman" w:cs="Times New Roman"/>
        </w:rPr>
        <w:t xml:space="preserve"> </w:t>
      </w:r>
      <w:r w:rsidRPr="002541E9">
        <w:rPr>
          <w:rFonts w:ascii="Times New Roman" w:hAnsi="Times New Roman" w:cs="Times New Roman"/>
        </w:rPr>
        <w:t>and persistent carriage increases the risk of developing infection</w:t>
      </w:r>
      <w:r>
        <w:rPr>
          <w:rFonts w:ascii="Times New Roman" w:hAnsi="Times New Roman" w:cs="Times New Roman"/>
        </w:rPr>
        <w:t xml:space="preserve"> </w:t>
      </w:r>
      <w:r w:rsidRPr="00160CB4">
        <w:rPr>
          <w:rFonts w:ascii="Times New Roman" w:hAnsi="Times New Roman" w:cs="Times New Roman"/>
          <w:b/>
          <w:bCs/>
        </w:rPr>
        <w:fldChar w:fldCharType="begin">
          <w:fldData xml:space="preserve">PEVuZE5vdGU+PENpdGU+PEF1dGhvcj5XZXJ0aGVpbTwvQXV0aG9yPjxZZWFyPjIwMDU8L1llYXI+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</w:fldData>
        </w:fldChar>
      </w:r>
      <w:r w:rsidRPr="00160CB4">
        <w:rPr>
          <w:rFonts w:ascii="Times New Roman" w:hAnsi="Times New Roman" w:cs="Times New Roman"/>
          <w:b/>
          <w:bCs/>
        </w:rPr>
        <w:instrText xml:space="preserve"> ADDIN EN.CITE </w:instrText>
      </w:r>
      <w:r w:rsidRPr="00160CB4">
        <w:rPr>
          <w:rFonts w:ascii="Times New Roman" w:hAnsi="Times New Roman" w:cs="Times New Roman"/>
          <w:b/>
          <w:bCs/>
        </w:rPr>
        <w:fldChar w:fldCharType="begin">
          <w:fldData xml:space="preserve">PEVuZE5vdGU+PENpdGU+PEF1dGhvcj5XZXJ0aGVpbTwvQXV0aG9yPjxZZWFyPjIwMDU8L1llYXI+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</w:fldData>
        </w:fldChar>
      </w:r>
      <w:r w:rsidRPr="00160CB4">
        <w:rPr>
          <w:rFonts w:ascii="Times New Roman" w:hAnsi="Times New Roman" w:cs="Times New Roman"/>
          <w:b/>
          <w:bCs/>
        </w:rPr>
        <w:instrText xml:space="preserve"> ADDIN EN.CITE.DATA </w:instrText>
      </w:r>
      <w:r w:rsidRPr="00160CB4">
        <w:rPr>
          <w:rFonts w:ascii="Times New Roman" w:hAnsi="Times New Roman" w:cs="Times New Roman"/>
          <w:b/>
          <w:bCs/>
        </w:rPr>
      </w:r>
      <w:r w:rsidRPr="00160CB4">
        <w:rPr>
          <w:rFonts w:ascii="Times New Roman" w:hAnsi="Times New Roman" w:cs="Times New Roman"/>
          <w:b/>
          <w:bCs/>
        </w:rPr>
        <w:fldChar w:fldCharType="end"/>
      </w:r>
      <w:r w:rsidRPr="00160CB4">
        <w:rPr>
          <w:rFonts w:ascii="Times New Roman" w:hAnsi="Times New Roman" w:cs="Times New Roman"/>
          <w:b/>
          <w:bCs/>
        </w:rPr>
      </w:r>
      <w:r w:rsidRPr="00160CB4">
        <w:rPr>
          <w:rFonts w:ascii="Times New Roman" w:hAnsi="Times New Roman" w:cs="Times New Roman"/>
          <w:b/>
          <w:bCs/>
        </w:rPr>
        <w:fldChar w:fldCharType="separate"/>
      </w:r>
      <w:r w:rsidRPr="00160CB4">
        <w:rPr>
          <w:rFonts w:ascii="Times New Roman" w:hAnsi="Times New Roman" w:cs="Times New Roman"/>
          <w:b/>
          <w:bCs/>
          <w:noProof/>
        </w:rPr>
        <w:t>(Wertheim</w:t>
      </w:r>
      <w:r w:rsidRPr="00160CB4">
        <w:rPr>
          <w:rFonts w:ascii="Times New Roman" w:hAnsi="Times New Roman" w:cs="Times New Roman"/>
          <w:b/>
          <w:bCs/>
          <w:i/>
          <w:noProof/>
        </w:rPr>
        <w:t xml:space="preserve"> et al.</w:t>
      </w:r>
      <w:r w:rsidRPr="00160CB4">
        <w:rPr>
          <w:rFonts w:ascii="Times New Roman" w:hAnsi="Times New Roman" w:cs="Times New Roman"/>
          <w:b/>
          <w:bCs/>
          <w:noProof/>
        </w:rPr>
        <w:t>, 2005; Gosbell and van Hal, 2013)</w:t>
      </w:r>
      <w:r w:rsidRPr="00160CB4">
        <w:rPr>
          <w:rFonts w:ascii="Times New Roman" w:hAnsi="Times New Roman" w:cs="Times New Roman"/>
          <w:b/>
          <w:bCs/>
        </w:rPr>
        <w:fldChar w:fldCharType="end"/>
      </w:r>
      <w:r w:rsidRPr="002541E9">
        <w:rPr>
          <w:rFonts w:ascii="Times New Roman" w:hAnsi="Times New Roman" w:cs="Times New Roman"/>
        </w:rPr>
        <w:t>, particularly if a hospital patient is colonised</w:t>
      </w:r>
      <w:r>
        <w:rPr>
          <w:rFonts w:ascii="Times New Roman" w:hAnsi="Times New Roman" w:cs="Times New Roman"/>
        </w:rPr>
        <w:t xml:space="preserve"> or immunocompromised</w:t>
      </w:r>
      <w:r w:rsidRPr="002541E9">
        <w:rPr>
          <w:rFonts w:ascii="Times New Roman" w:hAnsi="Times New Roman" w:cs="Times New Roman"/>
        </w:rPr>
        <w:t>.</w:t>
      </w:r>
      <w:r>
        <w:rPr>
          <w:rFonts w:ascii="Times New Roman" w:hAnsi="Times New Roman" w:cs="Times New Roman"/>
        </w:rPr>
        <w:t xml:space="preserve"> Thus, it is important to consider the colonisation status of patients prior to surgery to prevent surgical site infections. For example, studies have reported that prior to total joint arthroplasty (joint replacement)</w:t>
      </w:r>
      <w:r w:rsidR="00E315F1">
        <w:rPr>
          <w:rFonts w:ascii="Times New Roman" w:hAnsi="Times New Roman" w:cs="Times New Roman"/>
        </w:rPr>
        <w:t>,</w:t>
      </w:r>
      <w:r>
        <w:rPr>
          <w:rFonts w:ascii="Times New Roman" w:hAnsi="Times New Roman" w:cs="Times New Roman"/>
        </w:rPr>
        <w:t xml:space="preserve"> preoperative decolonisation of the nares and skin using intranasal mupirocin administration and chlorhexidine </w:t>
      </w:r>
      <w:r>
        <w:rPr>
          <w:rFonts w:ascii="Times New Roman" w:hAnsi="Times New Roman" w:cs="Times New Roman"/>
        </w:rPr>
        <w:lastRenderedPageBreak/>
        <w:t xml:space="preserve">showers respectively, had markedly reduced both methicillin-sensitive </w:t>
      </w:r>
      <w:r>
        <w:rPr>
          <w:rFonts w:ascii="Times New Roman" w:hAnsi="Times New Roman" w:cs="Times New Roman"/>
          <w:i/>
          <w:iCs/>
        </w:rPr>
        <w:t xml:space="preserve">S. aureus </w:t>
      </w:r>
      <w:r>
        <w:rPr>
          <w:rFonts w:ascii="Times New Roman" w:hAnsi="Times New Roman" w:cs="Times New Roman"/>
        </w:rPr>
        <w:t xml:space="preserve">(MSSA) and methicillin-resistant </w:t>
      </w:r>
      <w:r>
        <w:rPr>
          <w:rFonts w:ascii="Times New Roman" w:hAnsi="Times New Roman" w:cs="Times New Roman"/>
          <w:i/>
          <w:iCs/>
        </w:rPr>
        <w:t>S. aureus</w:t>
      </w:r>
      <w:r w:rsidRPr="00BC0BAC">
        <w:rPr>
          <w:rFonts w:ascii="Times New Roman" w:hAnsi="Times New Roman" w:cs="Times New Roman"/>
          <w:i/>
          <w:iCs/>
        </w:rPr>
        <w:t xml:space="preserve"> </w:t>
      </w:r>
      <w:r w:rsidRPr="00BC0BAC">
        <w:rPr>
          <w:rFonts w:ascii="Times New Roman" w:hAnsi="Times New Roman" w:cs="Times New Roman"/>
        </w:rPr>
        <w:t>(</w:t>
      </w:r>
      <w:r>
        <w:rPr>
          <w:rFonts w:ascii="Times New Roman" w:hAnsi="Times New Roman" w:cs="Times New Roman"/>
        </w:rPr>
        <w:t xml:space="preserve">MRSA) colonisation </w:t>
      </w:r>
      <w:r w:rsidRPr="0029231E">
        <w:rPr>
          <w:rFonts w:ascii="Times New Roman" w:hAnsi="Times New Roman" w:cs="Times New Roman"/>
          <w:b/>
          <w:bCs/>
        </w:rPr>
        <w:fldChar w:fldCharType="begin">
          <w:fldData xml:space="preserve">PEVuZE5vdGU+PENpdGU+PEF1dGhvcj5DaGVuPC9BdXRob3I+PFllYXI+MjAxMzwvWWVhcj48SURU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PEVuZE5vdGU+PENpdGU+PEF1dGhvcj5DaGVuPC9BdXRob3I+PFllYXI+MjAxMzwvWWVhcj48SURU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29231E">
        <w:rPr>
          <w:rFonts w:ascii="Times New Roman" w:hAnsi="Times New Roman" w:cs="Times New Roman"/>
          <w:b/>
          <w:bCs/>
        </w:rPr>
      </w:r>
      <w:r w:rsidRPr="0029231E">
        <w:rPr>
          <w:rFonts w:ascii="Times New Roman" w:hAnsi="Times New Roman" w:cs="Times New Roman"/>
          <w:b/>
          <w:bCs/>
        </w:rPr>
        <w:fldChar w:fldCharType="separate"/>
      </w:r>
      <w:r>
        <w:rPr>
          <w:rFonts w:ascii="Times New Roman" w:hAnsi="Times New Roman" w:cs="Times New Roman"/>
          <w:b/>
          <w:bCs/>
          <w:noProof/>
        </w:rPr>
        <w:t>(Chen</w:t>
      </w:r>
      <w:r w:rsidRPr="0029231E">
        <w:rPr>
          <w:rFonts w:ascii="Times New Roman" w:hAnsi="Times New Roman" w:cs="Times New Roman"/>
          <w:b/>
          <w:bCs/>
          <w:i/>
          <w:noProof/>
        </w:rPr>
        <w:t xml:space="preserve"> et al.</w:t>
      </w:r>
      <w:r>
        <w:rPr>
          <w:rFonts w:ascii="Times New Roman" w:hAnsi="Times New Roman" w:cs="Times New Roman"/>
          <w:b/>
          <w:bCs/>
          <w:noProof/>
        </w:rPr>
        <w:t>, 2013; George, Leasure and Horstmanshof, 2016)</w:t>
      </w:r>
      <w:r w:rsidRPr="0029231E">
        <w:rPr>
          <w:rFonts w:ascii="Times New Roman" w:hAnsi="Times New Roman" w:cs="Times New Roman"/>
          <w:b/>
          <w:bCs/>
        </w:rPr>
        <w:fldChar w:fldCharType="end"/>
      </w:r>
      <w:r>
        <w:rPr>
          <w:rFonts w:ascii="Times New Roman" w:hAnsi="Times New Roman" w:cs="Times New Roman"/>
        </w:rPr>
        <w:t xml:space="preserve">. This then reduces the likelihood of surgical site infections. Further research has demonstrated that preoperative decolonisation regimes in Yorkshire and Humber region in the UK have not affected the resistance rates of </w:t>
      </w:r>
      <w:r>
        <w:rPr>
          <w:rFonts w:ascii="Times New Roman" w:hAnsi="Times New Roman" w:cs="Times New Roman"/>
          <w:i/>
          <w:iCs/>
        </w:rPr>
        <w:t xml:space="preserve">S. aureus, </w:t>
      </w:r>
      <w:r>
        <w:rPr>
          <w:rFonts w:ascii="Times New Roman" w:hAnsi="Times New Roman" w:cs="Times New Roman"/>
        </w:rPr>
        <w:t xml:space="preserve">further emphasising its advantage </w:t>
      </w:r>
      <w:r w:rsidRPr="00B151A5">
        <w:rPr>
          <w:rFonts w:ascii="Times New Roman" w:hAnsi="Times New Roman" w:cs="Times New Roman"/>
          <w:b/>
          <w:bCs/>
        </w:rPr>
        <w:fldChar w:fldCharType="begin"/>
      </w:r>
      <w:r w:rsidRPr="00B151A5">
        <w:rPr>
          <w:rFonts w:ascii="Times New Roman" w:hAnsi="Times New Roman" w:cs="Times New Roman"/>
          <w:b/>
          <w:bCs/>
        </w:rPr>
        <w:instrText xml:space="preserve"> ADDIN EN.CITE &lt;EndNote&gt;&lt;Cite&gt;&lt;Author&gt;Horner&lt;/Author&gt;&lt;Year&gt;2017&lt;/Year&gt;&lt;IDText&gt;Epidemiology and microbiological characterization of clinical isolates of Staphylococcus aureus in a single healthcare region of the UK, 2015&lt;/IDText&gt;&lt;DisplayText&gt;(Horner&lt;style face="italic"&gt; et al.&lt;/style&gt;, 2017)&lt;/DisplayText&gt;&lt;record&gt;&lt;dates&gt;&lt;pub-dates&gt;&lt;date&gt;Jan&lt;/date&gt;&lt;/pub-dates&gt;&lt;year&gt;2017&lt;/year&gt;&lt;/dates&gt;&lt;urls&gt;&lt;related-urls&gt;&lt;url&gt;&amp;lt;Go to ISI&amp;gt;://WOS:000393758100021&lt;/url&gt;&lt;/related-urls&gt;&lt;/urls&gt;&lt;isbn&gt;0950-2688&lt;/isbn&gt;&lt;work-type&gt;Article&lt;/work-type&gt;&lt;titles&gt;&lt;title&gt;Epidemiology and microbiological characterization of clinical isolates of Staphylococcus aureus in a single healthcare region of the UK, 2015&lt;/title&gt;&lt;secondary-title&gt;Epidemiology and Infection&lt;/secondary-title&gt;&lt;/titles&gt;&lt;pages&gt;386-396&lt;/pages&gt;&lt;number&gt;2&lt;/number&gt;&lt;contributors&gt;&lt;authors&gt;&lt;author&gt;Horner, C.&lt;/author&gt;&lt;author&gt;Utsi, L.&lt;/author&gt;&lt;author&gt;Coole, L.&lt;/author&gt;&lt;author&gt;Denton, M.&lt;/author&gt;&lt;/authors&gt;&lt;/contributors&gt;&lt;added-date format="utc"&gt;1676636828&lt;/added-date&gt;&lt;ref-type name="Journal Article"&gt;17&lt;/ref-type&gt;&lt;rec-number&gt;328&lt;/rec-number&gt;&lt;last-updated-date format="utc"&gt;1676636828&lt;/last-updated-date&gt;&lt;accession-num&gt;WOS:000393758100021&lt;/accession-num&gt;&lt;electronic-resource-num&gt;10.1017/s0950268816002387&lt;/electronic-resource-num&gt;&lt;volume&gt;145&lt;/volume&gt;&lt;/record&gt;&lt;/Cite&gt;&lt;/EndNote&gt;</w:instrText>
      </w:r>
      <w:r w:rsidRPr="00B151A5">
        <w:rPr>
          <w:rFonts w:ascii="Times New Roman" w:hAnsi="Times New Roman" w:cs="Times New Roman"/>
          <w:b/>
          <w:bCs/>
        </w:rPr>
        <w:fldChar w:fldCharType="separate"/>
      </w:r>
      <w:r w:rsidRPr="00B151A5">
        <w:rPr>
          <w:rFonts w:ascii="Times New Roman" w:hAnsi="Times New Roman" w:cs="Times New Roman"/>
          <w:b/>
          <w:bCs/>
          <w:noProof/>
        </w:rPr>
        <w:t>(Horner</w:t>
      </w:r>
      <w:r w:rsidRPr="00B151A5">
        <w:rPr>
          <w:rFonts w:ascii="Times New Roman" w:hAnsi="Times New Roman" w:cs="Times New Roman"/>
          <w:b/>
          <w:bCs/>
          <w:i/>
          <w:noProof/>
        </w:rPr>
        <w:t xml:space="preserve"> et al.</w:t>
      </w:r>
      <w:r w:rsidRPr="00B151A5">
        <w:rPr>
          <w:rFonts w:ascii="Times New Roman" w:hAnsi="Times New Roman" w:cs="Times New Roman"/>
          <w:b/>
          <w:bCs/>
          <w:noProof/>
        </w:rPr>
        <w:t>, 2017)</w:t>
      </w:r>
      <w:r w:rsidRPr="00B151A5">
        <w:rPr>
          <w:rFonts w:ascii="Times New Roman" w:hAnsi="Times New Roman" w:cs="Times New Roman"/>
          <w:b/>
          <w:bCs/>
        </w:rPr>
        <w:fldChar w:fldCharType="end"/>
      </w:r>
      <w:r>
        <w:rPr>
          <w:rFonts w:ascii="Times New Roman" w:hAnsi="Times New Roman" w:cs="Times New Roman"/>
        </w:rPr>
        <w:t>. A</w:t>
      </w:r>
      <w:r w:rsidRPr="002541E9">
        <w:rPr>
          <w:rFonts w:ascii="Times New Roman" w:hAnsi="Times New Roman" w:cs="Times New Roman"/>
        </w:rPr>
        <w:t xml:space="preserve">s </w:t>
      </w:r>
      <w:r w:rsidRPr="002541E9">
        <w:rPr>
          <w:rFonts w:ascii="Times New Roman" w:hAnsi="Times New Roman" w:cs="Times New Roman"/>
          <w:i/>
          <w:iCs/>
        </w:rPr>
        <w:t>S. aureus</w:t>
      </w:r>
      <w:r w:rsidRPr="002541E9">
        <w:rPr>
          <w:rFonts w:ascii="Times New Roman" w:hAnsi="Times New Roman" w:cs="Times New Roman"/>
        </w:rPr>
        <w:t xml:space="preserve"> </w:t>
      </w:r>
      <w:r>
        <w:rPr>
          <w:rFonts w:ascii="Times New Roman" w:hAnsi="Times New Roman" w:cs="Times New Roman"/>
        </w:rPr>
        <w:t xml:space="preserve">is an </w:t>
      </w:r>
      <w:r w:rsidRPr="002541E9">
        <w:rPr>
          <w:rFonts w:ascii="Times New Roman" w:hAnsi="Times New Roman" w:cs="Times New Roman"/>
        </w:rPr>
        <w:t>opportunistic pathogen, it has the ability to cause</w:t>
      </w:r>
      <w:r>
        <w:rPr>
          <w:rFonts w:ascii="Times New Roman" w:hAnsi="Times New Roman" w:cs="Times New Roman"/>
        </w:rPr>
        <w:t xml:space="preserve"> a plethora of</w:t>
      </w:r>
      <w:r w:rsidRPr="002541E9">
        <w:rPr>
          <w:rFonts w:ascii="Times New Roman" w:hAnsi="Times New Roman" w:cs="Times New Roman"/>
        </w:rPr>
        <w:t xml:space="preserve"> infections</w:t>
      </w:r>
      <w:r>
        <w:rPr>
          <w:rFonts w:ascii="Times New Roman" w:hAnsi="Times New Roman" w:cs="Times New Roman"/>
        </w:rPr>
        <w:t>, affecting most body systems.</w:t>
      </w:r>
      <w:r w:rsidRPr="002541E9">
        <w:rPr>
          <w:rFonts w:ascii="Times New Roman" w:hAnsi="Times New Roman" w:cs="Times New Roman"/>
        </w:rPr>
        <w:t xml:space="preserve"> </w:t>
      </w:r>
      <w:r>
        <w:rPr>
          <w:rFonts w:ascii="Times New Roman" w:hAnsi="Times New Roman" w:cs="Times New Roman"/>
        </w:rPr>
        <w:t>U</w:t>
      </w:r>
      <w:r w:rsidRPr="002541E9">
        <w:rPr>
          <w:rFonts w:ascii="Times New Roman" w:hAnsi="Times New Roman" w:cs="Times New Roman"/>
        </w:rPr>
        <w:t>pon breach of skin and mucosal barriers</w:t>
      </w:r>
      <w:r>
        <w:rPr>
          <w:rFonts w:ascii="Times New Roman" w:hAnsi="Times New Roman" w:cs="Times New Roman"/>
        </w:rPr>
        <w:t>,</w:t>
      </w:r>
      <w:r>
        <w:rPr>
          <w:rFonts w:ascii="Times New Roman" w:hAnsi="Times New Roman" w:cs="Times New Roman"/>
          <w:i/>
          <w:iCs/>
        </w:rPr>
        <w:t xml:space="preserve"> S. aureus</w:t>
      </w:r>
      <w:r>
        <w:rPr>
          <w:rFonts w:ascii="Times New Roman" w:hAnsi="Times New Roman" w:cs="Times New Roman"/>
        </w:rPr>
        <w:t xml:space="preserve"> can cause</w:t>
      </w:r>
      <w:r w:rsidRPr="002541E9">
        <w:rPr>
          <w:rFonts w:ascii="Times New Roman" w:hAnsi="Times New Roman" w:cs="Times New Roman"/>
        </w:rPr>
        <w:t xml:space="preserve"> skin and soft tissue infections</w:t>
      </w:r>
      <w:r>
        <w:rPr>
          <w:rFonts w:ascii="Times New Roman" w:hAnsi="Times New Roman" w:cs="Times New Roman"/>
        </w:rPr>
        <w:t xml:space="preserve"> (SSTIs)</w:t>
      </w:r>
      <w:r w:rsidRPr="002541E9">
        <w:rPr>
          <w:rFonts w:ascii="Times New Roman" w:hAnsi="Times New Roman" w:cs="Times New Roman"/>
        </w:rPr>
        <w:t>, pneumonia</w:t>
      </w:r>
      <w:r>
        <w:rPr>
          <w:rFonts w:ascii="Times New Roman" w:hAnsi="Times New Roman" w:cs="Times New Roman"/>
        </w:rPr>
        <w:t>,</w:t>
      </w:r>
      <w:r w:rsidRPr="002541E9">
        <w:rPr>
          <w:rFonts w:ascii="Times New Roman" w:hAnsi="Times New Roman" w:cs="Times New Roman"/>
        </w:rPr>
        <w:t xml:space="preserve"> medical device-related infections </w:t>
      </w:r>
      <w:r>
        <w:rPr>
          <w:rFonts w:ascii="Times New Roman" w:hAnsi="Times New Roman" w:cs="Times New Roman"/>
        </w:rPr>
        <w:t>and sepsis</w:t>
      </w:r>
      <w:r w:rsidRPr="002541E9">
        <w:rPr>
          <w:rFonts w:ascii="Times New Roman" w:hAnsi="Times New Roman" w:cs="Times New Roman"/>
        </w:rPr>
        <w:t xml:space="preserve">. </w:t>
      </w:r>
      <w:r>
        <w:rPr>
          <w:rFonts w:ascii="Times New Roman" w:hAnsi="Times New Roman" w:cs="Times New Roman"/>
        </w:rPr>
        <w:t xml:space="preserve">Furthermore, in the event of persistent carriers developing an infection, the causative agent is usually a commensal </w:t>
      </w:r>
      <w:r>
        <w:rPr>
          <w:rFonts w:ascii="Times New Roman" w:hAnsi="Times New Roman" w:cs="Times New Roman"/>
          <w:i/>
          <w:iCs/>
        </w:rPr>
        <w:t xml:space="preserve">S. aureus </w:t>
      </w:r>
      <w:r>
        <w:rPr>
          <w:rFonts w:ascii="Times New Roman" w:hAnsi="Times New Roman" w:cs="Times New Roman"/>
        </w:rPr>
        <w:t xml:space="preserve">strain </w:t>
      </w:r>
      <w:r w:rsidRPr="00877818">
        <w:rPr>
          <w:rFonts w:ascii="Times New Roman" w:hAnsi="Times New Roman" w:cs="Times New Roman"/>
          <w:b/>
          <w:bCs/>
        </w:rPr>
        <w:fldChar w:fldCharType="begin"/>
      </w:r>
      <w:r w:rsidRPr="00877818">
        <w:rPr>
          <w:rFonts w:ascii="Times New Roman" w:hAnsi="Times New Roman" w:cs="Times New Roman"/>
          <w:b/>
          <w:bCs/>
        </w:rPr>
        <w:instrText xml:space="preserve"> ADDIN EN.CITE &lt;EndNote&gt;&lt;Cite&gt;&lt;Author&gt;Williams&lt;/Author&gt;&lt;Year&gt;1959&lt;/Year&gt;&lt;IDText&gt;NASAL STAPHYLOCOCCI AND SEPSIS IN HOSPITAL PATIENTS&lt;/IDText&gt;&lt;DisplayText&gt;(Williams&lt;style face="italic"&gt; et al.&lt;/style&gt;, 1959)&lt;/DisplayText&gt;&lt;record&gt;&lt;urls&gt;&lt;related-urls&gt;&lt;url&gt;&amp;lt;Go to ISI&amp;gt;://WOS:A1959WC47300003&lt;/url&gt;&lt;/related-urls&gt;&lt;/urls&gt;&lt;isbn&gt;1756-1833&lt;/isbn&gt;&lt;titles&gt;&lt;title&gt;NASAL STAPHYLOCOCCI AND SEPSIS IN HOSPITAL PATIENTS&lt;/title&gt;&lt;secondary-title&gt;Bmj-British Medical Journal&lt;/secondary-title&gt;&lt;/titles&gt;&lt;pages&gt;658-662&lt;/pages&gt;&lt;number&gt;OCT10&lt;/number&gt;&lt;contributors&gt;&lt;authors&gt;&lt;author&gt;Williams, R. E. O.&lt;/author&gt;&lt;author&gt;Jevons, M. P.&lt;/author&gt;&lt;author&gt;Shooter, R. A.&lt;/author&gt;&lt;author&gt;Hunter, C. J. W.&lt;/author&gt;&lt;author&gt;Girling, J. A.&lt;/author&gt;&lt;author&gt;Griffiths, J. D.&lt;/author&gt;&lt;author&gt;Taylor, G. W.&lt;/author&gt;&lt;/authors&gt;&lt;/contributors&gt;&lt;added-date format="utc"&gt;1675343546&lt;/added-date&gt;&lt;ref-type name="Journal Article"&gt;17&lt;/ref-type&gt;&lt;dates&gt;&lt;year&gt;1959&lt;/year&gt;&lt;/dates&gt;&lt;rec-number&gt;307&lt;/rec-number&gt;&lt;last-updated-date format="utc"&gt;1675343546&lt;/last-updated-date&gt;&lt;accession-num&gt;WOS:A1959WC47300003&lt;/accession-num&gt;&lt;electronic-resource-num&gt;10.1136/bmj.2.5153.658&lt;/electronic-resource-num&gt;&lt;volume&gt;2&lt;/volume&gt;&lt;/record&gt;&lt;/Cite&gt;&lt;/EndNote&gt;</w:instrText>
      </w:r>
      <w:r w:rsidRPr="00877818">
        <w:rPr>
          <w:rFonts w:ascii="Times New Roman" w:hAnsi="Times New Roman" w:cs="Times New Roman"/>
          <w:b/>
          <w:bCs/>
        </w:rPr>
        <w:fldChar w:fldCharType="separate"/>
      </w:r>
      <w:r w:rsidRPr="00877818">
        <w:rPr>
          <w:rFonts w:ascii="Times New Roman" w:hAnsi="Times New Roman" w:cs="Times New Roman"/>
          <w:b/>
          <w:bCs/>
          <w:noProof/>
        </w:rPr>
        <w:t>(Williams</w:t>
      </w:r>
      <w:r w:rsidRPr="00877818">
        <w:rPr>
          <w:rFonts w:ascii="Times New Roman" w:hAnsi="Times New Roman" w:cs="Times New Roman"/>
          <w:b/>
          <w:bCs/>
          <w:i/>
          <w:noProof/>
        </w:rPr>
        <w:t xml:space="preserve"> et al.</w:t>
      </w:r>
      <w:r w:rsidRPr="00877818">
        <w:rPr>
          <w:rFonts w:ascii="Times New Roman" w:hAnsi="Times New Roman" w:cs="Times New Roman"/>
          <w:b/>
          <w:bCs/>
          <w:noProof/>
        </w:rPr>
        <w:t>, 1959)</w:t>
      </w:r>
      <w:r w:rsidRPr="00877818">
        <w:rPr>
          <w:rFonts w:ascii="Times New Roman" w:hAnsi="Times New Roman" w:cs="Times New Roman"/>
          <w:b/>
          <w:bCs/>
        </w:rPr>
        <w:fldChar w:fldCharType="end"/>
      </w:r>
      <w:r w:rsidRPr="00877818">
        <w:rPr>
          <w:rFonts w:ascii="Times New Roman" w:hAnsi="Times New Roman" w:cs="Times New Roman"/>
        </w:rPr>
        <w:t xml:space="preserve">. </w:t>
      </w:r>
    </w:p>
    <w:p w14:paraId="5A3306AC" w14:textId="4B90BCAA" w:rsidR="00033564" w:rsidRPr="00046787" w:rsidRDefault="00033564" w:rsidP="00033564">
      <w:pPr>
        <w:spacing w:line="360" w:lineRule="auto"/>
        <w:ind w:firstLine="720"/>
        <w:jc w:val="both"/>
        <w:rPr>
          <w:rFonts w:ascii="Times New Roman" w:hAnsi="Times New Roman" w:cs="Times New Roman"/>
          <w:sz w:val="16"/>
          <w:szCs w:val="16"/>
        </w:rPr>
      </w:pPr>
      <w:r w:rsidRPr="00877818">
        <w:rPr>
          <w:rFonts w:ascii="Times New Roman" w:hAnsi="Times New Roman" w:cs="Times New Roman"/>
        </w:rPr>
        <w:t xml:space="preserve">Of the different </w:t>
      </w:r>
      <w:r w:rsidRPr="00877818">
        <w:rPr>
          <w:rFonts w:ascii="Times New Roman" w:hAnsi="Times New Roman" w:cs="Times New Roman"/>
          <w:i/>
          <w:iCs/>
        </w:rPr>
        <w:t xml:space="preserve">S. aureus </w:t>
      </w:r>
      <w:r w:rsidRPr="00877818">
        <w:rPr>
          <w:rFonts w:ascii="Times New Roman" w:hAnsi="Times New Roman" w:cs="Times New Roman"/>
        </w:rPr>
        <w:t>infections, particularly important are MRSA strains that have the ability to cause</w:t>
      </w:r>
      <w:r>
        <w:rPr>
          <w:rFonts w:ascii="Times New Roman" w:hAnsi="Times New Roman" w:cs="Times New Roman"/>
        </w:rPr>
        <w:t xml:space="preserve"> detrimental</w:t>
      </w:r>
      <w:r w:rsidRPr="00877818">
        <w:rPr>
          <w:rFonts w:ascii="Times New Roman" w:hAnsi="Times New Roman" w:cs="Times New Roman"/>
        </w:rPr>
        <w:t xml:space="preserve"> healthcare- and community- associated (HA-MRSA/CA-MRSA) infections. </w:t>
      </w:r>
      <w:r>
        <w:rPr>
          <w:rFonts w:ascii="Times New Roman" w:hAnsi="Times New Roman" w:cs="Times New Roman"/>
        </w:rPr>
        <w:t xml:space="preserve">MRSA isolates are classified as such due to the presence of </w:t>
      </w:r>
      <w:r>
        <w:rPr>
          <w:rFonts w:ascii="Times New Roman" w:hAnsi="Times New Roman" w:cs="Times New Roman"/>
          <w:i/>
          <w:iCs/>
        </w:rPr>
        <w:t>mecA</w:t>
      </w:r>
      <w:r>
        <w:rPr>
          <w:rFonts w:ascii="Times New Roman" w:hAnsi="Times New Roman" w:cs="Times New Roman"/>
        </w:rPr>
        <w:t xml:space="preserve">, encoding for an alternative penicillin-binding protein 2a (PBP2a). </w:t>
      </w:r>
      <w:r w:rsidRPr="00877818">
        <w:rPr>
          <w:rFonts w:ascii="Times New Roman" w:hAnsi="Times New Roman" w:cs="Times New Roman"/>
        </w:rPr>
        <w:t>MRSA infections were predominantly healthcare-associated, affecting both in- and outpatients</w:t>
      </w:r>
      <w:r>
        <w:rPr>
          <w:rFonts w:ascii="Times New Roman" w:hAnsi="Times New Roman" w:cs="Times New Roman"/>
        </w:rPr>
        <w:t>,</w:t>
      </w:r>
      <w:r w:rsidRPr="00877818">
        <w:rPr>
          <w:rFonts w:ascii="Times New Roman" w:hAnsi="Times New Roman" w:cs="Times New Roman"/>
        </w:rPr>
        <w:t xml:space="preserve"> however during the late 20</w:t>
      </w:r>
      <w:r w:rsidRPr="00877818">
        <w:rPr>
          <w:rFonts w:ascii="Times New Roman" w:hAnsi="Times New Roman" w:cs="Times New Roman"/>
          <w:vertAlign w:val="superscript"/>
        </w:rPr>
        <w:t>th</w:t>
      </w:r>
      <w:r w:rsidRPr="00877818">
        <w:rPr>
          <w:rFonts w:ascii="Times New Roman" w:hAnsi="Times New Roman" w:cs="Times New Roman"/>
        </w:rPr>
        <w:t xml:space="preserve"> century, there was an increase in MRSA infections within the general community </w:t>
      </w:r>
      <w:r w:rsidRPr="00877818">
        <w:rPr>
          <w:rFonts w:ascii="Times New Roman" w:hAnsi="Times New Roman" w:cs="Times New Roman"/>
          <w:b/>
          <w:bCs/>
        </w:rPr>
        <w:fldChar w:fldCharType="begin"/>
      </w:r>
      <w:r w:rsidRPr="00877818">
        <w:rPr>
          <w:rFonts w:ascii="Times New Roman" w:hAnsi="Times New Roman" w:cs="Times New Roman"/>
          <w:b/>
          <w:bCs/>
        </w:rPr>
        <w:instrText xml:space="preserve"> ADDIN EN.CITE &lt;EndNote&gt;&lt;Cite&gt;&lt;Author&gt;Li&lt;/Author&gt;&lt;Year&gt;2009&lt;/Year&gt;&lt;IDText&gt;Evolution of virulence in epidemic community-associated methicillin-resistant Staphylococcus aureus&lt;/IDText&gt;&lt;DisplayText&gt;(Li&lt;style face="italic"&gt; et al.&lt;/style&gt;, 2009)&lt;/DisplayText&gt;&lt;record&gt;&lt;dates&gt;&lt;pub-dates&gt;&lt;date&gt;Apr 7&lt;/date&gt;&lt;/pub-dates&gt;&lt;year&gt;2009&lt;/year&gt;&lt;/dates&gt;&lt;urls&gt;&lt;related-urls&gt;&lt;url&gt;&amp;lt;Go to ISI&amp;gt;://WOS:000264967500077&lt;/url&gt;&lt;/related-urls&gt;&lt;/urls&gt;&lt;isbn&gt;0027-8424&lt;/isbn&gt;&lt;titles&gt;&lt;title&gt;Evolution of virulence in epidemic community-associated methicillin-resistant Staphylococcus aureus&lt;/title&gt;&lt;secondary-title&gt;Proceedings of the National Academy of Sciences of the United States of America&lt;/secondary-title&gt;&lt;/titles&gt;&lt;pages&gt;5883-5888&lt;/pages&gt;&lt;number&gt;14&lt;/number&gt;&lt;contributors&gt;&lt;authors&gt;&lt;author&gt;Li, Min&lt;/author&gt;&lt;author&gt;Diep, Binh An&lt;/author&gt;&lt;author&gt;Villaruz, Amer E.&lt;/author&gt;&lt;author&gt;Braughton, Kevin R.&lt;/author&gt;&lt;author&gt;Jiang, Xiaofei&lt;/author&gt;&lt;author&gt;DeLeo, Frank R.&lt;/author&gt;&lt;author&gt;Chambers, Henry F.&lt;/author&gt;&lt;author&gt;Lu, Yuan&lt;/author&gt;&lt;author&gt;Otto, Michael&lt;/author&gt;&lt;/authors&gt;&lt;/contributors&gt;&lt;added-date format="utc"&gt;1663625893&lt;/added-date&gt;&lt;ref-type name="Journal Article"&gt;17&lt;/ref-type&gt;&lt;rec-number&gt;155&lt;/rec-number&gt;&lt;last-updated-date format="utc"&gt;1664027853&lt;/last-updated-date&gt;&lt;accession-num&gt;WOS:000264967500077&lt;/accession-num&gt;&lt;electronic-resource-num&gt;10.1073/pnas.0900743106&lt;/electronic-resource-num&gt;&lt;volume&gt;106&lt;/volume&gt;&lt;/record&gt;&lt;/Cite&gt;&lt;/EndNote&gt;</w:instrText>
      </w:r>
      <w:r w:rsidRPr="00877818">
        <w:rPr>
          <w:rFonts w:ascii="Times New Roman" w:hAnsi="Times New Roman" w:cs="Times New Roman"/>
          <w:b/>
          <w:bCs/>
        </w:rPr>
        <w:fldChar w:fldCharType="separate"/>
      </w:r>
      <w:r w:rsidRPr="00877818">
        <w:rPr>
          <w:rFonts w:ascii="Times New Roman" w:hAnsi="Times New Roman" w:cs="Times New Roman"/>
          <w:b/>
          <w:bCs/>
          <w:noProof/>
        </w:rPr>
        <w:t>(Li</w:t>
      </w:r>
      <w:r w:rsidRPr="00877818">
        <w:rPr>
          <w:rFonts w:ascii="Times New Roman" w:hAnsi="Times New Roman" w:cs="Times New Roman"/>
          <w:b/>
          <w:bCs/>
          <w:i/>
          <w:noProof/>
        </w:rPr>
        <w:t xml:space="preserve"> et al.</w:t>
      </w:r>
      <w:r w:rsidRPr="00877818">
        <w:rPr>
          <w:rFonts w:ascii="Times New Roman" w:hAnsi="Times New Roman" w:cs="Times New Roman"/>
          <w:b/>
          <w:bCs/>
          <w:noProof/>
        </w:rPr>
        <w:t>, 2009)</w:t>
      </w:r>
      <w:r w:rsidRPr="00877818">
        <w:rPr>
          <w:rFonts w:ascii="Times New Roman" w:hAnsi="Times New Roman" w:cs="Times New Roman"/>
          <w:b/>
          <w:bCs/>
        </w:rPr>
        <w:fldChar w:fldCharType="end"/>
      </w:r>
      <w:r w:rsidRPr="00877818">
        <w:rPr>
          <w:rFonts w:ascii="Times New Roman" w:hAnsi="Times New Roman" w:cs="Times New Roman"/>
        </w:rPr>
        <w:t xml:space="preserve">. Since then, both HA-MRSA and CA-MRSA cases appear to be declining </w:t>
      </w:r>
      <w:r w:rsidRPr="00877818">
        <w:rPr>
          <w:rFonts w:ascii="Times New Roman" w:hAnsi="Times New Roman" w:cs="Times New Roman"/>
          <w:b/>
          <w:bCs/>
        </w:rPr>
        <w:fldChar w:fldCharType="begin"/>
      </w:r>
      <w:r w:rsidRPr="00877818">
        <w:rPr>
          <w:rFonts w:ascii="Times New Roman" w:hAnsi="Times New Roman" w:cs="Times New Roman"/>
          <w:b/>
          <w:bCs/>
        </w:rPr>
        <w:instrText xml:space="preserve"> ADDIN EN.CITE &lt;EndNote&gt;&lt;Cite&gt;&lt;Author&gt;Wyllie&lt;/Author&gt;&lt;Year&gt;2011&lt;/Year&gt;&lt;IDText&gt;Decline of meticillin-resistant Staphylococcus aureus in Oxfordshire hospitals is strain-specific and preceded infection-control intensification&lt;/IDText&gt;&lt;DisplayText&gt;(Wyllie&lt;style face="italic"&gt; et al.&lt;/style&gt;, 2011)&lt;/DisplayText&gt;&lt;record&gt;&lt;dates&gt;&lt;pub-dates&gt;&lt;date&gt;2011&lt;/date&gt;&lt;/pub-dates&gt;&lt;year&gt;2011&lt;/year&gt;&lt;/dates&gt;&lt;urls&gt;&lt;related-urls&gt;&lt;url&gt;&amp;lt;Go to ISI&amp;gt;://WOS:000208638000061&lt;/url&gt;&lt;/related-urls&gt;&lt;/urls&gt;&lt;isbn&gt;2044-6055&lt;/isbn&gt;&lt;work-type&gt;Article&lt;/work-type&gt;&lt;titles&gt;&lt;title&gt;Decline of meticillin-resistant Staphylococcus aureus in Oxfordshire hospitals is strain-specific and preceded infection-control intensification&lt;/title&gt;&lt;secondary-title&gt;Bmj Open&lt;/secondary-title&gt;&lt;/titles&gt;&lt;number&gt;1&lt;/number&gt;&lt;contributors&gt;&lt;authors&gt;&lt;author&gt;Wyllie, David H.&lt;/author&gt;&lt;author&gt;Walker, A. Sarah&lt;/author&gt;&lt;author&gt;Miller, Ruth&lt;/author&gt;&lt;author&gt;Moore, Catrin&lt;/author&gt;&lt;author&gt;Williamson, Susan R.&lt;/author&gt;&lt;author&gt;Schlackow, Iryna&lt;/author&gt;&lt;author&gt;Finney, John M.&lt;/author&gt;&lt;author&gt;O&amp;apos;Connor, Lily&lt;/author&gt;&lt;author&gt;Peto, Tim E. A.&lt;/author&gt;&lt;author&gt;Crook, Derrick W.&lt;/author&gt;&lt;/authors&gt;&lt;/contributors&gt;&lt;custom7&gt;e000160&lt;/custom7&gt;&lt;added-date format="utc"&gt;1676635662&lt;/added-date&gt;&lt;ref-type name="Journal Article"&gt;17&lt;/ref-type&gt;&lt;rec-number&gt;327&lt;/rec-number&gt;&lt;last-updated-date format="utc"&gt;1676635662&lt;/last-updated-date&gt;&lt;accession-num&gt;WOS:000208638000061&lt;/accession-num&gt;&lt;electronic-resource-num&gt;10.1136/bmjopen-2011-000160&lt;/electronic-resource-num&gt;&lt;volume&gt;1&lt;/volume&gt;&lt;/record&gt;&lt;/Cite&gt;&lt;/EndNote&gt;</w:instrText>
      </w:r>
      <w:r w:rsidRPr="00877818">
        <w:rPr>
          <w:rFonts w:ascii="Times New Roman" w:hAnsi="Times New Roman" w:cs="Times New Roman"/>
          <w:b/>
          <w:bCs/>
        </w:rPr>
        <w:fldChar w:fldCharType="separate"/>
      </w:r>
      <w:r w:rsidRPr="00877818">
        <w:rPr>
          <w:rFonts w:ascii="Times New Roman" w:hAnsi="Times New Roman" w:cs="Times New Roman"/>
          <w:b/>
          <w:bCs/>
          <w:noProof/>
        </w:rPr>
        <w:t>(Wyllie</w:t>
      </w:r>
      <w:r w:rsidRPr="00877818">
        <w:rPr>
          <w:rFonts w:ascii="Times New Roman" w:hAnsi="Times New Roman" w:cs="Times New Roman"/>
          <w:b/>
          <w:bCs/>
          <w:i/>
          <w:noProof/>
        </w:rPr>
        <w:t xml:space="preserve"> et al.</w:t>
      </w:r>
      <w:r w:rsidRPr="00877818">
        <w:rPr>
          <w:rFonts w:ascii="Times New Roman" w:hAnsi="Times New Roman" w:cs="Times New Roman"/>
          <w:b/>
          <w:bCs/>
          <w:noProof/>
        </w:rPr>
        <w:t>, 2011)</w:t>
      </w:r>
      <w:r w:rsidRPr="00877818">
        <w:rPr>
          <w:rFonts w:ascii="Times New Roman" w:hAnsi="Times New Roman" w:cs="Times New Roman"/>
          <w:b/>
          <w:bCs/>
        </w:rPr>
        <w:fldChar w:fldCharType="end"/>
      </w:r>
      <w:r w:rsidRPr="00877818">
        <w:rPr>
          <w:rFonts w:ascii="Times New Roman" w:hAnsi="Times New Roman" w:cs="Times New Roman"/>
        </w:rPr>
        <w:t xml:space="preserve">, however the mortality associated with these infections </w:t>
      </w:r>
      <w:r>
        <w:rPr>
          <w:rFonts w:ascii="Times New Roman" w:hAnsi="Times New Roman" w:cs="Times New Roman"/>
        </w:rPr>
        <w:t>remain high</w:t>
      </w:r>
      <w:r w:rsidRPr="00877818">
        <w:rPr>
          <w:rFonts w:ascii="Times New Roman" w:hAnsi="Times New Roman" w:cs="Times New Roman"/>
        </w:rPr>
        <w:t xml:space="preserve"> </w:t>
      </w:r>
      <w:r w:rsidRPr="00877818">
        <w:rPr>
          <w:rFonts w:ascii="Times New Roman" w:hAnsi="Times New Roman" w:cs="Times New Roman"/>
          <w:b/>
          <w:bCs/>
        </w:rPr>
        <w:fldChar w:fldCharType="begin"/>
      </w:r>
      <w:r w:rsidRPr="00877818">
        <w:rPr>
          <w:rFonts w:ascii="Times New Roman" w:hAnsi="Times New Roman" w:cs="Times New Roman"/>
          <w:b/>
          <w:bCs/>
        </w:rPr>
        <w:instrText xml:space="preserve"> ADDIN EN.CITE &lt;EndNote&gt;&lt;Cite&gt;&lt;Author&gt;Turner&lt;/Author&gt;&lt;Year&gt;2019&lt;/Year&gt;&lt;IDText&gt;Methicillin-resistant Staphylococcus aureus: an overview of basic and clinical research&lt;/IDText&gt;&lt;DisplayText&gt;(Turner&lt;style face="italic"&gt; et al.&lt;/style&gt;, 2019)&lt;/DisplayText&gt;&lt;record&gt;&lt;dates&gt;&lt;pub-dates&gt;&lt;date&gt;Apr&lt;/date&gt;&lt;/pub-dates&gt;&lt;year&gt;2019&lt;/year&gt;&lt;/dates&gt;&lt;urls&gt;&lt;related-urls&gt;&lt;url&gt;&amp;lt;Go to ISI&amp;gt;://WOS:000461170200006&lt;/url&gt;&lt;/related-urls&gt;&lt;/urls&gt;&lt;isbn&gt;1740-1526&lt;/isbn&gt;&lt;work-type&gt;Review&lt;/work-type&gt;&lt;titles&gt;&lt;title&gt;&lt;style font="default" size="100%"&gt;Methicillin-resistant &lt;/style&gt;&lt;style face="italic" font="default" size="100%"&gt;Staphylococcus aureus&lt;/style&gt;&lt;style font="default" size="100%"&gt;: an overview of basic and clinical research&lt;/style&gt;&lt;/title&gt;&lt;secondary-title&gt;Nature Reviews Microbiology&lt;/secondary-title&gt;&lt;/titles&gt;&lt;pages&gt;203-218&lt;/pages&gt;&lt;number&gt;4&lt;/number&gt;&lt;contributors&gt;&lt;authors&gt;&lt;author&gt;Turner, Nicholas A.&lt;/author&gt;&lt;author&gt;Sharma-Kuinkel, Batu K.&lt;/author&gt;&lt;author&gt;Maskarinec, Stacey A.&lt;/author&gt;&lt;author&gt;Eichenberger, Emily M.&lt;/author&gt;&lt;author&gt;Shah, Pratik P.&lt;/author&gt;&lt;author&gt;Carugati, Manuela&lt;/author&gt;&lt;author&gt;Holland, Thomas L.&lt;/author&gt;&lt;author&gt;Fowler, Vance G., Jr.&lt;/author&gt;&lt;/authors&gt;&lt;/contributors&gt;&lt;added-date format="utc"&gt;1676573008&lt;/added-date&gt;&lt;ref-type name="Journal Article"&gt;17&lt;/ref-type&gt;&lt;rec-number&gt;322&lt;/rec-number&gt;&lt;last-updated-date format="utc"&gt;1676573559&lt;/last-updated-date&gt;&lt;accession-num&gt;WOS:000461170200006&lt;/accession-num&gt;&lt;electronic-resource-num&gt;10.1038/s41579-018-0147-4&lt;/electronic-resource-num&gt;&lt;volume&gt;17&lt;/volume&gt;&lt;/record&gt;&lt;/Cite&gt;&lt;/EndNote&gt;</w:instrText>
      </w:r>
      <w:r w:rsidRPr="00877818">
        <w:rPr>
          <w:rFonts w:ascii="Times New Roman" w:hAnsi="Times New Roman" w:cs="Times New Roman"/>
          <w:b/>
          <w:bCs/>
        </w:rPr>
        <w:fldChar w:fldCharType="separate"/>
      </w:r>
      <w:r w:rsidRPr="00877818">
        <w:rPr>
          <w:rFonts w:ascii="Times New Roman" w:hAnsi="Times New Roman" w:cs="Times New Roman"/>
          <w:b/>
          <w:bCs/>
          <w:noProof/>
        </w:rPr>
        <w:t>(Turner</w:t>
      </w:r>
      <w:r w:rsidRPr="00877818">
        <w:rPr>
          <w:rFonts w:ascii="Times New Roman" w:hAnsi="Times New Roman" w:cs="Times New Roman"/>
          <w:b/>
          <w:bCs/>
          <w:i/>
          <w:noProof/>
        </w:rPr>
        <w:t xml:space="preserve"> et al.</w:t>
      </w:r>
      <w:r w:rsidRPr="00877818">
        <w:rPr>
          <w:rFonts w:ascii="Times New Roman" w:hAnsi="Times New Roman" w:cs="Times New Roman"/>
          <w:b/>
          <w:bCs/>
          <w:noProof/>
        </w:rPr>
        <w:t>, 2019)</w:t>
      </w:r>
      <w:r w:rsidRPr="00877818">
        <w:rPr>
          <w:rFonts w:ascii="Times New Roman" w:hAnsi="Times New Roman" w:cs="Times New Roman"/>
          <w:b/>
          <w:bCs/>
        </w:rPr>
        <w:fldChar w:fldCharType="end"/>
      </w:r>
      <w:r w:rsidRPr="00877818">
        <w:rPr>
          <w:rFonts w:ascii="Times New Roman" w:hAnsi="Times New Roman" w:cs="Times New Roman"/>
        </w:rPr>
        <w:t xml:space="preserve"> and even with the advent of antibiotics, the mortality rates have been reported as 15-50% </w:t>
      </w:r>
      <w:r w:rsidRPr="00877818">
        <w:rPr>
          <w:rFonts w:ascii="Times New Roman" w:hAnsi="Times New Roman" w:cs="Times New Roman"/>
          <w:b/>
          <w:bCs/>
        </w:rPr>
        <w:fldChar w:fldCharType="begin">
          <w:fldData xml:space="preserve">PEVuZE5vdGU+PENpdGU+PEF1dGhvcj52YW4gSGFsPC9BdXRob3I+PFllYXI+MjAxMjwvWWVhcj48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PEVuZE5vdGU+PENpdGU+PEF1dGhvcj52YW4gSGFsPC9BdXRob3I+PFllYXI+MjAxMjwvWWVhcj48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877818">
        <w:rPr>
          <w:rFonts w:ascii="Times New Roman" w:hAnsi="Times New Roman" w:cs="Times New Roman"/>
          <w:b/>
          <w:bCs/>
        </w:rPr>
      </w:r>
      <w:r w:rsidRPr="00877818">
        <w:rPr>
          <w:rFonts w:ascii="Times New Roman" w:hAnsi="Times New Roman" w:cs="Times New Roman"/>
          <w:b/>
          <w:bCs/>
        </w:rPr>
        <w:fldChar w:fldCharType="separate"/>
      </w:r>
      <w:r>
        <w:rPr>
          <w:rFonts w:ascii="Times New Roman" w:hAnsi="Times New Roman" w:cs="Times New Roman"/>
          <w:b/>
          <w:bCs/>
          <w:noProof/>
        </w:rPr>
        <w:t>(van Hal</w:t>
      </w:r>
      <w:r w:rsidRPr="00963AA2">
        <w:rPr>
          <w:rFonts w:ascii="Times New Roman" w:hAnsi="Times New Roman" w:cs="Times New Roman"/>
          <w:b/>
          <w:bCs/>
          <w:i/>
          <w:noProof/>
        </w:rPr>
        <w:t xml:space="preserve"> et al.</w:t>
      </w:r>
      <w:r>
        <w:rPr>
          <w:rFonts w:ascii="Times New Roman" w:hAnsi="Times New Roman" w:cs="Times New Roman"/>
          <w:b/>
          <w:bCs/>
          <w:noProof/>
        </w:rPr>
        <w:t>, 2012; Lam and Stokes, 2023)</w:t>
      </w:r>
      <w:r w:rsidRPr="00877818">
        <w:rPr>
          <w:rFonts w:ascii="Times New Roman" w:hAnsi="Times New Roman" w:cs="Times New Roman"/>
          <w:b/>
          <w:bCs/>
        </w:rPr>
        <w:fldChar w:fldCharType="end"/>
      </w:r>
      <w:r w:rsidRPr="00877818">
        <w:rPr>
          <w:rFonts w:ascii="Times New Roman" w:hAnsi="Times New Roman" w:cs="Times New Roman"/>
          <w:b/>
          <w:bCs/>
        </w:rPr>
        <w:t>.</w:t>
      </w:r>
      <w:r w:rsidRPr="00877818">
        <w:rPr>
          <w:rFonts w:ascii="Times New Roman" w:hAnsi="Times New Roman" w:cs="Times New Roman"/>
        </w:rPr>
        <w:t xml:space="preserve"> Risk factors of HA-MRSA include long</w:t>
      </w:r>
      <w:r>
        <w:rPr>
          <w:rFonts w:ascii="Times New Roman" w:hAnsi="Times New Roman" w:cs="Times New Roman"/>
        </w:rPr>
        <w:t>-</w:t>
      </w:r>
      <w:r w:rsidRPr="00877818">
        <w:rPr>
          <w:rFonts w:ascii="Times New Roman" w:hAnsi="Times New Roman" w:cs="Times New Roman"/>
        </w:rPr>
        <w:t xml:space="preserve">term hospitalisation, presence of an invasive medical device, surgery and being previously colonised by </w:t>
      </w:r>
      <w:r w:rsidRPr="00877818">
        <w:rPr>
          <w:rFonts w:ascii="Times New Roman" w:hAnsi="Times New Roman" w:cs="Times New Roman"/>
          <w:i/>
          <w:iCs/>
        </w:rPr>
        <w:t>S. aureus</w:t>
      </w:r>
      <w:r w:rsidRPr="00877818">
        <w:rPr>
          <w:rFonts w:ascii="Times New Roman" w:hAnsi="Times New Roman" w:cs="Times New Roman"/>
        </w:rPr>
        <w:t xml:space="preserve"> or MRSA </w:t>
      </w:r>
      <w:r w:rsidRPr="00877818">
        <w:rPr>
          <w:rFonts w:ascii="Times New Roman" w:hAnsi="Times New Roman" w:cs="Times New Roman"/>
          <w:b/>
          <w:bCs/>
        </w:rPr>
        <w:fldChar w:fldCharType="begin"/>
      </w:r>
      <w:r w:rsidRPr="00877818">
        <w:rPr>
          <w:rFonts w:ascii="Times New Roman" w:hAnsi="Times New Roman" w:cs="Times New Roman"/>
          <w:b/>
          <w:bCs/>
        </w:rPr>
        <w:instrText xml:space="preserve"> ADDIN EN.CITE &lt;EndNote&gt;&lt;Cite&gt;&lt;Author&gt;Gajdacs&lt;/Author&gt;&lt;Year&gt;2019&lt;/Year&gt;&lt;IDText&gt;The Continuing Threat of Methicillin-Resistant Staphylococcus aureus&lt;/IDText&gt;&lt;DisplayText&gt;(Gajdacs, 2019)&lt;/DisplayText&gt;&lt;record&gt;&lt;dates&gt;&lt;pub-dates&gt;&lt;date&gt;Jun&lt;/date&gt;&lt;/pub-dates&gt;&lt;year&gt;2019&lt;/year&gt;&lt;/dates&gt;&lt;urls&gt;&lt;related-urls&gt;&lt;/related-urls&gt;&lt;/urls&gt;&lt;titles&gt;&lt;title&gt;&lt;style font="default" size="100%"&gt;The Continuing Threat of Methicillin-Resistant &lt;/style&gt;&lt;style face="italic" font="default" size="100%"&gt;Staphylococcus aureus&lt;/style&gt;&lt;/title&gt;&lt;secondary-title&gt;Antibiotics-Basel&lt;/secondary-title&gt;&lt;/titles&gt;&lt;number&gt;2&lt;/number&gt;&lt;contributors&gt;&lt;authors&gt;&lt;author&gt;Gajdacs, Mario&lt;/author&gt;&lt;/authors&gt;&lt;/contributors&gt;&lt;custom7&gt;52&lt;/custom7&gt;&lt;added-date format="utc"&gt;1663625782&lt;/added-date&gt;&lt;ref-type name="Journal Article"&gt;17&lt;/ref-type&gt;&lt;rec-number&gt;152&lt;/rec-number&gt;&lt;last-updated-date format="utc"&gt;1675729841&lt;/last-updated-date&gt;&lt;accession-num&gt;WOS:000477005400018&lt;/accession-num&gt;&lt;electronic-resource-num&gt;10.3390/antibiotics8020052&lt;/electronic-resource-num&gt;&lt;volume&gt;8&lt;/volume&gt;&lt;/record&gt;&lt;/Cite&gt;&lt;/EndNote&gt;</w:instrText>
      </w:r>
      <w:r w:rsidRPr="00877818">
        <w:rPr>
          <w:rFonts w:ascii="Times New Roman" w:hAnsi="Times New Roman" w:cs="Times New Roman"/>
          <w:b/>
          <w:bCs/>
        </w:rPr>
        <w:fldChar w:fldCharType="separate"/>
      </w:r>
      <w:r w:rsidRPr="00877818">
        <w:rPr>
          <w:rFonts w:ascii="Times New Roman" w:hAnsi="Times New Roman" w:cs="Times New Roman"/>
          <w:b/>
          <w:bCs/>
          <w:noProof/>
        </w:rPr>
        <w:t>(Gajdacs, 2019)</w:t>
      </w:r>
      <w:r w:rsidRPr="00877818">
        <w:rPr>
          <w:rFonts w:ascii="Times New Roman" w:hAnsi="Times New Roman" w:cs="Times New Roman"/>
          <w:b/>
          <w:bCs/>
        </w:rPr>
        <w:fldChar w:fldCharType="end"/>
      </w:r>
      <w:r w:rsidRPr="00877818">
        <w:rPr>
          <w:rFonts w:ascii="Times New Roman" w:hAnsi="Times New Roman" w:cs="Times New Roman"/>
        </w:rPr>
        <w:t>.</w:t>
      </w:r>
      <w:r>
        <w:rPr>
          <w:rFonts w:ascii="Times New Roman" w:hAnsi="Times New Roman" w:cs="Times New Roman"/>
        </w:rPr>
        <w:t xml:space="preserve"> Importantly, </w:t>
      </w:r>
      <w:r>
        <w:rPr>
          <w:rFonts w:ascii="Times New Roman" w:hAnsi="Times New Roman" w:cs="Times New Roman"/>
          <w:i/>
          <w:iCs/>
        </w:rPr>
        <w:t xml:space="preserve">S. aureus </w:t>
      </w:r>
      <w:r>
        <w:rPr>
          <w:rFonts w:ascii="Times New Roman" w:hAnsi="Times New Roman" w:cs="Times New Roman"/>
        </w:rPr>
        <w:t xml:space="preserve">bacteraemia is increasingly becoming a concern </w:t>
      </w:r>
      <w:r w:rsidRPr="009A63FD">
        <w:rPr>
          <w:rFonts w:ascii="Times New Roman" w:hAnsi="Times New Roman" w:cs="Times New Roman"/>
          <w:b/>
          <w:bCs/>
        </w:rPr>
        <w:fldChar w:fldCharType="begin">
          <w:fldData xml:space="preserve">PEVuZE5vdGU+PENpdGU+PEF1dGhvcj5UaHdhaXRlczwvQXV0aG9yPjxZZWFyPjIwMTE8L1llYXI+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</w:fldData>
        </w:fldChar>
      </w:r>
      <w:r w:rsidRPr="009A63FD">
        <w:rPr>
          <w:rFonts w:ascii="Times New Roman" w:hAnsi="Times New Roman" w:cs="Times New Roman"/>
          <w:b/>
          <w:bCs/>
        </w:rPr>
        <w:instrText xml:space="preserve"> ADDIN EN.CITE </w:instrText>
      </w:r>
      <w:r w:rsidRPr="009A63FD">
        <w:rPr>
          <w:rFonts w:ascii="Times New Roman" w:hAnsi="Times New Roman" w:cs="Times New Roman"/>
          <w:b/>
          <w:bCs/>
        </w:rPr>
        <w:fldChar w:fldCharType="begin">
          <w:fldData xml:space="preserve">PEVuZE5vdGU+PENpdGU+PEF1dGhvcj5UaHdhaXRlczwvQXV0aG9yPjxZZWFyPjIwMTE8L1llYXI+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</w:fldData>
        </w:fldChar>
      </w:r>
      <w:r w:rsidRPr="009A63FD">
        <w:rPr>
          <w:rFonts w:ascii="Times New Roman" w:hAnsi="Times New Roman" w:cs="Times New Roman"/>
          <w:b/>
          <w:bCs/>
        </w:rPr>
        <w:instrText xml:space="preserve"> ADDIN EN.CITE.DATA </w:instrText>
      </w:r>
      <w:r w:rsidRPr="009A63FD">
        <w:rPr>
          <w:rFonts w:ascii="Times New Roman" w:hAnsi="Times New Roman" w:cs="Times New Roman"/>
          <w:b/>
          <w:bCs/>
        </w:rPr>
      </w:r>
      <w:r w:rsidRPr="009A63FD">
        <w:rPr>
          <w:rFonts w:ascii="Times New Roman" w:hAnsi="Times New Roman" w:cs="Times New Roman"/>
          <w:b/>
          <w:bCs/>
        </w:rPr>
        <w:fldChar w:fldCharType="end"/>
      </w:r>
      <w:r w:rsidRPr="009A63FD">
        <w:rPr>
          <w:rFonts w:ascii="Times New Roman" w:hAnsi="Times New Roman" w:cs="Times New Roman"/>
          <w:b/>
          <w:bCs/>
        </w:rPr>
      </w:r>
      <w:r w:rsidRPr="009A63FD">
        <w:rPr>
          <w:rFonts w:ascii="Times New Roman" w:hAnsi="Times New Roman" w:cs="Times New Roman"/>
          <w:b/>
          <w:bCs/>
        </w:rPr>
        <w:fldChar w:fldCharType="separate"/>
      </w:r>
      <w:r w:rsidRPr="009A63FD">
        <w:rPr>
          <w:rFonts w:ascii="Times New Roman" w:hAnsi="Times New Roman" w:cs="Times New Roman"/>
          <w:b/>
          <w:bCs/>
          <w:noProof/>
        </w:rPr>
        <w:t>(Thwaites and Gant, 2011; Turner</w:t>
      </w:r>
      <w:r w:rsidRPr="009A63FD">
        <w:rPr>
          <w:rFonts w:ascii="Times New Roman" w:hAnsi="Times New Roman" w:cs="Times New Roman"/>
          <w:b/>
          <w:bCs/>
          <w:i/>
          <w:noProof/>
        </w:rPr>
        <w:t xml:space="preserve"> et al.</w:t>
      </w:r>
      <w:r w:rsidRPr="009A63FD">
        <w:rPr>
          <w:rFonts w:ascii="Times New Roman" w:hAnsi="Times New Roman" w:cs="Times New Roman"/>
          <w:b/>
          <w:bCs/>
          <w:noProof/>
        </w:rPr>
        <w:t>, 2019)</w:t>
      </w:r>
      <w:r w:rsidRPr="009A63FD">
        <w:rPr>
          <w:rFonts w:ascii="Times New Roman" w:hAnsi="Times New Roman" w:cs="Times New Roman"/>
          <w:b/>
          <w:bCs/>
        </w:rPr>
        <w:fldChar w:fldCharType="end"/>
      </w:r>
      <w:r>
        <w:rPr>
          <w:rFonts w:ascii="Times New Roman" w:hAnsi="Times New Roman" w:cs="Times New Roman"/>
          <w:b/>
          <w:bCs/>
        </w:rPr>
        <w:t>.</w:t>
      </w:r>
      <w:r w:rsidRPr="009A63FD">
        <w:rPr>
          <w:rFonts w:ascii="Times New Roman" w:hAnsi="Times New Roman" w:cs="Times New Roman"/>
          <w:b/>
          <w:bCs/>
        </w:rPr>
        <w:t xml:space="preserve"> </w:t>
      </w:r>
      <w:r>
        <w:rPr>
          <w:rFonts w:ascii="Times New Roman" w:hAnsi="Times New Roman" w:cs="Times New Roman"/>
        </w:rPr>
        <w:t xml:space="preserve">Once </w:t>
      </w:r>
      <w:r>
        <w:rPr>
          <w:rFonts w:ascii="Times New Roman" w:hAnsi="Times New Roman" w:cs="Times New Roman"/>
          <w:i/>
          <w:iCs/>
        </w:rPr>
        <w:t>S. aureus</w:t>
      </w:r>
      <w:r>
        <w:rPr>
          <w:rFonts w:ascii="Times New Roman" w:hAnsi="Times New Roman" w:cs="Times New Roman"/>
        </w:rPr>
        <w:t xml:space="preserve"> enters the bloodstream, if not treated in a timely manner, it can be introduced to various organs leading to metastasis </w:t>
      </w:r>
      <w:r w:rsidRPr="00E3175F">
        <w:rPr>
          <w:rFonts w:ascii="Times New Roman" w:hAnsi="Times New Roman" w:cs="Times New Roman"/>
          <w:b/>
          <w:bCs/>
        </w:rPr>
        <w:fldChar w:fldCharType="begin"/>
      </w:r>
      <w:r w:rsidRPr="00E3175F">
        <w:rPr>
          <w:rFonts w:ascii="Times New Roman" w:hAnsi="Times New Roman" w:cs="Times New Roman"/>
          <w:b/>
          <w:bCs/>
        </w:rPr>
        <w:instrText xml:space="preserve"> ADDIN EN.CITE &lt;EndNote&gt;&lt;Cite&gt;&lt;Author&gt;Raineri&lt;/Author&gt;&lt;Year&gt;2022&lt;/Year&gt;&lt;IDText&gt;Staphylococcal trafficking and infection-from &amp;apos;nose to gut&amp;apos; and back&lt;/IDText&gt;&lt;DisplayText&gt;(Raineri, Altulea and van Dijl, 2022)&lt;/DisplayText&gt;&lt;record&gt;&lt;dates&gt;&lt;pub-dates&gt;&lt;date&gt;Jan 18&lt;/date&gt;&lt;/pub-dates&gt;&lt;year&gt;2022&lt;/year&gt;&lt;/dates&gt;&lt;urls&gt;&lt;related-urls&gt;&lt;url&gt;&amp;lt;Go to ISI&amp;gt;://WOS:000753584800001&lt;/url&gt;&lt;/related-urls&gt;&lt;/urls&gt;&lt;isbn&gt;0168-6445&lt;/isbn&gt;&lt;work-type&gt;Review&lt;/work-type&gt;&lt;titles&gt;&lt;title&gt;Staphylococcal trafficking and infection-from &amp;apos;nose to gut&amp;apos; and back&lt;/title&gt;&lt;secondary-title&gt;Fems Microbiology Reviews&lt;/secondary-title&gt;&lt;/titles&gt;&lt;number&gt;1&lt;/number&gt;&lt;contributors&gt;&lt;authors&gt;&lt;author&gt;Raineri, Elisa J. M.&lt;/author&gt;&lt;author&gt;Altulea, Dania&lt;/author&gt;&lt;author&gt;van Dijl, Jan Maarten&lt;/author&gt;&lt;/authors&gt;&lt;/contributors&gt;&lt;custom7&gt;fuab041&lt;/custom7&gt;&lt;added-date format="utc"&gt;1676573544&lt;/added-date&gt;&lt;ref-type name="Journal Article"&gt;17&lt;/ref-type&gt;&lt;rec-number&gt;323&lt;/rec-number&gt;&lt;last-updated-date format="utc"&gt;1676573544&lt;/last-updated-date&gt;&lt;accession-num&gt;WOS:000753584800001&lt;/accession-num&gt;&lt;electronic-resource-num&gt;10.1093/femsre/fuab041&lt;/electronic-resource-num&gt;&lt;volume&gt;46&lt;/volume&gt;&lt;/record&gt;&lt;/Cite&gt;&lt;/EndNote&gt;</w:instrText>
      </w:r>
      <w:r w:rsidRPr="00E3175F">
        <w:rPr>
          <w:rFonts w:ascii="Times New Roman" w:hAnsi="Times New Roman" w:cs="Times New Roman"/>
          <w:b/>
          <w:bCs/>
        </w:rPr>
        <w:fldChar w:fldCharType="separate"/>
      </w:r>
      <w:r w:rsidRPr="00E3175F">
        <w:rPr>
          <w:rFonts w:ascii="Times New Roman" w:hAnsi="Times New Roman" w:cs="Times New Roman"/>
          <w:b/>
          <w:bCs/>
          <w:noProof/>
        </w:rPr>
        <w:t>(Raineri, Altulea and van Dijl, 2022)</w:t>
      </w:r>
      <w:r w:rsidRPr="00E3175F">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and</w:t>
      </w:r>
      <w:r w:rsidR="00E315F1">
        <w:rPr>
          <w:rFonts w:ascii="Times New Roman" w:hAnsi="Times New Roman" w:cs="Times New Roman"/>
        </w:rPr>
        <w:t xml:space="preserve"> can</w:t>
      </w:r>
      <w:r>
        <w:rPr>
          <w:rFonts w:ascii="Times New Roman" w:hAnsi="Times New Roman" w:cs="Times New Roman"/>
        </w:rPr>
        <w:t xml:space="preserve"> thus further complicate treatment, in addition to the issue of antibiotic resistance. </w:t>
      </w:r>
    </w:p>
    <w:p w14:paraId="7293DD9B" w14:textId="77777777" w:rsidR="00033564" w:rsidRDefault="00033564" w:rsidP="00033564">
      <w:pPr>
        <w:pStyle w:val="Heading3"/>
      </w:pPr>
      <w:bookmarkStart w:id="16" w:name="_Toc142043568"/>
      <w:r>
        <w:t>1.1.2. MRSA and its treatment</w:t>
      </w:r>
      <w:bookmarkEnd w:id="16"/>
      <w:r>
        <w:t xml:space="preserve"> </w:t>
      </w:r>
    </w:p>
    <w:p w14:paraId="2DA97D71" w14:textId="77777777" w:rsidR="00033564" w:rsidRDefault="00033564" w:rsidP="00033564">
      <w:pPr>
        <w:spacing w:line="360" w:lineRule="auto"/>
        <w:jc w:val="both"/>
        <w:rPr>
          <w:rFonts w:ascii="Times New Roman" w:hAnsi="Times New Roman" w:cs="Times New Roman"/>
        </w:rPr>
      </w:pPr>
    </w:p>
    <w:p w14:paraId="5A3E34E3" w14:textId="275B2817" w:rsidR="00033564" w:rsidRPr="00081CB6" w:rsidRDefault="00033564" w:rsidP="00033564">
      <w:pPr>
        <w:spacing w:line="360" w:lineRule="auto"/>
        <w:jc w:val="both"/>
        <w:rPr>
          <w:rFonts w:ascii="Times New Roman" w:hAnsi="Times New Roman" w:cs="Times New Roman"/>
        </w:rPr>
      </w:pPr>
      <w:r w:rsidRPr="00B151A5">
        <w:rPr>
          <w:rFonts w:ascii="Times New Roman" w:hAnsi="Times New Roman" w:cs="Times New Roman"/>
        </w:rPr>
        <w:t xml:space="preserve">In </w:t>
      </w:r>
      <w:r>
        <w:rPr>
          <w:rFonts w:ascii="Times New Roman" w:hAnsi="Times New Roman" w:cs="Times New Roman"/>
        </w:rPr>
        <w:t xml:space="preserve">the </w:t>
      </w:r>
      <w:r w:rsidRPr="00B151A5">
        <w:rPr>
          <w:rFonts w:ascii="Times New Roman" w:hAnsi="Times New Roman" w:cs="Times New Roman"/>
        </w:rPr>
        <w:t>1940</w:t>
      </w:r>
      <w:r>
        <w:rPr>
          <w:rFonts w:ascii="Times New Roman" w:hAnsi="Times New Roman" w:cs="Times New Roman"/>
        </w:rPr>
        <w:t>s</w:t>
      </w:r>
      <w:r w:rsidRPr="00B151A5">
        <w:rPr>
          <w:rFonts w:ascii="Times New Roman" w:hAnsi="Times New Roman" w:cs="Times New Roman"/>
        </w:rPr>
        <w:t>, after the discovery and wide administration of penicillin, resistance</w:t>
      </w:r>
      <w:r>
        <w:rPr>
          <w:rFonts w:ascii="Times New Roman" w:hAnsi="Times New Roman" w:cs="Times New Roman"/>
        </w:rPr>
        <w:t xml:space="preserve"> to this drug</w:t>
      </w:r>
      <w:r w:rsidRPr="00B151A5">
        <w:rPr>
          <w:rFonts w:ascii="Times New Roman" w:hAnsi="Times New Roman" w:cs="Times New Roman"/>
        </w:rPr>
        <w:t xml:space="preserve"> had been documented. An extracellular penicillin-inactivating enzyme named penicillinase (β-lactamase) was first reported in an </w:t>
      </w:r>
      <w:r w:rsidRPr="00B151A5">
        <w:rPr>
          <w:rFonts w:ascii="Times New Roman" w:hAnsi="Times New Roman" w:cs="Times New Roman"/>
          <w:i/>
          <w:iCs/>
        </w:rPr>
        <w:t>Escherichia coli</w:t>
      </w:r>
      <w:r w:rsidRPr="00B151A5">
        <w:rPr>
          <w:rFonts w:ascii="Times New Roman" w:hAnsi="Times New Roman" w:cs="Times New Roman"/>
        </w:rPr>
        <w:t xml:space="preserve"> strain </w:t>
      </w:r>
      <w:r w:rsidRPr="00B151A5">
        <w:rPr>
          <w:rFonts w:ascii="Times New Roman" w:hAnsi="Times New Roman" w:cs="Times New Roman"/>
          <w:b/>
          <w:bCs/>
        </w:rPr>
        <w:fldChar w:fldCharType="begin"/>
      </w:r>
      <w:r w:rsidRPr="00B151A5">
        <w:rPr>
          <w:rFonts w:ascii="Times New Roman" w:hAnsi="Times New Roman" w:cs="Times New Roman"/>
          <w:b/>
          <w:bCs/>
        </w:rPr>
        <w:instrText xml:space="preserve"> ADDIN EN.CITE &lt;EndNote&gt;&lt;Cite&gt;&lt;Author&gt;Abraham&lt;/Author&gt;&lt;Year&gt;1988&lt;/Year&gt;&lt;IDText&gt;AN ENZYME FROM BACTERIA ABLE TO DESTROY PENICILLIN (REPRINTED FROM NATURE, VOL 146, PG 837, 1940)&lt;/IDText&gt;&lt;DisplayText&gt;(Abraham and Chain, 1988)&lt;/DisplayText&gt;&lt;record&gt;&lt;dates&gt;&lt;pub-dates&gt;&lt;date&gt;Jul-Aug&lt;/date&gt;&lt;/pub-dates&gt;&lt;year&gt;1988&lt;/year&gt;&lt;/dates&gt;&lt;urls&gt;&lt;related-urls&gt;&lt;url&gt;&amp;lt;Go to ISI&amp;gt;://WOS:A1988P540200002&lt;/url&gt;&lt;/related-urls&gt;&lt;/urls&gt;&lt;isbn&gt;0162-0886&lt;/isbn&gt;&lt;work-type&gt;Article&lt;/work-type&gt;&lt;titles&gt;&lt;title&gt;AN ENZYME FROM BACTERIA ABLE TO DESTROY PENICILLIN (REPRINTED FROM NATURE, VOL 146, PG 837, 1940)&lt;/title&gt;&lt;secondary-title&gt;Reviews of Infectious Diseases&lt;/secondary-title&gt;&lt;/titles&gt;&lt;pages&gt;677-678&lt;/pages&gt;&lt;number&gt;4&lt;/number&gt;&lt;contributors&gt;&lt;authors&gt;&lt;author&gt;Abraham, E. P.&lt;/author&gt;&lt;author&gt;Chain, E.&lt;/author&gt;&lt;/authors&gt;&lt;/contributors&gt;&lt;added-date format="utc"&gt;1676637201&lt;/added-date&gt;&lt;ref-type name="Journal Article"&gt;17&lt;/ref-type&gt;&lt;rec-number&gt;329&lt;/rec-number&gt;&lt;last-updated-date format="utc"&gt;1676637201&lt;/last-updated-date&gt;&lt;accession-num&gt;WOS:A1988P540200002&lt;/accession-num&gt;&lt;volume&gt;10&lt;/volume&gt;&lt;/record&gt;&lt;/Cite&gt;&lt;/EndNote&gt;</w:instrText>
      </w:r>
      <w:r w:rsidRPr="00B151A5">
        <w:rPr>
          <w:rFonts w:ascii="Times New Roman" w:hAnsi="Times New Roman" w:cs="Times New Roman"/>
          <w:b/>
          <w:bCs/>
        </w:rPr>
        <w:fldChar w:fldCharType="separate"/>
      </w:r>
      <w:r w:rsidRPr="00B151A5">
        <w:rPr>
          <w:rFonts w:ascii="Times New Roman" w:hAnsi="Times New Roman" w:cs="Times New Roman"/>
          <w:b/>
          <w:bCs/>
          <w:noProof/>
        </w:rPr>
        <w:t>(Abraham and Chain, 1988)</w:t>
      </w:r>
      <w:r w:rsidRPr="00B151A5">
        <w:rPr>
          <w:rFonts w:ascii="Times New Roman" w:hAnsi="Times New Roman" w:cs="Times New Roman"/>
          <w:b/>
          <w:bCs/>
        </w:rPr>
        <w:fldChar w:fldCharType="end"/>
      </w:r>
      <w:r w:rsidRPr="00B151A5">
        <w:rPr>
          <w:rFonts w:ascii="Times New Roman" w:hAnsi="Times New Roman" w:cs="Times New Roman"/>
        </w:rPr>
        <w:t xml:space="preserve">. Resistance became a </w:t>
      </w:r>
      <w:r>
        <w:rPr>
          <w:rFonts w:ascii="Times New Roman" w:hAnsi="Times New Roman" w:cs="Times New Roman"/>
        </w:rPr>
        <w:t xml:space="preserve">significant </w:t>
      </w:r>
      <w:r w:rsidRPr="00B151A5">
        <w:rPr>
          <w:rFonts w:ascii="Times New Roman" w:hAnsi="Times New Roman" w:cs="Times New Roman"/>
        </w:rPr>
        <w:t xml:space="preserve">issue by the 1960s, where over 80% of infections were caused by strains producing penicillinase </w:t>
      </w:r>
      <w:r w:rsidRPr="00B151A5">
        <w:rPr>
          <w:rFonts w:ascii="Times New Roman" w:hAnsi="Times New Roman" w:cs="Times New Roman"/>
          <w:b/>
          <w:bCs/>
        </w:rPr>
        <w:fldChar w:fldCharType="begin"/>
      </w:r>
      <w:r w:rsidRPr="00B151A5">
        <w:rPr>
          <w:rFonts w:ascii="Times New Roman" w:hAnsi="Times New Roman" w:cs="Times New Roman"/>
          <w:b/>
          <w:bCs/>
        </w:rPr>
        <w:instrText xml:space="preserve"> ADDIN EN.CITE &lt;EndNote&gt;&lt;Cite&gt;&lt;Author&gt;Lowy&lt;/Author&gt;&lt;Year&gt;2003&lt;/Year&gt;&lt;IDText&gt;Antimicrobial resistance: the example of Staphylococcus aureus&lt;/IDText&gt;&lt;DisplayText&gt;(Lowy, 2003)&lt;/DisplayText&gt;&lt;record&gt;&lt;dates&gt;&lt;pub-dates&gt;&lt;date&gt;May&lt;/date&gt;&lt;/pub-dates&gt;&lt;year&gt;2003&lt;/year&gt;&lt;/dates&gt;&lt;urls&gt;&lt;related-urls&gt;&lt;url&gt;&amp;lt;Go to ISI&amp;gt;://WOS:000182605400001&lt;/url&gt;&lt;/related-urls&gt;&lt;/urls&gt;&lt;isbn&gt;0021-9738&lt;/isbn&gt;&lt;titles&gt;&lt;title&gt;Antimicrobial resistance: the example of Staphylococcus aureus&lt;/title&gt;&lt;secondary-title&gt;Journal of Clinical Investigation&lt;/secondary-title&gt;&lt;/titles&gt;&lt;pages&gt;1265-1273&lt;/pages&gt;&lt;number&gt;9&lt;/number&gt;&lt;contributors&gt;&lt;authors&gt;&lt;author&gt;Lowy, F. D.&lt;/author&gt;&lt;/authors&gt;&lt;/contributors&gt;&lt;added-date format="utc"&gt;1663625919&lt;/added-date&gt;&lt;ref-type name="Journal Article"&gt;17&lt;/ref-type&gt;&lt;rec-number&gt;156&lt;/rec-number&gt;&lt;last-updated-date format="utc"&gt;1664027853&lt;/last-updated-date&gt;&lt;accession-num&gt;WOS:000182605400001&lt;/accession-num&gt;&lt;electronic-resource-num&gt;10.1172/jc1200318535&lt;/electronic-resource-num&gt;&lt;volume&gt;111&lt;/volume&gt;&lt;/record&gt;&lt;/Cite&gt;&lt;/EndNote&gt;</w:instrText>
      </w:r>
      <w:r w:rsidRPr="00B151A5">
        <w:rPr>
          <w:rFonts w:ascii="Times New Roman" w:hAnsi="Times New Roman" w:cs="Times New Roman"/>
          <w:b/>
          <w:bCs/>
        </w:rPr>
        <w:fldChar w:fldCharType="separate"/>
      </w:r>
      <w:r w:rsidRPr="00B151A5">
        <w:rPr>
          <w:rFonts w:ascii="Times New Roman" w:hAnsi="Times New Roman" w:cs="Times New Roman"/>
          <w:b/>
          <w:bCs/>
          <w:noProof/>
        </w:rPr>
        <w:t>(Lowy, 2003)</w:t>
      </w:r>
      <w:r w:rsidRPr="00B151A5">
        <w:rPr>
          <w:rFonts w:ascii="Times New Roman" w:hAnsi="Times New Roman" w:cs="Times New Roman"/>
          <w:b/>
          <w:bCs/>
        </w:rPr>
        <w:fldChar w:fldCharType="end"/>
      </w:r>
      <w:r w:rsidRPr="00B151A5">
        <w:rPr>
          <w:rFonts w:ascii="Times New Roman" w:hAnsi="Times New Roman" w:cs="Times New Roman"/>
        </w:rPr>
        <w:t xml:space="preserve">, highlighting how resistance can develop very shortly after </w:t>
      </w:r>
      <w:r>
        <w:rPr>
          <w:rFonts w:ascii="Times New Roman" w:hAnsi="Times New Roman" w:cs="Times New Roman"/>
        </w:rPr>
        <w:t xml:space="preserve">antibiotic </w:t>
      </w:r>
      <w:r w:rsidRPr="00B151A5">
        <w:rPr>
          <w:rFonts w:ascii="Times New Roman" w:hAnsi="Times New Roman" w:cs="Times New Roman"/>
        </w:rPr>
        <w:t>use as bacteria are constantly evolving. After the introduction of methicillin (</w:t>
      </w:r>
      <w:r>
        <w:rPr>
          <w:rFonts w:ascii="Times New Roman" w:hAnsi="Times New Roman" w:cs="Times New Roman"/>
        </w:rPr>
        <w:t xml:space="preserve">a </w:t>
      </w:r>
      <w:r w:rsidRPr="00B151A5">
        <w:rPr>
          <w:rFonts w:ascii="Times New Roman" w:hAnsi="Times New Roman" w:cs="Times New Roman"/>
        </w:rPr>
        <w:t>β-lactam</w:t>
      </w:r>
      <w:r>
        <w:rPr>
          <w:rFonts w:ascii="Times New Roman" w:hAnsi="Times New Roman" w:cs="Times New Roman"/>
        </w:rPr>
        <w:t xml:space="preserve"> </w:t>
      </w:r>
      <w:r w:rsidRPr="00B151A5">
        <w:rPr>
          <w:rFonts w:ascii="Times New Roman" w:hAnsi="Times New Roman" w:cs="Times New Roman"/>
        </w:rPr>
        <w:t xml:space="preserve">resistant to β-lactamases), MRSA was first described in </w:t>
      </w:r>
      <w:r w:rsidRPr="00B151A5">
        <w:rPr>
          <w:rFonts w:ascii="Times New Roman" w:hAnsi="Times New Roman" w:cs="Times New Roman"/>
          <w:i/>
          <w:iCs/>
        </w:rPr>
        <w:t>S. aureus</w:t>
      </w:r>
      <w:r>
        <w:rPr>
          <w:rFonts w:ascii="Times New Roman" w:hAnsi="Times New Roman" w:cs="Times New Roman"/>
          <w:i/>
          <w:iCs/>
        </w:rPr>
        <w:t xml:space="preserve"> </w:t>
      </w:r>
      <w:r w:rsidRPr="00B151A5">
        <w:rPr>
          <w:rFonts w:ascii="Times New Roman" w:hAnsi="Times New Roman" w:cs="Times New Roman"/>
        </w:rPr>
        <w:t>in 1961</w:t>
      </w:r>
      <w:r>
        <w:rPr>
          <w:rFonts w:ascii="Times New Roman" w:hAnsi="Times New Roman" w:cs="Times New Roman"/>
        </w:rPr>
        <w:t xml:space="preserve"> and </w:t>
      </w:r>
      <w:r w:rsidRPr="00B151A5">
        <w:rPr>
          <w:rFonts w:ascii="Times New Roman" w:hAnsi="Times New Roman" w:cs="Times New Roman"/>
        </w:rPr>
        <w:t xml:space="preserve">was found to employ a different method of resistance in 1981. </w:t>
      </w:r>
      <w:r>
        <w:rPr>
          <w:rFonts w:ascii="Times New Roman" w:hAnsi="Times New Roman" w:cs="Times New Roman"/>
        </w:rPr>
        <w:t>Methicillin-r</w:t>
      </w:r>
      <w:r w:rsidRPr="00B151A5">
        <w:rPr>
          <w:rFonts w:ascii="Times New Roman" w:hAnsi="Times New Roman" w:cs="Times New Roman"/>
        </w:rPr>
        <w:t>esistant bacteria produced an altered version of</w:t>
      </w:r>
      <w:r>
        <w:rPr>
          <w:rFonts w:ascii="Times New Roman" w:hAnsi="Times New Roman" w:cs="Times New Roman"/>
        </w:rPr>
        <w:t xml:space="preserve"> the PBP named</w:t>
      </w:r>
      <w:r w:rsidRPr="00B151A5">
        <w:rPr>
          <w:rFonts w:ascii="Times New Roman" w:hAnsi="Times New Roman" w:cs="Times New Roman"/>
        </w:rPr>
        <w:t xml:space="preserve"> PBP2a, </w:t>
      </w:r>
      <w:r>
        <w:rPr>
          <w:rFonts w:ascii="Times New Roman" w:hAnsi="Times New Roman" w:cs="Times New Roman"/>
        </w:rPr>
        <w:t>encoded on</w:t>
      </w:r>
      <w:r w:rsidRPr="00B151A5">
        <w:rPr>
          <w:rFonts w:ascii="Times New Roman" w:hAnsi="Times New Roman" w:cs="Times New Roman"/>
        </w:rPr>
        <w:t xml:space="preserve"> </w:t>
      </w:r>
      <w:r>
        <w:rPr>
          <w:rFonts w:ascii="Times New Roman" w:hAnsi="Times New Roman" w:cs="Times New Roman"/>
        </w:rPr>
        <w:t xml:space="preserve"> </w:t>
      </w:r>
      <w:r w:rsidRPr="00B151A5">
        <w:rPr>
          <w:rFonts w:ascii="Times New Roman" w:hAnsi="Times New Roman" w:cs="Times New Roman"/>
        </w:rPr>
        <w:t xml:space="preserve">staphylococcal chromosome cassette </w:t>
      </w:r>
      <w:r w:rsidRPr="00B151A5">
        <w:rPr>
          <w:rFonts w:ascii="Times New Roman" w:hAnsi="Times New Roman" w:cs="Times New Roman"/>
          <w:i/>
          <w:iCs/>
        </w:rPr>
        <w:t>mec</w:t>
      </w:r>
      <w:r w:rsidRPr="00B151A5">
        <w:rPr>
          <w:rFonts w:ascii="Times New Roman" w:hAnsi="Times New Roman" w:cs="Times New Roman"/>
        </w:rPr>
        <w:t xml:space="preserve"> (SCC</w:t>
      </w:r>
      <w:r w:rsidRPr="00B151A5">
        <w:rPr>
          <w:rFonts w:ascii="Times New Roman" w:hAnsi="Times New Roman" w:cs="Times New Roman"/>
          <w:i/>
          <w:iCs/>
        </w:rPr>
        <w:t>mec</w:t>
      </w:r>
      <w:r w:rsidRPr="00B151A5">
        <w:rPr>
          <w:rFonts w:ascii="Times New Roman" w:hAnsi="Times New Roman" w:cs="Times New Roman"/>
        </w:rPr>
        <w:t xml:space="preserve">), an MGE, which is part of the </w:t>
      </w:r>
      <w:r w:rsidRPr="00B151A5">
        <w:rPr>
          <w:rFonts w:ascii="Times New Roman" w:hAnsi="Times New Roman" w:cs="Times New Roman"/>
          <w:i/>
          <w:iCs/>
        </w:rPr>
        <w:lastRenderedPageBreak/>
        <w:t xml:space="preserve">S. aureus </w:t>
      </w:r>
      <w:r w:rsidRPr="00B151A5">
        <w:rPr>
          <w:rFonts w:ascii="Times New Roman" w:hAnsi="Times New Roman" w:cs="Times New Roman"/>
        </w:rPr>
        <w:t xml:space="preserve">chromosome </w:t>
      </w:r>
      <w:r w:rsidRPr="006554F7">
        <w:rPr>
          <w:rFonts w:ascii="Times New Roman" w:hAnsi="Times New Roman" w:cs="Times New Roman"/>
          <w:b/>
          <w:bCs/>
        </w:rPr>
        <w:fldChar w:fldCharType="begin"/>
      </w:r>
      <w:r w:rsidRPr="006554F7">
        <w:rPr>
          <w:rFonts w:ascii="Times New Roman" w:hAnsi="Times New Roman" w:cs="Times New Roman"/>
          <w:b/>
          <w:bCs/>
        </w:rPr>
        <w:instrText xml:space="preserve"> ADDIN EN.CITE &lt;EndNote&gt;&lt;Cite&gt;&lt;Author&gt;Katayama&lt;/Author&gt;&lt;Year&gt;2000&lt;/Year&gt;&lt;IDText&gt;A new class of genetic element, staphylococcus cassette chromosome mec, encodes methicillin resistance in Staphylococcus aureus&lt;/IDText&gt;&lt;DisplayText&gt;(Katayama, Ito and Hiramatsu, 2000)&lt;/DisplayText&gt;&lt;record&gt;&lt;dates&gt;&lt;pub-dates&gt;&lt;date&gt;Jun&lt;/date&gt;&lt;/pub-dates&gt;&lt;year&gt;2000&lt;/year&gt;&lt;/dates&gt;&lt;urls&gt;&lt;related-urls&gt;&lt;url&gt;&amp;lt;Go to ISI&amp;gt;://WOS:000087156100022&lt;/url&gt;&lt;/related-urls&gt;&lt;/urls&gt;&lt;isbn&gt;0066-4804&lt;/isbn&gt;&lt;titles&gt;&lt;title&gt;A new class of genetic element, staphylococcus cassette chromosome mec, encodes methicillin resistance in Staphylococcus aureus&lt;/title&gt;&lt;secondary-title&gt;Antimicrobial Agents and Chemotherapy&lt;/secondary-title&gt;&lt;/titles&gt;&lt;pages&gt;1549-1555&lt;/pages&gt;&lt;number&gt;6&lt;/number&gt;&lt;contributors&gt;&lt;authors&gt;&lt;author&gt;Katayama, Y.&lt;/author&gt;&lt;author&gt;Ito, T.&lt;/author&gt;&lt;author&gt;Hiramatsu, K.&lt;/author&gt;&lt;/authors&gt;&lt;/contributors&gt;&lt;added-date format="utc"&gt;1663625863&lt;/added-date&gt;&lt;ref-type name="Journal Article"&gt;17&lt;/ref-type&gt;&lt;rec-number&gt;154&lt;/rec-number&gt;&lt;last-updated-date format="utc"&gt;1664027853&lt;/last-updated-date&gt;&lt;accession-num&gt;WOS:000087156100022&lt;/accession-num&gt;&lt;electronic-resource-num&gt;10.1128/aac.44.6.1549-1555.2000&lt;/electronic-resource-num&gt;&lt;volume&gt;44&lt;/volume&gt;&lt;/record&gt;&lt;/Cite&gt;&lt;/EndNote&gt;</w:instrText>
      </w:r>
      <w:r w:rsidRPr="006554F7">
        <w:rPr>
          <w:rFonts w:ascii="Times New Roman" w:hAnsi="Times New Roman" w:cs="Times New Roman"/>
          <w:b/>
          <w:bCs/>
        </w:rPr>
        <w:fldChar w:fldCharType="separate"/>
      </w:r>
      <w:r w:rsidRPr="006554F7">
        <w:rPr>
          <w:rFonts w:ascii="Times New Roman" w:hAnsi="Times New Roman" w:cs="Times New Roman"/>
          <w:b/>
          <w:bCs/>
          <w:noProof/>
        </w:rPr>
        <w:t>(Katayama, Ito and Hiramatsu, 2000)</w:t>
      </w:r>
      <w:r w:rsidRPr="006554F7">
        <w:rPr>
          <w:rFonts w:ascii="Times New Roman" w:hAnsi="Times New Roman" w:cs="Times New Roman"/>
          <w:b/>
          <w:bCs/>
        </w:rPr>
        <w:fldChar w:fldCharType="end"/>
      </w:r>
      <w:r>
        <w:rPr>
          <w:rFonts w:ascii="Times New Roman" w:hAnsi="Times New Roman" w:cs="Times New Roman"/>
        </w:rPr>
        <w:t xml:space="preserve">. In addition to </w:t>
      </w:r>
      <w:r>
        <w:rPr>
          <w:rFonts w:ascii="Times New Roman" w:hAnsi="Times New Roman" w:cs="Times New Roman"/>
          <w:i/>
          <w:iCs/>
        </w:rPr>
        <w:t>mecA</w:t>
      </w:r>
      <w:r>
        <w:rPr>
          <w:rFonts w:ascii="Times New Roman" w:hAnsi="Times New Roman" w:cs="Times New Roman"/>
        </w:rPr>
        <w:t xml:space="preserve">, the </w:t>
      </w:r>
      <w:r w:rsidRPr="00A20C3D">
        <w:rPr>
          <w:rFonts w:ascii="Times New Roman" w:hAnsi="Times New Roman" w:cs="Times New Roman"/>
          <w:i/>
          <w:iCs/>
        </w:rPr>
        <w:t>mec</w:t>
      </w:r>
      <w:r>
        <w:rPr>
          <w:rFonts w:ascii="Times New Roman" w:hAnsi="Times New Roman" w:cs="Times New Roman"/>
        </w:rPr>
        <w:t xml:space="preserve"> gene complex also contains the </w:t>
      </w:r>
      <w:r>
        <w:rPr>
          <w:rFonts w:ascii="Times New Roman" w:hAnsi="Times New Roman" w:cs="Times New Roman"/>
          <w:i/>
          <w:iCs/>
        </w:rPr>
        <w:t>mecA</w:t>
      </w:r>
      <w:r>
        <w:rPr>
          <w:rFonts w:ascii="Times New Roman" w:hAnsi="Times New Roman" w:cs="Times New Roman"/>
        </w:rPr>
        <w:t xml:space="preserve"> regulatory genes, </w:t>
      </w:r>
      <w:r>
        <w:rPr>
          <w:rFonts w:ascii="Times New Roman" w:hAnsi="Times New Roman" w:cs="Times New Roman"/>
          <w:i/>
          <w:iCs/>
        </w:rPr>
        <w:t xml:space="preserve">mecRI and mecI </w:t>
      </w:r>
      <w:r w:rsidRPr="000B1F09">
        <w:rPr>
          <w:rFonts w:ascii="Times New Roman" w:hAnsi="Times New Roman" w:cs="Times New Roman"/>
          <w:b/>
          <w:bCs/>
        </w:rPr>
        <w:fldChar w:fldCharType="begin">
          <w:fldData xml:space="preserve">PEVuZE5vdGU+PENpdGU+PEF1dGhvcj5UZXNjaDwvQXV0aG9yPjxZZWFyPjE5OTA8L1llYXI+PElE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</w:fldData>
        </w:fldChar>
      </w:r>
      <w:r w:rsidRPr="000B1F09">
        <w:rPr>
          <w:rFonts w:ascii="Times New Roman" w:hAnsi="Times New Roman" w:cs="Times New Roman"/>
          <w:b/>
          <w:bCs/>
        </w:rPr>
        <w:instrText xml:space="preserve"> ADDIN EN.CITE </w:instrText>
      </w:r>
      <w:r w:rsidRPr="000B1F09">
        <w:rPr>
          <w:rFonts w:ascii="Times New Roman" w:hAnsi="Times New Roman" w:cs="Times New Roman"/>
          <w:b/>
          <w:bCs/>
        </w:rPr>
        <w:fldChar w:fldCharType="begin">
          <w:fldData xml:space="preserve">PEVuZE5vdGU+PENpdGU+PEF1dGhvcj5UZXNjaDwvQXV0aG9yPjxZZWFyPjE5OTA8L1llYXI+PElE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</w:fldData>
        </w:fldChar>
      </w:r>
      <w:r w:rsidRPr="000B1F09">
        <w:rPr>
          <w:rFonts w:ascii="Times New Roman" w:hAnsi="Times New Roman" w:cs="Times New Roman"/>
          <w:b/>
          <w:bCs/>
        </w:rPr>
        <w:instrText xml:space="preserve"> ADDIN EN.CITE.DATA </w:instrText>
      </w:r>
      <w:r w:rsidRPr="000B1F09">
        <w:rPr>
          <w:rFonts w:ascii="Times New Roman" w:hAnsi="Times New Roman" w:cs="Times New Roman"/>
          <w:b/>
          <w:bCs/>
        </w:rPr>
      </w:r>
      <w:r w:rsidRPr="000B1F09">
        <w:rPr>
          <w:rFonts w:ascii="Times New Roman" w:hAnsi="Times New Roman" w:cs="Times New Roman"/>
          <w:b/>
          <w:bCs/>
        </w:rPr>
        <w:fldChar w:fldCharType="end"/>
      </w:r>
      <w:r w:rsidRPr="000B1F09">
        <w:rPr>
          <w:rFonts w:ascii="Times New Roman" w:hAnsi="Times New Roman" w:cs="Times New Roman"/>
          <w:b/>
          <w:bCs/>
        </w:rPr>
      </w:r>
      <w:r w:rsidRPr="000B1F09">
        <w:rPr>
          <w:rFonts w:ascii="Times New Roman" w:hAnsi="Times New Roman" w:cs="Times New Roman"/>
          <w:b/>
          <w:bCs/>
        </w:rPr>
        <w:fldChar w:fldCharType="separate"/>
      </w:r>
      <w:r w:rsidRPr="000B1F09">
        <w:rPr>
          <w:rFonts w:ascii="Times New Roman" w:hAnsi="Times New Roman" w:cs="Times New Roman"/>
          <w:b/>
          <w:bCs/>
          <w:noProof/>
        </w:rPr>
        <w:t>(Tesch et al., 1990; Sharma et al., 1998)</w:t>
      </w:r>
      <w:r w:rsidRPr="000B1F09">
        <w:rPr>
          <w:rFonts w:ascii="Times New Roman" w:hAnsi="Times New Roman" w:cs="Times New Roman"/>
          <w:b/>
          <w:bCs/>
        </w:rPr>
        <w:fldChar w:fldCharType="end"/>
      </w:r>
      <w:r>
        <w:rPr>
          <w:rFonts w:ascii="Times New Roman" w:hAnsi="Times New Roman" w:cs="Times New Roman"/>
          <w:i/>
          <w:iCs/>
        </w:rPr>
        <w:t xml:space="preserve">. </w:t>
      </w:r>
      <w:r>
        <w:rPr>
          <w:rFonts w:ascii="Times New Roman" w:hAnsi="Times New Roman" w:cs="Times New Roman"/>
        </w:rPr>
        <w:t>SCC</w:t>
      </w:r>
      <w:r>
        <w:rPr>
          <w:rFonts w:ascii="Times New Roman" w:hAnsi="Times New Roman" w:cs="Times New Roman"/>
          <w:i/>
          <w:iCs/>
        </w:rPr>
        <w:t xml:space="preserve">mec </w:t>
      </w:r>
      <w:r>
        <w:rPr>
          <w:rFonts w:ascii="Times New Roman" w:hAnsi="Times New Roman" w:cs="Times New Roman"/>
        </w:rPr>
        <w:t xml:space="preserve">also encodes for the </w:t>
      </w:r>
      <w:r>
        <w:rPr>
          <w:rFonts w:ascii="Times New Roman" w:hAnsi="Times New Roman" w:cs="Times New Roman"/>
          <w:i/>
          <w:iCs/>
        </w:rPr>
        <w:t>c</w:t>
      </w:r>
      <w:r w:rsidR="00E315F1">
        <w:rPr>
          <w:rFonts w:ascii="Times New Roman" w:hAnsi="Times New Roman" w:cs="Times New Roman"/>
          <w:i/>
          <w:iCs/>
        </w:rPr>
        <w:t>c</w:t>
      </w:r>
      <w:r>
        <w:rPr>
          <w:rFonts w:ascii="Times New Roman" w:hAnsi="Times New Roman" w:cs="Times New Roman"/>
          <w:i/>
          <w:iCs/>
        </w:rPr>
        <w:t xml:space="preserve">r </w:t>
      </w:r>
      <w:r>
        <w:rPr>
          <w:rFonts w:ascii="Times New Roman" w:hAnsi="Times New Roman" w:cs="Times New Roman"/>
        </w:rPr>
        <w:t>gene complex encoding for two site-specific cassette chromosome recombinases (C</w:t>
      </w:r>
      <w:r w:rsidR="00E315F1">
        <w:rPr>
          <w:rFonts w:ascii="Times New Roman" w:hAnsi="Times New Roman" w:cs="Times New Roman"/>
        </w:rPr>
        <w:t>cr</w:t>
      </w:r>
      <w:r>
        <w:rPr>
          <w:rFonts w:ascii="Times New Roman" w:hAnsi="Times New Roman" w:cs="Times New Roman"/>
        </w:rPr>
        <w:t>A and C</w:t>
      </w:r>
      <w:r w:rsidR="00E315F1">
        <w:rPr>
          <w:rFonts w:ascii="Times New Roman" w:hAnsi="Times New Roman" w:cs="Times New Roman"/>
        </w:rPr>
        <w:t>c</w:t>
      </w:r>
      <w:r>
        <w:rPr>
          <w:rFonts w:ascii="Times New Roman" w:hAnsi="Times New Roman" w:cs="Times New Roman"/>
        </w:rPr>
        <w:t xml:space="preserve">rB), that are required for the excision and insertion of SCC into the </w:t>
      </w:r>
      <w:r>
        <w:rPr>
          <w:rFonts w:ascii="Times New Roman" w:hAnsi="Times New Roman" w:cs="Times New Roman"/>
          <w:i/>
          <w:iCs/>
        </w:rPr>
        <w:t xml:space="preserve">S. aureus </w:t>
      </w:r>
      <w:r>
        <w:rPr>
          <w:rFonts w:ascii="Times New Roman" w:hAnsi="Times New Roman" w:cs="Times New Roman"/>
        </w:rPr>
        <w:t xml:space="preserve">genome at the 3’ end of </w:t>
      </w:r>
      <w:r>
        <w:rPr>
          <w:rFonts w:ascii="Times New Roman" w:hAnsi="Times New Roman" w:cs="Times New Roman"/>
          <w:i/>
          <w:iCs/>
        </w:rPr>
        <w:t xml:space="preserve">rlmH </w:t>
      </w:r>
      <w:r>
        <w:rPr>
          <w:rFonts w:ascii="Times New Roman" w:hAnsi="Times New Roman" w:cs="Times New Roman"/>
        </w:rPr>
        <w:t>(</w:t>
      </w:r>
      <w:r>
        <w:rPr>
          <w:rFonts w:ascii="Times New Roman" w:hAnsi="Times New Roman" w:cs="Times New Roman"/>
          <w:i/>
          <w:iCs/>
        </w:rPr>
        <w:t>orfX</w:t>
      </w:r>
      <w:r>
        <w:rPr>
          <w:rFonts w:ascii="Times New Roman" w:hAnsi="Times New Roman" w:cs="Times New Roman"/>
        </w:rPr>
        <w:t xml:space="preserve">) </w:t>
      </w:r>
      <w:r w:rsidRPr="000B1F09">
        <w:rPr>
          <w:rFonts w:ascii="Times New Roman" w:hAnsi="Times New Roman" w:cs="Times New Roman"/>
          <w:b/>
          <w:bCs/>
        </w:rPr>
        <w:fldChar w:fldCharType="begin"/>
      </w:r>
      <w:r w:rsidRPr="000B1F09">
        <w:rPr>
          <w:rFonts w:ascii="Times New Roman" w:hAnsi="Times New Roman" w:cs="Times New Roman"/>
          <w:b/>
          <w:bCs/>
        </w:rPr>
        <w:instrText xml:space="preserve"> ADDIN EN.CITE &lt;EndNote&gt;&lt;Cite&gt;&lt;Author&gt;Ito&lt;/Author&gt;&lt;Year&gt;1999&lt;/Year&gt;&lt;IDText&gt;Cloning and nucleotide sequence determination of the entire mec DNA of pre-methicillin-resistant Staphylococcus aureus N315&lt;/IDText&gt;&lt;DisplayText&gt;(Ito, Katayama and Hiramatsu, 1999)&lt;/DisplayText&gt;&lt;record&gt;&lt;dates&gt;&lt;pub-dates&gt;&lt;date&gt;Jun&lt;/date&gt;&lt;/pub-dates&gt;&lt;year&gt;1999&lt;/year&gt;&lt;/dates&gt;&lt;urls&gt;&lt;related-urls&gt;&lt;url&gt;&amp;lt;Go to ISI&amp;gt;://WOS:000080601500025&lt;/url&gt;&lt;/related-urls&gt;&lt;/urls&gt;&lt;isbn&gt;0066-4804&lt;/isbn&gt;&lt;titles&gt;&lt;title&gt;Cloning and nucleotide sequence determination of the entire mec DNA of pre-methicillin-resistant Staphylococcus aureus N315&lt;/title&gt;&lt;secondary-title&gt;Antimicrobial Agents and Chemotherapy&lt;/secondary-title&gt;&lt;/titles&gt;&lt;pages&gt;1449-1458&lt;/pages&gt;&lt;number&gt;6&lt;/number&gt;&lt;contributors&gt;&lt;authors&gt;&lt;author&gt;Ito, T.&lt;/author&gt;&lt;author&gt;Katayama, Y.&lt;/author&gt;&lt;author&gt;Hiramatsu, K.&lt;/author&gt;&lt;/authors&gt;&lt;/contributors&gt;&lt;added-date format="utc"&gt;1677631649&lt;/added-date&gt;&lt;ref-type name="Journal Article"&gt;17&lt;/ref-type&gt;&lt;rec-number&gt;596&lt;/rec-number&gt;&lt;last-updated-date format="utc"&gt;1677631649&lt;/last-updated-date&gt;&lt;accession-num&gt;WOS:000080601500025&lt;/accession-num&gt;&lt;electronic-resource-num&gt;10.1128/aac.43.6.1449&lt;/electronic-resource-num&gt;&lt;volume&gt;43&lt;/volume&gt;&lt;/record&gt;&lt;/Cite&gt;&lt;/EndNote&gt;</w:instrText>
      </w:r>
      <w:r w:rsidRPr="000B1F09">
        <w:rPr>
          <w:rFonts w:ascii="Times New Roman" w:hAnsi="Times New Roman" w:cs="Times New Roman"/>
          <w:b/>
          <w:bCs/>
        </w:rPr>
        <w:fldChar w:fldCharType="separate"/>
      </w:r>
      <w:r w:rsidRPr="000B1F09">
        <w:rPr>
          <w:rFonts w:ascii="Times New Roman" w:hAnsi="Times New Roman" w:cs="Times New Roman"/>
          <w:b/>
          <w:bCs/>
          <w:noProof/>
        </w:rPr>
        <w:t>(Ito, Katayama and Hiramatsu, 1999)</w:t>
      </w:r>
      <w:r w:rsidRPr="000B1F09">
        <w:rPr>
          <w:rFonts w:ascii="Times New Roman" w:hAnsi="Times New Roman" w:cs="Times New Roman"/>
          <w:b/>
          <w:bCs/>
        </w:rPr>
        <w:fldChar w:fldCharType="end"/>
      </w:r>
      <w:r>
        <w:rPr>
          <w:rFonts w:ascii="Times New Roman" w:hAnsi="Times New Roman" w:cs="Times New Roman"/>
        </w:rPr>
        <w:t xml:space="preserve">. While the presence of the </w:t>
      </w:r>
      <w:r>
        <w:rPr>
          <w:rFonts w:ascii="Times New Roman" w:hAnsi="Times New Roman" w:cs="Times New Roman"/>
          <w:i/>
          <w:iCs/>
        </w:rPr>
        <w:t xml:space="preserve">mec </w:t>
      </w:r>
      <w:r>
        <w:rPr>
          <w:rFonts w:ascii="Times New Roman" w:hAnsi="Times New Roman" w:cs="Times New Roman"/>
        </w:rPr>
        <w:t xml:space="preserve">and </w:t>
      </w:r>
      <w:r w:rsidRPr="000B1F09">
        <w:rPr>
          <w:rFonts w:ascii="Times New Roman" w:hAnsi="Times New Roman" w:cs="Times New Roman"/>
          <w:i/>
          <w:iCs/>
        </w:rPr>
        <w:t>c</w:t>
      </w:r>
      <w:r w:rsidR="00E315F1">
        <w:rPr>
          <w:rFonts w:ascii="Times New Roman" w:hAnsi="Times New Roman" w:cs="Times New Roman"/>
          <w:i/>
          <w:iCs/>
        </w:rPr>
        <w:t>c</w:t>
      </w:r>
      <w:r w:rsidRPr="000B1F09">
        <w:rPr>
          <w:rFonts w:ascii="Times New Roman" w:hAnsi="Times New Roman" w:cs="Times New Roman"/>
          <w:i/>
          <w:iCs/>
        </w:rPr>
        <w:t>r</w:t>
      </w:r>
      <w:r>
        <w:rPr>
          <w:rFonts w:ascii="Times New Roman" w:hAnsi="Times New Roman" w:cs="Times New Roman"/>
        </w:rPr>
        <w:t xml:space="preserve"> complexes are a prerequisite for SCC</w:t>
      </w:r>
      <w:r>
        <w:rPr>
          <w:rFonts w:ascii="Times New Roman" w:hAnsi="Times New Roman" w:cs="Times New Roman"/>
          <w:i/>
          <w:iCs/>
        </w:rPr>
        <w:t xml:space="preserve">mec </w:t>
      </w:r>
      <w:r w:rsidRPr="000B1F09">
        <w:rPr>
          <w:rFonts w:ascii="Times New Roman" w:hAnsi="Times New Roman" w:cs="Times New Roman"/>
          <w:b/>
          <w:bCs/>
        </w:rPr>
        <w:fldChar w:fldCharType="begin"/>
      </w:r>
      <w:r w:rsidRPr="000B1F09">
        <w:rPr>
          <w:rFonts w:ascii="Times New Roman" w:hAnsi="Times New Roman" w:cs="Times New Roman"/>
          <w:b/>
          <w:bCs/>
        </w:rPr>
        <w:instrText xml:space="preserve"> ADDIN EN.CITE &lt;EndNote&gt;&lt;Cite&gt;&lt;Author&gt;Zong&lt;/Author&gt;&lt;Year&gt;2011&lt;/Year&gt;&lt;IDText&gt;Diversity of SCCmec Elements in Methicillin-Resistant Coagulase-Negative Staphylococci Clinical Isolates&lt;/IDText&gt;&lt;DisplayText&gt;(Zong, Peng and Lu, 2011)&lt;/DisplayText&gt;&lt;record&gt;&lt;dates&gt;&lt;pub-dates&gt;&lt;date&gt;May&lt;/date&gt;&lt;/pub-dates&gt;&lt;year&gt;2011&lt;/year&gt;&lt;/dates&gt;&lt;urls&gt;&lt;related-urls&gt;&lt;url&gt;&amp;lt;Go to ISI&amp;gt;://WOS:000291052200037&lt;/url&gt;&lt;/related-urls&gt;&lt;/urls&gt;&lt;isbn&gt;1932-6203&lt;/isbn&gt;&lt;titles&gt;&lt;title&gt;Diversity of SCCmec Elements in Methicillin-Resistant Coagulase-Negative Staphylococci Clinical Isolates&lt;/title&gt;&lt;secondary-title&gt;Plos One&lt;/secondary-title&gt;&lt;/titles&gt;&lt;number&gt;5&lt;/number&gt;&lt;contributors&gt;&lt;authors&gt;&lt;author&gt;Zong, Z. Y.&lt;/author&gt;&lt;author&gt;Peng, C. H.&lt;/author&gt;&lt;author&gt;Lu, X. J.&lt;/author&gt;&lt;/authors&gt;&lt;/contributors&gt;&lt;custom7&gt;e20191&lt;/custom7&gt;&lt;added-date format="utc"&gt;1677632544&lt;/added-date&gt;&lt;ref-type name="Journal Article"&gt;17&lt;/ref-type&gt;&lt;rec-number&gt;599&lt;/rec-number&gt;&lt;last-updated-date format="utc"&gt;1677632544&lt;/last-updated-date&gt;&lt;accession-num&gt;WOS:000291052200037&lt;/accession-num&gt;&lt;electronic-resource-num&gt;10.1371/journal.pone.0020191&lt;/electronic-resource-num&gt;&lt;volume&gt;6&lt;/volume&gt;&lt;/record&gt;&lt;/Cite&gt;&lt;/EndNote&gt;</w:instrText>
      </w:r>
      <w:r w:rsidRPr="000B1F09">
        <w:rPr>
          <w:rFonts w:ascii="Times New Roman" w:hAnsi="Times New Roman" w:cs="Times New Roman"/>
          <w:b/>
          <w:bCs/>
        </w:rPr>
        <w:fldChar w:fldCharType="separate"/>
      </w:r>
      <w:r w:rsidRPr="000B1F09">
        <w:rPr>
          <w:rFonts w:ascii="Times New Roman" w:hAnsi="Times New Roman" w:cs="Times New Roman"/>
          <w:b/>
          <w:bCs/>
          <w:noProof/>
        </w:rPr>
        <w:t>(Zong, Peng and Lu, 2011)</w:t>
      </w:r>
      <w:r w:rsidRPr="000B1F09">
        <w:rPr>
          <w:rFonts w:ascii="Times New Roman" w:hAnsi="Times New Roman" w:cs="Times New Roman"/>
          <w:b/>
          <w:bCs/>
        </w:rPr>
        <w:fldChar w:fldCharType="end"/>
      </w:r>
      <w:r>
        <w:rPr>
          <w:rFonts w:ascii="Times New Roman" w:hAnsi="Times New Roman" w:cs="Times New Roman"/>
        </w:rPr>
        <w:t>,</w:t>
      </w:r>
      <w:r w:rsidRPr="000B1F09">
        <w:rPr>
          <w:rFonts w:ascii="Times New Roman" w:hAnsi="Times New Roman" w:cs="Times New Roman"/>
          <w:b/>
          <w:bCs/>
        </w:rPr>
        <w:t xml:space="preserve"> </w:t>
      </w:r>
      <w:r>
        <w:rPr>
          <w:rFonts w:ascii="Times New Roman" w:hAnsi="Times New Roman" w:cs="Times New Roman"/>
        </w:rPr>
        <w:t>t</w:t>
      </w:r>
      <w:r w:rsidRPr="000B1F09">
        <w:rPr>
          <w:rFonts w:ascii="Times New Roman" w:hAnsi="Times New Roman" w:cs="Times New Roman"/>
        </w:rPr>
        <w:t>here</w:t>
      </w:r>
      <w:r>
        <w:rPr>
          <w:rFonts w:ascii="Times New Roman" w:hAnsi="Times New Roman" w:cs="Times New Roman"/>
        </w:rPr>
        <w:t xml:space="preserve"> are 13 variations of SCC</w:t>
      </w:r>
      <w:r>
        <w:rPr>
          <w:rFonts w:ascii="Times New Roman" w:hAnsi="Times New Roman" w:cs="Times New Roman"/>
          <w:i/>
          <w:iCs/>
        </w:rPr>
        <w:t>mec</w:t>
      </w:r>
      <w:r>
        <w:rPr>
          <w:rFonts w:ascii="Times New Roman" w:hAnsi="Times New Roman" w:cs="Times New Roman"/>
        </w:rPr>
        <w:t xml:space="preserve"> depending on the </w:t>
      </w:r>
      <w:r>
        <w:rPr>
          <w:rFonts w:ascii="Times New Roman" w:hAnsi="Times New Roman" w:cs="Times New Roman"/>
          <w:i/>
          <w:iCs/>
        </w:rPr>
        <w:t xml:space="preserve">mec </w:t>
      </w:r>
      <w:r>
        <w:rPr>
          <w:rFonts w:ascii="Times New Roman" w:hAnsi="Times New Roman" w:cs="Times New Roman"/>
        </w:rPr>
        <w:t xml:space="preserve">type and </w:t>
      </w:r>
      <w:r>
        <w:rPr>
          <w:rFonts w:ascii="Times New Roman" w:hAnsi="Times New Roman" w:cs="Times New Roman"/>
          <w:i/>
          <w:iCs/>
        </w:rPr>
        <w:t xml:space="preserve">ccrAB </w:t>
      </w:r>
      <w:r>
        <w:rPr>
          <w:rFonts w:ascii="Times New Roman" w:hAnsi="Times New Roman" w:cs="Times New Roman"/>
        </w:rPr>
        <w:t xml:space="preserve">allotype. HA-MRSA predominantly carry type I-III, while CA-MRSA tends to carry IV and V </w:t>
      </w:r>
      <w:r w:rsidRPr="00F931E3">
        <w:rPr>
          <w:rFonts w:ascii="Times New Roman" w:hAnsi="Times New Roman" w:cs="Times New Roman"/>
          <w:b/>
          <w:bCs/>
        </w:rPr>
        <w:fldChar w:fldCharType="begin"/>
      </w:r>
      <w:r w:rsidRPr="00F931E3">
        <w:rPr>
          <w:rFonts w:ascii="Times New Roman" w:hAnsi="Times New Roman" w:cs="Times New Roman"/>
          <w:b/>
          <w:bCs/>
        </w:rPr>
        <w:instrText xml:space="preserve"> ADDIN EN.CITE &lt;EndNote&gt;&lt;Cite&gt;&lt;Author&gt;Yamaguchi&lt;/Author&gt;&lt;Year&gt;2020&lt;/Year&gt;&lt;IDText&gt;Staphylococcal Cassette Chromosome mec (SCCmec) Analysis of MRSA&lt;/IDText&gt;&lt;DisplayText&gt;(Yamaguchi, Ono and Sato, 2020)&lt;/DisplayText&gt;&lt;record&gt;&lt;urls&gt;&lt;related-urls&gt;&lt;url&gt;&amp;lt;Go to ISI&amp;gt;://WOS:000894136200005&lt;/url&gt;&lt;/related-urls&gt;&lt;/urls&gt;&lt;isbn&gt;1064-3745&lt;/isbn&gt;&lt;titles&gt;&lt;title&gt;Staphylococcal Cassette Chromosome mec (SCCmec) Analysis of MRSA&lt;/title&gt;&lt;secondary-title&gt;METHICILLIN-RESISTANT STAPHYLOCOCCUS AUREUS (MRSA) PROTOCOLS, 3 EDITION: Cutting-Edge Technologies and Advancements&lt;/secondary-title&gt;&lt;/titles&gt;&lt;pages&gt;59-78&lt;/pages&gt;&lt;contributors&gt;&lt;authors&gt;&lt;author&gt;Yamaguchi, T.&lt;/author&gt;&lt;author&gt;Ono, D.&lt;/author&gt;&lt;author&gt;Sato, A.&lt;/author&gt;&lt;/authors&gt;&lt;/contributors&gt;&lt;added-date format="utc"&gt;1677633682&lt;/added-date&gt;&lt;ref-type name="Journal Article"&gt;17&lt;/ref-type&gt;&lt;dates&gt;&lt;year&gt;2020&lt;/year&gt;&lt;/dates&gt;&lt;rec-number&gt;600&lt;/rec-number&gt;&lt;last-updated-date format="utc"&gt;1677633682&lt;/last-updated-date&gt;&lt;accession-num&gt;WOS:000894136200005&lt;/accession-num&gt;&lt;electronic-resource-num&gt;10.1007/978-1-4939-9849-4_4&lt;/electronic-resource-num&gt;&lt;volume&gt;2069&lt;/volume&gt;&lt;/record&gt;&lt;/Cite&gt;&lt;/EndNote&gt;</w:instrText>
      </w:r>
      <w:r w:rsidRPr="00F931E3">
        <w:rPr>
          <w:rFonts w:ascii="Times New Roman" w:hAnsi="Times New Roman" w:cs="Times New Roman"/>
          <w:b/>
          <w:bCs/>
        </w:rPr>
        <w:fldChar w:fldCharType="separate"/>
      </w:r>
      <w:r w:rsidRPr="00F931E3">
        <w:rPr>
          <w:rFonts w:ascii="Times New Roman" w:hAnsi="Times New Roman" w:cs="Times New Roman"/>
          <w:b/>
          <w:bCs/>
          <w:noProof/>
        </w:rPr>
        <w:t>(Yamaguchi, Ono and Sato, 2020)</w:t>
      </w:r>
      <w:r w:rsidRPr="00F931E3">
        <w:rPr>
          <w:rFonts w:ascii="Times New Roman" w:hAnsi="Times New Roman" w:cs="Times New Roman"/>
          <w:b/>
          <w:bCs/>
        </w:rPr>
        <w:fldChar w:fldCharType="end"/>
      </w:r>
      <w:r>
        <w:rPr>
          <w:rFonts w:ascii="Times New Roman" w:hAnsi="Times New Roman" w:cs="Times New Roman"/>
        </w:rPr>
        <w:t>. Antibiotic resistance can be acquired via MGEs as demonstrated with SCC</w:t>
      </w:r>
      <w:r>
        <w:rPr>
          <w:rFonts w:ascii="Times New Roman" w:hAnsi="Times New Roman" w:cs="Times New Roman"/>
          <w:i/>
          <w:iCs/>
        </w:rPr>
        <w:t>mec</w:t>
      </w:r>
      <w:r>
        <w:rPr>
          <w:rFonts w:ascii="Times New Roman" w:hAnsi="Times New Roman" w:cs="Times New Roman"/>
        </w:rPr>
        <w:t xml:space="preserve"> or through horizontal gene transfer but can also be </w:t>
      </w:r>
      <w:r w:rsidR="00A00FC6">
        <w:rPr>
          <w:rFonts w:ascii="Times New Roman" w:hAnsi="Times New Roman" w:cs="Times New Roman"/>
        </w:rPr>
        <w:t xml:space="preserve">acquired </w:t>
      </w:r>
      <w:r>
        <w:rPr>
          <w:rFonts w:ascii="Times New Roman" w:hAnsi="Times New Roman" w:cs="Times New Roman"/>
        </w:rPr>
        <w:t xml:space="preserve"> through mutations that occur randomly and through selection pressure </w:t>
      </w:r>
      <w:r w:rsidRPr="00BB5396">
        <w:rPr>
          <w:rFonts w:ascii="Times New Roman" w:hAnsi="Times New Roman" w:cs="Times New Roman"/>
          <w:b/>
          <w:bCs/>
        </w:rPr>
        <w:fldChar w:fldCharType="begin"/>
      </w:r>
      <w:r w:rsidRPr="00BB5396">
        <w:rPr>
          <w:rFonts w:ascii="Times New Roman" w:hAnsi="Times New Roman" w:cs="Times New Roman"/>
          <w:b/>
          <w:bCs/>
        </w:rPr>
        <w:instrText xml:space="preserve"> ADDIN EN.CITE &lt;EndNote&gt;&lt;Cite&gt;&lt;Author&gt;Hawkey&lt;/Author&gt;&lt;Year&gt;1998&lt;/Year&gt;&lt;IDText&gt;The origins and molecular basis of antibiotic resistance&lt;/IDText&gt;&lt;DisplayText&gt;(Hawkey, 1998)&lt;/DisplayText&gt;&lt;record&gt;&lt;dates&gt;&lt;pub-dates&gt;&lt;date&gt;Sep&lt;/date&gt;&lt;/pub-dates&gt;&lt;year&gt;1998&lt;/year&gt;&lt;/dates&gt;&lt;urls&gt;&lt;related-urls&gt;&lt;url&gt;&amp;lt;Go to ISI&amp;gt;://WOS:000075830200029&lt;/url&gt;&lt;/related-urls&gt;&lt;/urls&gt;&lt;isbn&gt;0959-8138&lt;/isbn&gt;&lt;titles&gt;&lt;title&gt;The origins and molecular basis of antibiotic resistance&lt;/title&gt;&lt;secondary-title&gt;British Medical Journal&lt;/secondary-title&gt;&lt;/titles&gt;&lt;pages&gt;657-660&lt;/pages&gt;&lt;number&gt;7159&lt;/number&gt;&lt;contributors&gt;&lt;authors&gt;&lt;author&gt;Hawkey, P. M.&lt;/author&gt;&lt;/authors&gt;&lt;/contributors&gt;&lt;added-date format="utc"&gt;1676671777&lt;/added-date&gt;&lt;ref-type name="Journal Article"&gt;17&lt;/ref-type&gt;&lt;rec-number&gt;395&lt;/rec-number&gt;&lt;last-updated-date format="utc"&gt;1676671777&lt;/last-updated-date&gt;&lt;accession-num&gt;WOS:000075830200029&lt;/accession-num&gt;&lt;electronic-resource-num&gt;10.1136/bmj.317.7159.657&lt;/electronic-resource-num&gt;&lt;volume&gt;317&lt;/volume&gt;&lt;/record&gt;&lt;/Cite&gt;&lt;/EndNote&gt;</w:instrText>
      </w:r>
      <w:r w:rsidRPr="00BB5396">
        <w:rPr>
          <w:rFonts w:ascii="Times New Roman" w:hAnsi="Times New Roman" w:cs="Times New Roman"/>
          <w:b/>
          <w:bCs/>
        </w:rPr>
        <w:fldChar w:fldCharType="separate"/>
      </w:r>
      <w:r w:rsidRPr="00BB5396">
        <w:rPr>
          <w:rFonts w:ascii="Times New Roman" w:hAnsi="Times New Roman" w:cs="Times New Roman"/>
          <w:b/>
          <w:bCs/>
          <w:noProof/>
        </w:rPr>
        <w:t>(Hawkey, 1998)</w:t>
      </w:r>
      <w:r w:rsidRPr="00BB5396">
        <w:rPr>
          <w:rFonts w:ascii="Times New Roman" w:hAnsi="Times New Roman" w:cs="Times New Roman"/>
          <w:b/>
          <w:bCs/>
        </w:rPr>
        <w:fldChar w:fldCharType="end"/>
      </w:r>
      <w:r>
        <w:rPr>
          <w:rFonts w:ascii="Times New Roman" w:hAnsi="Times New Roman" w:cs="Times New Roman"/>
        </w:rPr>
        <w:t>.</w:t>
      </w:r>
    </w:p>
    <w:p w14:paraId="1F7FC454" w14:textId="77777777" w:rsidR="00033564" w:rsidRDefault="00033564" w:rsidP="00033564">
      <w:pPr>
        <w:spacing w:line="360" w:lineRule="auto"/>
        <w:ind w:firstLine="720"/>
        <w:jc w:val="both"/>
        <w:rPr>
          <w:rFonts w:ascii="Times New Roman" w:hAnsi="Times New Roman" w:cs="Times New Roman"/>
        </w:rPr>
      </w:pPr>
      <w:r w:rsidRPr="00B151A5">
        <w:rPr>
          <w:rFonts w:ascii="Times New Roman" w:hAnsi="Times New Roman" w:cs="Times New Roman"/>
        </w:rPr>
        <w:t xml:space="preserve">With time, MRSA strains became resistant to all types of penicillin and </w:t>
      </w:r>
      <w:r>
        <w:rPr>
          <w:rFonts w:ascii="Times New Roman" w:hAnsi="Times New Roman" w:cs="Times New Roman"/>
        </w:rPr>
        <w:t>subsequently</w:t>
      </w:r>
      <w:r w:rsidRPr="00B151A5">
        <w:rPr>
          <w:rFonts w:ascii="Times New Roman" w:hAnsi="Times New Roman" w:cs="Times New Roman"/>
        </w:rPr>
        <w:t xml:space="preserve"> other classes of antibiotics such as the fluoroquinolones and aminoglycosides. Due to this, MRSA can be classed as the first </w:t>
      </w:r>
      <w:r>
        <w:rPr>
          <w:rFonts w:ascii="Times New Roman" w:hAnsi="Times New Roman" w:cs="Times New Roman"/>
        </w:rPr>
        <w:t xml:space="preserve">known </w:t>
      </w:r>
      <w:r w:rsidRPr="00B151A5">
        <w:rPr>
          <w:rFonts w:ascii="Times New Roman" w:hAnsi="Times New Roman" w:cs="Times New Roman"/>
        </w:rPr>
        <w:t xml:space="preserve">multi-drug resistant (MDR) </w:t>
      </w:r>
      <w:r>
        <w:rPr>
          <w:rFonts w:ascii="Times New Roman" w:hAnsi="Times New Roman" w:cs="Times New Roman"/>
        </w:rPr>
        <w:t>bacterium</w:t>
      </w:r>
      <w:r w:rsidRPr="00B151A5">
        <w:rPr>
          <w:rFonts w:ascii="Times New Roman" w:hAnsi="Times New Roman" w:cs="Times New Roman"/>
        </w:rPr>
        <w:t xml:space="preserve"> </w:t>
      </w:r>
      <w:r w:rsidRPr="006554F7">
        <w:rPr>
          <w:rFonts w:ascii="Times New Roman" w:hAnsi="Times New Roman" w:cs="Times New Roman"/>
          <w:b/>
          <w:bCs/>
        </w:rPr>
        <w:fldChar w:fldCharType="begin"/>
      </w:r>
      <w:r w:rsidRPr="006554F7">
        <w:rPr>
          <w:rFonts w:ascii="Times New Roman" w:hAnsi="Times New Roman" w:cs="Times New Roman"/>
          <w:b/>
          <w:bCs/>
        </w:rPr>
        <w:instrText xml:space="preserve"> ADDIN EN.CITE &lt;EndNote&gt;&lt;Cite&gt;&lt;Author&gt;van Duin&lt;/Author&gt;&lt;Year&gt;2020&lt;/Year&gt;&lt;IDText&gt;Multidrug-Resistant Bacteria in the Community: An Update&lt;/IDText&gt;&lt;DisplayText&gt;(van Duin and Paterson, 2020)&lt;/DisplayText&gt;&lt;record&gt;&lt;dates&gt;&lt;pub-dates&gt;&lt;date&gt;Dec&lt;/date&gt;&lt;/pub-dates&gt;&lt;year&gt;2020&lt;/year&gt;&lt;/dates&gt;&lt;urls&gt;&lt;related-urls&gt;&lt;url&gt;&amp;lt;Go to ISI&amp;gt;://WOS:000582806800005&lt;/url&gt;&lt;/related-urls&gt;&lt;/urls&gt;&lt;isbn&gt;0891-5520&lt;/isbn&gt;&lt;titles&gt;&lt;title&gt;Multidrug-Resistant Bacteria in the Community: An Update&lt;/title&gt;&lt;secondary-title&gt;Infectious Disease Clinics of North America&lt;/secondary-title&gt;&lt;/titles&gt;&lt;pages&gt;709-+&lt;/pages&gt;&lt;number&gt;4&lt;/number&gt;&lt;contributors&gt;&lt;authors&gt;&lt;author&gt;van Duin, David&lt;/author&gt;&lt;author&gt;Paterson, David L.&lt;/author&gt;&lt;/authors&gt;&lt;/contributors&gt;&lt;added-date format="utc"&gt;1663626262&lt;/added-date&gt;&lt;ref-type name="Journal Article"&gt;17&lt;/ref-type&gt;&lt;rec-number&gt;160&lt;/rec-number&gt;&lt;last-updated-date format="utc"&gt;1664027853&lt;/last-updated-date&gt;&lt;accession-num&gt;WOS:000582806800005&lt;/accession-num&gt;&lt;electronic-resource-num&gt;10.1016/j.idc.2020.08.002&lt;/electronic-resource-num&gt;&lt;volume&gt;34&lt;/volume&gt;&lt;/record&gt;&lt;/Cite&gt;&lt;/EndNote&gt;</w:instrText>
      </w:r>
      <w:r w:rsidRPr="006554F7">
        <w:rPr>
          <w:rFonts w:ascii="Times New Roman" w:hAnsi="Times New Roman" w:cs="Times New Roman"/>
          <w:b/>
          <w:bCs/>
        </w:rPr>
        <w:fldChar w:fldCharType="separate"/>
      </w:r>
      <w:r w:rsidRPr="006554F7">
        <w:rPr>
          <w:rFonts w:ascii="Times New Roman" w:hAnsi="Times New Roman" w:cs="Times New Roman"/>
          <w:b/>
          <w:bCs/>
          <w:noProof/>
        </w:rPr>
        <w:t>(van Duin and Paterson, 2020)</w:t>
      </w:r>
      <w:r w:rsidRPr="006554F7">
        <w:rPr>
          <w:rFonts w:ascii="Times New Roman" w:hAnsi="Times New Roman" w:cs="Times New Roman"/>
          <w:b/>
          <w:bCs/>
        </w:rPr>
        <w:fldChar w:fldCharType="end"/>
      </w:r>
      <w:r w:rsidRPr="00B151A5">
        <w:rPr>
          <w:rFonts w:ascii="Times New Roman" w:hAnsi="Times New Roman" w:cs="Times New Roman"/>
        </w:rPr>
        <w:t xml:space="preserve">. </w:t>
      </w:r>
      <w:r>
        <w:rPr>
          <w:rFonts w:ascii="Times New Roman" w:hAnsi="Times New Roman" w:cs="Times New Roman"/>
        </w:rPr>
        <w:t xml:space="preserve">As MRSA can cause a variety of infections, multiple antibiotics are utilised for treatment depending on the infection type. For example, the protein synthesis inhibitors mupirocin and linezolid can be used for skin infections </w:t>
      </w:r>
      <w:r w:rsidRPr="008127A4">
        <w:rPr>
          <w:rFonts w:ascii="Times New Roman" w:hAnsi="Times New Roman" w:cs="Times New Roman"/>
          <w:b/>
          <w:bCs/>
        </w:rPr>
        <w:fldChar w:fldCharType="begin">
          <w:fldData xml:space="preserve">PEVuZE5vdGU+PENpdGU+PEF1dGhvcj5OYW5kaGluaTwvQXV0aG9yPjxZZWFyPjIwMjI8L1llYXI+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</w:fldData>
        </w:fldChar>
      </w:r>
      <w:r w:rsidRPr="008127A4">
        <w:rPr>
          <w:rFonts w:ascii="Times New Roman" w:hAnsi="Times New Roman" w:cs="Times New Roman"/>
          <w:b/>
          <w:bCs/>
        </w:rPr>
        <w:instrText xml:space="preserve"> ADDIN EN.CITE </w:instrText>
      </w:r>
      <w:r w:rsidRPr="008127A4">
        <w:rPr>
          <w:rFonts w:ascii="Times New Roman" w:hAnsi="Times New Roman" w:cs="Times New Roman"/>
          <w:b/>
          <w:bCs/>
        </w:rPr>
        <w:fldChar w:fldCharType="begin">
          <w:fldData xml:space="preserve">PEVuZE5vdGU+PENpdGU+PEF1dGhvcj5OYW5kaGluaTwvQXV0aG9yPjxZZWFyPjIwMjI8L1llYXI+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</w:fldData>
        </w:fldChar>
      </w:r>
      <w:r w:rsidRPr="008127A4">
        <w:rPr>
          <w:rFonts w:ascii="Times New Roman" w:hAnsi="Times New Roman" w:cs="Times New Roman"/>
          <w:b/>
          <w:bCs/>
        </w:rPr>
        <w:instrText xml:space="preserve"> ADDIN EN.CITE.DATA </w:instrText>
      </w:r>
      <w:r w:rsidRPr="008127A4">
        <w:rPr>
          <w:rFonts w:ascii="Times New Roman" w:hAnsi="Times New Roman" w:cs="Times New Roman"/>
          <w:b/>
          <w:bCs/>
        </w:rPr>
      </w:r>
      <w:r w:rsidRPr="008127A4">
        <w:rPr>
          <w:rFonts w:ascii="Times New Roman" w:hAnsi="Times New Roman" w:cs="Times New Roman"/>
          <w:b/>
          <w:bCs/>
        </w:rPr>
        <w:fldChar w:fldCharType="end"/>
      </w:r>
      <w:r w:rsidRPr="008127A4">
        <w:rPr>
          <w:rFonts w:ascii="Times New Roman" w:hAnsi="Times New Roman" w:cs="Times New Roman"/>
          <w:b/>
          <w:bCs/>
        </w:rPr>
      </w:r>
      <w:r w:rsidRPr="008127A4">
        <w:rPr>
          <w:rFonts w:ascii="Times New Roman" w:hAnsi="Times New Roman" w:cs="Times New Roman"/>
          <w:b/>
          <w:bCs/>
        </w:rPr>
        <w:fldChar w:fldCharType="separate"/>
      </w:r>
      <w:r w:rsidRPr="008127A4">
        <w:rPr>
          <w:rFonts w:ascii="Times New Roman" w:hAnsi="Times New Roman" w:cs="Times New Roman"/>
          <w:b/>
          <w:bCs/>
          <w:noProof/>
        </w:rPr>
        <w:t>(Nandhini</w:t>
      </w:r>
      <w:r w:rsidRPr="008127A4">
        <w:rPr>
          <w:rFonts w:ascii="Times New Roman" w:hAnsi="Times New Roman" w:cs="Times New Roman"/>
          <w:b/>
          <w:bCs/>
          <w:i/>
          <w:noProof/>
        </w:rPr>
        <w:t xml:space="preserve"> et al.</w:t>
      </w:r>
      <w:r w:rsidRPr="008127A4">
        <w:rPr>
          <w:rFonts w:ascii="Times New Roman" w:hAnsi="Times New Roman" w:cs="Times New Roman"/>
          <w:b/>
          <w:bCs/>
          <w:noProof/>
        </w:rPr>
        <w:t>, 2022; Weigelt</w:t>
      </w:r>
      <w:r w:rsidRPr="008127A4">
        <w:rPr>
          <w:rFonts w:ascii="Times New Roman" w:hAnsi="Times New Roman" w:cs="Times New Roman"/>
          <w:b/>
          <w:bCs/>
          <w:i/>
          <w:noProof/>
        </w:rPr>
        <w:t xml:space="preserve"> et al.</w:t>
      </w:r>
      <w:r w:rsidRPr="008127A4">
        <w:rPr>
          <w:rFonts w:ascii="Times New Roman" w:hAnsi="Times New Roman" w:cs="Times New Roman"/>
          <w:b/>
          <w:bCs/>
          <w:noProof/>
        </w:rPr>
        <w:t>, 2005)</w:t>
      </w:r>
      <w:r w:rsidRPr="008127A4">
        <w:rPr>
          <w:rFonts w:ascii="Times New Roman" w:hAnsi="Times New Roman" w:cs="Times New Roman"/>
          <w:b/>
          <w:bCs/>
        </w:rPr>
        <w:fldChar w:fldCharType="end"/>
      </w:r>
      <w:r>
        <w:rPr>
          <w:rFonts w:ascii="Times New Roman" w:hAnsi="Times New Roman" w:cs="Times New Roman"/>
        </w:rPr>
        <w:t>. The gold standard</w:t>
      </w:r>
      <w:r w:rsidRPr="008127A4">
        <w:rPr>
          <w:rFonts w:ascii="Times New Roman" w:hAnsi="Times New Roman" w:cs="Times New Roman"/>
          <w:b/>
          <w:bCs/>
        </w:rPr>
        <w:t xml:space="preserve"> </w:t>
      </w:r>
      <w:r>
        <w:rPr>
          <w:rFonts w:ascii="Times New Roman" w:hAnsi="Times New Roman" w:cs="Times New Roman"/>
        </w:rPr>
        <w:t>antibiotics</w:t>
      </w:r>
      <w:r w:rsidRPr="00B151A5">
        <w:rPr>
          <w:rFonts w:ascii="Times New Roman" w:hAnsi="Times New Roman" w:cs="Times New Roman"/>
        </w:rPr>
        <w:t xml:space="preserve"> </w:t>
      </w:r>
      <w:r>
        <w:rPr>
          <w:rFonts w:ascii="Times New Roman" w:hAnsi="Times New Roman" w:cs="Times New Roman"/>
        </w:rPr>
        <w:t xml:space="preserve">for the treatment of </w:t>
      </w:r>
      <w:r w:rsidRPr="00B151A5">
        <w:rPr>
          <w:rFonts w:ascii="Times New Roman" w:hAnsi="Times New Roman" w:cs="Times New Roman"/>
        </w:rPr>
        <w:t xml:space="preserve">MRSA </w:t>
      </w:r>
      <w:r>
        <w:rPr>
          <w:rFonts w:ascii="Times New Roman" w:hAnsi="Times New Roman" w:cs="Times New Roman"/>
        </w:rPr>
        <w:t>vary depending on the country, however the last resort antibiotics that are prominently used to treat MDR MRSA include, but are not limited to, the glycopeptide vancomycin and the lipopeptide daptomycin</w:t>
      </w:r>
      <w:r w:rsidRPr="00B151A5">
        <w:rPr>
          <w:rFonts w:ascii="Times New Roman" w:hAnsi="Times New Roman" w:cs="Times New Roman"/>
        </w:rPr>
        <w:t>. Vancomycin resistance was not documented until 20 years after use, where resistance in an enterococcal species was first described</w:t>
      </w:r>
      <w:r>
        <w:rPr>
          <w:rFonts w:ascii="Times New Roman" w:hAnsi="Times New Roman" w:cs="Times New Roman"/>
        </w:rPr>
        <w:t xml:space="preserve"> </w:t>
      </w:r>
      <w:r w:rsidRPr="00DF206E">
        <w:rPr>
          <w:rFonts w:ascii="Times New Roman" w:hAnsi="Times New Roman" w:cs="Times New Roman"/>
          <w:b/>
          <w:bCs/>
        </w:rPr>
        <w:fldChar w:fldCharType="begin">
          <w:fldData xml:space="preserve">PEVuZE5vdGU+PENpdGU+PEF1dGhvcj5MZWNsZXJjcTwvQXV0aG9yPjxZZWFyPjE5ODg8L1llYXI+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</w:fldData>
        </w:fldChar>
      </w:r>
      <w:r w:rsidRPr="00DF206E">
        <w:rPr>
          <w:rFonts w:ascii="Times New Roman" w:hAnsi="Times New Roman" w:cs="Times New Roman"/>
          <w:b/>
          <w:bCs/>
        </w:rPr>
        <w:instrText xml:space="preserve"> ADDIN EN.CITE </w:instrText>
      </w:r>
      <w:r w:rsidRPr="00DF206E">
        <w:rPr>
          <w:rFonts w:ascii="Times New Roman" w:hAnsi="Times New Roman" w:cs="Times New Roman"/>
          <w:b/>
          <w:bCs/>
        </w:rPr>
        <w:fldChar w:fldCharType="begin">
          <w:fldData xml:space="preserve">PEVuZE5vdGU+PENpdGU+PEF1dGhvcj5MZWNsZXJjcTwvQXV0aG9yPjxZZWFyPjE5ODg8L1llYXI+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</w:fldData>
        </w:fldChar>
      </w:r>
      <w:r w:rsidRPr="00DF206E">
        <w:rPr>
          <w:rFonts w:ascii="Times New Roman" w:hAnsi="Times New Roman" w:cs="Times New Roman"/>
          <w:b/>
          <w:bCs/>
        </w:rPr>
        <w:instrText xml:space="preserve"> ADDIN EN.CITE.DATA </w:instrText>
      </w:r>
      <w:r w:rsidRPr="00DF206E">
        <w:rPr>
          <w:rFonts w:ascii="Times New Roman" w:hAnsi="Times New Roman" w:cs="Times New Roman"/>
          <w:b/>
          <w:bCs/>
        </w:rPr>
      </w:r>
      <w:r w:rsidRPr="00DF206E">
        <w:rPr>
          <w:rFonts w:ascii="Times New Roman" w:hAnsi="Times New Roman" w:cs="Times New Roman"/>
          <w:b/>
          <w:bCs/>
        </w:rPr>
        <w:fldChar w:fldCharType="end"/>
      </w:r>
      <w:r w:rsidRPr="00DF206E">
        <w:rPr>
          <w:rFonts w:ascii="Times New Roman" w:hAnsi="Times New Roman" w:cs="Times New Roman"/>
          <w:b/>
          <w:bCs/>
        </w:rPr>
      </w:r>
      <w:r w:rsidRPr="00DF206E">
        <w:rPr>
          <w:rFonts w:ascii="Times New Roman" w:hAnsi="Times New Roman" w:cs="Times New Roman"/>
          <w:b/>
          <w:bCs/>
        </w:rPr>
        <w:fldChar w:fldCharType="separate"/>
      </w:r>
      <w:r w:rsidRPr="00DF206E">
        <w:rPr>
          <w:rFonts w:ascii="Times New Roman" w:hAnsi="Times New Roman" w:cs="Times New Roman"/>
          <w:b/>
          <w:bCs/>
          <w:noProof/>
        </w:rPr>
        <w:t>(Leclercq</w:t>
      </w:r>
      <w:r w:rsidRPr="00DF206E">
        <w:rPr>
          <w:rFonts w:ascii="Times New Roman" w:hAnsi="Times New Roman" w:cs="Times New Roman"/>
          <w:b/>
          <w:bCs/>
          <w:i/>
          <w:noProof/>
        </w:rPr>
        <w:t xml:space="preserve"> et al.</w:t>
      </w:r>
      <w:r w:rsidRPr="00DF206E">
        <w:rPr>
          <w:rFonts w:ascii="Times New Roman" w:hAnsi="Times New Roman" w:cs="Times New Roman"/>
          <w:b/>
          <w:bCs/>
          <w:noProof/>
        </w:rPr>
        <w:t>, 1988; Uttley</w:t>
      </w:r>
      <w:r w:rsidRPr="00DF206E">
        <w:rPr>
          <w:rFonts w:ascii="Times New Roman" w:hAnsi="Times New Roman" w:cs="Times New Roman"/>
          <w:b/>
          <w:bCs/>
          <w:i/>
          <w:noProof/>
        </w:rPr>
        <w:t xml:space="preserve"> et al.</w:t>
      </w:r>
      <w:r w:rsidRPr="00DF206E">
        <w:rPr>
          <w:rFonts w:ascii="Times New Roman" w:hAnsi="Times New Roman" w:cs="Times New Roman"/>
          <w:b/>
          <w:bCs/>
          <w:noProof/>
        </w:rPr>
        <w:t>, 1988)</w:t>
      </w:r>
      <w:r w:rsidRPr="00DF206E">
        <w:rPr>
          <w:rFonts w:ascii="Times New Roman" w:hAnsi="Times New Roman" w:cs="Times New Roman"/>
          <w:b/>
          <w:bCs/>
        </w:rPr>
        <w:fldChar w:fldCharType="end"/>
      </w:r>
      <w:r w:rsidRPr="00B151A5">
        <w:rPr>
          <w:rFonts w:ascii="Times New Roman" w:hAnsi="Times New Roman" w:cs="Times New Roman"/>
        </w:rPr>
        <w:t xml:space="preserve">. A patient case study in 1999 found isolates of vancomycin-resistant MRSA </w:t>
      </w:r>
      <w:r w:rsidRPr="00DF206E">
        <w:rPr>
          <w:rFonts w:ascii="Times New Roman" w:hAnsi="Times New Roman" w:cs="Times New Roman"/>
          <w:b/>
          <w:bCs/>
        </w:rPr>
        <w:fldChar w:fldCharType="begin"/>
      </w:r>
      <w:r w:rsidRPr="00DF206E">
        <w:rPr>
          <w:rFonts w:ascii="Times New Roman" w:hAnsi="Times New Roman" w:cs="Times New Roman"/>
          <w:b/>
          <w:bCs/>
        </w:rPr>
        <w:instrText xml:space="preserve"> ADDIN EN.CITE &lt;EndNote&gt;&lt;Cite&gt;&lt;Author&gt;Sieradzki&lt;/Author&gt;&lt;Year&gt;1999&lt;/Year&gt;&lt;IDText&gt;The development of vancomycin resistance in a patient with methicillin-resistant Staphylococcus aureus infection&lt;/IDText&gt;&lt;DisplayText&gt;(Sieradzki&lt;style face="italic"&gt; et al.&lt;/style&gt;, 1999)&lt;/DisplayText&gt;&lt;record&gt;&lt;dates&gt;&lt;pub-dates&gt;&lt;date&gt;Feb 18&lt;/date&gt;&lt;/pub-dates&gt;&lt;year&gt;1999&lt;/year&gt;&lt;/dates&gt;&lt;urls&gt;&lt;related-urls&gt;&lt;url&gt;&amp;lt;Go to ISI&amp;gt;://WOS:000078680100004&lt;/url&gt;&lt;/related-urls&gt;&lt;/urls&gt;&lt;isbn&gt;0028-4793&lt;/isbn&gt;&lt;titles&gt;&lt;title&gt;The development of vancomycin resistance in a patient with methicillin-resistant Staphylococcus aureus infection&lt;/title&gt;&lt;secondary-title&gt;New England Journal of Medicine&lt;/secondary-title&gt;&lt;/titles&gt;&lt;pages&gt;517-523&lt;/pages&gt;&lt;number&gt;7&lt;/number&gt;&lt;contributors&gt;&lt;authors&gt;&lt;author&gt;Sieradzki, K.&lt;/author&gt;&lt;author&gt;Roberts, R. B.&lt;/author&gt;&lt;author&gt;Haber, S. W.&lt;/author&gt;&lt;author&gt;Tomasz, A.&lt;/author&gt;&lt;/authors&gt;&lt;/contributors&gt;&lt;added-date format="utc"&gt;1663626168&lt;/added-date&gt;&lt;ref-type name="Journal Article"&gt;17&lt;/ref-type&gt;&lt;rec-number&gt;158&lt;/rec-number&gt;&lt;last-updated-date format="utc"&gt;1664027853&lt;/last-updated-date&gt;&lt;accession-num&gt;WOS:000078680100004&lt;/accession-num&gt;&lt;electronic-resource-num&gt;10.1056/nejm199902183400704&lt;/electronic-resource-num&gt;&lt;volume&gt;340&lt;/volume&gt;&lt;/record&gt;&lt;/Cite&gt;&lt;/EndNote&gt;</w:instrText>
      </w:r>
      <w:r w:rsidRPr="00DF206E">
        <w:rPr>
          <w:rFonts w:ascii="Times New Roman" w:hAnsi="Times New Roman" w:cs="Times New Roman"/>
          <w:b/>
          <w:bCs/>
        </w:rPr>
        <w:fldChar w:fldCharType="separate"/>
      </w:r>
      <w:r w:rsidRPr="00DF206E">
        <w:rPr>
          <w:rFonts w:ascii="Times New Roman" w:hAnsi="Times New Roman" w:cs="Times New Roman"/>
          <w:b/>
          <w:bCs/>
          <w:noProof/>
        </w:rPr>
        <w:t>(Sieradzki</w:t>
      </w:r>
      <w:r w:rsidRPr="00DF206E">
        <w:rPr>
          <w:rFonts w:ascii="Times New Roman" w:hAnsi="Times New Roman" w:cs="Times New Roman"/>
          <w:b/>
          <w:bCs/>
          <w:i/>
          <w:noProof/>
        </w:rPr>
        <w:t xml:space="preserve"> et al.</w:t>
      </w:r>
      <w:r w:rsidRPr="00DF206E">
        <w:rPr>
          <w:rFonts w:ascii="Times New Roman" w:hAnsi="Times New Roman" w:cs="Times New Roman"/>
          <w:b/>
          <w:bCs/>
          <w:noProof/>
        </w:rPr>
        <w:t>, 1999)</w:t>
      </w:r>
      <w:r w:rsidRPr="00DF206E">
        <w:rPr>
          <w:rFonts w:ascii="Times New Roman" w:hAnsi="Times New Roman" w:cs="Times New Roman"/>
          <w:b/>
          <w:bCs/>
        </w:rPr>
        <w:fldChar w:fldCharType="end"/>
      </w:r>
      <w:r w:rsidRPr="00B151A5">
        <w:rPr>
          <w:rFonts w:ascii="Times New Roman" w:hAnsi="Times New Roman" w:cs="Times New Roman"/>
        </w:rPr>
        <w:t xml:space="preserve">. Since then, vancomycin-resistant </w:t>
      </w:r>
      <w:r w:rsidRPr="00B151A5">
        <w:rPr>
          <w:rFonts w:ascii="Times New Roman" w:hAnsi="Times New Roman" w:cs="Times New Roman"/>
          <w:i/>
          <w:iCs/>
        </w:rPr>
        <w:t>S. aureus</w:t>
      </w:r>
      <w:r w:rsidRPr="00B151A5">
        <w:rPr>
          <w:rFonts w:ascii="Times New Roman" w:hAnsi="Times New Roman" w:cs="Times New Roman"/>
        </w:rPr>
        <w:t xml:space="preserve"> (VRSA) has been found to produce</w:t>
      </w:r>
      <w:r>
        <w:rPr>
          <w:rFonts w:ascii="Times New Roman" w:hAnsi="Times New Roman" w:cs="Times New Roman"/>
        </w:rPr>
        <w:t xml:space="preserve"> V</w:t>
      </w:r>
      <w:r w:rsidRPr="00B151A5">
        <w:rPr>
          <w:rFonts w:ascii="Times New Roman" w:hAnsi="Times New Roman" w:cs="Times New Roman"/>
        </w:rPr>
        <w:t xml:space="preserve">anA, thought to be acquired from resistant enterococcal species </w:t>
      </w:r>
      <w:r w:rsidRPr="00DF206E">
        <w:rPr>
          <w:rFonts w:ascii="Times New Roman" w:hAnsi="Times New Roman" w:cs="Times New Roman"/>
          <w:b/>
          <w:bCs/>
        </w:rPr>
        <w:fldChar w:fldCharType="begin"/>
      </w:r>
      <w:r w:rsidRPr="00DF206E">
        <w:rPr>
          <w:rFonts w:ascii="Times New Roman" w:hAnsi="Times New Roman" w:cs="Times New Roman"/>
          <w:b/>
          <w:bCs/>
        </w:rPr>
        <w:instrText xml:space="preserve"> ADDIN EN.CITE &lt;EndNote&gt;&lt;Cite&gt;&lt;Author&gt;McGuinness&lt;/Author&gt;&lt;Year&gt;2017&lt;/Year&gt;&lt;IDText&gt;Vancomycin Resistance in Staphylococcus aureus&lt;/IDText&gt;&lt;DisplayText&gt;(McGuinness, Malachowa and DeLeo, 2017)&lt;/DisplayText&gt;&lt;record&gt;&lt;dates&gt;&lt;pub-dates&gt;&lt;date&gt;Jun&lt;/date&gt;&lt;/pub-dates&gt;&lt;year&gt;2017&lt;/year&gt;&lt;/dates&gt;&lt;urls&gt;&lt;related-urls&gt;&lt;url&gt;&amp;lt;Go to ISI&amp;gt;://WOS:000406048500009&lt;/url&gt;&lt;/related-urls&gt;&lt;/urls&gt;&lt;isbn&gt;0044-0086&lt;/isbn&gt;&lt;titles&gt;&lt;title&gt;Vancomycin Resistance in Staphylococcus aureus&lt;/title&gt;&lt;secondary-title&gt;Yale Journal of Biology and Medicine&lt;/secondary-title&gt;&lt;/titles&gt;&lt;pages&gt;269-281&lt;/pages&gt;&lt;number&gt;2&lt;/number&gt;&lt;contributors&gt;&lt;authors&gt;&lt;author&gt;McGuinness, Will A.&lt;/author&gt;&lt;author&gt;Malachowa, Natalia&lt;/author&gt;&lt;author&gt;DeLeo, Frank R.&lt;/author&gt;&lt;/authors&gt;&lt;/contributors&gt;&lt;added-date format="utc"&gt;1663626011&lt;/added-date&gt;&lt;ref-type name="Journal Article"&gt;17&lt;/ref-type&gt;&lt;rec-number&gt;157&lt;/rec-number&gt;&lt;last-updated-date format="utc"&gt;1664027853&lt;/last-updated-date&gt;&lt;accession-num&gt;WOS:000406048500009&lt;/accession-num&gt;&lt;volume&gt;90&lt;/volume&gt;&lt;/record&gt;&lt;/Cite&gt;&lt;/EndNote&gt;</w:instrText>
      </w:r>
      <w:r w:rsidRPr="00DF206E">
        <w:rPr>
          <w:rFonts w:ascii="Times New Roman" w:hAnsi="Times New Roman" w:cs="Times New Roman"/>
          <w:b/>
          <w:bCs/>
        </w:rPr>
        <w:fldChar w:fldCharType="separate"/>
      </w:r>
      <w:r w:rsidRPr="00DF206E">
        <w:rPr>
          <w:rFonts w:ascii="Times New Roman" w:hAnsi="Times New Roman" w:cs="Times New Roman"/>
          <w:b/>
          <w:bCs/>
          <w:noProof/>
        </w:rPr>
        <w:t>(McGuinness, Malachowa and DeLeo, 2017)</w:t>
      </w:r>
      <w:r w:rsidRPr="00DF206E">
        <w:rPr>
          <w:rFonts w:ascii="Times New Roman" w:hAnsi="Times New Roman" w:cs="Times New Roman"/>
          <w:b/>
          <w:bCs/>
        </w:rPr>
        <w:fldChar w:fldCharType="end"/>
      </w:r>
      <w:r>
        <w:rPr>
          <w:rFonts w:ascii="Times New Roman" w:hAnsi="Times New Roman" w:cs="Times New Roman"/>
        </w:rPr>
        <w:t xml:space="preserve">. </w:t>
      </w:r>
      <w:r w:rsidRPr="00B151A5">
        <w:rPr>
          <w:rFonts w:ascii="Times New Roman" w:hAnsi="Times New Roman" w:cs="Times New Roman"/>
          <w:i/>
          <w:iCs/>
        </w:rPr>
        <w:t>vanA</w:t>
      </w:r>
      <w:r w:rsidRPr="00B151A5">
        <w:rPr>
          <w:rFonts w:ascii="Times New Roman" w:hAnsi="Times New Roman" w:cs="Times New Roman"/>
        </w:rPr>
        <w:t xml:space="preserve"> encodes a ligase required to ligate D-Ala and D-Lac, therefore altering peptidoglycan synthesis and thus affecting vancomycin’s affinity to its target, D-Ala-D-Ala. Fortunately</w:t>
      </w:r>
      <w:r>
        <w:rPr>
          <w:rFonts w:ascii="Times New Roman" w:hAnsi="Times New Roman" w:cs="Times New Roman"/>
        </w:rPr>
        <w:t>,</w:t>
      </w:r>
      <w:r w:rsidRPr="00B151A5">
        <w:rPr>
          <w:rFonts w:ascii="Times New Roman" w:hAnsi="Times New Roman" w:cs="Times New Roman"/>
        </w:rPr>
        <w:t xml:space="preserve"> the prevalence of VRSA is low </w:t>
      </w:r>
      <w:r w:rsidRPr="00DF206E">
        <w:rPr>
          <w:rFonts w:ascii="Times New Roman" w:hAnsi="Times New Roman" w:cs="Times New Roman"/>
          <w:b/>
          <w:bCs/>
        </w:rPr>
        <w:fldChar w:fldCharType="begin"/>
      </w:r>
      <w:r w:rsidRPr="00DF206E">
        <w:rPr>
          <w:rFonts w:ascii="Times New Roman" w:hAnsi="Times New Roman" w:cs="Times New Roman"/>
          <w:b/>
          <w:bCs/>
        </w:rPr>
        <w:instrText xml:space="preserve"> ADDIN EN.CITE &lt;EndNote&gt;&lt;Cite&gt;&lt;Author&gt;McGuinness&lt;/Author&gt;&lt;Year&gt;2017&lt;/Year&gt;&lt;IDText&gt;Vancomycin Resistance in Staphylococcus aureus&lt;/IDText&gt;&lt;DisplayText&gt;(McGuinness, Malachowa and DeLeo, 2017)&lt;/DisplayText&gt;&lt;record&gt;&lt;dates&gt;&lt;pub-dates&gt;&lt;date&gt;Jun&lt;/date&gt;&lt;/pub-dates&gt;&lt;year&gt;2017&lt;/year&gt;&lt;/dates&gt;&lt;urls&gt;&lt;related-urls&gt;&lt;url&gt;&amp;lt;Go to ISI&amp;gt;://WOS:000406048500009&lt;/url&gt;&lt;/related-urls&gt;&lt;/urls&gt;&lt;isbn&gt;0044-0086&lt;/isbn&gt;&lt;titles&gt;&lt;title&gt;Vancomycin Resistance in Staphylococcus aureus&lt;/title&gt;&lt;secondary-title&gt;Yale Journal of Biology and Medicine&lt;/secondary-title&gt;&lt;/titles&gt;&lt;pages&gt;269-281&lt;/pages&gt;&lt;number&gt;2&lt;/number&gt;&lt;contributors&gt;&lt;authors&gt;&lt;author&gt;McGuinness, Will A.&lt;/author&gt;&lt;author&gt;Malachowa, Natalia&lt;/author&gt;&lt;author&gt;DeLeo, Frank R.&lt;/author&gt;&lt;/authors&gt;&lt;/contributors&gt;&lt;added-date format="utc"&gt;1663626011&lt;/added-date&gt;&lt;ref-type name="Journal Article"&gt;17&lt;/ref-type&gt;&lt;rec-number&gt;157&lt;/rec-number&gt;&lt;last-updated-date format="utc"&gt;1664027853&lt;/last-updated-date&gt;&lt;accession-num&gt;WOS:000406048500009&lt;/accession-num&gt;&lt;volume&gt;90&lt;/volume&gt;&lt;/record&gt;&lt;/Cite&gt;&lt;/EndNote&gt;</w:instrText>
      </w:r>
      <w:r w:rsidRPr="00DF206E">
        <w:rPr>
          <w:rFonts w:ascii="Times New Roman" w:hAnsi="Times New Roman" w:cs="Times New Roman"/>
          <w:b/>
          <w:bCs/>
        </w:rPr>
        <w:fldChar w:fldCharType="separate"/>
      </w:r>
      <w:r w:rsidRPr="00DF206E">
        <w:rPr>
          <w:rFonts w:ascii="Times New Roman" w:hAnsi="Times New Roman" w:cs="Times New Roman"/>
          <w:b/>
          <w:bCs/>
          <w:noProof/>
        </w:rPr>
        <w:t>(McGuinness, Malachowa and DeLeo, 2017)</w:t>
      </w:r>
      <w:r w:rsidRPr="00DF206E">
        <w:rPr>
          <w:rFonts w:ascii="Times New Roman" w:hAnsi="Times New Roman" w:cs="Times New Roman"/>
          <w:b/>
          <w:bCs/>
        </w:rPr>
        <w:fldChar w:fldCharType="end"/>
      </w:r>
      <w:r w:rsidRPr="00DF206E">
        <w:rPr>
          <w:rFonts w:ascii="Times New Roman" w:hAnsi="Times New Roman" w:cs="Times New Roman"/>
          <w:b/>
          <w:bCs/>
        </w:rPr>
        <w:t xml:space="preserve"> </w:t>
      </w:r>
      <w:r w:rsidRPr="00B151A5">
        <w:rPr>
          <w:rFonts w:ascii="Times New Roman" w:hAnsi="Times New Roman" w:cs="Times New Roman"/>
        </w:rPr>
        <w:t>however, as with all antibiotics, bacteria will continue to evolve to become resistant.</w:t>
      </w:r>
      <w:r>
        <w:rPr>
          <w:rFonts w:ascii="Times New Roman" w:hAnsi="Times New Roman" w:cs="Times New Roman"/>
        </w:rPr>
        <w:t xml:space="preserve"> </w:t>
      </w:r>
      <w:r w:rsidRPr="00B151A5">
        <w:rPr>
          <w:rFonts w:ascii="Times New Roman" w:hAnsi="Times New Roman" w:cs="Times New Roman"/>
        </w:rPr>
        <w:t xml:space="preserve">Vancomycin treatment does </w:t>
      </w:r>
      <w:r>
        <w:rPr>
          <w:rFonts w:ascii="Times New Roman" w:hAnsi="Times New Roman" w:cs="Times New Roman"/>
        </w:rPr>
        <w:t>however</w:t>
      </w:r>
      <w:r w:rsidRPr="00B151A5">
        <w:rPr>
          <w:rFonts w:ascii="Times New Roman" w:hAnsi="Times New Roman" w:cs="Times New Roman"/>
        </w:rPr>
        <w:t xml:space="preserve"> carry some disadvantages. Vancomycin is mainly administered parenterally</w:t>
      </w:r>
      <w:r>
        <w:rPr>
          <w:rFonts w:ascii="Times New Roman" w:hAnsi="Times New Roman" w:cs="Times New Roman"/>
        </w:rPr>
        <w:t>,</w:t>
      </w:r>
      <w:r w:rsidRPr="00B151A5">
        <w:rPr>
          <w:rFonts w:ascii="Times New Roman" w:hAnsi="Times New Roman" w:cs="Times New Roman"/>
        </w:rPr>
        <w:t xml:space="preserve"> which means that patients must remain in hospital and also due to side effects such as nephrotoxicity, therapeutic drug monitoring is also necessary </w:t>
      </w:r>
      <w:r w:rsidRPr="00DF206E">
        <w:rPr>
          <w:rFonts w:ascii="Times New Roman" w:hAnsi="Times New Roman" w:cs="Times New Roman"/>
          <w:b/>
          <w:bCs/>
        </w:rPr>
        <w:fldChar w:fldCharType="begin"/>
      </w:r>
      <w:r w:rsidRPr="00DF206E">
        <w:rPr>
          <w:rFonts w:ascii="Times New Roman" w:hAnsi="Times New Roman" w:cs="Times New Roman"/>
          <w:b/>
          <w:bCs/>
        </w:rPr>
        <w:instrText xml:space="preserve"> ADDIN EN.CITE &lt;EndNote&gt;&lt;Cite&gt;&lt;Author&gt;Gajdacs&lt;/Author&gt;&lt;Year&gt;2019&lt;/Year&gt;&lt;IDText&gt;The Continuing Threat of Methicillin-Resistant Staphylococcus aureus&lt;/IDText&gt;&lt;DisplayText&gt;(Gajdacs, 2019)&lt;/DisplayText&gt;&lt;record&gt;&lt;dates&gt;&lt;pub-dates&gt;&lt;date&gt;Jun&lt;/date&gt;&lt;/pub-dates&gt;&lt;year&gt;2019&lt;/year&gt;&lt;/dates&gt;&lt;urls&gt;&lt;related-urls&gt;&lt;/related-urls&gt;&lt;/urls&gt;&lt;titles&gt;&lt;title&gt;&lt;style font="default" size="100%"&gt;The Continuing Threat of Methicillin-Resistant &lt;/style&gt;&lt;style face="italic" font="default" size="100%"&gt;Staphylococcus aureus&lt;/style&gt;&lt;/title&gt;&lt;secondary-title&gt;Antibiotics-Basel&lt;/secondary-title&gt;&lt;/titles&gt;&lt;number&gt;2&lt;/number&gt;&lt;contributors&gt;&lt;authors&gt;&lt;author&gt;Gajdacs, Mario&lt;/author&gt;&lt;/authors&gt;&lt;/contributors&gt;&lt;custom7&gt;52&lt;/custom7&gt;&lt;added-date format="utc"&gt;1663625782&lt;/added-date&gt;&lt;ref-type name="Journal Article"&gt;17&lt;/ref-type&gt;&lt;rec-number&gt;152&lt;/rec-number&gt;&lt;last-updated-date format="utc"&gt;1675729841&lt;/last-updated-date&gt;&lt;accession-num&gt;WOS:000477005400018&lt;/accession-num&gt;&lt;electronic-resource-num&gt;10.3390/antibiotics8020052&lt;/electronic-resource-num&gt;&lt;volume&gt;8&lt;/volume&gt;&lt;/record&gt;&lt;/Cite&gt;&lt;/EndNote&gt;</w:instrText>
      </w:r>
      <w:r w:rsidRPr="00DF206E">
        <w:rPr>
          <w:rFonts w:ascii="Times New Roman" w:hAnsi="Times New Roman" w:cs="Times New Roman"/>
          <w:b/>
          <w:bCs/>
        </w:rPr>
        <w:fldChar w:fldCharType="separate"/>
      </w:r>
      <w:r w:rsidRPr="00DF206E">
        <w:rPr>
          <w:rFonts w:ascii="Times New Roman" w:hAnsi="Times New Roman" w:cs="Times New Roman"/>
          <w:b/>
          <w:bCs/>
          <w:noProof/>
        </w:rPr>
        <w:t>(Gajdacs, 2019)</w:t>
      </w:r>
      <w:r w:rsidRPr="00DF206E">
        <w:rPr>
          <w:rFonts w:ascii="Times New Roman" w:hAnsi="Times New Roman" w:cs="Times New Roman"/>
          <w:b/>
          <w:bCs/>
        </w:rPr>
        <w:fldChar w:fldCharType="end"/>
      </w:r>
      <w:r w:rsidRPr="00B151A5">
        <w:rPr>
          <w:rFonts w:ascii="Times New Roman" w:hAnsi="Times New Roman" w:cs="Times New Roman"/>
        </w:rPr>
        <w:t>. Thus, other glycopeptide antibiotics such as teicoplanin have been considered. A meta-analysis has concluded that the efficacy of teicoplanin is similar to vancomycin and while teicoplanin must also be parenterally administered, there is a lower risk of nephrotoxicity</w:t>
      </w:r>
      <w:r w:rsidRPr="00DF206E">
        <w:rPr>
          <w:rFonts w:ascii="Times New Roman" w:hAnsi="Times New Roman" w:cs="Times New Roman"/>
          <w:b/>
          <w:bCs/>
        </w:rPr>
        <w:t xml:space="preserve"> </w:t>
      </w:r>
      <w:r w:rsidRPr="00DF206E">
        <w:rPr>
          <w:rFonts w:ascii="Times New Roman" w:hAnsi="Times New Roman" w:cs="Times New Roman"/>
          <w:b/>
          <w:bCs/>
        </w:rPr>
        <w:fldChar w:fldCharType="begin"/>
      </w:r>
      <w:r w:rsidRPr="00DF206E">
        <w:rPr>
          <w:rFonts w:ascii="Times New Roman" w:hAnsi="Times New Roman" w:cs="Times New Roman"/>
          <w:b/>
          <w:bCs/>
        </w:rPr>
        <w:instrText xml:space="preserve"> ADDIN EN.CITE &lt;EndNote&gt;&lt;Cite&gt;&lt;Author&gt;Cavalcanti&lt;/Author&gt;&lt;Year&gt;2010&lt;/Year&gt;&lt;IDText&gt;Teicoplanin versus vancomycin for proven or suspected infection&lt;/IDText&gt;&lt;DisplayText&gt;(Cavalcanti&lt;style face="italic"&gt; et al.&lt;/style&gt;, 2010)&lt;/DisplayText&gt;&lt;record&gt;&lt;dates&gt;&lt;pub-dates&gt;&lt;date&gt;2010&lt;/date&gt;&lt;/pub-dates&gt;&lt;year&gt;2010&lt;/year&gt;&lt;/dates&gt;&lt;urls&gt;&lt;related-urls&gt;&lt;url&gt;&amp;lt;Go to ISI&amp;gt;://WOS:000278858300018&lt;/url&gt;&lt;/related-urls&gt;&lt;/urls&gt;&lt;isbn&gt;1469-493X&lt;/isbn&gt;&lt;titles&gt;&lt;title&gt;Teicoplanin versus vancomycin for proven or suspected infection&lt;/title&gt;&lt;secondary-title&gt;Cochrane Database of Systematic Reviews&lt;/secondary-title&gt;&lt;/titles&gt;&lt;number&gt;6&lt;/number&gt;&lt;contributors&gt;&lt;authors&gt;&lt;author&gt;Cavalcanti, Alexandre B.&lt;/author&gt;&lt;author&gt;Goncalves, Anderson R.&lt;/author&gt;&lt;author&gt;Almeida, Claudia S.&lt;/author&gt;&lt;author&gt;Bugano, Diogo D. G.&lt;/author&gt;&lt;author&gt;Silva, Eliezer&lt;/author&gt;&lt;/authors&gt;&lt;/contributors&gt;&lt;custom7&gt;Cd007022&lt;/custom7&gt;&lt;added-date format="utc"&gt;1663625730&lt;/added-date&gt;&lt;ref-type name="Journal Article"&gt;17&lt;/ref-type&gt;&lt;rec-number&gt;150&lt;/rec-number&gt;&lt;last-updated-date format="utc"&gt;1664027853&lt;/last-updated-date&gt;&lt;accession-num&gt;WOS:000278858300018&lt;/accession-num&gt;&lt;electronic-resource-num&gt;10.1002/14651858.CD007022.pub2&lt;/electronic-resource-num&gt;&lt;/record&gt;&lt;/Cite&gt;&lt;/EndNote&gt;</w:instrText>
      </w:r>
      <w:r w:rsidRPr="00DF206E">
        <w:rPr>
          <w:rFonts w:ascii="Times New Roman" w:hAnsi="Times New Roman" w:cs="Times New Roman"/>
          <w:b/>
          <w:bCs/>
        </w:rPr>
        <w:fldChar w:fldCharType="separate"/>
      </w:r>
      <w:r w:rsidRPr="00DF206E">
        <w:rPr>
          <w:rFonts w:ascii="Times New Roman" w:hAnsi="Times New Roman" w:cs="Times New Roman"/>
          <w:b/>
          <w:bCs/>
          <w:noProof/>
        </w:rPr>
        <w:t>(Cavalcanti</w:t>
      </w:r>
      <w:r w:rsidRPr="00DF206E">
        <w:rPr>
          <w:rFonts w:ascii="Times New Roman" w:hAnsi="Times New Roman" w:cs="Times New Roman"/>
          <w:b/>
          <w:bCs/>
          <w:i/>
          <w:noProof/>
        </w:rPr>
        <w:t xml:space="preserve"> et al.</w:t>
      </w:r>
      <w:r w:rsidRPr="00DF206E">
        <w:rPr>
          <w:rFonts w:ascii="Times New Roman" w:hAnsi="Times New Roman" w:cs="Times New Roman"/>
          <w:b/>
          <w:bCs/>
          <w:noProof/>
        </w:rPr>
        <w:t>, 2010)</w:t>
      </w:r>
      <w:r w:rsidRPr="00DF206E">
        <w:rPr>
          <w:rFonts w:ascii="Times New Roman" w:hAnsi="Times New Roman" w:cs="Times New Roman"/>
          <w:b/>
          <w:bCs/>
        </w:rPr>
        <w:fldChar w:fldCharType="end"/>
      </w:r>
      <w:r w:rsidRPr="00B151A5">
        <w:rPr>
          <w:rFonts w:ascii="Times New Roman" w:hAnsi="Times New Roman" w:cs="Times New Roman"/>
        </w:rPr>
        <w:t xml:space="preserve">. </w:t>
      </w:r>
    </w:p>
    <w:p w14:paraId="039B9885" w14:textId="5D61E4D4" w:rsidR="00033564" w:rsidRDefault="00033564" w:rsidP="00033564">
      <w:pPr>
        <w:spacing w:line="360" w:lineRule="auto"/>
        <w:ind w:firstLine="720"/>
        <w:jc w:val="both"/>
        <w:rPr>
          <w:rFonts w:ascii="Times New Roman" w:hAnsi="Times New Roman" w:cs="Times New Roman"/>
        </w:rPr>
      </w:pPr>
      <w:r>
        <w:rPr>
          <w:rFonts w:ascii="Times New Roman" w:hAnsi="Times New Roman" w:cs="Times New Roman"/>
        </w:rPr>
        <w:t xml:space="preserve">Daptomycin is a cyclic lipopeptide antibiotic, structurally similar to cationic antimicrobial peptides (AMPs). Daptomycin inserts itself into the Gram-positive cell membrane by targeting </w:t>
      </w:r>
      <w:r>
        <w:rPr>
          <w:rFonts w:ascii="Times New Roman" w:hAnsi="Times New Roman" w:cs="Times New Roman"/>
        </w:rPr>
        <w:lastRenderedPageBreak/>
        <w:t xml:space="preserve">membrane lipids such as phosphatidylglycerol (PG) and lipid II in a calcium-dependent manner and ultimately acts to depolarise the membrane, leading to by membrane disruption </w:t>
      </w:r>
      <w:r w:rsidRPr="00C97794">
        <w:rPr>
          <w:rFonts w:ascii="Times New Roman" w:hAnsi="Times New Roman" w:cs="Times New Roman"/>
          <w:b/>
          <w:bCs/>
        </w:rPr>
        <w:fldChar w:fldCharType="begin">
          <w:fldData xml:space="preserve">PEVuZE5vdGU+PENpdGU+PEF1dGhvcj5HcmVpbjwvQXV0aG9yPjxZZWFyPjIwMjA8L1llYXI+PElE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</w:fldData>
        </w:fldChar>
      </w:r>
      <w:r w:rsidRPr="00C97794">
        <w:rPr>
          <w:rFonts w:ascii="Times New Roman" w:hAnsi="Times New Roman" w:cs="Times New Roman"/>
          <w:b/>
          <w:bCs/>
        </w:rPr>
        <w:instrText xml:space="preserve"> ADDIN EN.CITE </w:instrText>
      </w:r>
      <w:r w:rsidRPr="00C97794">
        <w:rPr>
          <w:rFonts w:ascii="Times New Roman" w:hAnsi="Times New Roman" w:cs="Times New Roman"/>
          <w:b/>
          <w:bCs/>
        </w:rPr>
        <w:fldChar w:fldCharType="begin">
          <w:fldData xml:space="preserve">PEVuZE5vdGU+PENpdGU+PEF1dGhvcj5HcmVpbjwvQXV0aG9yPjxZZWFyPjIwMjA8L1llYXI+PElE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</w:fldData>
        </w:fldChar>
      </w:r>
      <w:r w:rsidRPr="00C97794">
        <w:rPr>
          <w:rFonts w:ascii="Times New Roman" w:hAnsi="Times New Roman" w:cs="Times New Roman"/>
          <w:b/>
          <w:bCs/>
        </w:rPr>
        <w:instrText xml:space="preserve"> ADDIN EN.CITE.DATA </w:instrText>
      </w:r>
      <w:r w:rsidRPr="00C97794">
        <w:rPr>
          <w:rFonts w:ascii="Times New Roman" w:hAnsi="Times New Roman" w:cs="Times New Roman"/>
          <w:b/>
          <w:bCs/>
        </w:rPr>
      </w:r>
      <w:r w:rsidRPr="00C97794">
        <w:rPr>
          <w:rFonts w:ascii="Times New Roman" w:hAnsi="Times New Roman" w:cs="Times New Roman"/>
          <w:b/>
          <w:bCs/>
        </w:rPr>
        <w:fldChar w:fldCharType="end"/>
      </w:r>
      <w:r w:rsidRPr="00C97794">
        <w:rPr>
          <w:rFonts w:ascii="Times New Roman" w:hAnsi="Times New Roman" w:cs="Times New Roman"/>
          <w:b/>
          <w:bCs/>
        </w:rPr>
      </w:r>
      <w:r w:rsidRPr="00C97794">
        <w:rPr>
          <w:rFonts w:ascii="Times New Roman" w:hAnsi="Times New Roman" w:cs="Times New Roman"/>
          <w:b/>
          <w:bCs/>
        </w:rPr>
        <w:fldChar w:fldCharType="separate"/>
      </w:r>
      <w:r w:rsidRPr="00C97794">
        <w:rPr>
          <w:rFonts w:ascii="Times New Roman" w:hAnsi="Times New Roman" w:cs="Times New Roman"/>
          <w:b/>
          <w:bCs/>
          <w:noProof/>
        </w:rPr>
        <w:t>(Grein</w:t>
      </w:r>
      <w:r w:rsidRPr="00C97794">
        <w:rPr>
          <w:rFonts w:ascii="Times New Roman" w:hAnsi="Times New Roman" w:cs="Times New Roman"/>
          <w:b/>
          <w:bCs/>
          <w:i/>
          <w:noProof/>
        </w:rPr>
        <w:t xml:space="preserve"> et al.</w:t>
      </w:r>
      <w:r w:rsidRPr="00C97794">
        <w:rPr>
          <w:rFonts w:ascii="Times New Roman" w:hAnsi="Times New Roman" w:cs="Times New Roman"/>
          <w:b/>
          <w:bCs/>
          <w:noProof/>
        </w:rPr>
        <w:t>, 2020; Hobbs</w:t>
      </w:r>
      <w:r w:rsidRPr="00C97794">
        <w:rPr>
          <w:rFonts w:ascii="Times New Roman" w:hAnsi="Times New Roman" w:cs="Times New Roman"/>
          <w:b/>
          <w:bCs/>
          <w:i/>
          <w:noProof/>
        </w:rPr>
        <w:t xml:space="preserve"> et al.</w:t>
      </w:r>
      <w:r w:rsidRPr="00C97794">
        <w:rPr>
          <w:rFonts w:ascii="Times New Roman" w:hAnsi="Times New Roman" w:cs="Times New Roman"/>
          <w:b/>
          <w:bCs/>
          <w:noProof/>
        </w:rPr>
        <w:t>, 2008)</w:t>
      </w:r>
      <w:r w:rsidRPr="00C97794">
        <w:rPr>
          <w:rFonts w:ascii="Times New Roman" w:hAnsi="Times New Roman" w:cs="Times New Roman"/>
          <w:b/>
          <w:bCs/>
        </w:rPr>
        <w:fldChar w:fldCharType="end"/>
      </w:r>
      <w:r>
        <w:rPr>
          <w:rFonts w:ascii="Times New Roman" w:hAnsi="Times New Roman" w:cs="Times New Roman"/>
        </w:rPr>
        <w:t xml:space="preserve">. Daptomycin is often used as an alternative therapy in the event of vancomycin resistance or nephrotoxicity mediated by prolonged vancomycin treatment. For example, participants in a matched cohort study with MRSA bacteraemia were treated with vancomycin for approximately three days before changing to daptomycin </w:t>
      </w:r>
      <w:r w:rsidRPr="00772F0D">
        <w:rPr>
          <w:rFonts w:ascii="Times New Roman" w:hAnsi="Times New Roman" w:cs="Times New Roman"/>
          <w:b/>
          <w:bCs/>
        </w:rPr>
        <w:fldChar w:fldCharType="begin"/>
      </w:r>
      <w:r w:rsidRPr="00772F0D">
        <w:rPr>
          <w:rFonts w:ascii="Times New Roman" w:hAnsi="Times New Roman" w:cs="Times New Roman"/>
          <w:b/>
          <w:bCs/>
        </w:rPr>
        <w:instrText xml:space="preserve"> ADDIN EN.CITE &lt;EndNote&gt;&lt;Cite&gt;&lt;Author&gt;Murray&lt;/Author&gt;&lt;Year&gt;2013&lt;/Year&gt;&lt;IDText&gt;Early Use of Daptomycin Versus Vancomycin for Methicillin-Resistant Staphylococcus aureus Bacteremia With Vancomycin Minimum Inhibitory Concentration &amp;gt; 1 mg/L: A Matched Cohort Study&lt;/IDText&gt;&lt;DisplayText&gt;(Murray&lt;style face="italic"&gt; et al.&lt;/style&gt;, 2013)&lt;/DisplayText&gt;&lt;record&gt;&lt;dates&gt;&lt;pub-dates&gt;&lt;date&gt;Jun 1&lt;/date&gt;&lt;/pub-dates&gt;&lt;year&gt;2013&lt;/year&gt;&lt;/dates&gt;&lt;urls&gt;&lt;related-urls&gt;&lt;url&gt;&amp;lt;Go to ISI&amp;gt;://WOS:000318641300008&lt;/url&gt;&lt;/related-urls&gt;&lt;/urls&gt;&lt;isbn&gt;1058-4838&lt;/isbn&gt;&lt;work-type&gt;Article&lt;/work-type&gt;&lt;titles&gt;&lt;title&gt;Early Use of Daptomycin Versus Vancomycin for Methicillin-Resistant Staphylococcus aureus Bacteremia With Vancomycin Minimum Inhibitory Concentration &amp;gt; 1 mg/L: A Matched Cohort Study&lt;/title&gt;&lt;secondary-title&gt;Clinical Infectious Diseases&lt;/secondary-title&gt;&lt;/titles&gt;&lt;pages&gt;1562-1569&lt;/pages&gt;&lt;number&gt;11&lt;/number&gt;&lt;contributors&gt;&lt;authors&gt;&lt;author&gt;Murray, Kyle P.&lt;/author&gt;&lt;author&gt;Zhao, Jing J.&lt;/author&gt;&lt;author&gt;Davis, Susan L.&lt;/author&gt;&lt;author&gt;Kullar, Ravina&lt;/author&gt;&lt;author&gt;Kaye, Keith S.&lt;/author&gt;&lt;author&gt;Lephart, Paul&lt;/author&gt;&lt;author&gt;Rybak, Michael J.&lt;/author&gt;&lt;/authors&gt;&lt;/contributors&gt;&lt;added-date format="utc"&gt;1676647275&lt;/added-date&gt;&lt;ref-type name="Journal Article"&gt;17&lt;/ref-type&gt;&lt;rec-number&gt;384&lt;/rec-number&gt;&lt;last-updated-date format="utc"&gt;1676647275&lt;/last-updated-date&gt;&lt;accession-num&gt;WOS:000318641300008&lt;/accession-num&gt;&lt;electronic-resource-num&gt;10.1093/cid/cit112&lt;/electronic-resource-num&gt;&lt;volume&gt;56&lt;/volume&gt;&lt;/record&gt;&lt;/Cite&gt;&lt;/EndNote&gt;</w:instrText>
      </w:r>
      <w:r w:rsidRPr="00772F0D">
        <w:rPr>
          <w:rFonts w:ascii="Times New Roman" w:hAnsi="Times New Roman" w:cs="Times New Roman"/>
          <w:b/>
          <w:bCs/>
        </w:rPr>
        <w:fldChar w:fldCharType="separate"/>
      </w:r>
      <w:r w:rsidRPr="00772F0D">
        <w:rPr>
          <w:rFonts w:ascii="Times New Roman" w:hAnsi="Times New Roman" w:cs="Times New Roman"/>
          <w:b/>
          <w:bCs/>
          <w:noProof/>
        </w:rPr>
        <w:t>(Murray</w:t>
      </w:r>
      <w:r w:rsidRPr="00772F0D">
        <w:rPr>
          <w:rFonts w:ascii="Times New Roman" w:hAnsi="Times New Roman" w:cs="Times New Roman"/>
          <w:b/>
          <w:bCs/>
          <w:i/>
          <w:noProof/>
        </w:rPr>
        <w:t xml:space="preserve"> et al.</w:t>
      </w:r>
      <w:r w:rsidRPr="00772F0D">
        <w:rPr>
          <w:rFonts w:ascii="Times New Roman" w:hAnsi="Times New Roman" w:cs="Times New Roman"/>
          <w:b/>
          <w:bCs/>
          <w:noProof/>
        </w:rPr>
        <w:t>, 2013)</w:t>
      </w:r>
      <w:r w:rsidRPr="00772F0D">
        <w:rPr>
          <w:rFonts w:ascii="Times New Roman" w:hAnsi="Times New Roman" w:cs="Times New Roman"/>
          <w:b/>
          <w:bCs/>
        </w:rPr>
        <w:fldChar w:fldCharType="end"/>
      </w:r>
      <w:r>
        <w:rPr>
          <w:rFonts w:ascii="Times New Roman" w:hAnsi="Times New Roman" w:cs="Times New Roman"/>
        </w:rPr>
        <w:t xml:space="preserve">. Treatment success/failure was compared to a matched group of patients treated with vancomycin only and when daptomycin was administered after vancomycin treatment, there were fewer treatment failure in comparison to the vancomycin only group (20% vs 48.2% respectively) </w:t>
      </w:r>
      <w:r w:rsidRPr="00772F0D">
        <w:rPr>
          <w:rFonts w:ascii="Times New Roman" w:hAnsi="Times New Roman" w:cs="Times New Roman"/>
          <w:b/>
          <w:bCs/>
        </w:rPr>
        <w:fldChar w:fldCharType="begin"/>
      </w:r>
      <w:r w:rsidRPr="00772F0D">
        <w:rPr>
          <w:rFonts w:ascii="Times New Roman" w:hAnsi="Times New Roman" w:cs="Times New Roman"/>
          <w:b/>
          <w:bCs/>
        </w:rPr>
        <w:instrText xml:space="preserve"> ADDIN EN.CITE &lt;EndNote&gt;&lt;Cite&gt;&lt;Author&gt;Murray&lt;/Author&gt;&lt;Year&gt;2013&lt;/Year&gt;&lt;IDText&gt;Early Use of Daptomycin Versus Vancomycin for Methicillin-Resistant Staphylococcus aureus Bacteremia With Vancomycin Minimum Inhibitory Concentration &amp;gt; 1 mg/L: A Matched Cohort Study&lt;/IDText&gt;&lt;DisplayText&gt;(Murray&lt;style face="italic"&gt; et al.&lt;/style&gt;, 2013)&lt;/DisplayText&gt;&lt;record&gt;&lt;dates&gt;&lt;pub-dates&gt;&lt;date&gt;Jun 1&lt;/date&gt;&lt;/pub-dates&gt;&lt;year&gt;2013&lt;/year&gt;&lt;/dates&gt;&lt;urls&gt;&lt;related-urls&gt;&lt;url&gt;&amp;lt;Go to ISI&amp;gt;://WOS:000318641300008&lt;/url&gt;&lt;/related-urls&gt;&lt;/urls&gt;&lt;isbn&gt;1058-4838&lt;/isbn&gt;&lt;work-type&gt;Article&lt;/work-type&gt;&lt;titles&gt;&lt;title&gt;Early Use of Daptomycin Versus Vancomycin for Methicillin-Resistant Staphylococcus aureus Bacteremia With Vancomycin Minimum Inhibitory Concentration &amp;gt; 1 mg/L: A Matched Cohort Study&lt;/title&gt;&lt;secondary-title&gt;Clinical Infectious Diseases&lt;/secondary-title&gt;&lt;/titles&gt;&lt;pages&gt;1562-1569&lt;/pages&gt;&lt;number&gt;11&lt;/number&gt;&lt;contributors&gt;&lt;authors&gt;&lt;author&gt;Murray, Kyle P.&lt;/author&gt;&lt;author&gt;Zhao, Jing J.&lt;/author&gt;&lt;author&gt;Davis, Susan L.&lt;/author&gt;&lt;author&gt;Kullar, Ravina&lt;/author&gt;&lt;author&gt;Kaye, Keith S.&lt;/author&gt;&lt;author&gt;Lephart, Paul&lt;/author&gt;&lt;author&gt;Rybak, Michael J.&lt;/author&gt;&lt;/authors&gt;&lt;/contributors&gt;&lt;added-date format="utc"&gt;1676647275&lt;/added-date&gt;&lt;ref-type name="Journal Article"&gt;17&lt;/ref-type&gt;&lt;rec-number&gt;384&lt;/rec-number&gt;&lt;last-updated-date format="utc"&gt;1676647275&lt;/last-updated-date&gt;&lt;accession-num&gt;WOS:000318641300008&lt;/accession-num&gt;&lt;electronic-resource-num&gt;10.1093/cid/cit112&lt;/electronic-resource-num&gt;&lt;volume&gt;56&lt;/volume&gt;&lt;/record&gt;&lt;/Cite&gt;&lt;/EndNote&gt;</w:instrText>
      </w:r>
      <w:r w:rsidRPr="00772F0D">
        <w:rPr>
          <w:rFonts w:ascii="Times New Roman" w:hAnsi="Times New Roman" w:cs="Times New Roman"/>
          <w:b/>
          <w:bCs/>
        </w:rPr>
        <w:fldChar w:fldCharType="separate"/>
      </w:r>
      <w:r w:rsidRPr="00772F0D">
        <w:rPr>
          <w:rFonts w:ascii="Times New Roman" w:hAnsi="Times New Roman" w:cs="Times New Roman"/>
          <w:b/>
          <w:bCs/>
          <w:noProof/>
        </w:rPr>
        <w:t>(Murray</w:t>
      </w:r>
      <w:r w:rsidRPr="00772F0D">
        <w:rPr>
          <w:rFonts w:ascii="Times New Roman" w:hAnsi="Times New Roman" w:cs="Times New Roman"/>
          <w:b/>
          <w:bCs/>
          <w:i/>
          <w:noProof/>
        </w:rPr>
        <w:t xml:space="preserve"> et al.</w:t>
      </w:r>
      <w:r w:rsidRPr="00772F0D">
        <w:rPr>
          <w:rFonts w:ascii="Times New Roman" w:hAnsi="Times New Roman" w:cs="Times New Roman"/>
          <w:b/>
          <w:bCs/>
          <w:noProof/>
        </w:rPr>
        <w:t>, 2013)</w:t>
      </w:r>
      <w:r w:rsidRPr="00772F0D">
        <w:rPr>
          <w:rFonts w:ascii="Times New Roman" w:hAnsi="Times New Roman" w:cs="Times New Roman"/>
          <w:b/>
          <w:bCs/>
        </w:rPr>
        <w:fldChar w:fldCharType="end"/>
      </w:r>
      <w:r w:rsidRPr="00772F0D">
        <w:rPr>
          <w:rFonts w:ascii="Times New Roman" w:hAnsi="Times New Roman" w:cs="Times New Roman"/>
        </w:rPr>
        <w:t>.</w:t>
      </w:r>
      <w:r>
        <w:rPr>
          <w:rFonts w:ascii="Times New Roman" w:hAnsi="Times New Roman" w:cs="Times New Roman"/>
        </w:rPr>
        <w:t xml:space="preserve"> This study highlights the benefits of switching to daptomycin therapy. These results were further substantiated recently in a similar study with a larger cohort </w:t>
      </w:r>
      <w:r w:rsidRPr="00842AD8">
        <w:rPr>
          <w:rFonts w:ascii="Times New Roman" w:hAnsi="Times New Roman" w:cs="Times New Roman"/>
          <w:b/>
          <w:bCs/>
        </w:rPr>
        <w:fldChar w:fldCharType="begin"/>
      </w:r>
      <w:r w:rsidRPr="00842AD8">
        <w:rPr>
          <w:rFonts w:ascii="Times New Roman" w:hAnsi="Times New Roman" w:cs="Times New Roman"/>
          <w:b/>
          <w:bCs/>
        </w:rPr>
        <w:instrText xml:space="preserve"> ADDIN EN.CITE &lt;EndNote&gt;&lt;Cite&gt;&lt;Author&gt;Schweizer&lt;/Author&gt;&lt;Year&gt;2021&lt;/Year&gt;&lt;IDText&gt;Comparative Effectiveness of Switching to Daptomycin Versus Remaining on Vancomycin Among Patients With Methicillin-resistant Staphylococcus aureus (MRSA) Bloodstream Infections&lt;/IDText&gt;&lt;DisplayText&gt;(Schweizer&lt;style face="italic"&gt; et al.&lt;/style&gt;, 2021)&lt;/DisplayText&gt;&lt;record&gt;&lt;dates&gt;&lt;pub-dates&gt;&lt;date&gt;Jan 15&lt;/date&gt;&lt;/pub-dates&gt;&lt;year&gt;2021&lt;/year&gt;&lt;/dates&gt;&lt;urls&gt;&lt;related-urls&gt;&lt;url&gt;&amp;lt;Go to ISI&amp;gt;://WOS:000637031300009&lt;/url&gt;&lt;/related-urls&gt;&lt;/urls&gt;&lt;isbn&gt;1058-4838&lt;/isbn&gt;&lt;work-type&gt;Article&lt;/work-type&gt;&lt;titles&gt;&lt;title&gt;Comparative Effectiveness of Switching to Daptomycin Versus Remaining on Vancomycin Among Patients With Methicillin-resistant Staphylococcus aureus (MRSA) Bloodstream Infections&lt;/title&gt;&lt;secondary-title&gt;Clinical Infectious Diseases&lt;/secondary-title&gt;&lt;/titles&gt;&lt;pages&gt;S68-S73&lt;/pages&gt;&lt;contributors&gt;&lt;authors&gt;&lt;author&gt;Schweizer, Marin L.&lt;/author&gt;&lt;author&gt;Richardson, Kelly&lt;/author&gt;&lt;author&gt;Sarrazin, Mary S. Vaughan&lt;/author&gt;&lt;author&gt;Goto, Michihiko&lt;/author&gt;&lt;author&gt;Livorsi, Daniel J.&lt;/author&gt;&lt;author&gt;Nair, Rajeshwari&lt;/author&gt;&lt;author&gt;Alexander, Bruce&lt;/author&gt;&lt;author&gt;Beck, Brice F.&lt;/author&gt;&lt;author&gt;Jones, Michael P.&lt;/author&gt;&lt;author&gt;Puig-Asensio, Mireia&lt;/author&gt;&lt;author&gt;Suh, Daniel&lt;/author&gt;&lt;author&gt;Ohl, Madeline&lt;/author&gt;&lt;author&gt;Perencevich, Eli N.&lt;/author&gt;&lt;/authors&gt;&lt;/contributors&gt;&lt;added-date format="utc"&gt;1676650840&lt;/added-date&gt;&lt;ref-type name="Journal Article"&gt;17&lt;/ref-type&gt;&lt;rec-number&gt;387&lt;/rec-number&gt;&lt;last-updated-date format="utc"&gt;1676650840&lt;/last-updated-date&gt;&lt;accession-num&gt;WOS:000637031300009&lt;/accession-num&gt;&lt;electronic-resource-num&gt;10.1093/cid/ciaa1572&lt;/electronic-resource-num&gt;&lt;volume&gt;72&lt;/volume&gt;&lt;/record&gt;&lt;/Cite&gt;&lt;/EndNote&gt;</w:instrText>
      </w:r>
      <w:r w:rsidRPr="00842AD8">
        <w:rPr>
          <w:rFonts w:ascii="Times New Roman" w:hAnsi="Times New Roman" w:cs="Times New Roman"/>
          <w:b/>
          <w:bCs/>
        </w:rPr>
        <w:fldChar w:fldCharType="separate"/>
      </w:r>
      <w:r w:rsidRPr="00842AD8">
        <w:rPr>
          <w:rFonts w:ascii="Times New Roman" w:hAnsi="Times New Roman" w:cs="Times New Roman"/>
          <w:b/>
          <w:bCs/>
          <w:noProof/>
        </w:rPr>
        <w:t>(Schweizer</w:t>
      </w:r>
      <w:r w:rsidRPr="00842AD8">
        <w:rPr>
          <w:rFonts w:ascii="Times New Roman" w:hAnsi="Times New Roman" w:cs="Times New Roman"/>
          <w:b/>
          <w:bCs/>
          <w:i/>
          <w:noProof/>
        </w:rPr>
        <w:t xml:space="preserve"> et al.</w:t>
      </w:r>
      <w:r w:rsidRPr="00842AD8">
        <w:rPr>
          <w:rFonts w:ascii="Times New Roman" w:hAnsi="Times New Roman" w:cs="Times New Roman"/>
          <w:b/>
          <w:bCs/>
          <w:noProof/>
        </w:rPr>
        <w:t>, 2021)</w:t>
      </w:r>
      <w:r w:rsidRPr="00842AD8">
        <w:rPr>
          <w:rFonts w:ascii="Times New Roman" w:hAnsi="Times New Roman" w:cs="Times New Roman"/>
          <w:b/>
          <w:bCs/>
        </w:rPr>
        <w:fldChar w:fldCharType="end"/>
      </w:r>
      <w:r>
        <w:rPr>
          <w:rFonts w:ascii="Times New Roman" w:hAnsi="Times New Roman" w:cs="Times New Roman"/>
        </w:rPr>
        <w:t xml:space="preserve">, providing evidence that daptomycin is a suitable alternative in the event of vancomycin treatment failure. Currently, daptomycin resistance is uncommon however, due to the ability of </w:t>
      </w:r>
      <w:r>
        <w:rPr>
          <w:rFonts w:ascii="Times New Roman" w:hAnsi="Times New Roman" w:cs="Times New Roman"/>
          <w:i/>
          <w:iCs/>
        </w:rPr>
        <w:t>S. aureus</w:t>
      </w:r>
      <w:r>
        <w:rPr>
          <w:rFonts w:ascii="Times New Roman" w:hAnsi="Times New Roman" w:cs="Times New Roman"/>
        </w:rPr>
        <w:t xml:space="preserve"> to evolve rapidly, the possibility of the widespread development of resistance is almost certain. </w:t>
      </w:r>
      <w:bookmarkStart w:id="17" w:name="_Hlk130642143"/>
      <w:r>
        <w:rPr>
          <w:rFonts w:ascii="Times New Roman" w:hAnsi="Times New Roman" w:cs="Times New Roman"/>
        </w:rPr>
        <w:t xml:space="preserve">Mutations in </w:t>
      </w:r>
      <w:r w:rsidR="00906D65">
        <w:rPr>
          <w:rFonts w:ascii="Times New Roman" w:hAnsi="Times New Roman" w:cs="Times New Roman"/>
        </w:rPr>
        <w:t xml:space="preserve">genes encoding for </w:t>
      </w:r>
      <w:r>
        <w:rPr>
          <w:rFonts w:ascii="Times New Roman" w:hAnsi="Times New Roman" w:cs="Times New Roman"/>
        </w:rPr>
        <w:t xml:space="preserve">proteins </w:t>
      </w:r>
      <w:r w:rsidR="00906D65">
        <w:rPr>
          <w:rFonts w:ascii="Times New Roman" w:hAnsi="Times New Roman" w:cs="Times New Roman"/>
        </w:rPr>
        <w:t xml:space="preserve">that </w:t>
      </w:r>
      <w:r>
        <w:rPr>
          <w:rFonts w:ascii="Times New Roman" w:hAnsi="Times New Roman" w:cs="Times New Roman"/>
        </w:rPr>
        <w:t>have been associated with daptomycin resistance includ</w:t>
      </w:r>
      <w:r w:rsidR="00906D65">
        <w:rPr>
          <w:rFonts w:ascii="Times New Roman" w:hAnsi="Times New Roman" w:cs="Times New Roman"/>
        </w:rPr>
        <w:t>e</w:t>
      </w:r>
      <w:r>
        <w:rPr>
          <w:rFonts w:ascii="Times New Roman" w:hAnsi="Times New Roman" w:cs="Times New Roman"/>
        </w:rPr>
        <w:t xml:space="preserve"> </w:t>
      </w:r>
      <w:bookmarkEnd w:id="17"/>
      <w:r w:rsidR="00DC2A73">
        <w:rPr>
          <w:rFonts w:ascii="Times New Roman" w:hAnsi="Times New Roman" w:cs="Times New Roman"/>
          <w:i/>
          <w:iCs/>
        </w:rPr>
        <w:t>m</w:t>
      </w:r>
      <w:r w:rsidRPr="00066900">
        <w:rPr>
          <w:rFonts w:ascii="Times New Roman" w:hAnsi="Times New Roman" w:cs="Times New Roman"/>
          <w:i/>
          <w:iCs/>
        </w:rPr>
        <w:t>prF</w:t>
      </w:r>
      <w:r>
        <w:rPr>
          <w:rFonts w:ascii="Times New Roman" w:hAnsi="Times New Roman" w:cs="Times New Roman"/>
        </w:rPr>
        <w:t xml:space="preserve">, the </w:t>
      </w:r>
      <w:r w:rsidRPr="00981F42">
        <w:rPr>
          <w:rFonts w:ascii="Times New Roman" w:hAnsi="Times New Roman" w:cs="Times New Roman"/>
          <w:i/>
          <w:iCs/>
        </w:rPr>
        <w:t>dltABCD</w:t>
      </w:r>
      <w:r>
        <w:rPr>
          <w:rFonts w:ascii="Times New Roman" w:hAnsi="Times New Roman" w:cs="Times New Roman"/>
        </w:rPr>
        <w:t xml:space="preserve"> operon, </w:t>
      </w:r>
      <w:r w:rsidR="00DC2A73">
        <w:rPr>
          <w:rFonts w:ascii="Times New Roman" w:hAnsi="Times New Roman" w:cs="Times New Roman"/>
          <w:i/>
          <w:iCs/>
        </w:rPr>
        <w:t>y</w:t>
      </w:r>
      <w:r w:rsidRPr="00066900">
        <w:rPr>
          <w:rFonts w:ascii="Times New Roman" w:hAnsi="Times New Roman" w:cs="Times New Roman"/>
          <w:i/>
          <w:iCs/>
        </w:rPr>
        <w:t>ycG</w:t>
      </w:r>
      <w:r>
        <w:rPr>
          <w:rFonts w:ascii="Times New Roman" w:hAnsi="Times New Roman" w:cs="Times New Roman"/>
        </w:rPr>
        <w:t xml:space="preserve"> and </w:t>
      </w:r>
      <w:r w:rsidR="00DC2A73">
        <w:rPr>
          <w:rFonts w:ascii="Times New Roman" w:hAnsi="Times New Roman" w:cs="Times New Roman"/>
          <w:i/>
          <w:iCs/>
        </w:rPr>
        <w:t>p</w:t>
      </w:r>
      <w:r w:rsidRPr="00066900">
        <w:rPr>
          <w:rFonts w:ascii="Times New Roman" w:hAnsi="Times New Roman" w:cs="Times New Roman"/>
          <w:i/>
          <w:iCs/>
        </w:rPr>
        <w:t>gsA</w:t>
      </w:r>
      <w:r>
        <w:rPr>
          <w:rFonts w:ascii="Times New Roman" w:hAnsi="Times New Roman" w:cs="Times New Roman"/>
        </w:rPr>
        <w:t xml:space="preserve"> </w:t>
      </w:r>
      <w:r w:rsidRPr="00173355">
        <w:rPr>
          <w:rFonts w:ascii="Times New Roman" w:hAnsi="Times New Roman" w:cs="Times New Roman"/>
          <w:b/>
          <w:bCs/>
        </w:rPr>
        <w:fldChar w:fldCharType="begin"/>
      </w:r>
      <w:r w:rsidRPr="00173355">
        <w:rPr>
          <w:rFonts w:ascii="Times New Roman" w:hAnsi="Times New Roman" w:cs="Times New Roman"/>
          <w:b/>
          <w:bCs/>
        </w:rPr>
        <w:instrText xml:space="preserve"> ADDIN EN.CITE &lt;EndNote&gt;&lt;Cite&gt;&lt;Author&gt;Tran&lt;/Author&gt;&lt;Year&gt;2015&lt;/Year&gt;&lt;IDText&gt;Mechanisms of drug resistance: daptomycin resistance&lt;/IDText&gt;&lt;DisplayText&gt;(Tran, Munita and Arias, 2015)&lt;/DisplayText&gt;&lt;record&gt;&lt;urls&gt;&lt;related-urls&gt;&lt;url&gt;&amp;lt;Go to ISI&amp;gt;://WOS:000363636000003&lt;/url&gt;&lt;/related-urls&gt;&lt;/urls&gt;&lt;titles&gt;&lt;title&gt;Mechanisms of drug resistance: daptomycin resistance&lt;/title&gt;&lt;secondary-title&gt;Antimicrobial Therapeutics Reviews&lt;/secondary-title&gt;&lt;/titles&gt;&lt;pages&gt;32-53&lt;/pages&gt;&lt;contributors&gt;&lt;authors&gt;&lt;author&gt;Tran, T. T.&lt;/author&gt;&lt;author&gt;Munita, J. M.&lt;/author&gt;&lt;author&gt;Arias, C. A.&lt;/author&gt;&lt;/authors&gt;&lt;/contributors&gt;&lt;added-date format="utc"&gt;1676653299&lt;/added-date&gt;&lt;ref-type name="Journal Article"&gt;17&lt;/ref-type&gt;&lt;dates&gt;&lt;year&gt;2015&lt;/year&gt;&lt;/dates&gt;&lt;rec-number&gt;393&lt;/rec-number&gt;&lt;last-updated-date format="utc"&gt;1676653299&lt;/last-updated-date&gt;&lt;accession-num&gt;WOS:000363636000003&lt;/accession-num&gt;&lt;electronic-resource-num&gt;10.1111/nyas.12948&lt;/electronic-resource-num&gt;&lt;volume&gt;1354&lt;/volume&gt;&lt;/record&gt;&lt;/Cite&gt;&lt;/EndNote&gt;</w:instrText>
      </w:r>
      <w:r w:rsidRPr="00173355">
        <w:rPr>
          <w:rFonts w:ascii="Times New Roman" w:hAnsi="Times New Roman" w:cs="Times New Roman"/>
          <w:b/>
          <w:bCs/>
        </w:rPr>
        <w:fldChar w:fldCharType="separate"/>
      </w:r>
      <w:r w:rsidRPr="00173355">
        <w:rPr>
          <w:rFonts w:ascii="Times New Roman" w:hAnsi="Times New Roman" w:cs="Times New Roman"/>
          <w:b/>
          <w:bCs/>
          <w:noProof/>
        </w:rPr>
        <w:t>(Tran, Munita and Arias, 2015)</w:t>
      </w:r>
      <w:r w:rsidRPr="00173355">
        <w:rPr>
          <w:rFonts w:ascii="Times New Roman" w:hAnsi="Times New Roman" w:cs="Times New Roman"/>
          <w:b/>
          <w:bCs/>
        </w:rPr>
        <w:fldChar w:fldCharType="end"/>
      </w:r>
      <w:r>
        <w:rPr>
          <w:rFonts w:ascii="Times New Roman" w:hAnsi="Times New Roman" w:cs="Times New Roman"/>
        </w:rPr>
        <w:t xml:space="preserve">. One of the most common genes involved in resistance to daptomycin </w:t>
      </w:r>
      <w:r w:rsidR="00DC2A73">
        <w:rPr>
          <w:rFonts w:ascii="Times New Roman" w:hAnsi="Times New Roman" w:cs="Times New Roman"/>
        </w:rPr>
        <w:t>encodes</w:t>
      </w:r>
      <w:r>
        <w:rPr>
          <w:rFonts w:ascii="Times New Roman" w:hAnsi="Times New Roman" w:cs="Times New Roman"/>
        </w:rPr>
        <w:t xml:space="preserve"> the multiple peptide resistance factor (MprF), which is a protein responsible for flipping lysyl-PG to the outer leaflet of the cell membrane </w:t>
      </w:r>
      <w:r w:rsidRPr="004F1F04">
        <w:rPr>
          <w:rFonts w:ascii="Times New Roman" w:hAnsi="Times New Roman" w:cs="Times New Roman"/>
          <w:b/>
          <w:bCs/>
        </w:rPr>
        <w:fldChar w:fldCharType="begin"/>
      </w:r>
      <w:r w:rsidRPr="004F1F04">
        <w:rPr>
          <w:rFonts w:ascii="Times New Roman" w:hAnsi="Times New Roman" w:cs="Times New Roman"/>
          <w:b/>
          <w:bCs/>
        </w:rPr>
        <w:instrText xml:space="preserve"> ADDIN EN.CITE &lt;EndNote&gt;&lt;Cite&gt;&lt;Author&gt;Andrä &lt;/Author&gt;&lt;Year&gt;2011&lt;/Year&gt;&lt;IDText&gt;Multiple Peptide Resistance Factor (MprF)-mediated Resistance of Staphylococcus aureus against Antimicrobial Peptides Coincides with a Modulated Peptide Interaction with Artificial Membranes Comprising Lysyl-Phosphatidylglycerol&lt;/IDText&gt;&lt;DisplayText&gt;(Andrä &lt;style face="italic"&gt; et al.&lt;/style&gt;, 2011)&lt;/DisplayText&gt;&lt;record&gt;&lt;dates&gt;&lt;pub-dates&gt;&lt;date&gt;May 27&lt;/date&gt;&lt;/pub-dates&gt;&lt;year&gt;2011&lt;/year&gt;&lt;/dates&gt;&lt;urls&gt;&lt;related-urls&gt;&lt;url&gt;&amp;lt;Go to ISI&amp;gt;://WOS:000290785700042&lt;/url&gt;&lt;/related-urls&gt;&lt;/urls&gt;&lt;work-type&gt;Article&lt;/work-type&gt;&lt;titles&gt;&lt;title&gt;Multiple Peptide Resistance Factor (MprF)-mediated Resistance of Staphylococcus aureus against Antimicrobial Peptides Coincides with a Modulated Peptide Interaction with Artificial Membranes Comprising Lysyl-Phosphatidylglycerol&lt;/title&gt;&lt;secondary-title&gt;Journal of Biological Chemistry&lt;/secondary-title&gt;&lt;/titles&gt;&lt;pages&gt;18692-18700&lt;/pages&gt;&lt;number&gt;21&lt;/number&gt;&lt;contributors&gt;&lt;authors&gt;&lt;author&gt;Andrä , Joerg&lt;/author&gt;&lt;author&gt;Goldmann, Torsten&lt;/author&gt;&lt;author&gt;Ernst, Christoph M.&lt;/author&gt;&lt;author&gt;Peschel, Andreas&lt;/author&gt;&lt;author&gt;Gutsmann, Thomas&lt;/author&gt;&lt;/authors&gt;&lt;/contributors&gt;&lt;added-date format="utc"&gt;1676652230&lt;/added-date&gt;&lt;ref-type name="Journal Article"&gt;17&lt;/ref-type&gt;&lt;rec-number&gt;389&lt;/rec-number&gt;&lt;last-updated-date format="utc"&gt;1676652432&lt;/last-updated-date&gt;&lt;accession-num&gt;WOS:000290785700042&lt;/accession-num&gt;&lt;electronic-resource-num&gt;10.1074/jbc.M111.226886&lt;/electronic-resource-num&gt;&lt;volume&gt;286&lt;/volume&gt;&lt;/record&gt;&lt;/Cite&gt;&lt;/EndNote&gt;</w:instrText>
      </w:r>
      <w:r w:rsidRPr="004F1F04">
        <w:rPr>
          <w:rFonts w:ascii="Times New Roman" w:hAnsi="Times New Roman" w:cs="Times New Roman"/>
          <w:b/>
          <w:bCs/>
        </w:rPr>
        <w:fldChar w:fldCharType="separate"/>
      </w:r>
      <w:r w:rsidRPr="004F1F04">
        <w:rPr>
          <w:rFonts w:ascii="Times New Roman" w:hAnsi="Times New Roman" w:cs="Times New Roman"/>
          <w:b/>
          <w:bCs/>
          <w:noProof/>
        </w:rPr>
        <w:t xml:space="preserve">(Andrä </w:t>
      </w:r>
      <w:r w:rsidRPr="004F1F04">
        <w:rPr>
          <w:rFonts w:ascii="Times New Roman" w:hAnsi="Times New Roman" w:cs="Times New Roman"/>
          <w:b/>
          <w:bCs/>
          <w:i/>
          <w:noProof/>
        </w:rPr>
        <w:t xml:space="preserve"> et al.</w:t>
      </w:r>
      <w:r w:rsidRPr="004F1F04">
        <w:rPr>
          <w:rFonts w:ascii="Times New Roman" w:hAnsi="Times New Roman" w:cs="Times New Roman"/>
          <w:b/>
          <w:bCs/>
          <w:noProof/>
        </w:rPr>
        <w:t>, 2011)</w:t>
      </w:r>
      <w:r w:rsidRPr="004F1F04">
        <w:rPr>
          <w:rFonts w:ascii="Times New Roman" w:hAnsi="Times New Roman" w:cs="Times New Roman"/>
          <w:b/>
          <w:bCs/>
        </w:rPr>
        <w:fldChar w:fldCharType="end"/>
      </w:r>
      <w:r>
        <w:rPr>
          <w:rFonts w:ascii="Times New Roman" w:hAnsi="Times New Roman" w:cs="Times New Roman"/>
        </w:rPr>
        <w:t xml:space="preserve">. Mutations within </w:t>
      </w:r>
      <w:r w:rsidR="007B5B44">
        <w:rPr>
          <w:rFonts w:ascii="Times New Roman" w:hAnsi="Times New Roman" w:cs="Times New Roman"/>
          <w:i/>
          <w:iCs/>
        </w:rPr>
        <w:t>mprF</w:t>
      </w:r>
      <w:r>
        <w:rPr>
          <w:rFonts w:ascii="Times New Roman" w:hAnsi="Times New Roman" w:cs="Times New Roman"/>
        </w:rPr>
        <w:t xml:space="preserve"> typically</w:t>
      </w:r>
      <w:r w:rsidR="007B5B44">
        <w:rPr>
          <w:rFonts w:ascii="Times New Roman" w:hAnsi="Times New Roman" w:cs="Times New Roman"/>
        </w:rPr>
        <w:t xml:space="preserve"> cause</w:t>
      </w:r>
      <w:r>
        <w:rPr>
          <w:rFonts w:ascii="Times New Roman" w:hAnsi="Times New Roman" w:cs="Times New Roman"/>
        </w:rPr>
        <w:t xml:space="preserve"> single nucleotide polymorphisms (SNPs) and result in fewer lysyl-PG lipids translocated to the outer leaflet, therefore </w:t>
      </w:r>
      <w:r w:rsidR="007B5B44">
        <w:rPr>
          <w:rFonts w:ascii="Times New Roman" w:hAnsi="Times New Roman" w:cs="Times New Roman"/>
        </w:rPr>
        <w:t xml:space="preserve">altering the bacterial surface charge </w:t>
      </w:r>
      <w:r w:rsidRPr="004F1F04">
        <w:rPr>
          <w:rFonts w:ascii="Times New Roman" w:hAnsi="Times New Roman" w:cs="Times New Roman"/>
          <w:b/>
          <w:bCs/>
        </w:rPr>
        <w:fldChar w:fldCharType="begin">
          <w:fldData xml:space="preserve">PEVuZE5vdGU+PENpdGU+PEF1dGhvcj5TYWJhdDwvQXV0aG9yPjxZZWFyPjIwMTg8L1llYXI+PElE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PEVuZE5vdGU+PENpdGU+PEF1dGhvcj5TYWJhdDwvQXV0aG9yPjxZZWFyPjIwMTg8L1llYXI+PElE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4F1F04">
        <w:rPr>
          <w:rFonts w:ascii="Times New Roman" w:hAnsi="Times New Roman" w:cs="Times New Roman"/>
          <w:b/>
          <w:bCs/>
        </w:rPr>
      </w:r>
      <w:r w:rsidRPr="004F1F04">
        <w:rPr>
          <w:rFonts w:ascii="Times New Roman" w:hAnsi="Times New Roman" w:cs="Times New Roman"/>
          <w:b/>
          <w:bCs/>
        </w:rPr>
        <w:fldChar w:fldCharType="separate"/>
      </w:r>
      <w:r>
        <w:rPr>
          <w:rFonts w:ascii="Times New Roman" w:hAnsi="Times New Roman" w:cs="Times New Roman"/>
          <w:b/>
          <w:bCs/>
          <w:noProof/>
        </w:rPr>
        <w:t>(Sabat</w:t>
      </w:r>
      <w:r w:rsidRPr="004F1F04">
        <w:rPr>
          <w:rFonts w:ascii="Times New Roman" w:hAnsi="Times New Roman" w:cs="Times New Roman"/>
          <w:b/>
          <w:bCs/>
          <w:i/>
          <w:noProof/>
        </w:rPr>
        <w:t xml:space="preserve"> et al.</w:t>
      </w:r>
      <w:r>
        <w:rPr>
          <w:rFonts w:ascii="Times New Roman" w:hAnsi="Times New Roman" w:cs="Times New Roman"/>
          <w:b/>
          <w:bCs/>
          <w:noProof/>
        </w:rPr>
        <w:t xml:space="preserve">, 2018; Andrä </w:t>
      </w:r>
      <w:r w:rsidRPr="004F1F04">
        <w:rPr>
          <w:rFonts w:ascii="Times New Roman" w:hAnsi="Times New Roman" w:cs="Times New Roman"/>
          <w:b/>
          <w:bCs/>
          <w:i/>
          <w:noProof/>
        </w:rPr>
        <w:t xml:space="preserve"> et al.</w:t>
      </w:r>
      <w:r>
        <w:rPr>
          <w:rFonts w:ascii="Times New Roman" w:hAnsi="Times New Roman" w:cs="Times New Roman"/>
          <w:b/>
          <w:bCs/>
          <w:noProof/>
        </w:rPr>
        <w:t>, 2011)</w:t>
      </w:r>
      <w:r w:rsidRPr="004F1F04">
        <w:rPr>
          <w:rFonts w:ascii="Times New Roman" w:hAnsi="Times New Roman" w:cs="Times New Roman"/>
          <w:b/>
          <w:bCs/>
        </w:rPr>
        <w:fldChar w:fldCharType="end"/>
      </w:r>
      <w:r w:rsidRPr="004F1F04">
        <w:rPr>
          <w:rFonts w:ascii="Times New Roman" w:hAnsi="Times New Roman" w:cs="Times New Roman"/>
        </w:rPr>
        <w:t xml:space="preserve">. </w:t>
      </w:r>
      <w:r>
        <w:rPr>
          <w:rFonts w:ascii="Times New Roman" w:hAnsi="Times New Roman" w:cs="Times New Roman"/>
        </w:rPr>
        <w:t xml:space="preserve">Fewer PG molecules within the membrane increase the net positive charge, </w:t>
      </w:r>
      <w:r w:rsidR="007B5B44">
        <w:rPr>
          <w:rFonts w:ascii="Times New Roman" w:hAnsi="Times New Roman" w:cs="Times New Roman"/>
        </w:rPr>
        <w:t xml:space="preserve">impairing the </w:t>
      </w:r>
      <w:r>
        <w:rPr>
          <w:rFonts w:ascii="Times New Roman" w:hAnsi="Times New Roman" w:cs="Times New Roman"/>
        </w:rPr>
        <w:t xml:space="preserve">functionality of daptomycin </w:t>
      </w:r>
      <w:r w:rsidRPr="00173355">
        <w:rPr>
          <w:rFonts w:ascii="Times New Roman" w:hAnsi="Times New Roman" w:cs="Times New Roman"/>
          <w:b/>
          <w:bCs/>
        </w:rPr>
        <w:fldChar w:fldCharType="begin"/>
      </w:r>
      <w:r w:rsidRPr="00173355">
        <w:rPr>
          <w:rFonts w:ascii="Times New Roman" w:hAnsi="Times New Roman" w:cs="Times New Roman"/>
          <w:b/>
          <w:bCs/>
        </w:rPr>
        <w:instrText xml:space="preserve"> ADDIN EN.CITE &lt;EndNote&gt;&lt;Cite&gt;&lt;Author&gt;Heidary&lt;/Author&gt;&lt;Year&gt;2018&lt;/Year&gt;&lt;IDText&gt;Daptomycin&lt;/IDText&gt;&lt;DisplayText&gt;(Heidary&lt;style face="italic"&gt; et al.&lt;/style&gt;, 2018)&lt;/DisplayText&gt;&lt;record&gt;&lt;dates&gt;&lt;pub-dates&gt;&lt;date&gt;Jan&lt;/date&gt;&lt;/pub-dates&gt;&lt;year&gt;2018&lt;/year&gt;&lt;/dates&gt;&lt;urls&gt;&lt;related-urls&gt;&lt;url&gt;&amp;lt;Go to ISI&amp;gt;://WOS:000419603500001&lt;/url&gt;&lt;/related-urls&gt;&lt;/urls&gt;&lt;isbn&gt;0305-7453&lt;/isbn&gt;&lt;titles&gt;&lt;title&gt;Daptomycin&lt;/title&gt;&lt;secondary-title&gt;Journal of Antimicrobial Chemotherapy&lt;/secondary-title&gt;&lt;/titles&gt;&lt;pages&gt;1-11&lt;/pages&gt;&lt;number&gt;1&lt;/number&gt;&lt;contributors&gt;&lt;authors&gt;&lt;author&gt;Heidary, M.&lt;/author&gt;&lt;author&gt;Khosravi, A. D.&lt;/author&gt;&lt;author&gt;Khoshnood, S.&lt;/author&gt;&lt;author&gt;Nasiri, M. J.&lt;/author&gt;&lt;author&gt;Soleimani, S.&lt;/author&gt;&lt;author&gt;Goudarzi, M.&lt;/author&gt;&lt;/authors&gt;&lt;/contributors&gt;&lt;added-date format="utc"&gt;1676653099&lt;/added-date&gt;&lt;ref-type name="Journal Article"&gt;17&lt;/ref-type&gt;&lt;rec-number&gt;392&lt;/rec-number&gt;&lt;last-updated-date format="utc"&gt;1676653099&lt;/last-updated-date&gt;&lt;accession-num&gt;WOS:000419603500001&lt;/accession-num&gt;&lt;electronic-resource-num&gt;10.1093/jac/dkx349&lt;/electronic-resource-num&gt;&lt;volume&gt;73&lt;/volume&gt;&lt;/record&gt;&lt;/Cite&gt;&lt;/EndNote&gt;</w:instrText>
      </w:r>
      <w:r w:rsidRPr="00173355">
        <w:rPr>
          <w:rFonts w:ascii="Times New Roman" w:hAnsi="Times New Roman" w:cs="Times New Roman"/>
          <w:b/>
          <w:bCs/>
        </w:rPr>
        <w:fldChar w:fldCharType="separate"/>
      </w:r>
      <w:r w:rsidRPr="00173355">
        <w:rPr>
          <w:rFonts w:ascii="Times New Roman" w:hAnsi="Times New Roman" w:cs="Times New Roman"/>
          <w:b/>
          <w:bCs/>
          <w:noProof/>
        </w:rPr>
        <w:t>(Heidary</w:t>
      </w:r>
      <w:r w:rsidRPr="00173355">
        <w:rPr>
          <w:rFonts w:ascii="Times New Roman" w:hAnsi="Times New Roman" w:cs="Times New Roman"/>
          <w:b/>
          <w:bCs/>
          <w:i/>
          <w:noProof/>
        </w:rPr>
        <w:t xml:space="preserve"> et al.</w:t>
      </w:r>
      <w:r w:rsidRPr="00173355">
        <w:rPr>
          <w:rFonts w:ascii="Times New Roman" w:hAnsi="Times New Roman" w:cs="Times New Roman"/>
          <w:b/>
          <w:bCs/>
          <w:noProof/>
        </w:rPr>
        <w:t>, 2018)</w:t>
      </w:r>
      <w:r w:rsidRPr="00173355">
        <w:rPr>
          <w:rFonts w:ascii="Times New Roman" w:hAnsi="Times New Roman" w:cs="Times New Roman"/>
          <w:b/>
          <w:bCs/>
        </w:rPr>
        <w:fldChar w:fldCharType="end"/>
      </w:r>
      <w:r>
        <w:rPr>
          <w:rFonts w:ascii="Times New Roman" w:hAnsi="Times New Roman" w:cs="Times New Roman"/>
        </w:rPr>
        <w:t xml:space="preserve">. </w:t>
      </w:r>
    </w:p>
    <w:p w14:paraId="0336DD2B" w14:textId="32158ABC" w:rsidR="00033564" w:rsidRDefault="00033564" w:rsidP="00033564">
      <w:pPr>
        <w:spacing w:line="360" w:lineRule="auto"/>
        <w:ind w:firstLine="720"/>
        <w:jc w:val="both"/>
        <w:rPr>
          <w:rFonts w:ascii="Times New Roman" w:hAnsi="Times New Roman" w:cs="Times New Roman"/>
        </w:rPr>
      </w:pPr>
      <w:r>
        <w:rPr>
          <w:rFonts w:ascii="Times New Roman" w:hAnsi="Times New Roman" w:cs="Times New Roman"/>
        </w:rPr>
        <w:t xml:space="preserve">Due to the ability of </w:t>
      </w:r>
      <w:r>
        <w:rPr>
          <w:rFonts w:ascii="Times New Roman" w:hAnsi="Times New Roman" w:cs="Times New Roman"/>
          <w:i/>
          <w:iCs/>
        </w:rPr>
        <w:t xml:space="preserve">S. aureus </w:t>
      </w:r>
      <w:r>
        <w:rPr>
          <w:rFonts w:ascii="Times New Roman" w:hAnsi="Times New Roman" w:cs="Times New Roman"/>
        </w:rPr>
        <w:t xml:space="preserve">to exist as a commensal, hosts may develop tolerance to the strains that they are colonised by </w:t>
      </w:r>
      <w:r w:rsidRPr="00264DA9">
        <w:rPr>
          <w:rFonts w:ascii="Times New Roman" w:hAnsi="Times New Roman" w:cs="Times New Roman"/>
          <w:b/>
          <w:bCs/>
        </w:rPr>
        <w:fldChar w:fldCharType="begin"/>
      </w:r>
      <w:r w:rsidRPr="00264DA9">
        <w:rPr>
          <w:rFonts w:ascii="Times New Roman" w:hAnsi="Times New Roman" w:cs="Times New Roman"/>
          <w:b/>
          <w:bCs/>
        </w:rPr>
        <w:instrText xml:space="preserve"> ADDIN EN.CITE &lt;EndNote&gt;&lt;Cite&gt;&lt;Author&gt;Proctor&lt;/Author&gt;&lt;Year&gt;2012&lt;/Year&gt;&lt;IDText&gt;Is there a future for a Staphylococcus aureus vaccine?&lt;/IDText&gt;&lt;DisplayText&gt;(Proctor, 2012)&lt;/DisplayText&gt;&lt;record&gt;&lt;dates&gt;&lt;pub-dates&gt;&lt;date&gt;Apr 19&lt;/date&gt;&lt;/pub-dates&gt;&lt;year&gt;2012&lt;/year&gt;&lt;/dates&gt;&lt;urls&gt;&lt;related-urls&gt;&lt;url&gt;&amp;lt;Go to ISI&amp;gt;://WOS:000303429100003&lt;/url&gt;&lt;/related-urls&gt;&lt;/urls&gt;&lt;isbn&gt;0264-410X&lt;/isbn&gt;&lt;work-type&gt;Review&lt;/work-type&gt;&lt;titles&gt;&lt;title&gt;Is there a future for a Staphylococcus aureus vaccine?&lt;/title&gt;&lt;secondary-title&gt;Vaccine&lt;/secondary-title&gt;&lt;/titles&gt;&lt;pages&gt;2921-2927&lt;/pages&gt;&lt;number&gt;19&lt;/number&gt;&lt;contributors&gt;&lt;authors&gt;&lt;author&gt;Proctor, Richard A.&lt;/author&gt;&lt;/authors&gt;&lt;/contributors&gt;&lt;added-date format="utc"&gt;1676731020&lt;/added-date&gt;&lt;ref-type name="Journal Article"&gt;17&lt;/ref-type&gt;&lt;rec-number&gt;398&lt;/rec-number&gt;&lt;last-updated-date format="utc"&gt;1676731020&lt;/last-updated-date&gt;&lt;accession-num&gt;WOS:000303429100003&lt;/accession-num&gt;&lt;electronic-resource-num&gt;10.1016/j.vaccine.2011.11.006&lt;/electronic-resource-num&gt;&lt;volume&gt;30&lt;/volume&gt;&lt;/record&gt;&lt;/Cite&gt;&lt;/EndNote&gt;</w:instrText>
      </w:r>
      <w:r w:rsidRPr="00264DA9">
        <w:rPr>
          <w:rFonts w:ascii="Times New Roman" w:hAnsi="Times New Roman" w:cs="Times New Roman"/>
          <w:b/>
          <w:bCs/>
        </w:rPr>
        <w:fldChar w:fldCharType="separate"/>
      </w:r>
      <w:r w:rsidRPr="00264DA9">
        <w:rPr>
          <w:rFonts w:ascii="Times New Roman" w:hAnsi="Times New Roman" w:cs="Times New Roman"/>
          <w:b/>
          <w:bCs/>
          <w:noProof/>
        </w:rPr>
        <w:t>(Proctor, 2012)</w:t>
      </w:r>
      <w:r w:rsidRPr="00264DA9">
        <w:rPr>
          <w:rFonts w:ascii="Times New Roman" w:hAnsi="Times New Roman" w:cs="Times New Roman"/>
          <w:b/>
          <w:bCs/>
        </w:rPr>
        <w:fldChar w:fldCharType="end"/>
      </w:r>
      <w:r>
        <w:rPr>
          <w:rFonts w:ascii="Times New Roman" w:hAnsi="Times New Roman" w:cs="Times New Roman"/>
        </w:rPr>
        <w:t>,</w:t>
      </w:r>
      <w:r w:rsidR="00906D65">
        <w:rPr>
          <w:rFonts w:ascii="Times New Roman" w:hAnsi="Times New Roman" w:cs="Times New Roman"/>
        </w:rPr>
        <w:t xml:space="preserve"> </w:t>
      </w:r>
      <w:r>
        <w:rPr>
          <w:rFonts w:ascii="Times New Roman" w:hAnsi="Times New Roman" w:cs="Times New Roman"/>
        </w:rPr>
        <w:t xml:space="preserve">which may affect the efficacy of potential vaccines. Various vaccine candidates have been trialled, for example utilising the toxins that </w:t>
      </w:r>
      <w:r>
        <w:rPr>
          <w:rFonts w:ascii="Times New Roman" w:hAnsi="Times New Roman" w:cs="Times New Roman"/>
          <w:i/>
          <w:iCs/>
        </w:rPr>
        <w:t xml:space="preserve">S. aureus </w:t>
      </w:r>
      <w:r>
        <w:rPr>
          <w:rFonts w:ascii="Times New Roman" w:hAnsi="Times New Roman" w:cs="Times New Roman"/>
        </w:rPr>
        <w:t xml:space="preserve">produces including the pore-forming toxins </w:t>
      </w:r>
      <w:r w:rsidRPr="00C83FB3">
        <w:rPr>
          <w:rFonts w:ascii="Times New Roman" w:hAnsi="Times New Roman" w:cs="Times New Roman"/>
        </w:rPr>
        <w:t>α</w:t>
      </w:r>
      <w:r>
        <w:rPr>
          <w:rFonts w:ascii="Times New Roman" w:hAnsi="Times New Roman" w:cs="Times New Roman"/>
        </w:rPr>
        <w:t xml:space="preserve">-toxin and Panton-Valentine leukocidin (PVL) </w:t>
      </w:r>
      <w:r w:rsidRPr="005619DC">
        <w:rPr>
          <w:rFonts w:ascii="Times New Roman" w:hAnsi="Times New Roman" w:cs="Times New Roman"/>
          <w:b/>
          <w:bCs/>
        </w:rPr>
        <w:fldChar w:fldCharType="begin">
          <w:fldData xml:space="preserve">PEVuZE5vdGU+PENpdGU+PEF1dGhvcj5GcmFuY29pczwvQXV0aG9yPjxZZWFyPjIwMTg8L1llYXI+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</w:fldData>
        </w:fldChar>
      </w:r>
      <w:r w:rsidRPr="005619DC">
        <w:rPr>
          <w:rFonts w:ascii="Times New Roman" w:hAnsi="Times New Roman" w:cs="Times New Roman"/>
          <w:b/>
          <w:bCs/>
        </w:rPr>
        <w:instrText xml:space="preserve"> ADDIN EN.CITE </w:instrText>
      </w:r>
      <w:r w:rsidRPr="005619DC">
        <w:rPr>
          <w:rFonts w:ascii="Times New Roman" w:hAnsi="Times New Roman" w:cs="Times New Roman"/>
          <w:b/>
          <w:bCs/>
        </w:rPr>
        <w:fldChar w:fldCharType="begin">
          <w:fldData xml:space="preserve">PEVuZE5vdGU+PENpdGU+PEF1dGhvcj5GcmFuY29pczwvQXV0aG9yPjxZZWFyPjIwMTg8L1llYXI+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</w:fldData>
        </w:fldChar>
      </w:r>
      <w:r w:rsidRPr="005619DC">
        <w:rPr>
          <w:rFonts w:ascii="Times New Roman" w:hAnsi="Times New Roman" w:cs="Times New Roman"/>
          <w:b/>
          <w:bCs/>
        </w:rPr>
        <w:instrText xml:space="preserve"> ADDIN EN.CITE.DATA </w:instrText>
      </w:r>
      <w:r w:rsidRPr="005619DC">
        <w:rPr>
          <w:rFonts w:ascii="Times New Roman" w:hAnsi="Times New Roman" w:cs="Times New Roman"/>
          <w:b/>
          <w:bCs/>
        </w:rPr>
      </w:r>
      <w:r w:rsidRPr="005619DC">
        <w:rPr>
          <w:rFonts w:ascii="Times New Roman" w:hAnsi="Times New Roman" w:cs="Times New Roman"/>
          <w:b/>
          <w:bCs/>
        </w:rPr>
        <w:fldChar w:fldCharType="end"/>
      </w:r>
      <w:r w:rsidRPr="005619DC">
        <w:rPr>
          <w:rFonts w:ascii="Times New Roman" w:hAnsi="Times New Roman" w:cs="Times New Roman"/>
          <w:b/>
          <w:bCs/>
        </w:rPr>
      </w:r>
      <w:r w:rsidRPr="005619DC">
        <w:rPr>
          <w:rFonts w:ascii="Times New Roman" w:hAnsi="Times New Roman" w:cs="Times New Roman"/>
          <w:b/>
          <w:bCs/>
        </w:rPr>
        <w:fldChar w:fldCharType="separate"/>
      </w:r>
      <w:r w:rsidRPr="005619DC">
        <w:rPr>
          <w:rFonts w:ascii="Times New Roman" w:hAnsi="Times New Roman" w:cs="Times New Roman"/>
          <w:b/>
          <w:bCs/>
          <w:noProof/>
        </w:rPr>
        <w:t>(Francois</w:t>
      </w:r>
      <w:r w:rsidRPr="005619DC">
        <w:rPr>
          <w:rFonts w:ascii="Times New Roman" w:hAnsi="Times New Roman" w:cs="Times New Roman"/>
          <w:b/>
          <w:bCs/>
          <w:i/>
          <w:noProof/>
        </w:rPr>
        <w:t xml:space="preserve"> et al.</w:t>
      </w:r>
      <w:r w:rsidRPr="005619DC">
        <w:rPr>
          <w:rFonts w:ascii="Times New Roman" w:hAnsi="Times New Roman" w:cs="Times New Roman"/>
          <w:b/>
          <w:bCs/>
          <w:noProof/>
        </w:rPr>
        <w:t>, 2018; Magyarics</w:t>
      </w:r>
      <w:r w:rsidRPr="005619DC">
        <w:rPr>
          <w:rFonts w:ascii="Times New Roman" w:hAnsi="Times New Roman" w:cs="Times New Roman"/>
          <w:b/>
          <w:bCs/>
          <w:i/>
          <w:noProof/>
        </w:rPr>
        <w:t xml:space="preserve"> et al.</w:t>
      </w:r>
      <w:r w:rsidRPr="005619DC">
        <w:rPr>
          <w:rFonts w:ascii="Times New Roman" w:hAnsi="Times New Roman" w:cs="Times New Roman"/>
          <w:b/>
          <w:bCs/>
          <w:noProof/>
        </w:rPr>
        <w:t>, 2019)</w:t>
      </w:r>
      <w:r w:rsidRPr="005619DC">
        <w:rPr>
          <w:rFonts w:ascii="Times New Roman" w:hAnsi="Times New Roman" w:cs="Times New Roman"/>
          <w:b/>
          <w:bCs/>
        </w:rPr>
        <w:fldChar w:fldCharType="end"/>
      </w:r>
      <w:r>
        <w:rPr>
          <w:rFonts w:ascii="Times New Roman" w:hAnsi="Times New Roman" w:cs="Times New Roman"/>
        </w:rPr>
        <w:t>. Polysaccharide conjugate vaccines such as StaphVax® have also been developed that consists of purified capsular polysaccharide antigens and PentaStaph®, which also contain teichoic acid</w:t>
      </w:r>
      <w:r w:rsidR="00E315F1">
        <w:rPr>
          <w:rFonts w:ascii="Times New Roman" w:hAnsi="Times New Roman" w:cs="Times New Roman"/>
        </w:rPr>
        <w:t>s</w:t>
      </w:r>
      <w:r>
        <w:rPr>
          <w:rFonts w:ascii="Times New Roman" w:hAnsi="Times New Roman" w:cs="Times New Roman"/>
        </w:rPr>
        <w:t xml:space="preserve">, </w:t>
      </w:r>
      <w:r w:rsidRPr="00C83FB3">
        <w:rPr>
          <w:rFonts w:ascii="Times New Roman" w:hAnsi="Times New Roman" w:cs="Times New Roman"/>
        </w:rPr>
        <w:t>α</w:t>
      </w:r>
      <w:r>
        <w:rPr>
          <w:rFonts w:ascii="Times New Roman" w:hAnsi="Times New Roman" w:cs="Times New Roman"/>
        </w:rPr>
        <w:t xml:space="preserve">-toxin and PVL antigens in addition to polysaccharides </w:t>
      </w:r>
      <w:r w:rsidRPr="005619DC">
        <w:rPr>
          <w:rFonts w:ascii="Times New Roman" w:hAnsi="Times New Roman" w:cs="Times New Roman"/>
          <w:b/>
          <w:bCs/>
        </w:rPr>
        <w:fldChar w:fldCharType="begin">
          <w:fldData xml:space="preserve">PEVuZE5vdGU+PENpdGU+PEF1dGhvcj5NaWxsZXI8L0F1dGhvcj48WWVhcj4yMDIwPC9ZZWFyPjxJ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</w:fldData>
        </w:fldChar>
      </w:r>
      <w:r w:rsidRPr="005619DC">
        <w:rPr>
          <w:rFonts w:ascii="Times New Roman" w:hAnsi="Times New Roman" w:cs="Times New Roman"/>
          <w:b/>
          <w:bCs/>
        </w:rPr>
        <w:instrText xml:space="preserve"> ADDIN EN.CITE </w:instrText>
      </w:r>
      <w:r w:rsidRPr="005619DC">
        <w:rPr>
          <w:rFonts w:ascii="Times New Roman" w:hAnsi="Times New Roman" w:cs="Times New Roman"/>
          <w:b/>
          <w:bCs/>
        </w:rPr>
        <w:fldChar w:fldCharType="begin">
          <w:fldData xml:space="preserve">PEVuZE5vdGU+PENpdGU+PEF1dGhvcj5NaWxsZXI8L0F1dGhvcj48WWVhcj4yMDIwPC9ZZWFyPjxJ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</w:fldData>
        </w:fldChar>
      </w:r>
      <w:r w:rsidRPr="005619DC">
        <w:rPr>
          <w:rFonts w:ascii="Times New Roman" w:hAnsi="Times New Roman" w:cs="Times New Roman"/>
          <w:b/>
          <w:bCs/>
        </w:rPr>
        <w:instrText xml:space="preserve"> ADDIN EN.CITE.DATA </w:instrText>
      </w:r>
      <w:r w:rsidRPr="005619DC">
        <w:rPr>
          <w:rFonts w:ascii="Times New Roman" w:hAnsi="Times New Roman" w:cs="Times New Roman"/>
          <w:b/>
          <w:bCs/>
        </w:rPr>
      </w:r>
      <w:r w:rsidRPr="005619DC">
        <w:rPr>
          <w:rFonts w:ascii="Times New Roman" w:hAnsi="Times New Roman" w:cs="Times New Roman"/>
          <w:b/>
          <w:bCs/>
        </w:rPr>
        <w:fldChar w:fldCharType="end"/>
      </w:r>
      <w:r w:rsidRPr="005619DC">
        <w:rPr>
          <w:rFonts w:ascii="Times New Roman" w:hAnsi="Times New Roman" w:cs="Times New Roman"/>
          <w:b/>
          <w:bCs/>
        </w:rPr>
      </w:r>
      <w:r w:rsidRPr="005619DC">
        <w:rPr>
          <w:rFonts w:ascii="Times New Roman" w:hAnsi="Times New Roman" w:cs="Times New Roman"/>
          <w:b/>
          <w:bCs/>
        </w:rPr>
        <w:fldChar w:fldCharType="separate"/>
      </w:r>
      <w:r w:rsidRPr="005619DC">
        <w:rPr>
          <w:rFonts w:ascii="Times New Roman" w:hAnsi="Times New Roman" w:cs="Times New Roman"/>
          <w:b/>
          <w:bCs/>
          <w:noProof/>
        </w:rPr>
        <w:t>(Miller</w:t>
      </w:r>
      <w:r w:rsidRPr="005619DC">
        <w:rPr>
          <w:rFonts w:ascii="Times New Roman" w:hAnsi="Times New Roman" w:cs="Times New Roman"/>
          <w:b/>
          <w:bCs/>
          <w:i/>
          <w:noProof/>
        </w:rPr>
        <w:t xml:space="preserve"> et al.</w:t>
      </w:r>
      <w:r w:rsidRPr="005619DC">
        <w:rPr>
          <w:rFonts w:ascii="Times New Roman" w:hAnsi="Times New Roman" w:cs="Times New Roman"/>
          <w:b/>
          <w:bCs/>
          <w:noProof/>
        </w:rPr>
        <w:t>, 2020; Tong, Chen and Fowler, 2012)</w:t>
      </w:r>
      <w:r w:rsidRPr="005619DC">
        <w:rPr>
          <w:rFonts w:ascii="Times New Roman" w:hAnsi="Times New Roman" w:cs="Times New Roman"/>
          <w:b/>
          <w:bCs/>
        </w:rPr>
        <w:fldChar w:fldCharType="end"/>
      </w:r>
      <w:r>
        <w:rPr>
          <w:rFonts w:ascii="Times New Roman" w:hAnsi="Times New Roman" w:cs="Times New Roman"/>
        </w:rPr>
        <w:t xml:space="preserve">. The SA4Ag vaccine was also developed, which combined the use of capsular polysaccharides with cell wall-anchored proteins such as MntC and ClfA </w:t>
      </w:r>
      <w:r w:rsidRPr="00CC06A6">
        <w:rPr>
          <w:rFonts w:ascii="Times New Roman" w:hAnsi="Times New Roman" w:cs="Times New Roman"/>
          <w:b/>
          <w:bCs/>
        </w:rPr>
        <w:fldChar w:fldCharType="begin"/>
      </w:r>
      <w:r w:rsidRPr="00CC06A6">
        <w:rPr>
          <w:rFonts w:ascii="Times New Roman" w:hAnsi="Times New Roman" w:cs="Times New Roman"/>
          <w:b/>
          <w:bCs/>
        </w:rPr>
        <w:instrText xml:space="preserve"> ADDIN EN.CITE &lt;EndNote&gt;&lt;Cite&gt;&lt;Author&gt;Begier&lt;/Author&gt;&lt;Year&gt;2017&lt;/Year&gt;&lt;IDText&gt;SA4Ag, a 4-antigen Staphylococcus aureus vaccine, rapidly induces high levels of bacteria-killing antibodies&lt;/IDText&gt;&lt;DisplayText&gt;(Begier&lt;style face="italic"&gt; et al.&lt;/style&gt;, 2017)&lt;/DisplayText&gt;&lt;record&gt;&lt;dates&gt;&lt;pub-dates&gt;&lt;date&gt;Feb 22&lt;/date&gt;&lt;/pub-dates&gt;&lt;year&gt;2017&lt;/year&gt;&lt;/dates&gt;&lt;urls&gt;&lt;related-urls&gt;&lt;url&gt;&amp;lt;Go to ISI&amp;gt;://WOS:000394476000008&lt;/url&gt;&lt;/related-urls&gt;&lt;/urls&gt;&lt;isbn&gt;0264-410X&lt;/isbn&gt;&lt;work-type&gt;Article&lt;/work-type&gt;&lt;titles&gt;&lt;title&gt;SA4Ag, a 4-antigen Staphylococcus aureus vaccine, rapidly induces high levels of bacteria-killing antibodies&lt;/title&gt;&lt;secondary-title&gt;Vaccine&lt;/secondary-title&gt;&lt;/titles&gt;&lt;pages&gt;1132-1139&lt;/pages&gt;&lt;number&gt;8&lt;/number&gt;&lt;contributors&gt;&lt;authors&gt;&lt;author&gt;Begier, Elizabeth&lt;/author&gt;&lt;author&gt;Seiden, David Joshua&lt;/author&gt;&lt;author&gt;Patton, Michael&lt;/author&gt;&lt;author&gt;Zito, Edward&lt;/author&gt;&lt;author&gt;Severs, Joseph&lt;/author&gt;&lt;author&gt;Cooper, David&lt;/author&gt;&lt;author&gt;Eiden, Joseph&lt;/author&gt;&lt;author&gt;Gruber, William C.&lt;/author&gt;&lt;author&gt;Jansen, Kathrin U.&lt;/author&gt;&lt;author&gt;Anderson, Annaliesa S.&lt;/author&gt;&lt;author&gt;Gurtman, Alejandra&lt;/author&gt;&lt;/authors&gt;&lt;/contributors&gt;&lt;added-date format="utc"&gt;1676733813&lt;/added-date&gt;&lt;ref-type name="Journal Article"&gt;17&lt;/ref-type&gt;&lt;rec-number&gt;402&lt;/rec-number&gt;&lt;last-updated-date format="utc"&gt;1676733813&lt;/last-updated-date&gt;&lt;accession-num&gt;WOS:000394476000008&lt;/accession-num&gt;&lt;electronic-resource-num&gt;10.1016/j.vaccine.2017.01.024&lt;/electronic-resource-num&gt;&lt;volume&gt;35&lt;/volume&gt;&lt;/record&gt;&lt;/Cite&gt;&lt;/EndNote&gt;</w:instrText>
      </w:r>
      <w:r w:rsidRPr="00CC06A6">
        <w:rPr>
          <w:rFonts w:ascii="Times New Roman" w:hAnsi="Times New Roman" w:cs="Times New Roman"/>
          <w:b/>
          <w:bCs/>
        </w:rPr>
        <w:fldChar w:fldCharType="separate"/>
      </w:r>
      <w:r w:rsidRPr="00CC06A6">
        <w:rPr>
          <w:rFonts w:ascii="Times New Roman" w:hAnsi="Times New Roman" w:cs="Times New Roman"/>
          <w:b/>
          <w:bCs/>
          <w:noProof/>
        </w:rPr>
        <w:t>(Begier</w:t>
      </w:r>
      <w:r w:rsidRPr="00CC06A6">
        <w:rPr>
          <w:rFonts w:ascii="Times New Roman" w:hAnsi="Times New Roman" w:cs="Times New Roman"/>
          <w:b/>
          <w:bCs/>
          <w:i/>
          <w:noProof/>
        </w:rPr>
        <w:t xml:space="preserve"> et al.</w:t>
      </w:r>
      <w:r w:rsidRPr="00CC06A6">
        <w:rPr>
          <w:rFonts w:ascii="Times New Roman" w:hAnsi="Times New Roman" w:cs="Times New Roman"/>
          <w:b/>
          <w:bCs/>
          <w:noProof/>
        </w:rPr>
        <w:t>, 2017)</w:t>
      </w:r>
      <w:r w:rsidRPr="00CC06A6">
        <w:rPr>
          <w:rFonts w:ascii="Times New Roman" w:hAnsi="Times New Roman" w:cs="Times New Roman"/>
          <w:b/>
          <w:bCs/>
        </w:rPr>
        <w:fldChar w:fldCharType="end"/>
      </w:r>
      <w:r>
        <w:rPr>
          <w:rFonts w:ascii="Times New Roman" w:hAnsi="Times New Roman" w:cs="Times New Roman"/>
        </w:rPr>
        <w:t xml:space="preserve">. Many of these studies failed during different stages of clinical trials or did not produce high enough titres of antibodies within animal models or human participants. As these vaccines mainly aim to clear bacteria by antibody-mediated opsonisation and thus have not passed clinical trials, new vaccine targets are being developed to exploit T cell-mediated immunity instead </w:t>
      </w:r>
      <w:r w:rsidRPr="008646B5">
        <w:rPr>
          <w:rFonts w:ascii="Times New Roman" w:hAnsi="Times New Roman" w:cs="Times New Roman"/>
          <w:b/>
          <w:bCs/>
        </w:rPr>
        <w:fldChar w:fldCharType="begin">
          <w:fldData xml:space="preserve">PEVuZE5vdGU+PENpdGU+PEF1dGhvcj5PJmFwb3M7QnJpZW48L0F1dGhvcj48WWVhcj4yMDE5PC9Z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=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PEVuZE5vdGU+PENpdGU+PEF1dGhvcj5PJmFwb3M7QnJpZW48L0F1dGhvcj48WWVhcj4yMDE5PC9Z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=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8646B5">
        <w:rPr>
          <w:rFonts w:ascii="Times New Roman" w:hAnsi="Times New Roman" w:cs="Times New Roman"/>
          <w:b/>
          <w:bCs/>
        </w:rPr>
      </w:r>
      <w:r w:rsidRPr="008646B5">
        <w:rPr>
          <w:rFonts w:ascii="Times New Roman" w:hAnsi="Times New Roman" w:cs="Times New Roman"/>
          <w:b/>
          <w:bCs/>
        </w:rPr>
        <w:fldChar w:fldCharType="separate"/>
      </w:r>
      <w:r>
        <w:rPr>
          <w:rFonts w:ascii="Times New Roman" w:hAnsi="Times New Roman" w:cs="Times New Roman"/>
          <w:b/>
          <w:bCs/>
          <w:noProof/>
        </w:rPr>
        <w:t>(O'Brien and McLoughlin, 2019; Proctor, 2012)</w:t>
      </w:r>
      <w:r w:rsidRPr="008646B5">
        <w:rPr>
          <w:rFonts w:ascii="Times New Roman" w:hAnsi="Times New Roman" w:cs="Times New Roman"/>
          <w:b/>
          <w:bCs/>
        </w:rPr>
        <w:fldChar w:fldCharType="end"/>
      </w:r>
      <w:r>
        <w:rPr>
          <w:rFonts w:ascii="Times New Roman" w:hAnsi="Times New Roman" w:cs="Times New Roman"/>
        </w:rPr>
        <w:t>. Vaccine failure</w:t>
      </w:r>
      <w:r w:rsidR="00906D65">
        <w:rPr>
          <w:rFonts w:ascii="Times New Roman" w:hAnsi="Times New Roman" w:cs="Times New Roman"/>
        </w:rPr>
        <w:t xml:space="preserve"> is </w:t>
      </w:r>
      <w:r>
        <w:rPr>
          <w:rFonts w:ascii="Times New Roman" w:hAnsi="Times New Roman" w:cs="Times New Roman"/>
        </w:rPr>
        <w:t xml:space="preserve">attributed to the ubiquity of </w:t>
      </w:r>
      <w:r>
        <w:rPr>
          <w:rFonts w:ascii="Times New Roman" w:hAnsi="Times New Roman" w:cs="Times New Roman"/>
          <w:i/>
          <w:iCs/>
        </w:rPr>
        <w:t xml:space="preserve">S. aureus </w:t>
      </w:r>
      <w:r>
        <w:rPr>
          <w:rFonts w:ascii="Times New Roman" w:hAnsi="Times New Roman" w:cs="Times New Roman"/>
        </w:rPr>
        <w:t xml:space="preserve">but also the ability of </w:t>
      </w:r>
      <w:r>
        <w:rPr>
          <w:rFonts w:ascii="Times New Roman" w:hAnsi="Times New Roman" w:cs="Times New Roman"/>
          <w:i/>
          <w:iCs/>
        </w:rPr>
        <w:t>S. aureus</w:t>
      </w:r>
      <w:r>
        <w:rPr>
          <w:rFonts w:ascii="Times New Roman" w:hAnsi="Times New Roman" w:cs="Times New Roman"/>
        </w:rPr>
        <w:t xml:space="preserve"> </w:t>
      </w:r>
      <w:r>
        <w:rPr>
          <w:rFonts w:ascii="Times New Roman" w:hAnsi="Times New Roman" w:cs="Times New Roman"/>
        </w:rPr>
        <w:lastRenderedPageBreak/>
        <w:t>to adapt to different environmental conditions. This adaptability allows this remarkable pathogen to infect nearly all body systems and thus cause a variety of disease that has hindered the development of an anti-staphylococcal vaccine. Another limitation in the efforts to produce an anti-staphylococcal vaccine are the animal models used to test their efficacy. For example, neutrophils from different mice are more resistant to PVL than rabbit and human neutrophils</w:t>
      </w:r>
      <w:r w:rsidR="002373A7">
        <w:rPr>
          <w:rFonts w:ascii="Times New Roman" w:hAnsi="Times New Roman" w:cs="Times New Roman"/>
          <w:b/>
          <w:bCs/>
        </w:rPr>
        <w:t xml:space="preserve"> </w:t>
      </w:r>
      <w:r w:rsidR="00DD4283">
        <w:rPr>
          <w:rFonts w:ascii="Times New Roman" w:hAnsi="Times New Roman" w:cs="Times New Roman"/>
          <w:b/>
          <w:bCs/>
        </w:rPr>
        <w:fldChar w:fldCharType="begin"/>
      </w:r>
      <w:r w:rsidR="00DD4283">
        <w:rPr>
          <w:rFonts w:ascii="Times New Roman" w:hAnsi="Times New Roman" w:cs="Times New Roman"/>
          <w:b/>
          <w:bCs/>
        </w:rPr>
        <w:instrText xml:space="preserve"> ADDIN EN.CITE &lt;EndNote&gt;&lt;Cite&gt;&lt;Author&gt;Löffler &lt;/Author&gt;&lt;Year&gt;2010&lt;/Year&gt;&lt;IDText&gt;Staphylococcus aureus Panton-Valentine Leukocidin Is a Very Potent Cytotoxic Factor for Human Neutrophils&lt;/IDText&gt;&lt;DisplayText&gt;(Löffler &lt;style face="italic"&gt; et al.&lt;/style&gt;, 2010)&lt;/DisplayText&gt;&lt;record&gt;&lt;dates&gt;&lt;pub-dates&gt;&lt;date&gt;Jan&lt;/date&gt;&lt;/pub-dates&gt;&lt;year&gt;2010&lt;/year&gt;&lt;/dates&gt;&lt;urls&gt;&lt;related-urls&gt;&lt;url&gt;&amp;lt;Go to ISI&amp;gt;://WOS:000274227100006&lt;/url&gt;&lt;/related-urls&gt;&lt;/urls&gt;&lt;isbn&gt;1553-7366&lt;/isbn&gt;&lt;work-type&gt;Article&lt;/work-type&gt;&lt;titles&gt;&lt;title&gt;Staphylococcus aureus Panton-Valentine Leukocidin Is a Very Potent Cytotoxic Factor for Human Neutrophils&lt;/title&gt;&lt;secondary-title&gt;Plos Pathogens&lt;/secondary-title&gt;&lt;/titles&gt;&lt;number&gt;1&lt;/number&gt;&lt;contributors&gt;&lt;authors&gt;&lt;author&gt;Löffler , Bettina&lt;/author&gt;&lt;author&gt;Hussain, Muzaffar&lt;/author&gt;&lt;author&gt;Grundmeier, Matthias&lt;/author&gt;&lt;author&gt;Brueck, Michaela&lt;/author&gt;&lt;author&gt;Holzinger, Dirk&lt;/author&gt;&lt;author&gt;Varga, Georg&lt;/author&gt;&lt;author&gt;Roth, Johannes&lt;/author&gt;&lt;author&gt;Kahl, Barbara C.&lt;/author&gt;&lt;author&gt;Proctor, Richard A.&lt;/author&gt;&lt;author&gt;Peters, Georg&lt;/author&gt;&lt;/authors&gt;&lt;/contributors&gt;&lt;custom7&gt;e1000715&lt;/custom7&gt;&lt;added-date format="utc"&gt;1688512560&lt;/added-date&gt;&lt;ref-type name="Journal Article"&gt;17&lt;/ref-type&gt;&lt;rec-number&gt;783&lt;/rec-number&gt;&lt;last-updated-date format="utc"&gt;1689455227&lt;/last-updated-date&gt;&lt;accession-num&gt;WOS:000274227100006&lt;/accession-num&gt;&lt;electronic-resource-num&gt;10.1371/journal.ppat.1000715&lt;/electronic-resource-num&gt;&lt;volume&gt;6&lt;/volume&gt;&lt;/record&gt;&lt;/Cite&gt;&lt;/EndNote&gt;</w:instrText>
      </w:r>
      <w:r w:rsidR="00DD4283">
        <w:rPr>
          <w:rFonts w:ascii="Times New Roman" w:hAnsi="Times New Roman" w:cs="Times New Roman"/>
          <w:b/>
          <w:bCs/>
        </w:rPr>
        <w:fldChar w:fldCharType="separate"/>
      </w:r>
      <w:r w:rsidR="00DD4283">
        <w:rPr>
          <w:rFonts w:ascii="Times New Roman" w:hAnsi="Times New Roman" w:cs="Times New Roman"/>
          <w:b/>
          <w:bCs/>
          <w:noProof/>
        </w:rPr>
        <w:t xml:space="preserve">(Löffler </w:t>
      </w:r>
      <w:r w:rsidR="00DD4283" w:rsidRPr="00DD4283">
        <w:rPr>
          <w:rFonts w:ascii="Times New Roman" w:hAnsi="Times New Roman" w:cs="Times New Roman"/>
          <w:b/>
          <w:bCs/>
          <w:i/>
          <w:noProof/>
        </w:rPr>
        <w:t xml:space="preserve"> et al.</w:t>
      </w:r>
      <w:r w:rsidR="00DD4283">
        <w:rPr>
          <w:rFonts w:ascii="Times New Roman" w:hAnsi="Times New Roman" w:cs="Times New Roman"/>
          <w:b/>
          <w:bCs/>
          <w:noProof/>
        </w:rPr>
        <w:t>, 2010)</w:t>
      </w:r>
      <w:r w:rsidR="00DD4283">
        <w:rPr>
          <w:rFonts w:ascii="Times New Roman" w:hAnsi="Times New Roman" w:cs="Times New Roman"/>
          <w:b/>
          <w:bCs/>
        </w:rPr>
        <w:fldChar w:fldCharType="end"/>
      </w:r>
      <w:r>
        <w:rPr>
          <w:rFonts w:ascii="Times New Roman" w:hAnsi="Times New Roman" w:cs="Times New Roman"/>
        </w:rPr>
        <w:t xml:space="preserve">, emphasising the necessity of choosing the appropriate animal model when studying the efficacy of vaccines. Moreover, vaccines that have been investigated in murine models did not go on to successfully immunise humans during clinical trials, suggesting that non-human primate models may be more suitable </w:t>
      </w:r>
      <w:r w:rsidRPr="00DA7CCF">
        <w:rPr>
          <w:rFonts w:ascii="Times New Roman" w:hAnsi="Times New Roman" w:cs="Times New Roman"/>
          <w:b/>
          <w:bCs/>
        </w:rPr>
        <w:fldChar w:fldCharType="begin"/>
      </w:r>
      <w:r w:rsidRPr="00DA7CCF">
        <w:rPr>
          <w:rFonts w:ascii="Times New Roman" w:hAnsi="Times New Roman" w:cs="Times New Roman"/>
          <w:b/>
          <w:bCs/>
        </w:rPr>
        <w:instrText xml:space="preserve"> ADDIN EN.CITE &lt;EndNote&gt;&lt;Cite&gt;&lt;Author&gt;Proctor&lt;/Author&gt;&lt;Year&gt;2012&lt;/Year&gt;&lt;IDText&gt;Is there a future for a Staphylococcus aureus vaccine?&lt;/IDText&gt;&lt;DisplayText&gt;(Proctor, 2012)&lt;/DisplayText&gt;&lt;record&gt;&lt;dates&gt;&lt;pub-dates&gt;&lt;date&gt;Apr 19&lt;/date&gt;&lt;/pub-dates&gt;&lt;year&gt;2012&lt;/year&gt;&lt;/dates&gt;&lt;urls&gt;&lt;related-urls&gt;&lt;url&gt;&amp;lt;Go to ISI&amp;gt;://WOS:000303429100003&lt;/url&gt;&lt;/related-urls&gt;&lt;/urls&gt;&lt;isbn&gt;0264-410X&lt;/isbn&gt;&lt;work-type&gt;Review&lt;/work-type&gt;&lt;titles&gt;&lt;title&gt;Is there a future for a Staphylococcus aureus vaccine?&lt;/title&gt;&lt;secondary-title&gt;Vaccine&lt;/secondary-title&gt;&lt;/titles&gt;&lt;pages&gt;2921-2927&lt;/pages&gt;&lt;number&gt;19&lt;/number&gt;&lt;contributors&gt;&lt;authors&gt;&lt;author&gt;Proctor, Richard A.&lt;/author&gt;&lt;/authors&gt;&lt;/contributors&gt;&lt;added-date format="utc"&gt;1676731020&lt;/added-date&gt;&lt;ref-type name="Journal Article"&gt;17&lt;/ref-type&gt;&lt;rec-number&gt;398&lt;/rec-number&gt;&lt;last-updated-date format="utc"&gt;1676731020&lt;/last-updated-date&gt;&lt;accession-num&gt;WOS:000303429100003&lt;/accession-num&gt;&lt;electronic-resource-num&gt;10.1016/j.vaccine.2011.11.006&lt;/electronic-resource-num&gt;&lt;volume&gt;30&lt;/volume&gt;&lt;/record&gt;&lt;/Cite&gt;&lt;/EndNote&gt;</w:instrText>
      </w:r>
      <w:r w:rsidRPr="00DA7CCF">
        <w:rPr>
          <w:rFonts w:ascii="Times New Roman" w:hAnsi="Times New Roman" w:cs="Times New Roman"/>
          <w:b/>
          <w:bCs/>
        </w:rPr>
        <w:fldChar w:fldCharType="separate"/>
      </w:r>
      <w:r w:rsidRPr="00DA7CCF">
        <w:rPr>
          <w:rFonts w:ascii="Times New Roman" w:hAnsi="Times New Roman" w:cs="Times New Roman"/>
          <w:b/>
          <w:bCs/>
          <w:noProof/>
        </w:rPr>
        <w:t>(Proctor, 2012)</w:t>
      </w:r>
      <w:r w:rsidRPr="00DA7CCF">
        <w:rPr>
          <w:rFonts w:ascii="Times New Roman" w:hAnsi="Times New Roman" w:cs="Times New Roman"/>
          <w:b/>
          <w:bCs/>
        </w:rPr>
        <w:fldChar w:fldCharType="end"/>
      </w:r>
      <w:r>
        <w:rPr>
          <w:rFonts w:ascii="Times New Roman" w:hAnsi="Times New Roman" w:cs="Times New Roman"/>
        </w:rPr>
        <w:t xml:space="preserve">. </w:t>
      </w:r>
    </w:p>
    <w:p w14:paraId="6ACF6C99" w14:textId="77777777" w:rsidR="00033564" w:rsidRPr="00DE2A6A" w:rsidRDefault="00033564" w:rsidP="00033564"/>
    <w:p w14:paraId="32860958" w14:textId="77777777" w:rsidR="00033564" w:rsidRPr="004E5672" w:rsidRDefault="00033564" w:rsidP="00033564">
      <w:pPr>
        <w:pStyle w:val="Heading3"/>
      </w:pPr>
      <w:bookmarkStart w:id="18" w:name="_Toc142043569"/>
      <w:r>
        <w:t xml:space="preserve">1.1.3. </w:t>
      </w:r>
      <w:r>
        <w:rPr>
          <w:i/>
          <w:iCs/>
        </w:rPr>
        <w:t xml:space="preserve">S. aureus </w:t>
      </w:r>
      <w:r>
        <w:t>virulence factors</w:t>
      </w:r>
      <w:bookmarkEnd w:id="18"/>
    </w:p>
    <w:p w14:paraId="5B2144C4" w14:textId="77777777" w:rsidR="00033564" w:rsidRDefault="00033564" w:rsidP="00033564"/>
    <w:p w14:paraId="2657FE34" w14:textId="4F4EDA25" w:rsidR="00033564" w:rsidRPr="00DD5AA4" w:rsidRDefault="00033564" w:rsidP="00033564">
      <w:pPr>
        <w:spacing w:line="360" w:lineRule="auto"/>
        <w:jc w:val="both"/>
        <w:rPr>
          <w:rFonts w:ascii="Times New Roman" w:hAnsi="Times New Roman" w:cs="Times New Roman"/>
        </w:rPr>
      </w:pPr>
      <w:r w:rsidRPr="006853E8">
        <w:rPr>
          <w:rFonts w:ascii="Times New Roman" w:hAnsi="Times New Roman" w:cs="Times New Roman"/>
          <w:i/>
          <w:iCs/>
        </w:rPr>
        <w:t xml:space="preserve">S. aureus </w:t>
      </w:r>
      <w:r w:rsidRPr="006853E8">
        <w:rPr>
          <w:rFonts w:ascii="Times New Roman" w:hAnsi="Times New Roman" w:cs="Times New Roman"/>
        </w:rPr>
        <w:t xml:space="preserve">produces a </w:t>
      </w:r>
      <w:r>
        <w:rPr>
          <w:rFonts w:ascii="Times New Roman" w:hAnsi="Times New Roman" w:cs="Times New Roman"/>
        </w:rPr>
        <w:t xml:space="preserve">wide </w:t>
      </w:r>
      <w:r w:rsidRPr="006853E8">
        <w:rPr>
          <w:rFonts w:ascii="Times New Roman" w:hAnsi="Times New Roman" w:cs="Times New Roman"/>
        </w:rPr>
        <w:t>range of</w:t>
      </w:r>
      <w:r>
        <w:rPr>
          <w:rFonts w:ascii="Times New Roman" w:hAnsi="Times New Roman" w:cs="Times New Roman"/>
        </w:rPr>
        <w:t xml:space="preserve"> membrane-bound, secreted and </w:t>
      </w:r>
      <w:r w:rsidRPr="003733BA">
        <w:rPr>
          <w:rFonts w:ascii="Times New Roman" w:hAnsi="Times New Roman" w:cs="Times New Roman"/>
        </w:rPr>
        <w:t xml:space="preserve">cytoplasmic factors </w:t>
      </w:r>
      <w:r>
        <w:rPr>
          <w:rFonts w:ascii="Times New Roman" w:hAnsi="Times New Roman" w:cs="Times New Roman"/>
        </w:rPr>
        <w:t xml:space="preserve">that aid its survival, virulence and evasion of the immune system. These factors contribute greatly to the ability of </w:t>
      </w:r>
      <w:r>
        <w:rPr>
          <w:rFonts w:ascii="Times New Roman" w:hAnsi="Times New Roman" w:cs="Times New Roman"/>
          <w:i/>
          <w:iCs/>
        </w:rPr>
        <w:t>S. aureus</w:t>
      </w:r>
      <w:r>
        <w:rPr>
          <w:rFonts w:ascii="Times New Roman" w:hAnsi="Times New Roman" w:cs="Times New Roman"/>
        </w:rPr>
        <w:t xml:space="preserve"> to cause infections. While some staphylococcal virulence factors are discussed here, those involved in </w:t>
      </w:r>
      <w:r w:rsidR="00E315F1">
        <w:rPr>
          <w:rFonts w:ascii="Times New Roman" w:hAnsi="Times New Roman" w:cs="Times New Roman"/>
        </w:rPr>
        <w:t xml:space="preserve">the </w:t>
      </w:r>
      <w:r>
        <w:rPr>
          <w:rFonts w:ascii="Times New Roman" w:hAnsi="Times New Roman" w:cs="Times New Roman"/>
        </w:rPr>
        <w:t xml:space="preserve">evasion of professional phagocytes are discussed in section 1.6.5. </w:t>
      </w:r>
    </w:p>
    <w:p w14:paraId="18BFD30E" w14:textId="77777777" w:rsidR="00033564" w:rsidRDefault="00033564" w:rsidP="00033564">
      <w:pPr>
        <w:pStyle w:val="Heading4"/>
      </w:pPr>
      <w:r>
        <w:t xml:space="preserve">1.1.3.1. </w:t>
      </w:r>
      <w:r>
        <w:rPr>
          <w:i/>
          <w:iCs w:val="0"/>
        </w:rPr>
        <w:t>S. aureus</w:t>
      </w:r>
      <w:r>
        <w:t xml:space="preserve"> cell wall-associated proteins </w:t>
      </w:r>
    </w:p>
    <w:p w14:paraId="1210827A" w14:textId="77777777" w:rsidR="00033564" w:rsidRDefault="00033564" w:rsidP="00033564"/>
    <w:p w14:paraId="1E6A3340" w14:textId="1F139EC7" w:rsidR="00033564" w:rsidRDefault="00033564" w:rsidP="00033564">
      <w:pPr>
        <w:spacing w:line="360" w:lineRule="auto"/>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iCs/>
        </w:rPr>
        <w:t xml:space="preserve">S. aureus </w:t>
      </w:r>
      <w:r>
        <w:rPr>
          <w:rFonts w:ascii="Times New Roman" w:hAnsi="Times New Roman" w:cs="Times New Roman"/>
        </w:rPr>
        <w:t xml:space="preserve">cell wall-associated (CWA) proteins can be involved in adhesion, colonisation and invasion of </w:t>
      </w:r>
      <w:r>
        <w:rPr>
          <w:rFonts w:ascii="Times New Roman" w:hAnsi="Times New Roman" w:cs="Times New Roman"/>
          <w:i/>
          <w:iCs/>
        </w:rPr>
        <w:t>S. aureus</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which is integral for the establishment of infection. CWA proteins are</w:t>
      </w:r>
      <w:r w:rsidRPr="00616AD4">
        <w:rPr>
          <w:rFonts w:ascii="Times New Roman" w:hAnsi="Times New Roman" w:cs="Times New Roman"/>
        </w:rPr>
        <w:t xml:space="preserve"> </w:t>
      </w:r>
      <w:r>
        <w:rPr>
          <w:rFonts w:ascii="Times New Roman" w:hAnsi="Times New Roman" w:cs="Times New Roman"/>
        </w:rPr>
        <w:t xml:space="preserve">categorised into four different groups: near iron transporters (NEAT) motif, three-helical bundles, G5-E repeats and </w:t>
      </w:r>
      <w:bookmarkStart w:id="19" w:name="_Hlk128527920"/>
      <w:r w:rsidRPr="002E0CAF">
        <w:rPr>
          <w:rFonts w:ascii="Times New Roman" w:hAnsi="Times New Roman" w:cs="Times New Roman"/>
        </w:rPr>
        <w:t>microbial surface component recogni</w:t>
      </w:r>
      <w:r>
        <w:rPr>
          <w:rFonts w:ascii="Times New Roman" w:hAnsi="Times New Roman" w:cs="Times New Roman"/>
        </w:rPr>
        <w:t>s</w:t>
      </w:r>
      <w:r w:rsidRPr="002E0CAF">
        <w:rPr>
          <w:rFonts w:ascii="Times New Roman" w:hAnsi="Times New Roman" w:cs="Times New Roman"/>
        </w:rPr>
        <w:t>ing adhesive matrix molecules</w:t>
      </w:r>
      <w:r>
        <w:rPr>
          <w:rFonts w:ascii="Times New Roman" w:hAnsi="Times New Roman" w:cs="Times New Roman"/>
        </w:rPr>
        <w:t xml:space="preserve"> </w:t>
      </w:r>
      <w:bookmarkEnd w:id="19"/>
      <w:r>
        <w:rPr>
          <w:rFonts w:ascii="Times New Roman" w:hAnsi="Times New Roman" w:cs="Times New Roman"/>
        </w:rPr>
        <w:t xml:space="preserve">(MSCRAMMs), of which the latter is the largest. MSCRAMMs are secreted in a Sec-dependent manner, linked to the cell wall by sortase and are defined by N-terminal Ig-like folds </w:t>
      </w:r>
      <w:r w:rsidRPr="009B6609">
        <w:rPr>
          <w:rFonts w:ascii="Times New Roman" w:hAnsi="Times New Roman" w:cs="Times New Roman"/>
          <w:b/>
          <w:bCs/>
        </w:rPr>
        <w:fldChar w:fldCharType="begin">
          <w:fldData xml:space="preserve">PEVuZE5vdGU+PENpdGU+PEF1dGhvcj5TY2huZWV3aW5kPC9BdXRob3I+PFllYXI+MjAxNDwvWWVh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PEVuZE5vdGU+PENpdGU+PEF1dGhvcj5TY2huZWV3aW5kPC9BdXRob3I+PFllYXI+MjAxNDwvWWVh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9B6609">
        <w:rPr>
          <w:rFonts w:ascii="Times New Roman" w:hAnsi="Times New Roman" w:cs="Times New Roman"/>
          <w:b/>
          <w:bCs/>
        </w:rPr>
      </w:r>
      <w:r w:rsidRPr="009B6609">
        <w:rPr>
          <w:rFonts w:ascii="Times New Roman" w:hAnsi="Times New Roman" w:cs="Times New Roman"/>
          <w:b/>
          <w:bCs/>
        </w:rPr>
        <w:fldChar w:fldCharType="separate"/>
      </w:r>
      <w:r>
        <w:rPr>
          <w:rFonts w:ascii="Times New Roman" w:hAnsi="Times New Roman" w:cs="Times New Roman"/>
          <w:b/>
          <w:bCs/>
          <w:noProof/>
        </w:rPr>
        <w:t>(Schneewind and Missiakas, 2014; Foster</w:t>
      </w:r>
      <w:r w:rsidRPr="00971001">
        <w:rPr>
          <w:rFonts w:ascii="Times New Roman" w:hAnsi="Times New Roman" w:cs="Times New Roman"/>
          <w:b/>
          <w:bCs/>
          <w:i/>
          <w:noProof/>
        </w:rPr>
        <w:t xml:space="preserve"> et al.</w:t>
      </w:r>
      <w:r>
        <w:rPr>
          <w:rFonts w:ascii="Times New Roman" w:hAnsi="Times New Roman" w:cs="Times New Roman"/>
          <w:b/>
          <w:bCs/>
          <w:noProof/>
        </w:rPr>
        <w:t>, 2014)</w:t>
      </w:r>
      <w:r w:rsidRPr="009B6609">
        <w:rPr>
          <w:rFonts w:ascii="Times New Roman" w:hAnsi="Times New Roman" w:cs="Times New Roman"/>
          <w:b/>
          <w:bCs/>
        </w:rPr>
        <w:fldChar w:fldCharType="end"/>
      </w:r>
      <w:r>
        <w:rPr>
          <w:rFonts w:ascii="Times New Roman" w:hAnsi="Times New Roman" w:cs="Times New Roman"/>
        </w:rPr>
        <w:t xml:space="preserve">. For example, the MSCRAMMs clumping factors A and B (ClfA/B) mediate adhesion of </w:t>
      </w:r>
      <w:r>
        <w:rPr>
          <w:rFonts w:ascii="Times New Roman" w:hAnsi="Times New Roman" w:cs="Times New Roman"/>
          <w:i/>
          <w:iCs/>
        </w:rPr>
        <w:t xml:space="preserve">S. aureus </w:t>
      </w:r>
      <w:r>
        <w:rPr>
          <w:rFonts w:ascii="Times New Roman" w:hAnsi="Times New Roman" w:cs="Times New Roman"/>
        </w:rPr>
        <w:t xml:space="preserve">to fibrinogen </w:t>
      </w:r>
      <w:r w:rsidRPr="009133C7">
        <w:rPr>
          <w:rFonts w:ascii="Times New Roman" w:hAnsi="Times New Roman" w:cs="Times New Roman"/>
          <w:b/>
          <w:bCs/>
        </w:rPr>
        <w:fldChar w:fldCharType="begin">
          <w:fldData xml:space="preserve">PEVuZE5vdGU+PENpdGU+PEF1dGhvcj5NY0Rldml0dDwvQXV0aG9yPjxZZWFyPjE5OTQ8L1llYXI+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</w:fldData>
        </w:fldChar>
      </w:r>
      <w:r w:rsidRPr="009133C7">
        <w:rPr>
          <w:rFonts w:ascii="Times New Roman" w:hAnsi="Times New Roman" w:cs="Times New Roman"/>
          <w:b/>
          <w:bCs/>
        </w:rPr>
        <w:instrText xml:space="preserve"> ADDIN EN.CITE </w:instrText>
      </w:r>
      <w:r w:rsidRPr="009133C7">
        <w:rPr>
          <w:rFonts w:ascii="Times New Roman" w:hAnsi="Times New Roman" w:cs="Times New Roman"/>
          <w:b/>
          <w:bCs/>
        </w:rPr>
        <w:fldChar w:fldCharType="begin">
          <w:fldData xml:space="preserve">PEVuZE5vdGU+PENpdGU+PEF1dGhvcj5NY0Rldml0dDwvQXV0aG9yPjxZZWFyPjE5OTQ8L1llYXI+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</w:fldData>
        </w:fldChar>
      </w:r>
      <w:r w:rsidRPr="009133C7">
        <w:rPr>
          <w:rFonts w:ascii="Times New Roman" w:hAnsi="Times New Roman" w:cs="Times New Roman"/>
          <w:b/>
          <w:bCs/>
        </w:rPr>
        <w:instrText xml:space="preserve"> ADDIN EN.CITE.DATA </w:instrText>
      </w:r>
      <w:r w:rsidRPr="009133C7">
        <w:rPr>
          <w:rFonts w:ascii="Times New Roman" w:hAnsi="Times New Roman" w:cs="Times New Roman"/>
          <w:b/>
          <w:bCs/>
        </w:rPr>
      </w:r>
      <w:r w:rsidRPr="009133C7">
        <w:rPr>
          <w:rFonts w:ascii="Times New Roman" w:hAnsi="Times New Roman" w:cs="Times New Roman"/>
          <w:b/>
          <w:bCs/>
        </w:rPr>
        <w:fldChar w:fldCharType="end"/>
      </w:r>
      <w:r w:rsidRPr="009133C7">
        <w:rPr>
          <w:rFonts w:ascii="Times New Roman" w:hAnsi="Times New Roman" w:cs="Times New Roman"/>
          <w:b/>
          <w:bCs/>
        </w:rPr>
      </w:r>
      <w:r w:rsidRPr="009133C7">
        <w:rPr>
          <w:rFonts w:ascii="Times New Roman" w:hAnsi="Times New Roman" w:cs="Times New Roman"/>
          <w:b/>
          <w:bCs/>
        </w:rPr>
        <w:fldChar w:fldCharType="separate"/>
      </w:r>
      <w:r w:rsidRPr="009133C7">
        <w:rPr>
          <w:rFonts w:ascii="Times New Roman" w:hAnsi="Times New Roman" w:cs="Times New Roman"/>
          <w:b/>
          <w:bCs/>
          <w:noProof/>
        </w:rPr>
        <w:t>(McDevitt</w:t>
      </w:r>
      <w:r w:rsidRPr="009133C7">
        <w:rPr>
          <w:rFonts w:ascii="Times New Roman" w:hAnsi="Times New Roman" w:cs="Times New Roman"/>
          <w:b/>
          <w:bCs/>
          <w:i/>
          <w:noProof/>
        </w:rPr>
        <w:t xml:space="preserve"> et al.</w:t>
      </w:r>
      <w:r w:rsidRPr="009133C7">
        <w:rPr>
          <w:rFonts w:ascii="Times New Roman" w:hAnsi="Times New Roman" w:cs="Times New Roman"/>
          <w:b/>
          <w:bCs/>
          <w:noProof/>
        </w:rPr>
        <w:t>, 1994; Eidhin</w:t>
      </w:r>
      <w:r w:rsidRPr="009133C7">
        <w:rPr>
          <w:rFonts w:ascii="Times New Roman" w:hAnsi="Times New Roman" w:cs="Times New Roman"/>
          <w:b/>
          <w:bCs/>
          <w:i/>
          <w:noProof/>
        </w:rPr>
        <w:t xml:space="preserve"> et al.</w:t>
      </w:r>
      <w:r w:rsidRPr="009133C7">
        <w:rPr>
          <w:rFonts w:ascii="Times New Roman" w:hAnsi="Times New Roman" w:cs="Times New Roman"/>
          <w:b/>
          <w:bCs/>
          <w:noProof/>
        </w:rPr>
        <w:t>, 1998)</w:t>
      </w:r>
      <w:r w:rsidRPr="009133C7">
        <w:rPr>
          <w:rFonts w:ascii="Times New Roman" w:hAnsi="Times New Roman" w:cs="Times New Roman"/>
          <w:b/>
          <w:bCs/>
        </w:rPr>
        <w:fldChar w:fldCharType="end"/>
      </w:r>
      <w:r>
        <w:rPr>
          <w:rFonts w:ascii="Times New Roman" w:hAnsi="Times New Roman" w:cs="Times New Roman"/>
          <w:b/>
          <w:bCs/>
        </w:rPr>
        <w:t xml:space="preserve"> (Fig. 1.1.3)</w:t>
      </w:r>
      <w:r>
        <w:rPr>
          <w:rFonts w:ascii="Times New Roman" w:hAnsi="Times New Roman" w:cs="Times New Roman"/>
        </w:rPr>
        <w:t xml:space="preserve">. However ClfB can also bind cytokeratin </w:t>
      </w:r>
      <w:r w:rsidRPr="00E26769">
        <w:rPr>
          <w:rFonts w:ascii="Times New Roman" w:hAnsi="Times New Roman" w:cs="Times New Roman"/>
          <w:b/>
          <w:bCs/>
        </w:rPr>
        <w:fldChar w:fldCharType="begin"/>
      </w:r>
      <w:r w:rsidRPr="00E26769">
        <w:rPr>
          <w:rFonts w:ascii="Times New Roman" w:hAnsi="Times New Roman" w:cs="Times New Roman"/>
          <w:b/>
          <w:bCs/>
        </w:rPr>
        <w:instrText xml:space="preserve"> ADDIN EN.CITE &lt;EndNote&gt;&lt;Cite&gt;&lt;Author&gt;Xiang&lt;/Author&gt;&lt;Year&gt;2012&lt;/Year&gt;&lt;IDText&gt;Crystal Structures Reveal the Multi-Ligand Binding Mechanism of Staphylococcus aureus ClfB&lt;/IDText&gt;&lt;DisplayText&gt;(Xiang&lt;style face="italic"&gt; et al.&lt;/style&gt;, 2012)&lt;/DisplayText&gt;&lt;record&gt;&lt;dates&gt;&lt;pub-dates&gt;&lt;date&gt;Jun&lt;/date&gt;&lt;/pub-dates&gt;&lt;year&gt;2012&lt;/year&gt;&lt;/dates&gt;&lt;urls&gt;&lt;related-urls&gt;&lt;url&gt;&amp;lt;Go to ISI&amp;gt;://WOS:000305987800022&lt;/url&gt;&lt;/related-urls&gt;&lt;/urls&gt;&lt;isbn&gt;1553-7366&lt;/isbn&gt;&lt;titles&gt;&lt;title&gt;Crystal Structures Reveal the Multi-Ligand Binding Mechanism of Staphylococcus aureus ClfB&lt;/title&gt;&lt;secondary-title&gt;Plos Pathogens&lt;/secondary-title&gt;&lt;/titles&gt;&lt;number&gt;6&lt;/number&gt;&lt;contributors&gt;&lt;authors&gt;&lt;author&gt;Xiang, H.&lt;/author&gt;&lt;author&gt;Feng, Y.&lt;/author&gt;&lt;author&gt;Wang, J. W.&lt;/author&gt;&lt;author&gt;Liu, B.&lt;/author&gt;&lt;author&gt;Chen, Y. G.&lt;/author&gt;&lt;author&gt;Liu, L.&lt;/author&gt;&lt;author&gt;Deng, X. M.&lt;/author&gt;&lt;author&gt;Yang, M. J.&lt;/author&gt;&lt;/authors&gt;&lt;/contributors&gt;&lt;custom7&gt;e1002751&lt;/custom7&gt;&lt;added-date format="utc"&gt;1677644446&lt;/added-date&gt;&lt;ref-type name="Journal Article"&gt;17&lt;/ref-type&gt;&lt;rec-number&gt;610&lt;/rec-number&gt;&lt;last-updated-date format="utc"&gt;1677644446&lt;/last-updated-date&gt;&lt;accession-num&gt;WOS:000305987800022&lt;/accession-num&gt;&lt;electronic-resource-num&gt;10.1371/journal.ppat.1002751&lt;/electronic-resource-num&gt;&lt;volume&gt;8&lt;/volume&gt;&lt;/record&gt;&lt;/Cite&gt;&lt;/EndNote&gt;</w:instrText>
      </w:r>
      <w:r w:rsidRPr="00E26769">
        <w:rPr>
          <w:rFonts w:ascii="Times New Roman" w:hAnsi="Times New Roman" w:cs="Times New Roman"/>
          <w:b/>
          <w:bCs/>
        </w:rPr>
        <w:fldChar w:fldCharType="separate"/>
      </w:r>
      <w:r w:rsidRPr="00E26769">
        <w:rPr>
          <w:rFonts w:ascii="Times New Roman" w:hAnsi="Times New Roman" w:cs="Times New Roman"/>
          <w:b/>
          <w:bCs/>
          <w:noProof/>
        </w:rPr>
        <w:t>(Xiang</w:t>
      </w:r>
      <w:r w:rsidRPr="00E26769">
        <w:rPr>
          <w:rFonts w:ascii="Times New Roman" w:hAnsi="Times New Roman" w:cs="Times New Roman"/>
          <w:b/>
          <w:bCs/>
          <w:i/>
          <w:noProof/>
        </w:rPr>
        <w:t xml:space="preserve"> et al.</w:t>
      </w:r>
      <w:r w:rsidRPr="00E26769">
        <w:rPr>
          <w:rFonts w:ascii="Times New Roman" w:hAnsi="Times New Roman" w:cs="Times New Roman"/>
          <w:b/>
          <w:bCs/>
          <w:noProof/>
        </w:rPr>
        <w:t>, 2012)</w:t>
      </w:r>
      <w:r w:rsidRPr="00E26769">
        <w:rPr>
          <w:rFonts w:ascii="Times New Roman" w:hAnsi="Times New Roman" w:cs="Times New Roman"/>
          <w:b/>
          <w:bCs/>
        </w:rPr>
        <w:fldChar w:fldCharType="end"/>
      </w:r>
      <w:r>
        <w:rPr>
          <w:rFonts w:ascii="Times New Roman" w:hAnsi="Times New Roman" w:cs="Times New Roman"/>
        </w:rPr>
        <w:t xml:space="preserve"> and loricrin, which is required for murine nasal colonisation </w:t>
      </w:r>
      <w:r w:rsidRPr="00E26769">
        <w:rPr>
          <w:rFonts w:ascii="Times New Roman" w:hAnsi="Times New Roman" w:cs="Times New Roman"/>
          <w:b/>
          <w:bCs/>
        </w:rPr>
        <w:fldChar w:fldCharType="begin"/>
      </w:r>
      <w:r w:rsidRPr="00E26769">
        <w:rPr>
          <w:rFonts w:ascii="Times New Roman" w:hAnsi="Times New Roman" w:cs="Times New Roman"/>
          <w:b/>
          <w:bCs/>
        </w:rPr>
        <w:instrText xml:space="preserve"> ADDIN EN.CITE &lt;EndNote&gt;&lt;Cite&gt;&lt;Author&gt;Mulcahy&lt;/Author&gt;&lt;Year&gt;2012&lt;/Year&gt;&lt;IDText&gt;Nasal Colonisation by Staphylococcus aureus Depends upon Clumping Factor B Binding to the Squamous Epithelial Cell Envelope Protein Loricrin&lt;/IDText&gt;&lt;DisplayText&gt;(Mulcahy&lt;style face="italic"&gt; et al.&lt;/style&gt;, 2012)&lt;/DisplayText&gt;&lt;record&gt;&lt;dates&gt;&lt;pub-dates&gt;&lt;date&gt;Dec&lt;/date&gt;&lt;/pub-dates&gt;&lt;year&gt;2012&lt;/year&gt;&lt;/dates&gt;&lt;urls&gt;&lt;related-urls&gt;&lt;url&gt;&amp;lt;Go to ISI&amp;gt;://WOS:000312907100041&lt;/url&gt;&lt;/related-urls&gt;&lt;/urls&gt;&lt;isbn&gt;1553-7366&lt;/isbn&gt;&lt;titles&gt;&lt;title&gt;Nasal Colonisation by Staphylococcus aureus Depends upon Clumping Factor B Binding to the Squamous Epithelial Cell Envelope Protein Loricrin&lt;/title&gt;&lt;secondary-title&gt;Plos Pathogens&lt;/secondary-title&gt;&lt;/titles&gt;&lt;number&gt;12&lt;/number&gt;&lt;contributors&gt;&lt;authors&gt;&lt;author&gt;Mulcahy, M. E.&lt;/author&gt;&lt;author&gt;Geoghegan, J. A.&lt;/author&gt;&lt;author&gt;Monk, I. R.&lt;/author&gt;&lt;author&gt;O&amp;apos;Keeffe, K. M.&lt;/author&gt;&lt;author&gt;Walsh, E. J.&lt;/author&gt;&lt;author&gt;Foster, T. J.&lt;/author&gt;&lt;author&gt;McLoughlin, R. M.&lt;/author&gt;&lt;/authors&gt;&lt;/contributors&gt;&lt;custom7&gt;e1003092&lt;/custom7&gt;&lt;added-date format="utc"&gt;1677644554&lt;/added-date&gt;&lt;ref-type name="Journal Article"&gt;17&lt;/ref-type&gt;&lt;rec-number&gt;611&lt;/rec-number&gt;&lt;last-updated-date format="utc"&gt;1677644554&lt;/last-updated-date&gt;&lt;accession-num&gt;WOS:000312907100041&lt;/accession-num&gt;&lt;electronic-resource-num&gt;10.1371/journal.ppat.1003092&lt;/electronic-resource-num&gt;&lt;volume&gt;8&lt;/volume&gt;&lt;/record&gt;&lt;/Cite&gt;&lt;/EndNote&gt;</w:instrText>
      </w:r>
      <w:r w:rsidRPr="00E26769">
        <w:rPr>
          <w:rFonts w:ascii="Times New Roman" w:hAnsi="Times New Roman" w:cs="Times New Roman"/>
          <w:b/>
          <w:bCs/>
        </w:rPr>
        <w:fldChar w:fldCharType="separate"/>
      </w:r>
      <w:r w:rsidRPr="00E26769">
        <w:rPr>
          <w:rFonts w:ascii="Times New Roman" w:hAnsi="Times New Roman" w:cs="Times New Roman"/>
          <w:b/>
          <w:bCs/>
          <w:noProof/>
        </w:rPr>
        <w:t>(Mulcahy</w:t>
      </w:r>
      <w:r w:rsidRPr="00E26769">
        <w:rPr>
          <w:rFonts w:ascii="Times New Roman" w:hAnsi="Times New Roman" w:cs="Times New Roman"/>
          <w:b/>
          <w:bCs/>
          <w:i/>
          <w:noProof/>
        </w:rPr>
        <w:t xml:space="preserve"> et al.</w:t>
      </w:r>
      <w:r w:rsidRPr="00E26769">
        <w:rPr>
          <w:rFonts w:ascii="Times New Roman" w:hAnsi="Times New Roman" w:cs="Times New Roman"/>
          <w:b/>
          <w:bCs/>
          <w:noProof/>
        </w:rPr>
        <w:t>, 2012)</w:t>
      </w:r>
      <w:r w:rsidRPr="00E26769">
        <w:rPr>
          <w:rFonts w:ascii="Times New Roman" w:hAnsi="Times New Roman" w:cs="Times New Roman"/>
          <w:b/>
          <w:bCs/>
        </w:rPr>
        <w:fldChar w:fldCharType="end"/>
      </w:r>
      <w:r>
        <w:rPr>
          <w:rFonts w:ascii="Times New Roman" w:hAnsi="Times New Roman" w:cs="Times New Roman"/>
        </w:rPr>
        <w:t xml:space="preserve">. Clumping factor-deficient mutants were attenuated in a rat endocarditis model, emphasising the importance of adhesion </w:t>
      </w:r>
      <w:r w:rsidRPr="00165BF0">
        <w:rPr>
          <w:rFonts w:ascii="Times New Roman" w:hAnsi="Times New Roman" w:cs="Times New Roman"/>
          <w:b/>
          <w:bCs/>
        </w:rPr>
        <w:fldChar w:fldCharType="begin"/>
      </w:r>
      <w:r w:rsidRPr="00165BF0">
        <w:rPr>
          <w:rFonts w:ascii="Times New Roman" w:hAnsi="Times New Roman" w:cs="Times New Roman"/>
          <w:b/>
          <w:bCs/>
        </w:rPr>
        <w:instrText xml:space="preserve"> ADDIN EN.CITE &lt;EndNote&gt;&lt;Cite&gt;&lt;Author&gt;Moreillon&lt;/Author&gt;&lt;Year&gt;1995&lt;/Year&gt;&lt;IDText&gt;ROLE OF STAPHYLOCOCCUS-AUREUS COAGULASE AND CLUMPING FACTOR IN PATHOGENESIS OF EXPERIMENTAL ENDOCARDITIS&lt;/IDText&gt;&lt;DisplayText&gt;(Moreillon&lt;style face="italic"&gt; et al.&lt;/style&gt;, 1995)&lt;/DisplayText&gt;&lt;record&gt;&lt;dates&gt;&lt;pub-dates&gt;&lt;date&gt;Dec&lt;/date&gt;&lt;/pub-dates&gt;&lt;year&gt;1995&lt;/year&gt;&lt;/dates&gt;&lt;urls&gt;&lt;related-urls&gt;&lt;url&gt;&amp;lt;Go to ISI&amp;gt;://WOS:A1995TF96700026&lt;/url&gt;&lt;/related-urls&gt;&lt;/urls&gt;&lt;isbn&gt;0019-9567&lt;/isbn&gt;&lt;titles&gt;&lt;title&gt;ROLE OF STAPHYLOCOCCUS-AUREUS COAGULASE AND CLUMPING FACTOR IN PATHOGENESIS OF EXPERIMENTAL ENDOCARDITIS&lt;/title&gt;&lt;secondary-title&gt;Infection and Immunity&lt;/secondary-title&gt;&lt;/titles&gt;&lt;pages&gt;4738-4743&lt;/pages&gt;&lt;number&gt;12&lt;/number&gt;&lt;contributors&gt;&lt;authors&gt;&lt;author&gt;Moreillon, P.&lt;/author&gt;&lt;author&gt;Entenza, J. M.&lt;/author&gt;&lt;author&gt;Francioli, P.&lt;/author&gt;&lt;author&gt;McDevitt, D.&lt;/author&gt;&lt;author&gt;Foster, T. J.&lt;/author&gt;&lt;author&gt;Francois, P.&lt;/author&gt;&lt;author&gt;Vaudaux, P.&lt;/author&gt;&lt;/authors&gt;&lt;/contributors&gt;&lt;added-date format="utc"&gt;1677642347&lt;/added-date&gt;&lt;ref-type name="Journal Article"&gt;17&lt;/ref-type&gt;&lt;rec-number&gt;608&lt;/rec-number&gt;&lt;last-updated-date format="utc"&gt;1677642347&lt;/last-updated-date&gt;&lt;accession-num&gt;WOS:A1995TF96700026&lt;/accession-num&gt;&lt;electronic-resource-num&gt;10.1128/iai.63.12.4738-4743.1995&lt;/electronic-resource-num&gt;&lt;volume&gt;63&lt;/volume&gt;&lt;/record&gt;&lt;/Cite&gt;&lt;/EndNote&gt;</w:instrText>
      </w:r>
      <w:r w:rsidRPr="00165BF0">
        <w:rPr>
          <w:rFonts w:ascii="Times New Roman" w:hAnsi="Times New Roman" w:cs="Times New Roman"/>
          <w:b/>
          <w:bCs/>
        </w:rPr>
        <w:fldChar w:fldCharType="separate"/>
      </w:r>
      <w:r w:rsidRPr="00165BF0">
        <w:rPr>
          <w:rFonts w:ascii="Times New Roman" w:hAnsi="Times New Roman" w:cs="Times New Roman"/>
          <w:b/>
          <w:bCs/>
          <w:noProof/>
        </w:rPr>
        <w:t>(Moreillon</w:t>
      </w:r>
      <w:r w:rsidRPr="00165BF0">
        <w:rPr>
          <w:rFonts w:ascii="Times New Roman" w:hAnsi="Times New Roman" w:cs="Times New Roman"/>
          <w:b/>
          <w:bCs/>
          <w:i/>
          <w:noProof/>
        </w:rPr>
        <w:t xml:space="preserve"> et al.</w:t>
      </w:r>
      <w:r w:rsidRPr="00165BF0">
        <w:rPr>
          <w:rFonts w:ascii="Times New Roman" w:hAnsi="Times New Roman" w:cs="Times New Roman"/>
          <w:b/>
          <w:bCs/>
          <w:noProof/>
        </w:rPr>
        <w:t>, 1995)</w:t>
      </w:r>
      <w:r w:rsidRPr="00165BF0">
        <w:rPr>
          <w:rFonts w:ascii="Times New Roman" w:hAnsi="Times New Roman" w:cs="Times New Roman"/>
          <w:b/>
          <w:bCs/>
        </w:rPr>
        <w:fldChar w:fldCharType="end"/>
      </w:r>
      <w:r>
        <w:rPr>
          <w:rFonts w:ascii="Times New Roman" w:hAnsi="Times New Roman" w:cs="Times New Roman"/>
        </w:rPr>
        <w:t xml:space="preserve">. Fibronectin-binding proteins A/B (FnBPA/B) bind to fibronectin but can also bind to fibrinogen </w:t>
      </w:r>
      <w:r w:rsidRPr="009B6609">
        <w:rPr>
          <w:rFonts w:ascii="Times New Roman" w:hAnsi="Times New Roman" w:cs="Times New Roman"/>
          <w:b/>
          <w:bCs/>
        </w:rPr>
        <w:fldChar w:fldCharType="begin"/>
      </w:r>
      <w:r w:rsidRPr="009B6609">
        <w:rPr>
          <w:rFonts w:ascii="Times New Roman" w:hAnsi="Times New Roman" w:cs="Times New Roman"/>
          <w:b/>
          <w:bCs/>
        </w:rPr>
        <w:instrText xml:space="preserve"> ADDIN EN.CITE &lt;EndNote&gt;&lt;Cite&gt;&lt;Author&gt;Wann&lt;/Author&gt;&lt;Year&gt;2000&lt;/Year&gt;&lt;IDText&gt;The fibronectin-binding MSCRAMM FnbpA of Staphylococcus aureus is a bifunctional protein that also binds to fibrinogen&lt;/IDText&gt;&lt;DisplayText&gt;(Wann, Gurusiddappa and Hook, 2000)&lt;/DisplayText&gt;&lt;record&gt;&lt;dates&gt;&lt;pub-dates&gt;&lt;date&gt;May&lt;/date&gt;&lt;/pub-dates&gt;&lt;year&gt;2000&lt;/year&gt;&lt;/dates&gt;&lt;urls&gt;&lt;related-urls&gt;&lt;url&gt;&amp;lt;Go to ISI&amp;gt;://WOS:000086925300097&lt;/url&gt;&lt;/related-urls&gt;&lt;/urls&gt;&lt;isbn&gt;0021-9258&lt;/isbn&gt;&lt;titles&gt;&lt;title&gt;The fibronectin-binding MSCRAMM FnbpA of Staphylococcus aureus is a bifunctional protein that also binds to fibrinogen&lt;/title&gt;&lt;secondary-title&gt;Journal of Biological Chemistry&lt;/secondary-title&gt;&lt;/titles&gt;&lt;pages&gt;13863-13871&lt;/pages&gt;&lt;number&gt;18&lt;/number&gt;&lt;contributors&gt;&lt;authors&gt;&lt;author&gt;Wann, E. R.&lt;/author&gt;&lt;author&gt;Gurusiddappa, S.&lt;/author&gt;&lt;author&gt;Hook, M.&lt;/author&gt;&lt;/authors&gt;&lt;/contributors&gt;&lt;added-date format="utc"&gt;1677641460&lt;/added-date&gt;&lt;ref-type name="Journal Article"&gt;17&lt;/ref-type&gt;&lt;rec-number&gt;606&lt;/rec-number&gt;&lt;last-updated-date format="utc"&gt;1677641460&lt;/last-updated-date&gt;&lt;accession-num&gt;WOS:000086925300097&lt;/accession-num&gt;&lt;electronic-resource-num&gt;10.1074/jbc.275.18.13863&lt;/electronic-resource-num&gt;&lt;volume&gt;275&lt;/volume&gt;&lt;/record&gt;&lt;/Cite&gt;&lt;/EndNote&gt;</w:instrText>
      </w:r>
      <w:r w:rsidRPr="009B6609">
        <w:rPr>
          <w:rFonts w:ascii="Times New Roman" w:hAnsi="Times New Roman" w:cs="Times New Roman"/>
          <w:b/>
          <w:bCs/>
        </w:rPr>
        <w:fldChar w:fldCharType="separate"/>
      </w:r>
      <w:r w:rsidRPr="009B6609">
        <w:rPr>
          <w:rFonts w:ascii="Times New Roman" w:hAnsi="Times New Roman" w:cs="Times New Roman"/>
          <w:b/>
          <w:bCs/>
          <w:noProof/>
        </w:rPr>
        <w:t>(Wann, Gurusiddappa and Hook, 2000)</w:t>
      </w:r>
      <w:r w:rsidRPr="009B6609">
        <w:rPr>
          <w:rFonts w:ascii="Times New Roman" w:hAnsi="Times New Roman" w:cs="Times New Roman"/>
          <w:b/>
          <w:bCs/>
        </w:rPr>
        <w:fldChar w:fldCharType="end"/>
      </w:r>
      <w:r>
        <w:rPr>
          <w:rFonts w:ascii="Times New Roman" w:hAnsi="Times New Roman" w:cs="Times New Roman"/>
        </w:rPr>
        <w:t>. FnBPs, like ClfA/B</w:t>
      </w:r>
      <w:r w:rsidR="00E315F1">
        <w:rPr>
          <w:rFonts w:ascii="Times New Roman" w:hAnsi="Times New Roman" w:cs="Times New Roman"/>
        </w:rPr>
        <w:t>,</w:t>
      </w:r>
      <w:r>
        <w:rPr>
          <w:rFonts w:ascii="Times New Roman" w:hAnsi="Times New Roman" w:cs="Times New Roman"/>
        </w:rPr>
        <w:t xml:space="preserve"> are able to mediate adhesion but are also involved in invasion of epithelial and endothelial cells as well as fibroblasts via the </w:t>
      </w:r>
      <w:r w:rsidRPr="000239E0">
        <w:rPr>
          <w:rFonts w:ascii="Times New Roman" w:hAnsi="Times New Roman" w:cs="Times New Roman"/>
        </w:rPr>
        <w:t>α</w:t>
      </w:r>
      <w:r w:rsidRPr="000239E0">
        <w:rPr>
          <w:rFonts w:ascii="Times New Roman" w:hAnsi="Times New Roman" w:cs="Times New Roman"/>
          <w:vertAlign w:val="subscript"/>
        </w:rPr>
        <w:t>5</w:t>
      </w:r>
      <w:r>
        <w:rPr>
          <w:rFonts w:ascii="Times New Roman" w:hAnsi="Times New Roman" w:cs="Times New Roman"/>
        </w:rPr>
        <w:t>β</w:t>
      </w:r>
      <w:r w:rsidRPr="000239E0">
        <w:rPr>
          <w:rFonts w:ascii="Times New Roman" w:hAnsi="Times New Roman" w:cs="Times New Roman"/>
          <w:vertAlign w:val="subscript"/>
        </w:rPr>
        <w:t>1</w:t>
      </w:r>
      <w:r>
        <w:rPr>
          <w:rFonts w:ascii="Times New Roman" w:hAnsi="Times New Roman" w:cs="Times New Roman"/>
        </w:rPr>
        <w:t xml:space="preserve"> integrin </w:t>
      </w:r>
      <w:r w:rsidRPr="00165BF0">
        <w:rPr>
          <w:rFonts w:ascii="Times New Roman" w:hAnsi="Times New Roman" w:cs="Times New Roman"/>
          <w:b/>
          <w:bCs/>
        </w:rPr>
        <w:fldChar w:fldCharType="begin"/>
      </w:r>
      <w:r w:rsidRPr="00165BF0">
        <w:rPr>
          <w:rFonts w:ascii="Times New Roman" w:hAnsi="Times New Roman" w:cs="Times New Roman"/>
          <w:b/>
          <w:bCs/>
        </w:rPr>
        <w:instrText xml:space="preserve"> ADDIN EN.CITE &lt;EndNote&gt;&lt;Cite&gt;&lt;Author&gt;Sinha&lt;/Author&gt;&lt;Year&gt;1999&lt;/Year&gt;&lt;IDText&gt;Fibronectin-binding protein acts as Staphylococcus aureus invasin via fibronectin bridging to integrin alpha(5)beta(1)&lt;/IDText&gt;&lt;DisplayText&gt;(Sinha&lt;style face="italic"&gt; et al.&lt;/style&gt;, 1999)&lt;/DisplayText&gt;&lt;record&gt;&lt;dates&gt;&lt;pub-dates&gt;&lt;date&gt;Sep&lt;/date&gt;&lt;/pub-dates&gt;&lt;year&gt;1999&lt;/year&gt;&lt;/dates&gt;&lt;urls&gt;&lt;related-urls&gt;&lt;url&gt;&amp;lt;Go to ISI&amp;gt;://WOS:000088695100003&lt;/url&gt;&lt;/related-urls&gt;&lt;/urls&gt;&lt;isbn&gt;1462-5814&lt;/isbn&gt;&lt;work-type&gt;Article&lt;/work-type&gt;&lt;titles&gt;&lt;title&gt;Fibronectin-binding protein acts as Staphylococcus aureus invasin via fibronectin bridging to integrin alpha(5)beta(1)&lt;/title&gt;&lt;secondary-title&gt;Cellular Microbiology&lt;/secondary-title&gt;&lt;/titles&gt;&lt;pages&gt;101-117&lt;/pages&gt;&lt;number&gt;2&lt;/number&gt;&lt;contributors&gt;&lt;authors&gt;&lt;author&gt;Sinha, B.&lt;/author&gt;&lt;author&gt;Francois, P. P.&lt;/author&gt;&lt;author&gt;Nusse, O.&lt;/author&gt;&lt;author&gt;Foti, M.&lt;/author&gt;&lt;author&gt;Hartford, O. M.&lt;/author&gt;&lt;author&gt;Vaudaux, P.&lt;/author&gt;&lt;author&gt;Foster, T. J.&lt;/author&gt;&lt;author&gt;Lew, D. P.&lt;/author&gt;&lt;author&gt;Herrmann, M.&lt;/author&gt;&lt;author&gt;Krause, K. H.&lt;/author&gt;&lt;/authors&gt;&lt;/contributors&gt;&lt;added-date format="utc"&gt;1674679186&lt;/added-date&gt;&lt;ref-type name="Journal Article"&gt;17&lt;/ref-type&gt;&lt;rec-number&gt;264&lt;/rec-number&gt;&lt;last-updated-date format="utc"&gt;1675008997&lt;/last-updated-date&gt;&lt;accession-num&gt;WOS:000088695100003&lt;/accession-num&gt;&lt;electronic-resource-num&gt;10.1046/j.1462-5822.1999.00011.x&lt;/electronic-resource-num&gt;&lt;volume&gt;1&lt;/volume&gt;&lt;/record&gt;&lt;/Cite&gt;&lt;/EndNote&gt;</w:instrText>
      </w:r>
      <w:r w:rsidRPr="00165BF0">
        <w:rPr>
          <w:rFonts w:ascii="Times New Roman" w:hAnsi="Times New Roman" w:cs="Times New Roman"/>
          <w:b/>
          <w:bCs/>
        </w:rPr>
        <w:fldChar w:fldCharType="separate"/>
      </w:r>
      <w:r w:rsidRPr="00165BF0">
        <w:rPr>
          <w:rFonts w:ascii="Times New Roman" w:hAnsi="Times New Roman" w:cs="Times New Roman"/>
          <w:b/>
          <w:bCs/>
          <w:noProof/>
        </w:rPr>
        <w:t>(Sinha</w:t>
      </w:r>
      <w:r w:rsidRPr="00165BF0">
        <w:rPr>
          <w:rFonts w:ascii="Times New Roman" w:hAnsi="Times New Roman" w:cs="Times New Roman"/>
          <w:b/>
          <w:bCs/>
          <w:i/>
          <w:noProof/>
        </w:rPr>
        <w:t xml:space="preserve"> et al.</w:t>
      </w:r>
      <w:r w:rsidRPr="00165BF0">
        <w:rPr>
          <w:rFonts w:ascii="Times New Roman" w:hAnsi="Times New Roman" w:cs="Times New Roman"/>
          <w:b/>
          <w:bCs/>
          <w:noProof/>
        </w:rPr>
        <w:t>, 1999)</w:t>
      </w:r>
      <w:r w:rsidRPr="00165BF0">
        <w:rPr>
          <w:rFonts w:ascii="Times New Roman" w:hAnsi="Times New Roman" w:cs="Times New Roman"/>
          <w:b/>
          <w:bCs/>
        </w:rPr>
        <w:fldChar w:fldCharType="end"/>
      </w:r>
      <w:r>
        <w:rPr>
          <w:rFonts w:ascii="Times New Roman" w:hAnsi="Times New Roman" w:cs="Times New Roman"/>
        </w:rPr>
        <w:t xml:space="preserve">. The collagen adhesin (Cna) binds to collagen in the extracellular matrix and thus acts as an adhesin </w:t>
      </w:r>
      <w:r w:rsidRPr="008C7F4E">
        <w:rPr>
          <w:rFonts w:ascii="Times New Roman" w:hAnsi="Times New Roman" w:cs="Times New Roman"/>
          <w:b/>
          <w:bCs/>
        </w:rPr>
        <w:fldChar w:fldCharType="begin"/>
      </w:r>
      <w:r w:rsidRPr="008C7F4E">
        <w:rPr>
          <w:rFonts w:ascii="Times New Roman" w:hAnsi="Times New Roman" w:cs="Times New Roman"/>
          <w:b/>
          <w:bCs/>
        </w:rPr>
        <w:instrText xml:space="preserve"> ADDIN EN.CITE &lt;EndNote&gt;&lt;Cite&gt;&lt;Author&gt;Madani&lt;/Author&gt;&lt;Year&gt;2017&lt;/Year&gt;&lt;IDText&gt;Molecular mechanics of Staphylococcus aureus adhesin, CNA, and the inhibition of bacterial adhesion by stretching collagen&lt;/IDText&gt;&lt;DisplayText&gt;(Madani, Garakani and Mofrad, 2017)&lt;/DisplayText&gt;&lt;record&gt;&lt;dates&gt;&lt;pub-dates&gt;&lt;date&gt;Jun&lt;/date&gt;&lt;/pub-dates&gt;&lt;year&gt;2017&lt;/year&gt;&lt;/dates&gt;&lt;urls&gt;&lt;related-urls&gt;&lt;url&gt;&amp;lt;Go to ISI&amp;gt;://WOS:000404608700037&lt;/url&gt;&lt;/related-urls&gt;&lt;/urls&gt;&lt;isbn&gt;1932-6203&lt;/isbn&gt;&lt;titles&gt;&lt;title&gt;Molecular mechanics of Staphylococcus aureus adhesin, CNA, and the inhibition of bacterial adhesion by stretching collagen&lt;/title&gt;&lt;secondary-title&gt;Plos One&lt;/secondary-title&gt;&lt;/titles&gt;&lt;number&gt;6&lt;/number&gt;&lt;contributors&gt;&lt;authors&gt;&lt;author&gt;Madani, A.&lt;/author&gt;&lt;author&gt;Garakani, K.&lt;/author&gt;&lt;author&gt;Mofrad, M. R. K.&lt;/author&gt;&lt;/authors&gt;&lt;/contributors&gt;&lt;custom7&gt;e0179601&lt;/custom7&gt;&lt;added-date format="utc"&gt;1677706933&lt;/added-date&gt;&lt;ref-type name="Journal Article"&gt;17&lt;/ref-type&gt;&lt;rec-number&gt;626&lt;/rec-number&gt;&lt;last-updated-date format="utc"&gt;1677725365&lt;/last-updated-date&gt;&lt;accession-num&gt;WOS:000404608700037&lt;/accession-num&gt;&lt;electronic-resource-num&gt;10.1371/journal.pone.0179601&lt;/electronic-resource-num&gt;&lt;volume&gt;12&lt;/volume&gt;&lt;/record&gt;&lt;/Cite&gt;&lt;/EndNote&gt;</w:instrText>
      </w:r>
      <w:r w:rsidRPr="008C7F4E">
        <w:rPr>
          <w:rFonts w:ascii="Times New Roman" w:hAnsi="Times New Roman" w:cs="Times New Roman"/>
          <w:b/>
          <w:bCs/>
        </w:rPr>
        <w:fldChar w:fldCharType="separate"/>
      </w:r>
      <w:r w:rsidRPr="008C7F4E">
        <w:rPr>
          <w:rFonts w:ascii="Times New Roman" w:hAnsi="Times New Roman" w:cs="Times New Roman"/>
          <w:b/>
          <w:bCs/>
          <w:noProof/>
        </w:rPr>
        <w:t>(Madani, Garakani and Mofrad, 2017)</w:t>
      </w:r>
      <w:r w:rsidRPr="008C7F4E">
        <w:rPr>
          <w:rFonts w:ascii="Times New Roman" w:hAnsi="Times New Roman" w:cs="Times New Roman"/>
          <w:b/>
          <w:bCs/>
        </w:rPr>
        <w:fldChar w:fldCharType="end"/>
      </w:r>
      <w:r>
        <w:rPr>
          <w:rFonts w:ascii="Times New Roman" w:hAnsi="Times New Roman" w:cs="Times New Roman"/>
          <w:b/>
          <w:bCs/>
        </w:rPr>
        <w:t xml:space="preserve"> (Fig. 1.1.3)</w:t>
      </w:r>
      <w:r>
        <w:rPr>
          <w:rFonts w:ascii="Times New Roman" w:hAnsi="Times New Roman" w:cs="Times New Roman"/>
        </w:rPr>
        <w:t xml:space="preserve">. A role for Cna in a septic arthritis model was demonstrated where Cna was required for binding to cartilage and for the development of arthritis </w:t>
      </w:r>
      <w:r w:rsidRPr="008C7F4E">
        <w:rPr>
          <w:rFonts w:ascii="Times New Roman" w:hAnsi="Times New Roman" w:cs="Times New Roman"/>
          <w:b/>
          <w:bCs/>
        </w:rPr>
        <w:fldChar w:fldCharType="begin"/>
      </w:r>
      <w:r w:rsidRPr="008C7F4E">
        <w:rPr>
          <w:rFonts w:ascii="Times New Roman" w:hAnsi="Times New Roman" w:cs="Times New Roman"/>
          <w:b/>
          <w:bCs/>
        </w:rPr>
        <w:instrText xml:space="preserve"> ADDIN EN.CITE &lt;EndNote&gt;&lt;Cite&gt;&lt;Author&gt;Patti&lt;/Author&gt;&lt;Year&gt;1994&lt;/Year&gt;&lt;IDText&gt;THE STAPHYLOCOCCUS-AUREUS COLLAGEN ADHESIN IS A VIRULENCE DETERMINANT IN EXPERIMENTAL SEPTIC ARTHRITIS&lt;/IDText&gt;&lt;DisplayText&gt;(Patti&lt;style face="italic"&gt; et al.&lt;/style&gt;, 1994)&lt;/DisplayText&gt;&lt;record&gt;&lt;dates&gt;&lt;pub-dates&gt;&lt;date&gt;Jan&lt;/date&gt;&lt;/pub-dates&gt;&lt;year&gt;1994&lt;/year&gt;&lt;/dates&gt;&lt;urls&gt;&lt;related-urls&gt;&lt;url&gt;&amp;lt;Go to ISI&amp;gt;://WOS:A1994MN48800022&lt;/url&gt;&lt;/related-urls&gt;&lt;/urls&gt;&lt;isbn&gt;0019-9567&lt;/isbn&gt;&lt;titles&gt;&lt;title&gt;THE STAPHYLOCOCCUS-AUREUS COLLAGEN ADHESIN IS A VIRULENCE DETERMINANT IN EXPERIMENTAL SEPTIC ARTHRITIS&lt;/title&gt;&lt;secondary-title&gt;Infection and Immunity&lt;/secondary-title&gt;&lt;/titles&gt;&lt;pages&gt;152-161&lt;/pages&gt;&lt;number&gt;1&lt;/number&gt;&lt;contributors&gt;&lt;authors&gt;&lt;author&gt;Patti, J. M.&lt;/author&gt;&lt;author&gt;Bremell, T.&lt;/author&gt;&lt;author&gt;Krajewskapietrasik, D.&lt;/author&gt;&lt;author&gt;Abdelnour, A.&lt;/author&gt;&lt;author&gt;Tarkowski, A.&lt;/author&gt;&lt;author&gt;Ryden, C.&lt;/author&gt;&lt;author&gt;Hook, M.&lt;/author&gt;&lt;/authors&gt;&lt;/contributors&gt;&lt;added-date format="utc"&gt;1677706873&lt;/added-date&gt;&lt;ref-type name="Journal Article"&gt;17&lt;/ref-type&gt;&lt;rec-number&gt;625&lt;/rec-number&gt;&lt;last-updated-date format="utc"&gt;1677725365&lt;/last-updated-date&gt;&lt;accession-num&gt;WOS:A1994MN48800022&lt;/accession-num&gt;&lt;electronic-resource-num&gt;10.1128/iai.62.1.152-161.1994&lt;/electronic-resource-num&gt;&lt;volume&gt;62&lt;/volume&gt;&lt;/record&gt;&lt;/Cite&gt;&lt;/EndNote&gt;</w:instrText>
      </w:r>
      <w:r w:rsidRPr="008C7F4E">
        <w:rPr>
          <w:rFonts w:ascii="Times New Roman" w:hAnsi="Times New Roman" w:cs="Times New Roman"/>
          <w:b/>
          <w:bCs/>
        </w:rPr>
        <w:fldChar w:fldCharType="separate"/>
      </w:r>
      <w:r w:rsidRPr="008C7F4E">
        <w:rPr>
          <w:rFonts w:ascii="Times New Roman" w:hAnsi="Times New Roman" w:cs="Times New Roman"/>
          <w:b/>
          <w:bCs/>
          <w:noProof/>
        </w:rPr>
        <w:t>(Patti</w:t>
      </w:r>
      <w:r w:rsidRPr="008C7F4E">
        <w:rPr>
          <w:rFonts w:ascii="Times New Roman" w:hAnsi="Times New Roman" w:cs="Times New Roman"/>
          <w:b/>
          <w:bCs/>
          <w:i/>
          <w:noProof/>
        </w:rPr>
        <w:t xml:space="preserve"> et al.</w:t>
      </w:r>
      <w:r w:rsidRPr="008C7F4E">
        <w:rPr>
          <w:rFonts w:ascii="Times New Roman" w:hAnsi="Times New Roman" w:cs="Times New Roman"/>
          <w:b/>
          <w:bCs/>
          <w:noProof/>
        </w:rPr>
        <w:t>, 1994)</w:t>
      </w:r>
      <w:r w:rsidRPr="008C7F4E">
        <w:rPr>
          <w:rFonts w:ascii="Times New Roman" w:hAnsi="Times New Roman" w:cs="Times New Roman"/>
          <w:b/>
          <w:bCs/>
        </w:rPr>
        <w:fldChar w:fldCharType="end"/>
      </w:r>
      <w:r>
        <w:rPr>
          <w:rFonts w:ascii="Times New Roman" w:hAnsi="Times New Roman" w:cs="Times New Roman"/>
        </w:rPr>
        <w:t>.  Staphylococcal protein A (</w:t>
      </w:r>
      <w:r>
        <w:rPr>
          <w:rFonts w:ascii="Times New Roman" w:hAnsi="Times New Roman" w:cs="Times New Roman"/>
          <w:i/>
          <w:iCs/>
        </w:rPr>
        <w:t>spa</w:t>
      </w:r>
      <w:r>
        <w:rPr>
          <w:rFonts w:ascii="Times New Roman" w:hAnsi="Times New Roman" w:cs="Times New Roman"/>
        </w:rPr>
        <w:t xml:space="preserve">) is the only CWA member of the three-helical bundle family that binds to the Fc region of IgG and blocks IgG hexamerisation and thus complement activation </w:t>
      </w:r>
      <w:r w:rsidRPr="00BB113E">
        <w:rPr>
          <w:rFonts w:ascii="Times New Roman" w:hAnsi="Times New Roman" w:cs="Times New Roman"/>
          <w:b/>
          <w:bCs/>
        </w:rPr>
        <w:fldChar w:fldCharType="begin"/>
      </w:r>
      <w:r w:rsidRPr="00BB113E">
        <w:rPr>
          <w:rFonts w:ascii="Times New Roman" w:hAnsi="Times New Roman" w:cs="Times New Roman"/>
          <w:b/>
          <w:bCs/>
        </w:rPr>
        <w:instrText xml:space="preserve"> ADDIN EN.CITE &lt;EndNote&gt;&lt;Cite&gt;&lt;Author&gt;Cruz&lt;/Author&gt;&lt;Year&gt;2021&lt;/Year&gt;&lt;IDText&gt;Staphylococcal protein A inhibits complement activation by interfering with IgG hexamer formation&lt;/IDText&gt;&lt;DisplayText&gt;(Cruz&lt;style face="italic"&gt; et al.&lt;/style&gt;, 2021)&lt;/DisplayText&gt;&lt;record&gt;&lt;dates&gt;&lt;pub-dates&gt;&lt;date&gt;Feb&lt;/date&gt;&lt;/pub-dates&gt;&lt;year&gt;2021&lt;/year&gt;&lt;/dates&gt;&lt;urls&gt;&lt;related-urls&gt;&lt;url&gt;&amp;lt;Go to ISI&amp;gt;://WOS:000621748600032&lt;/url&gt;&lt;/related-urls&gt;&lt;/urls&gt;&lt;isbn&gt;0027-8424&lt;/isbn&gt;&lt;titles&gt;&lt;title&gt;Staphylococcal protein A inhibits complement activation by interfering with IgG hexamer formation&lt;/title&gt;&lt;secondary-title&gt;Proceedings of the National Academy of Sciences of the United States of America&lt;/secondary-title&gt;&lt;/titles&gt;&lt;number&gt;7&lt;/number&gt;&lt;contributors&gt;&lt;authors&gt;&lt;author&gt;Cruz, A. R.&lt;/author&gt;&lt;author&gt;den Boer, M. A.&lt;/author&gt;&lt;author&gt;Strasser, J.&lt;/author&gt;&lt;author&gt;Zwarthoff, S. A.&lt;/author&gt;&lt;author&gt;Beurskens, F. J.&lt;/author&gt;&lt;author&gt;de Haas, C. J. C.&lt;/author&gt;&lt;author&gt;Aerts, P. C.&lt;/author&gt;&lt;author&gt;Wang, G. B.&lt;/author&gt;&lt;author&gt;de Jong, R. N.&lt;/author&gt;&lt;author&gt;Bagnoli, F.&lt;/author&gt;&lt;author&gt;van Strijp, J. A. G.&lt;/author&gt;&lt;author&gt;van Kessel, K. P. M.&lt;/author&gt;&lt;author&gt;Schuurman, J.&lt;/author&gt;&lt;author&gt;Preiner, J.&lt;/author&gt;&lt;author&gt;Heck, A. J. R.&lt;/author&gt;&lt;author&gt;Rooijakkers, S. H. M.&lt;/author&gt;&lt;/authors&gt;&lt;/contributors&gt;&lt;custom7&gt;e2016772118&lt;/custom7&gt;&lt;added-date format="utc"&gt;1677645838&lt;/added-date&gt;&lt;ref-type name="Journal Article"&gt;17&lt;/ref-type&gt;&lt;rec-number&gt;612&lt;/rec-number&gt;&lt;last-updated-date format="utc"&gt;1677645838&lt;/last-updated-date&gt;&lt;accession-num&gt;WOS:000621748600032&lt;/accession-num&gt;&lt;electronic-resource-num&gt;10.1073/pnas.2016772118&lt;/electronic-resource-num&gt;&lt;volume&gt;118&lt;/volume&gt;&lt;/record&gt;&lt;/Cite&gt;&lt;/EndNote&gt;</w:instrText>
      </w:r>
      <w:r w:rsidRPr="00BB113E">
        <w:rPr>
          <w:rFonts w:ascii="Times New Roman" w:hAnsi="Times New Roman" w:cs="Times New Roman"/>
          <w:b/>
          <w:bCs/>
        </w:rPr>
        <w:fldChar w:fldCharType="separate"/>
      </w:r>
      <w:r w:rsidRPr="00BB113E">
        <w:rPr>
          <w:rFonts w:ascii="Times New Roman" w:hAnsi="Times New Roman" w:cs="Times New Roman"/>
          <w:b/>
          <w:bCs/>
          <w:noProof/>
        </w:rPr>
        <w:t>(Cruz</w:t>
      </w:r>
      <w:r w:rsidRPr="00BB113E">
        <w:rPr>
          <w:rFonts w:ascii="Times New Roman" w:hAnsi="Times New Roman" w:cs="Times New Roman"/>
          <w:b/>
          <w:bCs/>
          <w:i/>
          <w:noProof/>
        </w:rPr>
        <w:t xml:space="preserve"> et al.</w:t>
      </w:r>
      <w:r w:rsidRPr="00BB113E">
        <w:rPr>
          <w:rFonts w:ascii="Times New Roman" w:hAnsi="Times New Roman" w:cs="Times New Roman"/>
          <w:b/>
          <w:bCs/>
          <w:noProof/>
        </w:rPr>
        <w:t xml:space="preserve">, </w:t>
      </w:r>
      <w:r w:rsidRPr="00BB113E">
        <w:rPr>
          <w:rFonts w:ascii="Times New Roman" w:hAnsi="Times New Roman" w:cs="Times New Roman"/>
          <w:b/>
          <w:bCs/>
          <w:noProof/>
        </w:rPr>
        <w:lastRenderedPageBreak/>
        <w:t>2021)</w:t>
      </w:r>
      <w:r w:rsidRPr="00BB113E">
        <w:rPr>
          <w:rFonts w:ascii="Times New Roman" w:hAnsi="Times New Roman" w:cs="Times New Roman"/>
          <w:b/>
          <w:bCs/>
        </w:rPr>
        <w:fldChar w:fldCharType="end"/>
      </w:r>
      <w:r>
        <w:rPr>
          <w:rFonts w:ascii="Times New Roman" w:hAnsi="Times New Roman" w:cs="Times New Roman"/>
        </w:rPr>
        <w:t xml:space="preserve">, implicating </w:t>
      </w:r>
      <w:r>
        <w:rPr>
          <w:rFonts w:ascii="Times New Roman" w:hAnsi="Times New Roman" w:cs="Times New Roman"/>
          <w:i/>
          <w:iCs/>
        </w:rPr>
        <w:t xml:space="preserve">spa </w:t>
      </w:r>
      <w:r>
        <w:rPr>
          <w:rFonts w:ascii="Times New Roman" w:hAnsi="Times New Roman" w:cs="Times New Roman"/>
        </w:rPr>
        <w:t xml:space="preserve">in immune evasion. The </w:t>
      </w:r>
      <w:r w:rsidRPr="00BB113E">
        <w:rPr>
          <w:rFonts w:ascii="Times New Roman" w:hAnsi="Times New Roman" w:cs="Times New Roman"/>
          <w:i/>
          <w:iCs/>
        </w:rPr>
        <w:t>S. aureus </w:t>
      </w:r>
      <w:r w:rsidRPr="00BB113E">
        <w:rPr>
          <w:rFonts w:ascii="Times New Roman" w:hAnsi="Times New Roman" w:cs="Times New Roman"/>
        </w:rPr>
        <w:t>binder of IgG (Sbi)</w:t>
      </w:r>
      <w:r>
        <w:rPr>
          <w:rFonts w:ascii="Times New Roman" w:hAnsi="Times New Roman" w:cs="Times New Roman"/>
        </w:rPr>
        <w:t xml:space="preserve"> </w:t>
      </w:r>
      <w:r w:rsidRPr="00BB113E">
        <w:rPr>
          <w:rFonts w:ascii="Times New Roman" w:hAnsi="Times New Roman" w:cs="Times New Roman"/>
        </w:rPr>
        <w:t>protein</w:t>
      </w:r>
      <w:r>
        <w:rPr>
          <w:rFonts w:ascii="Times New Roman" w:hAnsi="Times New Roman" w:cs="Times New Roman"/>
        </w:rPr>
        <w:t>,</w:t>
      </w:r>
      <w:r w:rsidRPr="00BB113E">
        <w:rPr>
          <w:rFonts w:ascii="Times New Roman" w:hAnsi="Times New Roman" w:cs="Times New Roman"/>
        </w:rPr>
        <w:t xml:space="preserve"> </w:t>
      </w:r>
      <w:r>
        <w:rPr>
          <w:rFonts w:ascii="Times New Roman" w:hAnsi="Times New Roman" w:cs="Times New Roman"/>
        </w:rPr>
        <w:t xml:space="preserve">which is non-covalently linked to lipoteichoic acids (LTA), is also involved in immune evasion by binding to IgG </w:t>
      </w:r>
      <w:r w:rsidRPr="00F72A92">
        <w:rPr>
          <w:rFonts w:ascii="Times New Roman" w:hAnsi="Times New Roman" w:cs="Times New Roman"/>
          <w:b/>
          <w:bCs/>
        </w:rPr>
        <w:fldChar w:fldCharType="begin"/>
      </w:r>
      <w:r w:rsidRPr="00F72A92">
        <w:rPr>
          <w:rFonts w:ascii="Times New Roman" w:hAnsi="Times New Roman" w:cs="Times New Roman"/>
          <w:b/>
          <w:bCs/>
        </w:rPr>
        <w:instrText xml:space="preserve"> ADDIN EN.CITE &lt;EndNote&gt;&lt;Cite&gt;&lt;Author&gt;Smith&lt;/Author&gt;&lt;Year&gt;2012&lt;/Year&gt;&lt;IDText&gt;The immune evasion protein Sbi of Staphylococcus aureus occurs both extracellularly and anchored to the cell envelope by binding lipoteichoic acid&lt;/IDText&gt;&lt;DisplayText&gt;(Smith&lt;style face="italic"&gt; et al.&lt;/style&gt;, 2012)&lt;/DisplayText&gt;&lt;record&gt;&lt;dates&gt;&lt;pub-dates&gt;&lt;date&gt;Feb&lt;/date&gt;&lt;/pub-dates&gt;&lt;year&gt;2012&lt;/year&gt;&lt;/dates&gt;&lt;urls&gt;&lt;related-urls&gt;&lt;url&gt;&amp;lt;Go to ISI&amp;gt;://WOS:000299779200010&lt;/url&gt;&lt;/related-urls&gt;&lt;/urls&gt;&lt;isbn&gt;0950-382X&lt;/isbn&gt;&lt;titles&gt;&lt;title&gt;The immune evasion protein Sbi of Staphylococcus aureus occurs both extracellularly and anchored to the cell envelope by binding lipoteichoic acid&lt;/title&gt;&lt;secondary-title&gt;Molecular Microbiology&lt;/secondary-title&gt;&lt;/titles&gt;&lt;pages&gt;789-804&lt;/pages&gt;&lt;number&gt;4&lt;/number&gt;&lt;contributors&gt;&lt;authors&gt;&lt;author&gt;Smith, E. J.&lt;/author&gt;&lt;author&gt;Corrigan, R. M.&lt;/author&gt;&lt;author&gt;van der Sluis, T.&lt;/author&gt;&lt;author&gt;Grundling, A.&lt;/author&gt;&lt;author&gt;Speziale, P.&lt;/author&gt;&lt;author&gt;Geoghegan, J. A.&lt;/author&gt;&lt;author&gt;Foster, T. J.&lt;/author&gt;&lt;/authors&gt;&lt;/contributors&gt;&lt;added-date format="utc"&gt;1677646565&lt;/added-date&gt;&lt;ref-type name="Journal Article"&gt;17&lt;/ref-type&gt;&lt;rec-number&gt;613&lt;/rec-number&gt;&lt;last-updated-date format="utc"&gt;1677646565&lt;/last-updated-date&gt;&lt;accession-num&gt;WOS:000299779200010&lt;/accession-num&gt;&lt;electronic-resource-num&gt;10.1111/j.1365-2958.2011.07966.x&lt;/electronic-resource-num&gt;&lt;volume&gt;83&lt;/volume&gt;&lt;/record&gt;&lt;/Cite&gt;&lt;/EndNote&gt;</w:instrText>
      </w:r>
      <w:r w:rsidRPr="00F72A92">
        <w:rPr>
          <w:rFonts w:ascii="Times New Roman" w:hAnsi="Times New Roman" w:cs="Times New Roman"/>
          <w:b/>
          <w:bCs/>
        </w:rPr>
        <w:fldChar w:fldCharType="separate"/>
      </w:r>
      <w:r w:rsidRPr="00F72A92">
        <w:rPr>
          <w:rFonts w:ascii="Times New Roman" w:hAnsi="Times New Roman" w:cs="Times New Roman"/>
          <w:b/>
          <w:bCs/>
          <w:noProof/>
        </w:rPr>
        <w:t>(Smith</w:t>
      </w:r>
      <w:r w:rsidRPr="00F72A92">
        <w:rPr>
          <w:rFonts w:ascii="Times New Roman" w:hAnsi="Times New Roman" w:cs="Times New Roman"/>
          <w:b/>
          <w:bCs/>
          <w:i/>
          <w:noProof/>
        </w:rPr>
        <w:t xml:space="preserve"> et al.</w:t>
      </w:r>
      <w:r w:rsidRPr="00F72A92">
        <w:rPr>
          <w:rFonts w:ascii="Times New Roman" w:hAnsi="Times New Roman" w:cs="Times New Roman"/>
          <w:b/>
          <w:bCs/>
          <w:noProof/>
        </w:rPr>
        <w:t>, 2012)</w:t>
      </w:r>
      <w:r w:rsidRPr="00F72A92">
        <w:rPr>
          <w:rFonts w:ascii="Times New Roman" w:hAnsi="Times New Roman" w:cs="Times New Roman"/>
          <w:b/>
          <w:bCs/>
        </w:rPr>
        <w:fldChar w:fldCharType="end"/>
      </w:r>
      <w:r>
        <w:rPr>
          <w:rFonts w:ascii="Times New Roman" w:hAnsi="Times New Roman" w:cs="Times New Roman"/>
        </w:rPr>
        <w:t>. The Isd proteins of the NEAT motif family are involved in iron acquisition by binding to haem and have also been involved in invasion of epithelial cells by binding to β</w:t>
      </w:r>
      <w:r>
        <w:rPr>
          <w:rFonts w:ascii="Times New Roman" w:hAnsi="Times New Roman" w:cs="Times New Roman"/>
          <w:vertAlign w:val="subscript"/>
        </w:rPr>
        <w:t>3</w:t>
      </w:r>
      <w:r>
        <w:rPr>
          <w:rFonts w:ascii="Times New Roman" w:hAnsi="Times New Roman" w:cs="Times New Roman"/>
        </w:rPr>
        <w:t xml:space="preserve"> integrins </w:t>
      </w:r>
      <w:r w:rsidRPr="00086874">
        <w:rPr>
          <w:rFonts w:ascii="Times New Roman" w:hAnsi="Times New Roman" w:cs="Times New Roman"/>
          <w:b/>
          <w:bCs/>
        </w:rPr>
        <w:fldChar w:fldCharType="begin">
          <w:fldData xml:space="preserve">PEVuZE5vdGU+PENpdGU+PEF1dGhvcj5QaWxwYTwvQXV0aG9yPjxZZWFyPjIwMDk8L1llYXI+PElE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</w:fldData>
        </w:fldChar>
      </w:r>
      <w:r w:rsidRPr="00086874">
        <w:rPr>
          <w:rFonts w:ascii="Times New Roman" w:hAnsi="Times New Roman" w:cs="Times New Roman"/>
          <w:b/>
          <w:bCs/>
        </w:rPr>
        <w:instrText xml:space="preserve"> ADDIN EN.CITE </w:instrText>
      </w:r>
      <w:r w:rsidRPr="00086874">
        <w:rPr>
          <w:rFonts w:ascii="Times New Roman" w:hAnsi="Times New Roman" w:cs="Times New Roman"/>
          <w:b/>
          <w:bCs/>
        </w:rPr>
        <w:fldChar w:fldCharType="begin">
          <w:fldData xml:space="preserve">PEVuZE5vdGU+PENpdGU+PEF1dGhvcj5QaWxwYTwvQXV0aG9yPjxZZWFyPjIwMDk8L1llYXI+PElE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</w:fldData>
        </w:fldChar>
      </w:r>
      <w:r w:rsidRPr="00086874">
        <w:rPr>
          <w:rFonts w:ascii="Times New Roman" w:hAnsi="Times New Roman" w:cs="Times New Roman"/>
          <w:b/>
          <w:bCs/>
        </w:rPr>
        <w:instrText xml:space="preserve"> ADDIN EN.CITE.DATA </w:instrText>
      </w:r>
      <w:r w:rsidRPr="00086874">
        <w:rPr>
          <w:rFonts w:ascii="Times New Roman" w:hAnsi="Times New Roman" w:cs="Times New Roman"/>
          <w:b/>
          <w:bCs/>
        </w:rPr>
      </w:r>
      <w:r w:rsidRPr="00086874">
        <w:rPr>
          <w:rFonts w:ascii="Times New Roman" w:hAnsi="Times New Roman" w:cs="Times New Roman"/>
          <w:b/>
          <w:bCs/>
        </w:rPr>
        <w:fldChar w:fldCharType="end"/>
      </w:r>
      <w:r w:rsidRPr="00086874">
        <w:rPr>
          <w:rFonts w:ascii="Times New Roman" w:hAnsi="Times New Roman" w:cs="Times New Roman"/>
          <w:b/>
          <w:bCs/>
        </w:rPr>
      </w:r>
      <w:r w:rsidRPr="00086874">
        <w:rPr>
          <w:rFonts w:ascii="Times New Roman" w:hAnsi="Times New Roman" w:cs="Times New Roman"/>
          <w:b/>
          <w:bCs/>
        </w:rPr>
        <w:fldChar w:fldCharType="separate"/>
      </w:r>
      <w:r w:rsidRPr="00086874">
        <w:rPr>
          <w:rFonts w:ascii="Times New Roman" w:hAnsi="Times New Roman" w:cs="Times New Roman"/>
          <w:b/>
          <w:bCs/>
          <w:noProof/>
        </w:rPr>
        <w:t>(Pilpa</w:t>
      </w:r>
      <w:r w:rsidRPr="00086874">
        <w:rPr>
          <w:rFonts w:ascii="Times New Roman" w:hAnsi="Times New Roman" w:cs="Times New Roman"/>
          <w:b/>
          <w:bCs/>
          <w:i/>
          <w:noProof/>
        </w:rPr>
        <w:t xml:space="preserve"> et al.</w:t>
      </w:r>
      <w:r w:rsidRPr="00086874">
        <w:rPr>
          <w:rFonts w:ascii="Times New Roman" w:hAnsi="Times New Roman" w:cs="Times New Roman"/>
          <w:b/>
          <w:bCs/>
          <w:noProof/>
        </w:rPr>
        <w:t>, 2009; Zapotoczna</w:t>
      </w:r>
      <w:r w:rsidRPr="00086874">
        <w:rPr>
          <w:rFonts w:ascii="Times New Roman" w:hAnsi="Times New Roman" w:cs="Times New Roman"/>
          <w:b/>
          <w:bCs/>
          <w:i/>
          <w:noProof/>
        </w:rPr>
        <w:t xml:space="preserve"> et al.</w:t>
      </w:r>
      <w:r w:rsidRPr="00086874">
        <w:rPr>
          <w:rFonts w:ascii="Times New Roman" w:hAnsi="Times New Roman" w:cs="Times New Roman"/>
          <w:b/>
          <w:bCs/>
          <w:noProof/>
        </w:rPr>
        <w:t>, 2013)</w:t>
      </w:r>
      <w:r w:rsidRPr="00086874">
        <w:rPr>
          <w:rFonts w:ascii="Times New Roman" w:hAnsi="Times New Roman" w:cs="Times New Roman"/>
          <w:b/>
          <w:bCs/>
        </w:rPr>
        <w:fldChar w:fldCharType="end"/>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33564" w14:paraId="1ACA55C4" w14:textId="77777777" w:rsidTr="00A74445">
        <w:tc>
          <w:tcPr>
            <w:tcW w:w="9016" w:type="dxa"/>
          </w:tcPr>
          <w:p w14:paraId="6B3CE92D" w14:textId="77777777" w:rsidR="00033564" w:rsidRDefault="00033564" w:rsidP="00A74445">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575D5281" wp14:editId="3232FA80">
                  <wp:extent cx="5478779" cy="7774174"/>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250" cy="7791870"/>
                          </a:xfrm>
                          <a:prstGeom prst="rect">
                            <a:avLst/>
                          </a:prstGeom>
                          <a:noFill/>
                        </pic:spPr>
                      </pic:pic>
                    </a:graphicData>
                  </a:graphic>
                </wp:inline>
              </w:drawing>
            </w:r>
          </w:p>
        </w:tc>
      </w:tr>
      <w:tr w:rsidR="00033564" w14:paraId="328B19F0" w14:textId="77777777" w:rsidTr="00A74445">
        <w:tc>
          <w:tcPr>
            <w:tcW w:w="9016" w:type="dxa"/>
          </w:tcPr>
          <w:p w14:paraId="5F4901C4" w14:textId="1BE091CA" w:rsidR="00033564" w:rsidRPr="0024699F" w:rsidRDefault="00033564" w:rsidP="00A74445">
            <w:pPr>
              <w:jc w:val="both"/>
              <w:rPr>
                <w:rFonts w:ascii="Times New Roman" w:hAnsi="Times New Roman" w:cs="Times New Roman"/>
                <w:sz w:val="18"/>
                <w:szCs w:val="18"/>
              </w:rPr>
            </w:pPr>
            <w:r w:rsidRPr="0024699F">
              <w:rPr>
                <w:rFonts w:ascii="Times New Roman" w:hAnsi="Times New Roman" w:cs="Times New Roman"/>
                <w:b/>
                <w:bCs/>
                <w:sz w:val="18"/>
                <w:szCs w:val="18"/>
              </w:rPr>
              <w:t xml:space="preserve">Figure 1.1.3. The </w:t>
            </w:r>
            <w:r w:rsidRPr="0024699F">
              <w:rPr>
                <w:rFonts w:ascii="Times New Roman" w:hAnsi="Times New Roman" w:cs="Times New Roman"/>
                <w:b/>
                <w:bCs/>
                <w:i/>
                <w:iCs/>
                <w:sz w:val="18"/>
                <w:szCs w:val="18"/>
              </w:rPr>
              <w:t xml:space="preserve">S. aureus </w:t>
            </w:r>
            <w:r w:rsidRPr="0024699F">
              <w:rPr>
                <w:rFonts w:ascii="Times New Roman" w:hAnsi="Times New Roman" w:cs="Times New Roman"/>
                <w:b/>
                <w:bCs/>
                <w:sz w:val="18"/>
                <w:szCs w:val="18"/>
              </w:rPr>
              <w:t xml:space="preserve">virulence factors. a) </w:t>
            </w:r>
            <w:r w:rsidRPr="0024699F">
              <w:rPr>
                <w:rFonts w:ascii="Times New Roman" w:hAnsi="Times New Roman" w:cs="Times New Roman"/>
                <w:i/>
                <w:iCs/>
                <w:sz w:val="18"/>
                <w:szCs w:val="18"/>
              </w:rPr>
              <w:t>S. aureus</w:t>
            </w:r>
            <w:r w:rsidRPr="0024699F">
              <w:rPr>
                <w:rFonts w:ascii="Times New Roman" w:hAnsi="Times New Roman" w:cs="Times New Roman"/>
                <w:sz w:val="18"/>
                <w:szCs w:val="18"/>
              </w:rPr>
              <w:t xml:space="preserve"> use CWA proteins ClfA/B, FnBPA/B and Cna to facilitate adhesion to host factors such as fibrinogen, fibronectin and collagen respectively in order to establish infection. Isd, an iron acquisition protein will scavenge iron from haem. F</w:t>
            </w:r>
            <w:r w:rsidR="00E315F1">
              <w:rPr>
                <w:rFonts w:ascii="Times New Roman" w:hAnsi="Times New Roman" w:cs="Times New Roman"/>
                <w:sz w:val="18"/>
                <w:szCs w:val="18"/>
              </w:rPr>
              <w:t>nBPA/B</w:t>
            </w:r>
            <w:r w:rsidRPr="0024699F">
              <w:rPr>
                <w:rFonts w:ascii="Times New Roman" w:hAnsi="Times New Roman" w:cs="Times New Roman"/>
                <w:sz w:val="18"/>
                <w:szCs w:val="18"/>
              </w:rPr>
              <w:t xml:space="preserve">and Isd have also been implicated in immune cell invasion </w:t>
            </w:r>
            <w:r w:rsidR="00E315F1">
              <w:rPr>
                <w:rFonts w:ascii="Times New Roman" w:hAnsi="Times New Roman" w:cs="Times New Roman"/>
                <w:sz w:val="18"/>
                <w:szCs w:val="18"/>
              </w:rPr>
              <w:t>and are</w:t>
            </w:r>
            <w:r w:rsidRPr="0024699F">
              <w:rPr>
                <w:rFonts w:ascii="Times New Roman" w:hAnsi="Times New Roman" w:cs="Times New Roman"/>
                <w:sz w:val="18"/>
                <w:szCs w:val="18"/>
              </w:rPr>
              <w:t xml:space="preserve"> represented by the green arrows. Protein A and Sbi are IgG binding proteins and thus contribute to immune evasion. CWA proteins are outlined in light blue. </w:t>
            </w:r>
            <w:r w:rsidRPr="0024699F">
              <w:rPr>
                <w:rFonts w:ascii="Times New Roman" w:hAnsi="Times New Roman" w:cs="Times New Roman"/>
                <w:b/>
                <w:bCs/>
                <w:sz w:val="18"/>
                <w:szCs w:val="18"/>
              </w:rPr>
              <w:t xml:space="preserve">b) </w:t>
            </w:r>
            <w:r w:rsidRPr="0024699F">
              <w:rPr>
                <w:rFonts w:ascii="Times New Roman" w:hAnsi="Times New Roman" w:cs="Times New Roman"/>
                <w:sz w:val="18"/>
                <w:szCs w:val="18"/>
              </w:rPr>
              <w:t xml:space="preserve">The secreted protein Efb is secreted when </w:t>
            </w:r>
            <w:r w:rsidRPr="0024699F">
              <w:rPr>
                <w:rFonts w:ascii="Times New Roman" w:hAnsi="Times New Roman" w:cs="Times New Roman"/>
                <w:i/>
                <w:iCs/>
                <w:sz w:val="18"/>
                <w:szCs w:val="18"/>
              </w:rPr>
              <w:t>S. aureus</w:t>
            </w:r>
            <w:r w:rsidRPr="0024699F">
              <w:rPr>
                <w:rFonts w:ascii="Times New Roman" w:hAnsi="Times New Roman" w:cs="Times New Roman"/>
                <w:sz w:val="18"/>
                <w:szCs w:val="18"/>
              </w:rPr>
              <w:t xml:space="preserve"> is intracellular and inhibits C3b. CHIPS prevents chemotaxis by interacting with the C5aR and FPR. SCIN inhibits C3 convertase which prevents all three complement cascades, thus preventing opsonisation and the formation of the membrane attack complex (MAC). Eap </w:t>
            </w:r>
            <w:r w:rsidRPr="0024699F">
              <w:rPr>
                <w:rFonts w:ascii="Times New Roman" w:hAnsi="Times New Roman" w:cs="Times New Roman"/>
                <w:sz w:val="18"/>
                <w:szCs w:val="18"/>
              </w:rPr>
              <w:lastRenderedPageBreak/>
              <w:t>inhibits the</w:t>
            </w:r>
            <w:r w:rsidR="00B17F15">
              <w:rPr>
                <w:rFonts w:ascii="Times New Roman" w:hAnsi="Times New Roman" w:cs="Times New Roman"/>
                <w:sz w:val="18"/>
                <w:szCs w:val="18"/>
              </w:rPr>
              <w:t xml:space="preserve"> </w:t>
            </w:r>
            <w:r w:rsidRPr="0024699F">
              <w:rPr>
                <w:rFonts w:ascii="Times New Roman" w:hAnsi="Times New Roman" w:cs="Times New Roman"/>
                <w:sz w:val="18"/>
                <w:szCs w:val="18"/>
              </w:rPr>
              <w:t>NS</w:t>
            </w:r>
            <w:r w:rsidR="00B17F15">
              <w:rPr>
                <w:rFonts w:ascii="Times New Roman" w:hAnsi="Times New Roman" w:cs="Times New Roman"/>
                <w:sz w:val="18"/>
                <w:szCs w:val="18"/>
              </w:rPr>
              <w:t>P</w:t>
            </w:r>
            <w:r w:rsidRPr="0024699F">
              <w:rPr>
                <w:rFonts w:ascii="Times New Roman" w:hAnsi="Times New Roman" w:cs="Times New Roman"/>
                <w:sz w:val="18"/>
                <w:szCs w:val="18"/>
              </w:rPr>
              <w:t xml:space="preserve"> and SPIN inhibits MPO. Both MPO and NSP are components of azurophilic granules</w:t>
            </w:r>
            <w:r w:rsidR="00B17F15">
              <w:rPr>
                <w:rFonts w:ascii="Times New Roman" w:hAnsi="Times New Roman" w:cs="Times New Roman"/>
                <w:sz w:val="18"/>
                <w:szCs w:val="18"/>
              </w:rPr>
              <w:t xml:space="preserve"> found in neutrophils</w:t>
            </w:r>
            <w:r w:rsidRPr="0024699F">
              <w:rPr>
                <w:rFonts w:ascii="Times New Roman" w:hAnsi="Times New Roman" w:cs="Times New Roman"/>
                <w:sz w:val="18"/>
                <w:szCs w:val="18"/>
              </w:rPr>
              <w:t xml:space="preserve">. Secreted proteins except for the toxins are outlined in red. </w:t>
            </w:r>
            <w:r w:rsidRPr="0024699F">
              <w:rPr>
                <w:rFonts w:ascii="Times New Roman" w:hAnsi="Times New Roman" w:cs="Times New Roman"/>
                <w:b/>
                <w:bCs/>
                <w:sz w:val="18"/>
                <w:szCs w:val="18"/>
              </w:rPr>
              <w:t>c)</w:t>
            </w:r>
            <w:r w:rsidRPr="0024699F">
              <w:rPr>
                <w:rFonts w:ascii="Times New Roman" w:hAnsi="Times New Roman" w:cs="Times New Roman"/>
                <w:sz w:val="18"/>
                <w:szCs w:val="18"/>
              </w:rPr>
              <w:t xml:space="preserve"> The exfoliative toxin ETA/B inhibits desmoglein-1 which leads to breakdown of the skin layers. The α-toxin, PSMs, LukAB and PVL function by forming pores in the host cell membrane, thus causing cell lysis. </w:t>
            </w:r>
            <w:r w:rsidR="00B17F15">
              <w:rPr>
                <w:rFonts w:ascii="Times New Roman" w:hAnsi="Times New Roman" w:cs="Times New Roman"/>
                <w:sz w:val="18"/>
                <w:szCs w:val="18"/>
              </w:rPr>
              <w:t>T</w:t>
            </w:r>
            <w:r w:rsidRPr="0024699F">
              <w:rPr>
                <w:rFonts w:ascii="Times New Roman" w:hAnsi="Times New Roman" w:cs="Times New Roman"/>
                <w:sz w:val="18"/>
                <w:szCs w:val="18"/>
              </w:rPr>
              <w:t xml:space="preserve">he TSST superantigen crosslinks the TCR on T cells with MHCII on dendritic cells, leading to a cytokine storm. Toxins are outlined in purple. </w:t>
            </w:r>
            <w:r w:rsidRPr="0024699F">
              <w:rPr>
                <w:rFonts w:ascii="Times New Roman" w:hAnsi="Times New Roman" w:cs="Times New Roman"/>
                <w:b/>
                <w:bCs/>
                <w:sz w:val="18"/>
                <w:szCs w:val="18"/>
              </w:rPr>
              <w:t xml:space="preserve">d) </w:t>
            </w:r>
            <w:r w:rsidRPr="0024699F">
              <w:rPr>
                <w:rFonts w:ascii="Times New Roman" w:hAnsi="Times New Roman" w:cs="Times New Roman"/>
                <w:sz w:val="18"/>
                <w:szCs w:val="18"/>
              </w:rPr>
              <w:t xml:space="preserve">Biofilm formation requires adhesins for establishment. FnBPA/B are upregulated by SarA and are necessary for initial adhesion along with Bap. Cell-cell contact within biofilms is mediated by SasG and Bap. </w:t>
            </w:r>
          </w:p>
          <w:p w14:paraId="0ED59393" w14:textId="77777777" w:rsidR="00033564" w:rsidRPr="00C7683D" w:rsidRDefault="00033564" w:rsidP="00A74445">
            <w:pPr>
              <w:jc w:val="both"/>
              <w:rPr>
                <w:rFonts w:ascii="Times New Roman" w:hAnsi="Times New Roman" w:cs="Times New Roman"/>
                <w:sz w:val="18"/>
                <w:szCs w:val="18"/>
              </w:rPr>
            </w:pPr>
          </w:p>
        </w:tc>
      </w:tr>
    </w:tbl>
    <w:p w14:paraId="1D6ED41F" w14:textId="77777777" w:rsidR="00033564" w:rsidRDefault="00033564" w:rsidP="00033564">
      <w:pPr>
        <w:pStyle w:val="Heading4"/>
      </w:pPr>
      <w:r w:rsidRPr="006853E8">
        <w:lastRenderedPageBreak/>
        <w:t xml:space="preserve">1.1.3.2. </w:t>
      </w:r>
      <w:r>
        <w:t>Secreted proteins and toxins</w:t>
      </w:r>
    </w:p>
    <w:p w14:paraId="3FCC6B20" w14:textId="77777777" w:rsidR="00033564" w:rsidRDefault="00033564" w:rsidP="00033564"/>
    <w:p w14:paraId="20367781" w14:textId="48E3AA54" w:rsidR="00033564" w:rsidRDefault="00033564" w:rsidP="00033564">
      <w:pPr>
        <w:spacing w:line="360" w:lineRule="auto"/>
        <w:jc w:val="both"/>
        <w:rPr>
          <w:rFonts w:ascii="Times New Roman" w:hAnsi="Times New Roman" w:cs="Times New Roman"/>
          <w:b/>
          <w:bCs/>
        </w:rPr>
      </w:pPr>
      <w:r w:rsidRPr="009D2633">
        <w:rPr>
          <w:rFonts w:ascii="Times New Roman" w:hAnsi="Times New Roman" w:cs="Times New Roman"/>
          <w:i/>
          <w:iCs/>
        </w:rPr>
        <w:t xml:space="preserve">S. </w:t>
      </w:r>
      <w:r>
        <w:rPr>
          <w:rFonts w:ascii="Times New Roman" w:hAnsi="Times New Roman" w:cs="Times New Roman"/>
          <w:i/>
          <w:iCs/>
        </w:rPr>
        <w:t xml:space="preserve">aureus </w:t>
      </w:r>
      <w:r>
        <w:rPr>
          <w:rFonts w:ascii="Times New Roman" w:hAnsi="Times New Roman" w:cs="Times New Roman"/>
        </w:rPr>
        <w:t xml:space="preserve">also secretes many proteins that act locally of the bacterial colonisation site, and contribute to immune evasion as well as virulence and pathogenesis, enabling </w:t>
      </w:r>
      <w:r>
        <w:rPr>
          <w:rFonts w:ascii="Times New Roman" w:hAnsi="Times New Roman" w:cs="Times New Roman"/>
          <w:i/>
          <w:iCs/>
        </w:rPr>
        <w:t xml:space="preserve">S. aureus </w:t>
      </w:r>
      <w:r>
        <w:rPr>
          <w:rFonts w:ascii="Times New Roman" w:hAnsi="Times New Roman" w:cs="Times New Roman"/>
        </w:rPr>
        <w:t xml:space="preserve">to thrive both extracellularly and intracellularly. The staphylococcal complement inhibitor (SCIN) is an antiphagocytic molecule, regarded as the most efficient factor at preventing the complement cascade. SCIN targets the C3 convertase, preventing </w:t>
      </w:r>
      <w:r w:rsidR="005674FD">
        <w:rPr>
          <w:rFonts w:ascii="Times New Roman" w:hAnsi="Times New Roman" w:cs="Times New Roman"/>
        </w:rPr>
        <w:t>complement deposition</w:t>
      </w:r>
      <w:r>
        <w:rPr>
          <w:rFonts w:ascii="Times New Roman" w:hAnsi="Times New Roman" w:cs="Times New Roman"/>
        </w:rPr>
        <w:t xml:space="preserve"> by inhibiting the three complement pathways which has resulted in reduced phagocytosis by human neutrophils </w:t>
      </w:r>
      <w:r w:rsidRPr="005827B2">
        <w:rPr>
          <w:rFonts w:ascii="Times New Roman" w:hAnsi="Times New Roman" w:cs="Times New Roman"/>
          <w:b/>
          <w:bCs/>
        </w:rPr>
        <w:fldChar w:fldCharType="begin"/>
      </w:r>
      <w:r w:rsidRPr="005827B2">
        <w:rPr>
          <w:rFonts w:ascii="Times New Roman" w:hAnsi="Times New Roman" w:cs="Times New Roman"/>
          <w:b/>
          <w:bCs/>
        </w:rPr>
        <w:instrText xml:space="preserve"> ADDIN EN.CITE &lt;EndNote&gt;&lt;Cite&gt;&lt;Author&gt;Rooijakkers&lt;/Author&gt;&lt;Year&gt;2005&lt;/Year&gt;&lt;IDText&gt;Immune evasion by a staphylococcal complement inhibitor that acts on C3 convertases&lt;/IDText&gt;&lt;DisplayText&gt;(Rooijakkers&lt;style face="italic"&gt; et al.&lt;/style&gt;, 2005)&lt;/DisplayText&gt;&lt;record&gt;&lt;dates&gt;&lt;pub-dates&gt;&lt;date&gt;Sep&lt;/date&gt;&lt;/pub-dates&gt;&lt;year&gt;2005&lt;/year&gt;&lt;/dates&gt;&lt;urls&gt;&lt;related-urls&gt;&lt;url&gt;&amp;lt;Go to ISI&amp;gt;://WOS:000231369800022&lt;/url&gt;&lt;/related-urls&gt;&lt;/urls&gt;&lt;isbn&gt;1529-2908&lt;/isbn&gt;&lt;titles&gt;&lt;title&gt;Immune evasion by a staphylococcal complement inhibitor that acts on C3 convertases&lt;/title&gt;&lt;secondary-title&gt;Nature Immunology&lt;/secondary-title&gt;&lt;/titles&gt;&lt;pages&gt;920-927&lt;/pages&gt;&lt;number&gt;9&lt;/number&gt;&lt;contributors&gt;&lt;authors&gt;&lt;author&gt;Rooijakkers, S. H. M.&lt;/author&gt;&lt;author&gt;Ruyken, M.&lt;/author&gt;&lt;author&gt;Roos, A.&lt;/author&gt;&lt;author&gt;Daha, M. R.&lt;/author&gt;&lt;author&gt;Presanis, J. S.&lt;/author&gt;&lt;author&gt;Sim, R. B.&lt;/author&gt;&lt;author&gt;van Wamel, W. J. B.&lt;/author&gt;&lt;author&gt;van Kessel, K. P. M.&lt;/author&gt;&lt;author&gt;van Strijp, J. A. G.&lt;/author&gt;&lt;/authors&gt;&lt;/contributors&gt;&lt;added-date format="utc"&gt;1677691611&lt;/added-date&gt;&lt;ref-type name="Journal Article"&gt;17&lt;/ref-type&gt;&lt;rec-number&gt;616&lt;/rec-number&gt;&lt;last-updated-date format="utc"&gt;1677691611&lt;/last-updated-date&gt;&lt;accession-num&gt;WOS:000231369800022&lt;/accession-num&gt;&lt;electronic-resource-num&gt;10.1038/ni1235&lt;/electronic-resource-num&gt;&lt;volume&gt;6&lt;/volume&gt;&lt;/record&gt;&lt;/Cite&gt;&lt;/EndNote&gt;</w:instrText>
      </w:r>
      <w:r w:rsidRPr="005827B2">
        <w:rPr>
          <w:rFonts w:ascii="Times New Roman" w:hAnsi="Times New Roman" w:cs="Times New Roman"/>
          <w:b/>
          <w:bCs/>
        </w:rPr>
        <w:fldChar w:fldCharType="separate"/>
      </w:r>
      <w:r w:rsidRPr="005827B2">
        <w:rPr>
          <w:rFonts w:ascii="Times New Roman" w:hAnsi="Times New Roman" w:cs="Times New Roman"/>
          <w:b/>
          <w:bCs/>
          <w:noProof/>
        </w:rPr>
        <w:t>(Rooijakkers</w:t>
      </w:r>
      <w:r w:rsidRPr="005827B2">
        <w:rPr>
          <w:rFonts w:ascii="Times New Roman" w:hAnsi="Times New Roman" w:cs="Times New Roman"/>
          <w:b/>
          <w:bCs/>
          <w:i/>
          <w:noProof/>
        </w:rPr>
        <w:t xml:space="preserve"> et al.</w:t>
      </w:r>
      <w:r w:rsidRPr="005827B2">
        <w:rPr>
          <w:rFonts w:ascii="Times New Roman" w:hAnsi="Times New Roman" w:cs="Times New Roman"/>
          <w:b/>
          <w:bCs/>
          <w:noProof/>
        </w:rPr>
        <w:t>, 2005)</w:t>
      </w:r>
      <w:r w:rsidRPr="005827B2">
        <w:rPr>
          <w:rFonts w:ascii="Times New Roman" w:hAnsi="Times New Roman" w:cs="Times New Roman"/>
          <w:b/>
          <w:bCs/>
        </w:rPr>
        <w:fldChar w:fldCharType="end"/>
      </w:r>
      <w:r>
        <w:rPr>
          <w:rFonts w:ascii="Times New Roman" w:hAnsi="Times New Roman" w:cs="Times New Roman"/>
          <w:b/>
          <w:bCs/>
        </w:rPr>
        <w:t xml:space="preserve"> (Fig</w:t>
      </w:r>
      <w:r w:rsidR="00B17F15">
        <w:rPr>
          <w:rFonts w:ascii="Times New Roman" w:hAnsi="Times New Roman" w:cs="Times New Roman"/>
          <w:b/>
          <w:bCs/>
        </w:rPr>
        <w:t>.</w:t>
      </w:r>
      <w:r>
        <w:rPr>
          <w:rFonts w:ascii="Times New Roman" w:hAnsi="Times New Roman" w:cs="Times New Roman"/>
          <w:b/>
          <w:bCs/>
        </w:rPr>
        <w:t xml:space="preserve"> 1.1.3)</w:t>
      </w:r>
      <w:r>
        <w:rPr>
          <w:rFonts w:ascii="Times New Roman" w:hAnsi="Times New Roman" w:cs="Times New Roman"/>
        </w:rPr>
        <w:t xml:space="preserve">. Another protein involved in complement inhibition is </w:t>
      </w:r>
      <w:bookmarkStart w:id="20" w:name="_Hlk128593903"/>
      <w:r w:rsidRPr="002968E2">
        <w:rPr>
          <w:rFonts w:ascii="Times New Roman" w:hAnsi="Times New Roman" w:cs="Times New Roman"/>
        </w:rPr>
        <w:t xml:space="preserve">chemotaxis inhibitory protein of </w:t>
      </w:r>
      <w:r w:rsidR="00E20145" w:rsidRPr="00E20145">
        <w:rPr>
          <w:rFonts w:ascii="Times New Roman" w:hAnsi="Times New Roman" w:cs="Times New Roman"/>
          <w:i/>
          <w:iCs/>
        </w:rPr>
        <w:t>S</w:t>
      </w:r>
      <w:r w:rsidRPr="00E20145">
        <w:rPr>
          <w:rFonts w:ascii="Times New Roman" w:hAnsi="Times New Roman" w:cs="Times New Roman"/>
          <w:i/>
          <w:iCs/>
        </w:rPr>
        <w:t>taphylococcus</w:t>
      </w:r>
      <w:r w:rsidRPr="002968E2">
        <w:rPr>
          <w:rFonts w:ascii="Times New Roman" w:hAnsi="Times New Roman" w:cs="Times New Roman"/>
        </w:rPr>
        <w:t xml:space="preserve"> (CHIPS)</w:t>
      </w:r>
      <w:bookmarkEnd w:id="20"/>
      <w:r>
        <w:rPr>
          <w:rFonts w:ascii="Times New Roman" w:hAnsi="Times New Roman" w:cs="Times New Roman"/>
        </w:rPr>
        <w:t xml:space="preserve">, which competitively inhibits formylated peptide receptor (FPR) and C5a receptor (C5aR), preventing these receptors from binding to their cognate ligands (bacterial formylated peptides and C5a respectively), thus preventing neutrophil recruitment </w:t>
      </w:r>
      <w:r>
        <w:rPr>
          <w:rFonts w:ascii="Times New Roman" w:hAnsi="Times New Roman" w:cs="Times New Roman"/>
          <w:i/>
          <w:iCs/>
        </w:rPr>
        <w:t>in vivo</w:t>
      </w:r>
      <w:r>
        <w:rPr>
          <w:rFonts w:ascii="Times New Roman" w:hAnsi="Times New Roman" w:cs="Times New Roman"/>
        </w:rPr>
        <w:t xml:space="preserve"> </w:t>
      </w:r>
      <w:r w:rsidRPr="00CC3F51">
        <w:rPr>
          <w:rFonts w:ascii="Times New Roman" w:hAnsi="Times New Roman" w:cs="Times New Roman"/>
          <w:b/>
          <w:bCs/>
        </w:rPr>
        <w:fldChar w:fldCharType="begin">
          <w:fldData xml:space="preserve">PEVuZE5vdGU+PENpdGU+PEF1dGhvcj5kZSBIYWFzPC9BdXRob3I+PFllYXI+MjAwNDwvWWVhcj48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</w:fldData>
        </w:fldChar>
      </w:r>
      <w:r w:rsidRPr="00CC3F51">
        <w:rPr>
          <w:rFonts w:ascii="Times New Roman" w:hAnsi="Times New Roman" w:cs="Times New Roman"/>
          <w:b/>
          <w:bCs/>
        </w:rPr>
        <w:instrText xml:space="preserve"> ADDIN EN.CITE </w:instrText>
      </w:r>
      <w:r w:rsidRPr="00CC3F51">
        <w:rPr>
          <w:rFonts w:ascii="Times New Roman" w:hAnsi="Times New Roman" w:cs="Times New Roman"/>
          <w:b/>
          <w:bCs/>
        </w:rPr>
        <w:fldChar w:fldCharType="begin">
          <w:fldData xml:space="preserve">PEVuZE5vdGU+PENpdGU+PEF1dGhvcj5kZSBIYWFzPC9BdXRob3I+PFllYXI+MjAwNDwvWWVhcj48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</w:fldData>
        </w:fldChar>
      </w:r>
      <w:r w:rsidRPr="00CC3F51">
        <w:rPr>
          <w:rFonts w:ascii="Times New Roman" w:hAnsi="Times New Roman" w:cs="Times New Roman"/>
          <w:b/>
          <w:bCs/>
        </w:rPr>
        <w:instrText xml:space="preserve"> ADDIN EN.CITE.DATA </w:instrText>
      </w:r>
      <w:r w:rsidRPr="00CC3F51">
        <w:rPr>
          <w:rFonts w:ascii="Times New Roman" w:hAnsi="Times New Roman" w:cs="Times New Roman"/>
          <w:b/>
          <w:bCs/>
        </w:rPr>
      </w:r>
      <w:r w:rsidRPr="00CC3F51">
        <w:rPr>
          <w:rFonts w:ascii="Times New Roman" w:hAnsi="Times New Roman" w:cs="Times New Roman"/>
          <w:b/>
          <w:bCs/>
        </w:rPr>
        <w:fldChar w:fldCharType="end"/>
      </w:r>
      <w:r w:rsidRPr="00CC3F51">
        <w:rPr>
          <w:rFonts w:ascii="Times New Roman" w:hAnsi="Times New Roman" w:cs="Times New Roman"/>
          <w:b/>
          <w:bCs/>
        </w:rPr>
      </w:r>
      <w:r w:rsidRPr="00CC3F51">
        <w:rPr>
          <w:rFonts w:ascii="Times New Roman" w:hAnsi="Times New Roman" w:cs="Times New Roman"/>
          <w:b/>
          <w:bCs/>
        </w:rPr>
        <w:fldChar w:fldCharType="separate"/>
      </w:r>
      <w:r w:rsidRPr="00CC3F51">
        <w:rPr>
          <w:rFonts w:ascii="Times New Roman" w:hAnsi="Times New Roman" w:cs="Times New Roman"/>
          <w:b/>
          <w:bCs/>
          <w:noProof/>
        </w:rPr>
        <w:t>(de Haas</w:t>
      </w:r>
      <w:r w:rsidRPr="00CC3F51">
        <w:rPr>
          <w:rFonts w:ascii="Times New Roman" w:hAnsi="Times New Roman" w:cs="Times New Roman"/>
          <w:b/>
          <w:bCs/>
          <w:i/>
          <w:noProof/>
        </w:rPr>
        <w:t xml:space="preserve"> et al.</w:t>
      </w:r>
      <w:r w:rsidRPr="00CC3F51">
        <w:rPr>
          <w:rFonts w:ascii="Times New Roman" w:hAnsi="Times New Roman" w:cs="Times New Roman"/>
          <w:b/>
          <w:bCs/>
          <w:noProof/>
        </w:rPr>
        <w:t>, 2004; Postma</w:t>
      </w:r>
      <w:r w:rsidRPr="00CC3F51">
        <w:rPr>
          <w:rFonts w:ascii="Times New Roman" w:hAnsi="Times New Roman" w:cs="Times New Roman"/>
          <w:b/>
          <w:bCs/>
          <w:i/>
          <w:noProof/>
        </w:rPr>
        <w:t xml:space="preserve"> et al.</w:t>
      </w:r>
      <w:r w:rsidRPr="00CC3F51">
        <w:rPr>
          <w:rFonts w:ascii="Times New Roman" w:hAnsi="Times New Roman" w:cs="Times New Roman"/>
          <w:b/>
          <w:bCs/>
          <w:noProof/>
        </w:rPr>
        <w:t>, 2004)</w:t>
      </w:r>
      <w:r w:rsidRPr="00CC3F51">
        <w:rPr>
          <w:rFonts w:ascii="Times New Roman" w:hAnsi="Times New Roman" w:cs="Times New Roman"/>
          <w:b/>
          <w:bCs/>
        </w:rPr>
        <w:fldChar w:fldCharType="end"/>
      </w:r>
      <w:r>
        <w:rPr>
          <w:rFonts w:ascii="Times New Roman" w:hAnsi="Times New Roman" w:cs="Times New Roman"/>
        </w:rPr>
        <w:t xml:space="preserve">. Furthermore, </w:t>
      </w:r>
      <w:r>
        <w:rPr>
          <w:rFonts w:ascii="Times New Roman" w:hAnsi="Times New Roman" w:cs="Times New Roman"/>
          <w:i/>
          <w:iCs/>
        </w:rPr>
        <w:t xml:space="preserve">S. aureus </w:t>
      </w:r>
      <w:r>
        <w:rPr>
          <w:rFonts w:ascii="Times New Roman" w:hAnsi="Times New Roman" w:cs="Times New Roman"/>
        </w:rPr>
        <w:t xml:space="preserve">secretes </w:t>
      </w:r>
      <w:bookmarkStart w:id="21" w:name="_Hlk128585152"/>
      <w:r>
        <w:rPr>
          <w:rFonts w:ascii="Times New Roman" w:hAnsi="Times New Roman" w:cs="Times New Roman"/>
        </w:rPr>
        <w:t xml:space="preserve">extracellular fibrinogen-binding protein </w:t>
      </w:r>
      <w:bookmarkEnd w:id="21"/>
      <w:r>
        <w:rPr>
          <w:rFonts w:ascii="Times New Roman" w:hAnsi="Times New Roman" w:cs="Times New Roman"/>
        </w:rPr>
        <w:t xml:space="preserve">(Efb) within the macrophage cytoplasm to inhibit pro-inflammatory cytokine expression and was shown to bind the </w:t>
      </w:r>
      <w:bookmarkStart w:id="22" w:name="_Hlk128585888"/>
      <w:r w:rsidRPr="00470734">
        <w:rPr>
          <w:rFonts w:ascii="Times New Roman" w:hAnsi="Times New Roman" w:cs="Times New Roman"/>
        </w:rPr>
        <w:t>tumo</w:t>
      </w:r>
      <w:r>
        <w:rPr>
          <w:rFonts w:ascii="Times New Roman" w:hAnsi="Times New Roman" w:cs="Times New Roman"/>
        </w:rPr>
        <w:t>u</w:t>
      </w:r>
      <w:r w:rsidRPr="00470734">
        <w:rPr>
          <w:rFonts w:ascii="Times New Roman" w:hAnsi="Times New Roman" w:cs="Times New Roman"/>
        </w:rPr>
        <w:t>r necrosis-associated factor 3</w:t>
      </w:r>
      <w:bookmarkEnd w:id="22"/>
      <w:r>
        <w:rPr>
          <w:color w:val="222222"/>
          <w:sz w:val="27"/>
          <w:szCs w:val="27"/>
          <w:shd w:val="clear" w:color="auto" w:fill="FFFFFF"/>
        </w:rPr>
        <w:t> </w:t>
      </w:r>
      <w:r w:rsidR="00B17F15">
        <w:rPr>
          <w:rFonts w:ascii="Times New Roman" w:hAnsi="Times New Roman" w:cs="Times New Roman"/>
        </w:rPr>
        <w:t>(</w:t>
      </w:r>
      <w:r>
        <w:rPr>
          <w:rFonts w:ascii="Times New Roman" w:hAnsi="Times New Roman" w:cs="Times New Roman"/>
        </w:rPr>
        <w:t>TRAF3</w:t>
      </w:r>
      <w:r w:rsidR="00B17F15">
        <w:rPr>
          <w:rFonts w:ascii="Times New Roman" w:hAnsi="Times New Roman" w:cs="Times New Roman"/>
        </w:rPr>
        <w:t>)</w:t>
      </w:r>
      <w:r>
        <w:rPr>
          <w:rFonts w:ascii="Times New Roman" w:hAnsi="Times New Roman" w:cs="Times New Roman"/>
        </w:rPr>
        <w:t xml:space="preserve"> regulator, which ultimately leads to activation of the pro-inflammatory transcription factor </w:t>
      </w:r>
      <w:r w:rsidRPr="00540F01">
        <w:rPr>
          <w:rFonts w:ascii="Times New Roman" w:hAnsi="Times New Roman" w:cs="Times New Roman"/>
        </w:rPr>
        <w:t>NF-κB</w:t>
      </w:r>
      <w:r>
        <w:rPr>
          <w:rFonts w:ascii="Times New Roman" w:hAnsi="Times New Roman" w:cs="Times New Roman"/>
        </w:rPr>
        <w:t xml:space="preserve"> </w:t>
      </w:r>
      <w:r w:rsidRPr="00470734">
        <w:rPr>
          <w:rFonts w:ascii="Times New Roman" w:hAnsi="Times New Roman" w:cs="Times New Roman"/>
          <w:b/>
          <w:bCs/>
        </w:rPr>
        <w:fldChar w:fldCharType="begin">
          <w:fldData xml:space="preserve">PEVuZE5vdGU+PENpdGU+PEF1dGhvcj5aaGFuZzwvQXV0aG9yPjxZZWFyPjIwMjI8L1llYXI+PElE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</w:fldData>
        </w:fldChar>
      </w:r>
      <w:r w:rsidRPr="00470734">
        <w:rPr>
          <w:rFonts w:ascii="Times New Roman" w:hAnsi="Times New Roman" w:cs="Times New Roman"/>
          <w:b/>
          <w:bCs/>
        </w:rPr>
        <w:instrText xml:space="preserve"> ADDIN EN.CITE </w:instrText>
      </w:r>
      <w:r w:rsidRPr="00470734">
        <w:rPr>
          <w:rFonts w:ascii="Times New Roman" w:hAnsi="Times New Roman" w:cs="Times New Roman"/>
          <w:b/>
          <w:bCs/>
        </w:rPr>
        <w:fldChar w:fldCharType="begin">
          <w:fldData xml:space="preserve">PEVuZE5vdGU+PENpdGU+PEF1dGhvcj5aaGFuZzwvQXV0aG9yPjxZZWFyPjIwMjI8L1llYXI+PElE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</w:fldData>
        </w:fldChar>
      </w:r>
      <w:r w:rsidRPr="00470734">
        <w:rPr>
          <w:rFonts w:ascii="Times New Roman" w:hAnsi="Times New Roman" w:cs="Times New Roman"/>
          <w:b/>
          <w:bCs/>
        </w:rPr>
        <w:instrText xml:space="preserve"> ADDIN EN.CITE.DATA </w:instrText>
      </w:r>
      <w:r w:rsidRPr="00470734">
        <w:rPr>
          <w:rFonts w:ascii="Times New Roman" w:hAnsi="Times New Roman" w:cs="Times New Roman"/>
          <w:b/>
          <w:bCs/>
        </w:rPr>
      </w:r>
      <w:r w:rsidRPr="00470734">
        <w:rPr>
          <w:rFonts w:ascii="Times New Roman" w:hAnsi="Times New Roman" w:cs="Times New Roman"/>
          <w:b/>
          <w:bCs/>
        </w:rPr>
        <w:fldChar w:fldCharType="end"/>
      </w:r>
      <w:r w:rsidRPr="00470734">
        <w:rPr>
          <w:rFonts w:ascii="Times New Roman" w:hAnsi="Times New Roman" w:cs="Times New Roman"/>
          <w:b/>
          <w:bCs/>
        </w:rPr>
      </w:r>
      <w:r w:rsidRPr="00470734">
        <w:rPr>
          <w:rFonts w:ascii="Times New Roman" w:hAnsi="Times New Roman" w:cs="Times New Roman"/>
          <w:b/>
          <w:bCs/>
        </w:rPr>
        <w:fldChar w:fldCharType="separate"/>
      </w:r>
      <w:r w:rsidRPr="00470734">
        <w:rPr>
          <w:rFonts w:ascii="Times New Roman" w:hAnsi="Times New Roman" w:cs="Times New Roman"/>
          <w:b/>
          <w:bCs/>
          <w:noProof/>
        </w:rPr>
        <w:t>(Zhang</w:t>
      </w:r>
      <w:r w:rsidRPr="00470734">
        <w:rPr>
          <w:rFonts w:ascii="Times New Roman" w:hAnsi="Times New Roman" w:cs="Times New Roman"/>
          <w:b/>
          <w:bCs/>
          <w:i/>
          <w:noProof/>
        </w:rPr>
        <w:t xml:space="preserve"> et al.</w:t>
      </w:r>
      <w:r w:rsidRPr="00470734">
        <w:rPr>
          <w:rFonts w:ascii="Times New Roman" w:hAnsi="Times New Roman" w:cs="Times New Roman"/>
          <w:b/>
          <w:bCs/>
          <w:noProof/>
        </w:rPr>
        <w:t>, 2022; Fournier and Philpott, 2005)</w:t>
      </w:r>
      <w:r w:rsidRPr="00470734">
        <w:rPr>
          <w:rFonts w:ascii="Times New Roman" w:hAnsi="Times New Roman" w:cs="Times New Roman"/>
          <w:b/>
          <w:bCs/>
        </w:rPr>
        <w:fldChar w:fldCharType="end"/>
      </w:r>
      <w:r>
        <w:rPr>
          <w:rFonts w:ascii="Times New Roman" w:hAnsi="Times New Roman" w:cs="Times New Roman"/>
        </w:rPr>
        <w:t xml:space="preserve">. Efb has also been implicated in preventing complement deposition by interacting with C3b </w:t>
      </w:r>
      <w:r w:rsidRPr="00470734">
        <w:rPr>
          <w:rFonts w:ascii="Times New Roman" w:hAnsi="Times New Roman" w:cs="Times New Roman"/>
          <w:b/>
          <w:bCs/>
        </w:rPr>
        <w:fldChar w:fldCharType="begin"/>
      </w:r>
      <w:r w:rsidRPr="00470734">
        <w:rPr>
          <w:rFonts w:ascii="Times New Roman" w:hAnsi="Times New Roman" w:cs="Times New Roman"/>
          <w:b/>
          <w:bCs/>
        </w:rPr>
        <w:instrText xml:space="preserve"> ADDIN EN.CITE &lt;EndNote&gt;&lt;Cite&gt;&lt;Author&gt;Hammel&lt;/Author&gt;&lt;Year&gt;2007&lt;/Year&gt;&lt;IDText&gt;A structural basis for complement inhibition by Staphylococcus aureus&lt;/IDText&gt;&lt;DisplayText&gt;(Hammel&lt;style face="italic"&gt; et al.&lt;/style&gt;, 2007)&lt;/DisplayText&gt;&lt;record&gt;&lt;dates&gt;&lt;pub-dates&gt;&lt;date&gt;Apr&lt;/date&gt;&lt;/pub-dates&gt;&lt;year&gt;2007&lt;/year&gt;&lt;/dates&gt;&lt;urls&gt;&lt;related-urls&gt;&lt;url&gt;&amp;lt;Go to ISI&amp;gt;://WOS:000245075900018&lt;/url&gt;&lt;/related-urls&gt;&lt;/urls&gt;&lt;isbn&gt;1529-2908&lt;/isbn&gt;&lt;titles&gt;&lt;title&gt;A structural basis for complement inhibition by Staphylococcus aureus&lt;/title&gt;&lt;secondary-title&gt;Nature Immunology&lt;/secondary-title&gt;&lt;/titles&gt;&lt;pages&gt;430-437&lt;/pages&gt;&lt;number&gt;4&lt;/number&gt;&lt;contributors&gt;&lt;authors&gt;&lt;author&gt;Hammel, M.&lt;/author&gt;&lt;author&gt;Sfyroera, G.&lt;/author&gt;&lt;author&gt;Ricklin, D.&lt;/author&gt;&lt;author&gt;Magotti, P.&lt;/author&gt;&lt;author&gt;Lambris, J. D.&lt;/author&gt;&lt;author&gt;Geisbrecht, B. V.&lt;/author&gt;&lt;/authors&gt;&lt;/contributors&gt;&lt;added-date format="utc"&gt;1677693259&lt;/added-date&gt;&lt;ref-type name="Journal Article"&gt;17&lt;/ref-type&gt;&lt;rec-number&gt;618&lt;/rec-number&gt;&lt;last-updated-date format="utc"&gt;1677693259&lt;/last-updated-date&gt;&lt;accession-num&gt;WOS:000245075900018&lt;/accession-num&gt;&lt;electronic-resource-num&gt;10.1038/ni1450&lt;/electronic-resource-num&gt;&lt;volume&gt;8&lt;/volume&gt;&lt;/record&gt;&lt;/Cite&gt;&lt;/EndNote&gt;</w:instrText>
      </w:r>
      <w:r w:rsidRPr="00470734">
        <w:rPr>
          <w:rFonts w:ascii="Times New Roman" w:hAnsi="Times New Roman" w:cs="Times New Roman"/>
          <w:b/>
          <w:bCs/>
        </w:rPr>
        <w:fldChar w:fldCharType="separate"/>
      </w:r>
      <w:r w:rsidRPr="00470734">
        <w:rPr>
          <w:rFonts w:ascii="Times New Roman" w:hAnsi="Times New Roman" w:cs="Times New Roman"/>
          <w:b/>
          <w:bCs/>
          <w:noProof/>
        </w:rPr>
        <w:t>(Hammel</w:t>
      </w:r>
      <w:r w:rsidRPr="00470734">
        <w:rPr>
          <w:rFonts w:ascii="Times New Roman" w:hAnsi="Times New Roman" w:cs="Times New Roman"/>
          <w:b/>
          <w:bCs/>
          <w:i/>
          <w:noProof/>
        </w:rPr>
        <w:t xml:space="preserve"> et al.</w:t>
      </w:r>
      <w:r w:rsidRPr="00470734">
        <w:rPr>
          <w:rFonts w:ascii="Times New Roman" w:hAnsi="Times New Roman" w:cs="Times New Roman"/>
          <w:b/>
          <w:bCs/>
          <w:noProof/>
        </w:rPr>
        <w:t>, 2007)</w:t>
      </w:r>
      <w:r w:rsidRPr="00470734">
        <w:rPr>
          <w:rFonts w:ascii="Times New Roman" w:hAnsi="Times New Roman" w:cs="Times New Roman"/>
          <w:b/>
          <w:bCs/>
        </w:rPr>
        <w:fldChar w:fldCharType="end"/>
      </w:r>
      <w:r>
        <w:rPr>
          <w:rFonts w:ascii="Times New Roman" w:hAnsi="Times New Roman" w:cs="Times New Roman"/>
        </w:rPr>
        <w:t xml:space="preserve">. The staphylococcal serine proteases, </w:t>
      </w:r>
      <w:r w:rsidRPr="003D68AF">
        <w:rPr>
          <w:rFonts w:ascii="Times New Roman" w:hAnsi="Times New Roman" w:cs="Times New Roman"/>
        </w:rPr>
        <w:t>extracellular adherence protein</w:t>
      </w:r>
      <w:r>
        <w:rPr>
          <w:rFonts w:ascii="Times New Roman" w:hAnsi="Times New Roman" w:cs="Times New Roman"/>
        </w:rPr>
        <w:t>s (Eap), were shown to prevent granular neutrophil serine proteases (NSPs)</w:t>
      </w:r>
      <w:r w:rsidR="00B17F15">
        <w:rPr>
          <w:rFonts w:ascii="Times New Roman" w:hAnsi="Times New Roman" w:cs="Times New Roman"/>
        </w:rPr>
        <w:t>,</w:t>
      </w:r>
      <w:r>
        <w:rPr>
          <w:rFonts w:ascii="Times New Roman" w:hAnsi="Times New Roman" w:cs="Times New Roman"/>
        </w:rPr>
        <w:t xml:space="preserve"> such as neutrophil elastase</w:t>
      </w:r>
      <w:r w:rsidR="00B17F15">
        <w:rPr>
          <w:rFonts w:ascii="Times New Roman" w:hAnsi="Times New Roman" w:cs="Times New Roman"/>
        </w:rPr>
        <w:t>,</w:t>
      </w:r>
      <w:r>
        <w:rPr>
          <w:rFonts w:ascii="Times New Roman" w:hAnsi="Times New Roman" w:cs="Times New Roman"/>
        </w:rPr>
        <w:t xml:space="preserve"> from degrading the phenol soluble modulins (PSMs) (PSMs are further discussed below) </w:t>
      </w:r>
      <w:r w:rsidRPr="00CC3F51">
        <w:rPr>
          <w:rFonts w:ascii="Times New Roman" w:hAnsi="Times New Roman" w:cs="Times New Roman"/>
          <w:b/>
          <w:bCs/>
        </w:rPr>
        <w:fldChar w:fldCharType="begin">
          <w:fldData xml:space="preserve">PEVuZE5vdGU+PENpdGU+PEF1dGhvcj5TdGFwZWxzPC9BdXRob3I+PFllYXI+MjAxNDwvWWVhcj48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</w:fldData>
        </w:fldChar>
      </w:r>
      <w:r w:rsidRPr="00CC3F51">
        <w:rPr>
          <w:rFonts w:ascii="Times New Roman" w:hAnsi="Times New Roman" w:cs="Times New Roman"/>
          <w:b/>
          <w:bCs/>
        </w:rPr>
        <w:instrText xml:space="preserve"> ADDIN EN.CITE </w:instrText>
      </w:r>
      <w:r w:rsidRPr="00CC3F51">
        <w:rPr>
          <w:rFonts w:ascii="Times New Roman" w:hAnsi="Times New Roman" w:cs="Times New Roman"/>
          <w:b/>
          <w:bCs/>
        </w:rPr>
        <w:fldChar w:fldCharType="begin">
          <w:fldData xml:space="preserve">PEVuZE5vdGU+PENpdGU+PEF1dGhvcj5TdGFwZWxzPC9BdXRob3I+PFllYXI+MjAxNDwvWWVhcj48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</w:fldData>
        </w:fldChar>
      </w:r>
      <w:r w:rsidRPr="00CC3F51">
        <w:rPr>
          <w:rFonts w:ascii="Times New Roman" w:hAnsi="Times New Roman" w:cs="Times New Roman"/>
          <w:b/>
          <w:bCs/>
        </w:rPr>
        <w:instrText xml:space="preserve"> ADDIN EN.CITE.DATA </w:instrText>
      </w:r>
      <w:r w:rsidRPr="00CC3F51">
        <w:rPr>
          <w:rFonts w:ascii="Times New Roman" w:hAnsi="Times New Roman" w:cs="Times New Roman"/>
          <w:b/>
          <w:bCs/>
        </w:rPr>
      </w:r>
      <w:r w:rsidRPr="00CC3F51">
        <w:rPr>
          <w:rFonts w:ascii="Times New Roman" w:hAnsi="Times New Roman" w:cs="Times New Roman"/>
          <w:b/>
          <w:bCs/>
        </w:rPr>
        <w:fldChar w:fldCharType="end"/>
      </w:r>
      <w:r w:rsidRPr="00CC3F51">
        <w:rPr>
          <w:rFonts w:ascii="Times New Roman" w:hAnsi="Times New Roman" w:cs="Times New Roman"/>
          <w:b/>
          <w:bCs/>
        </w:rPr>
      </w:r>
      <w:r w:rsidRPr="00CC3F51">
        <w:rPr>
          <w:rFonts w:ascii="Times New Roman" w:hAnsi="Times New Roman" w:cs="Times New Roman"/>
          <w:b/>
          <w:bCs/>
        </w:rPr>
        <w:fldChar w:fldCharType="separate"/>
      </w:r>
      <w:r w:rsidRPr="00CC3F51">
        <w:rPr>
          <w:rFonts w:ascii="Times New Roman" w:hAnsi="Times New Roman" w:cs="Times New Roman"/>
          <w:b/>
          <w:bCs/>
          <w:noProof/>
        </w:rPr>
        <w:t>(Stapels</w:t>
      </w:r>
      <w:r w:rsidRPr="00CC3F51">
        <w:rPr>
          <w:rFonts w:ascii="Times New Roman" w:hAnsi="Times New Roman" w:cs="Times New Roman"/>
          <w:b/>
          <w:bCs/>
          <w:i/>
          <w:noProof/>
        </w:rPr>
        <w:t xml:space="preserve"> et al.</w:t>
      </w:r>
      <w:r w:rsidRPr="00CC3F51">
        <w:rPr>
          <w:rFonts w:ascii="Times New Roman" w:hAnsi="Times New Roman" w:cs="Times New Roman"/>
          <w:b/>
          <w:bCs/>
          <w:noProof/>
        </w:rPr>
        <w:t>, 2014; Kretschmer</w:t>
      </w:r>
      <w:r w:rsidRPr="00CC3F51">
        <w:rPr>
          <w:rFonts w:ascii="Times New Roman" w:hAnsi="Times New Roman" w:cs="Times New Roman"/>
          <w:b/>
          <w:bCs/>
          <w:i/>
          <w:noProof/>
        </w:rPr>
        <w:t xml:space="preserve"> et al.</w:t>
      </w:r>
      <w:r w:rsidRPr="00CC3F51">
        <w:rPr>
          <w:rFonts w:ascii="Times New Roman" w:hAnsi="Times New Roman" w:cs="Times New Roman"/>
          <w:b/>
          <w:bCs/>
          <w:noProof/>
        </w:rPr>
        <w:t>, 2021)</w:t>
      </w:r>
      <w:r w:rsidRPr="00CC3F51">
        <w:rPr>
          <w:rFonts w:ascii="Times New Roman" w:hAnsi="Times New Roman" w:cs="Times New Roman"/>
          <w:b/>
          <w:bCs/>
        </w:rPr>
        <w:fldChar w:fldCharType="end"/>
      </w:r>
      <w:r>
        <w:rPr>
          <w:rFonts w:ascii="Times New Roman" w:hAnsi="Times New Roman" w:cs="Times New Roman"/>
          <w:b/>
          <w:bCs/>
        </w:rPr>
        <w:t xml:space="preserve"> (Fig. 1.1.3)</w:t>
      </w:r>
      <w:r w:rsidRPr="003D68AF">
        <w:rPr>
          <w:rFonts w:ascii="Times New Roman" w:hAnsi="Times New Roman" w:cs="Times New Roman"/>
        </w:rPr>
        <w:t>.</w:t>
      </w:r>
      <w:r>
        <w:rPr>
          <w:rFonts w:ascii="Times New Roman" w:hAnsi="Times New Roman" w:cs="Times New Roman"/>
        </w:rPr>
        <w:t xml:space="preserve"> The </w:t>
      </w:r>
      <w:bookmarkStart w:id="23" w:name="_Hlk128592527"/>
      <w:r>
        <w:rPr>
          <w:rFonts w:ascii="Times New Roman" w:hAnsi="Times New Roman" w:cs="Times New Roman"/>
        </w:rPr>
        <w:t>staphylococcal peroxidase inhibitor</w:t>
      </w:r>
      <w:bookmarkEnd w:id="23"/>
      <w:r>
        <w:rPr>
          <w:rFonts w:ascii="Times New Roman" w:hAnsi="Times New Roman" w:cs="Times New Roman"/>
        </w:rPr>
        <w:t xml:space="preserve"> (SPIN) binds to and inhibits myeloperoxidase (MPO), another component of neutrophil granules </w:t>
      </w:r>
      <w:r w:rsidRPr="00CC3F51">
        <w:rPr>
          <w:rFonts w:ascii="Times New Roman" w:hAnsi="Times New Roman" w:cs="Times New Roman"/>
          <w:b/>
          <w:bCs/>
        </w:rPr>
        <w:fldChar w:fldCharType="begin"/>
      </w:r>
      <w:r w:rsidR="00276090">
        <w:rPr>
          <w:rFonts w:ascii="Times New Roman" w:hAnsi="Times New Roman" w:cs="Times New Roman"/>
          <w:b/>
          <w:bCs/>
        </w:rPr>
        <w:instrText xml:space="preserve"> ADDIN EN.CITE &lt;EndNote&gt;&lt;Cite&gt;&lt;Author&gt;de Jong&lt;/Author&gt;&lt;Year&gt;2017&lt;/Year&gt;&lt;IDText&gt;Immune evasion by a staphylococcal inhibitor of myeloperoxidase&lt;/IDText&gt;&lt;DisplayText&gt;(de Jong&lt;style face="italic"&gt; et al.&lt;/style&gt;, 2017a)&lt;/DisplayText&gt;&lt;record&gt;&lt;dates&gt;&lt;pub-dates&gt;&lt;date&gt;Aug&lt;/date&gt;&lt;/pub-dates&gt;&lt;year&gt;2017&lt;/year&gt;&lt;/dates&gt;&lt;urls&gt;&lt;related-urls&gt;&lt;url&gt;&amp;lt;Go to ISI&amp;gt;://WOS:000408536000060&lt;/url&gt;&lt;/related-urls&gt;&lt;/urls&gt;&lt;isbn&gt;0027-8424&lt;/isbn&gt;&lt;titles&gt;&lt;title&gt;Immune evasion by a staphylococcal inhibitor of myeloperoxidase&lt;/title&gt;&lt;secondary-title&gt;Proceedings of the National Academy of Sciences of the United States of America&lt;/secondary-title&gt;&lt;/titles&gt;&lt;pages&gt;9439-9444&lt;/pages&gt;&lt;number&gt;35&lt;/number&gt;&lt;contributors&gt;&lt;authors&gt;&lt;author&gt;de Jong, N. W. M.&lt;/author&gt;&lt;author&gt;Ramyar, K. X.&lt;/author&gt;&lt;author&gt;Guerra, F. E.&lt;/author&gt;&lt;author&gt;Nijland, R.&lt;/author&gt;&lt;author&gt;Fevre, C.&lt;/author&gt;&lt;author&gt;Voyich, J. M.&lt;/author&gt;&lt;author&gt;McCarthy, A. J.&lt;/author&gt;&lt;author&gt;Garcia, B. L.&lt;/author&gt;&lt;author&gt;van Kessel, K. P. M.&lt;/author&gt;&lt;author&gt;van Strijp, J. A. G.&lt;/author&gt;&lt;author&gt;Geisbrecht, B. V.&lt;/author&gt;&lt;author&gt;Haas, P. J. A.&lt;/author&gt;&lt;/authors&gt;&lt;/contributors&gt;&lt;added-date format="utc"&gt;1677700509&lt;/added-date&gt;&lt;ref-type name="Journal Article"&gt;17&lt;/ref-type&gt;&lt;rec-number&gt;621&lt;/rec-number&gt;&lt;last-updated-date format="utc"&gt;1677725365&lt;/last-updated-date&gt;&lt;accession-num&gt;WOS:000408536000060&lt;/accession-num&gt;&lt;electronic-resource-num&gt;10.1073/pnas.1707032114&lt;/electronic-resource-num&gt;&lt;volume&gt;114&lt;/volume&gt;&lt;/record&gt;&lt;/Cite&gt;&lt;/EndNote&gt;</w:instrText>
      </w:r>
      <w:r w:rsidRPr="00CC3F51">
        <w:rPr>
          <w:rFonts w:ascii="Times New Roman" w:hAnsi="Times New Roman" w:cs="Times New Roman"/>
          <w:b/>
          <w:bCs/>
        </w:rPr>
        <w:fldChar w:fldCharType="separate"/>
      </w:r>
      <w:r w:rsidR="00276090">
        <w:rPr>
          <w:rFonts w:ascii="Times New Roman" w:hAnsi="Times New Roman" w:cs="Times New Roman"/>
          <w:b/>
          <w:bCs/>
          <w:noProof/>
        </w:rPr>
        <w:t>(de Jong</w:t>
      </w:r>
      <w:r w:rsidR="00276090" w:rsidRPr="00276090">
        <w:rPr>
          <w:rFonts w:ascii="Times New Roman" w:hAnsi="Times New Roman" w:cs="Times New Roman"/>
          <w:b/>
          <w:bCs/>
          <w:i/>
          <w:noProof/>
        </w:rPr>
        <w:t xml:space="preserve"> et al.</w:t>
      </w:r>
      <w:r w:rsidR="00276090">
        <w:rPr>
          <w:rFonts w:ascii="Times New Roman" w:hAnsi="Times New Roman" w:cs="Times New Roman"/>
          <w:b/>
          <w:bCs/>
          <w:noProof/>
        </w:rPr>
        <w:t>, 2017a)</w:t>
      </w:r>
      <w:r w:rsidRPr="00CC3F51">
        <w:rPr>
          <w:rFonts w:ascii="Times New Roman" w:hAnsi="Times New Roman" w:cs="Times New Roman"/>
          <w:b/>
          <w:bCs/>
        </w:rPr>
        <w:fldChar w:fldCharType="end"/>
      </w:r>
      <w:r>
        <w:rPr>
          <w:rFonts w:ascii="Times New Roman" w:hAnsi="Times New Roman" w:cs="Times New Roman"/>
        </w:rPr>
        <w:t xml:space="preserve">. Increased expression and activity of SPIN was observed upon uptake by neutrophils and SPIN-deficient </w:t>
      </w:r>
      <w:r>
        <w:rPr>
          <w:rFonts w:ascii="Times New Roman" w:hAnsi="Times New Roman" w:cs="Times New Roman"/>
          <w:i/>
          <w:iCs/>
        </w:rPr>
        <w:t>S. aureus</w:t>
      </w:r>
      <w:r>
        <w:rPr>
          <w:rFonts w:ascii="Times New Roman" w:hAnsi="Times New Roman" w:cs="Times New Roman"/>
        </w:rPr>
        <w:t xml:space="preserve"> demonstrated decreased survival </w:t>
      </w:r>
      <w:r w:rsidRPr="00313F2F">
        <w:rPr>
          <w:rFonts w:ascii="Times New Roman" w:hAnsi="Times New Roman" w:cs="Times New Roman"/>
          <w:b/>
          <w:bCs/>
        </w:rPr>
        <w:fldChar w:fldCharType="begin"/>
      </w:r>
      <w:r w:rsidR="00276090">
        <w:rPr>
          <w:rFonts w:ascii="Times New Roman" w:hAnsi="Times New Roman" w:cs="Times New Roman"/>
          <w:b/>
          <w:bCs/>
        </w:rPr>
        <w:instrText xml:space="preserve"> ADDIN EN.CITE &lt;EndNote&gt;&lt;Cite&gt;&lt;Author&gt;de Jong&lt;/Author&gt;&lt;Year&gt;2017&lt;/Year&gt;&lt;IDText&gt;Immune evasion by a staphylococcal inhibitor of myeloperoxidase&lt;/IDText&gt;&lt;DisplayText&gt;(de Jong&lt;style face="italic"&gt; et al.&lt;/style&gt;, 2017a)&lt;/DisplayText&gt;&lt;record&gt;&lt;dates&gt;&lt;pub-dates&gt;&lt;date&gt;Aug&lt;/date&gt;&lt;/pub-dates&gt;&lt;year&gt;2017&lt;/year&gt;&lt;/dates&gt;&lt;urls&gt;&lt;related-urls&gt;&lt;url&gt;&amp;lt;Go to ISI&amp;gt;://WOS:000408536000060&lt;/url&gt;&lt;/related-urls&gt;&lt;/urls&gt;&lt;isbn&gt;0027-8424&lt;/isbn&gt;&lt;titles&gt;&lt;title&gt;Immune evasion by a staphylococcal inhibitor of myeloperoxidase&lt;/title&gt;&lt;secondary-title&gt;Proceedings of the National Academy of Sciences of the United States of America&lt;/secondary-title&gt;&lt;/titles&gt;&lt;pages&gt;9439-9444&lt;/pages&gt;&lt;number&gt;35&lt;/number&gt;&lt;contributors&gt;&lt;authors&gt;&lt;author&gt;de Jong, N. W. M.&lt;/author&gt;&lt;author&gt;Ramyar, K. X.&lt;/author&gt;&lt;author&gt;Guerra, F. E.&lt;/author&gt;&lt;author&gt;Nijland, R.&lt;/author&gt;&lt;author&gt;Fevre, C.&lt;/author&gt;&lt;author&gt;Voyich, J. M.&lt;/author&gt;&lt;author&gt;McCarthy, A. J.&lt;/author&gt;&lt;author&gt;Garcia, B. L.&lt;/author&gt;&lt;author&gt;van Kessel, K. P. M.&lt;/author&gt;&lt;author&gt;van Strijp, J. A. G.&lt;/author&gt;&lt;author&gt;Geisbrecht, B. V.&lt;/author&gt;&lt;author&gt;Haas, P. J. A.&lt;/author&gt;&lt;/authors&gt;&lt;/contributors&gt;&lt;added-date format="utc"&gt;1677700509&lt;/added-date&gt;&lt;ref-type name="Journal Article"&gt;17&lt;/ref-type&gt;&lt;rec-number&gt;621&lt;/rec-number&gt;&lt;last-updated-date format="utc"&gt;1677725365&lt;/last-updated-date&gt;&lt;accession-num&gt;WOS:000408536000060&lt;/accession-num&gt;&lt;electronic-resource-num&gt;10.1073/pnas.1707032114&lt;/electronic-resource-num&gt;&lt;volume&gt;114&lt;/volume&gt;&lt;/record&gt;&lt;/Cite&gt;&lt;/EndNote&gt;</w:instrText>
      </w:r>
      <w:r w:rsidRPr="00313F2F">
        <w:rPr>
          <w:rFonts w:ascii="Times New Roman" w:hAnsi="Times New Roman" w:cs="Times New Roman"/>
          <w:b/>
          <w:bCs/>
        </w:rPr>
        <w:fldChar w:fldCharType="separate"/>
      </w:r>
      <w:r w:rsidR="00276090">
        <w:rPr>
          <w:rFonts w:ascii="Times New Roman" w:hAnsi="Times New Roman" w:cs="Times New Roman"/>
          <w:b/>
          <w:bCs/>
          <w:noProof/>
        </w:rPr>
        <w:t>(de Jong</w:t>
      </w:r>
      <w:r w:rsidR="00276090" w:rsidRPr="00276090">
        <w:rPr>
          <w:rFonts w:ascii="Times New Roman" w:hAnsi="Times New Roman" w:cs="Times New Roman"/>
          <w:b/>
          <w:bCs/>
          <w:i/>
          <w:noProof/>
        </w:rPr>
        <w:t xml:space="preserve"> et al.</w:t>
      </w:r>
      <w:r w:rsidR="00276090">
        <w:rPr>
          <w:rFonts w:ascii="Times New Roman" w:hAnsi="Times New Roman" w:cs="Times New Roman"/>
          <w:b/>
          <w:bCs/>
          <w:noProof/>
        </w:rPr>
        <w:t>, 2017a)</w:t>
      </w:r>
      <w:r w:rsidRPr="00313F2F">
        <w:rPr>
          <w:rFonts w:ascii="Times New Roman" w:hAnsi="Times New Roman" w:cs="Times New Roman"/>
          <w:b/>
          <w:bCs/>
        </w:rPr>
        <w:fldChar w:fldCharType="end"/>
      </w:r>
      <w:r>
        <w:rPr>
          <w:rFonts w:ascii="Times New Roman" w:hAnsi="Times New Roman" w:cs="Times New Roman"/>
        </w:rPr>
        <w:t xml:space="preserve">. Thus, both Eap proteins and SPIN are able to target degradative enzymes released by neutrophils. </w:t>
      </w:r>
    </w:p>
    <w:p w14:paraId="64935146" w14:textId="217A85CC" w:rsidR="00033564" w:rsidRDefault="00033564" w:rsidP="00033564">
      <w:pPr>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Staphylococcal secreted proteins also extend to the arsenal of toxins it produces. Toxins are categorised as exfoliative, pore-forming </w:t>
      </w:r>
      <w:r w:rsidR="00E20145">
        <w:rPr>
          <w:rFonts w:ascii="Times New Roman" w:hAnsi="Times New Roman" w:cs="Times New Roman"/>
        </w:rPr>
        <w:t>or</w:t>
      </w:r>
      <w:r>
        <w:rPr>
          <w:rFonts w:ascii="Times New Roman" w:hAnsi="Times New Roman" w:cs="Times New Roman"/>
        </w:rPr>
        <w:t xml:space="preserve"> superantigens. The exfoliative toxins A/B (ETA/B) are involved in SSTIs such as bullous impetigo and staphylococcal scalded skin syndrome. ETA/B are serine proteases that cleave desmoglein 1, an adhesive protein th</w:t>
      </w:r>
      <w:r w:rsidR="00B17F15">
        <w:rPr>
          <w:rFonts w:ascii="Times New Roman" w:hAnsi="Times New Roman" w:cs="Times New Roman"/>
        </w:rPr>
        <w:t>at</w:t>
      </w:r>
      <w:r>
        <w:rPr>
          <w:rFonts w:ascii="Times New Roman" w:hAnsi="Times New Roman" w:cs="Times New Roman"/>
        </w:rPr>
        <w:t xml:space="preserve"> maintains the structure of the skin layers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&lt;EndNote&gt;&lt;Cite&gt;&lt;Author&gt;Amagai&lt;/Author&gt;&lt;Year&gt;2000&lt;/Year&gt;&lt;IDText&gt;Toxin in bullous impetigo and staphylococcal scalded-skin syndrome targets desmoglein 1&lt;/IDText&gt;&lt;DisplayText&gt;(Amagai&lt;style face="italic"&gt; et al.&lt;/style&gt;, 2000)&lt;/DisplayText&gt;&lt;record&gt;&lt;dates&gt;&lt;pub-dates&gt;&lt;date&gt;Nov&lt;/date&gt;&lt;/pub-dates&gt;&lt;year&gt;2000&lt;/year&gt;&lt;/dates&gt;&lt;urls&gt;&lt;related-urls&gt;&lt;url&gt;&amp;lt;Go to ISI&amp;gt;://WOS:000165114800037&lt;/url&gt;&lt;/related-urls&gt;&lt;/urls&gt;&lt;isbn&gt;1078-8956&lt;/isbn&gt;&lt;titles&gt;&lt;title&gt;Toxin in bullous impetigo and staphylococcal scalded-skin syndrome targets desmoglein 1&lt;/title&gt;&lt;secondary-title&gt;Nature Medicine&lt;/secondary-title&gt;&lt;/titles&gt;&lt;pages&gt;1275-1277&lt;/pages&gt;&lt;number&gt;11&lt;/number&gt;&lt;contributors&gt;&lt;authors&gt;&lt;author&gt;Amagai, M.&lt;/author&gt;&lt;author&gt;Matsuyoshi, N.&lt;/author&gt;&lt;author&gt;Wang, Z. H.&lt;/author&gt;&lt;author&gt;Andl, C.&lt;/author&gt;&lt;author&gt;Stanley, J. R.&lt;/author&gt;&lt;/authors&gt;&lt;/contributors&gt;&lt;added-date format="utc"&gt;1677705119&lt;/added-date&gt;&lt;ref-type name="Journal Article"&gt;17&lt;/ref-type&gt;&lt;rec-number&gt;624&lt;/rec-number&gt;&lt;last-updated-date format="utc"&gt;1677725365&lt;/last-updated-date&gt;&lt;accession-num&gt;WOS:000165114800037&lt;/accession-num&gt;&lt;electronic-resource-num&gt;10.1038/81385&lt;/electronic-resource-num&gt;&lt;volume&gt;6&lt;/volume&gt;&lt;/record&gt;&lt;/Cite&gt;&lt;/EndNote&gt;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(Amagai</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2000)</w:t>
      </w:r>
      <w:r w:rsidRPr="00433266">
        <w:rPr>
          <w:rFonts w:ascii="Times New Roman" w:hAnsi="Times New Roman" w:cs="Times New Roman"/>
          <w:b/>
          <w:bCs/>
        </w:rPr>
        <w:fldChar w:fldCharType="end"/>
      </w:r>
      <w:r>
        <w:rPr>
          <w:rFonts w:ascii="Times New Roman" w:hAnsi="Times New Roman" w:cs="Times New Roman"/>
          <w:b/>
          <w:bCs/>
        </w:rPr>
        <w:t xml:space="preserve"> (Fig. 1.1.3)</w:t>
      </w:r>
      <w:r>
        <w:rPr>
          <w:rFonts w:ascii="Times New Roman" w:hAnsi="Times New Roman" w:cs="Times New Roman"/>
        </w:rPr>
        <w:t xml:space="preserve">, which results in skin blisters. The pore-forming toxins function by disrupting membrane integrity by forming pores in host cells, eventually leading to cell death. The </w:t>
      </w:r>
      <w:r w:rsidRPr="001E1079">
        <w:rPr>
          <w:rFonts w:ascii="Times New Roman" w:hAnsi="Times New Roman" w:cs="Times New Roman"/>
        </w:rPr>
        <w:t>α</w:t>
      </w:r>
      <w:r>
        <w:rPr>
          <w:rFonts w:ascii="Times New Roman" w:hAnsi="Times New Roman" w:cs="Times New Roman"/>
        </w:rPr>
        <w:t xml:space="preserve">-toxin forms a heptameric β-barrel pore and binds to the ADAM10 </w:t>
      </w:r>
      <w:r w:rsidR="00BF0AF4">
        <w:rPr>
          <w:rFonts w:ascii="Times New Roman" w:hAnsi="Times New Roman" w:cs="Times New Roman"/>
        </w:rPr>
        <w:t>protease,</w:t>
      </w:r>
      <w:r>
        <w:rPr>
          <w:rFonts w:ascii="Times New Roman" w:hAnsi="Times New Roman" w:cs="Times New Roman"/>
        </w:rPr>
        <w:t xml:space="preserve">, found on </w:t>
      </w:r>
      <w:r>
        <w:rPr>
          <w:rFonts w:ascii="Times New Roman" w:hAnsi="Times New Roman" w:cs="Times New Roman"/>
        </w:rPr>
        <w:lastRenderedPageBreak/>
        <w:t xml:space="preserve">endothelial and epithelial cells, and this interaction is required for cytotoxicity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&lt;EndNote&gt;&lt;Cite&gt;&lt;Author&gt;Wilke&lt;/Author&gt;&lt;Year&gt;2010&lt;/Year&gt;&lt;IDText&gt;Role of a disintegrin and metalloprotease 10 in Staphylococcus aureus alpha-hemolysin-mediated cellular injury&lt;/IDText&gt;&lt;DisplayText&gt;(Wilke and Wardenburg, 2010)&lt;/DisplayText&gt;&lt;record&gt;&lt;dates&gt;&lt;pub-dates&gt;&lt;date&gt;Jul&lt;/date&gt;&lt;/pub-dates&gt;&lt;year&gt;2010&lt;/year&gt;&lt;/dates&gt;&lt;urls&gt;&lt;related-urls&gt;&lt;url&gt;&amp;lt;Go to ISI&amp;gt;://WOS:000280602800052&lt;/url&gt;&lt;/related-urls&gt;&lt;/urls&gt;&lt;isbn&gt;0027-8424&lt;/isbn&gt;&lt;titles&gt;&lt;title&gt;Role of a disintegrin and metalloprotease 10 in Staphylococcus aureus alpha-hemolysin-mediated cellular injury&lt;/title&gt;&lt;secondary-title&gt;Proceedings of the National Academy of Sciences of the United States of America&lt;/secondary-title&gt;&lt;/titles&gt;&lt;pages&gt;13473-13478&lt;/pages&gt;&lt;number&gt;30&lt;/number&gt;&lt;contributors&gt;&lt;authors&gt;&lt;author&gt;Wilke, G. A.&lt;/author&gt;&lt;author&gt;Wardenburg, J. B.&lt;/author&gt;&lt;/authors&gt;&lt;/contributors&gt;&lt;added-date format="utc"&gt;1677707794&lt;/added-date&gt;&lt;ref-type name="Journal Article"&gt;17&lt;/ref-type&gt;&lt;rec-number&gt;627&lt;/rec-number&gt;&lt;last-updated-date format="utc"&gt;1677725365&lt;/last-updated-date&gt;&lt;accession-num&gt;WOS:000280602800052&lt;/accession-num&gt;&lt;electronic-resource-num&gt;10.1073/pnas.1001815107&lt;/electronic-resource-num&gt;&lt;volume&gt;107&lt;/volume&gt;&lt;/record&gt;&lt;/Cite&gt;&lt;/EndNote&gt;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(Wilke and Wardenburg, 2010)</w:t>
      </w:r>
      <w:r w:rsidRPr="00433266">
        <w:rPr>
          <w:rFonts w:ascii="Times New Roman" w:hAnsi="Times New Roman" w:cs="Times New Roman"/>
          <w:b/>
          <w:bCs/>
        </w:rPr>
        <w:fldChar w:fldCharType="end"/>
      </w:r>
      <w:r>
        <w:rPr>
          <w:rFonts w:ascii="Times New Roman" w:hAnsi="Times New Roman" w:cs="Times New Roman"/>
        </w:rPr>
        <w:t xml:space="preserve">. In a murine sepsis model, </w:t>
      </w:r>
      <w:r w:rsidRPr="001E1079">
        <w:rPr>
          <w:rFonts w:ascii="Times New Roman" w:hAnsi="Times New Roman" w:cs="Times New Roman"/>
        </w:rPr>
        <w:t>α</w:t>
      </w:r>
      <w:r>
        <w:rPr>
          <w:rFonts w:ascii="Times New Roman" w:hAnsi="Times New Roman" w:cs="Times New Roman"/>
        </w:rPr>
        <w:t xml:space="preserve">-toxin was required for virulence by impacting endothelial cell barrier function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&lt;EndNote&gt;&lt;Cite&gt;&lt;Author&gt;Powers&lt;/Author&gt;&lt;Year&gt;2012&lt;/Year&gt;&lt;IDText&gt;ADAM10 Mediates Vascular Injury Induced by Staphylococcus aureus alpha-Hemolysin&lt;/IDText&gt;&lt;DisplayText&gt;(Powers&lt;style face="italic"&gt; et al.&lt;/style&gt;, 2012)&lt;/DisplayText&gt;&lt;record&gt;&lt;dates&gt;&lt;pub-dates&gt;&lt;date&gt;Aug&lt;/date&gt;&lt;/pub-dates&gt;&lt;year&gt;2012&lt;/year&gt;&lt;/dates&gt;&lt;urls&gt;&lt;related-urls&gt;&lt;url&gt;&amp;lt;Go to ISI&amp;gt;://WOS:000306369100007&lt;/url&gt;&lt;/related-urls&gt;&lt;/urls&gt;&lt;isbn&gt;0022-1899&lt;/isbn&gt;&lt;titles&gt;&lt;title&gt;ADAM10 Mediates Vascular Injury Induced by Staphylococcus aureus alpha-Hemolysin&lt;/title&gt;&lt;secondary-title&gt;Journal of Infectious Diseases&lt;/secondary-title&gt;&lt;/titles&gt;&lt;pages&gt;352-356&lt;/pages&gt;&lt;number&gt;3&lt;/number&gt;&lt;contributors&gt;&lt;authors&gt;&lt;author&gt;Powers, M. E.&lt;/author&gt;&lt;author&gt;Kim, H. K.&lt;/author&gt;&lt;author&gt;Wang, Y.&lt;/author&gt;&lt;author&gt;Wardenburg, J. B.&lt;/author&gt;&lt;/authors&gt;&lt;/contributors&gt;&lt;added-date format="utc"&gt;1677708549&lt;/added-date&gt;&lt;ref-type name="Journal Article"&gt;17&lt;/ref-type&gt;&lt;rec-number&gt;628&lt;/rec-number&gt;&lt;last-updated-date format="utc"&gt;1677725365&lt;/last-updated-date&gt;&lt;accession-num&gt;WOS:000306369100007&lt;/accession-num&gt;&lt;electronic-resource-num&gt;10.1093/infdis/jis192&lt;/electronic-resource-num&gt;&lt;volume&gt;206&lt;/volume&gt;&lt;/record&gt;&lt;/Cite&gt;&lt;/EndNote&gt;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(Powers</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2012)</w:t>
      </w:r>
      <w:r w:rsidRPr="00433266">
        <w:rPr>
          <w:rFonts w:ascii="Times New Roman" w:hAnsi="Times New Roman" w:cs="Times New Roman"/>
          <w:b/>
          <w:bCs/>
        </w:rPr>
        <w:fldChar w:fldCharType="end"/>
      </w:r>
      <w:r>
        <w:rPr>
          <w:rFonts w:ascii="Times New Roman" w:hAnsi="Times New Roman" w:cs="Times New Roman"/>
        </w:rPr>
        <w:t xml:space="preserve">. The PSMs are a group of </w:t>
      </w:r>
      <w:r w:rsidRPr="00C353BC">
        <w:rPr>
          <w:rFonts w:ascii="Times New Roman" w:hAnsi="Times New Roman" w:cs="Times New Roman"/>
        </w:rPr>
        <w:t xml:space="preserve">amphipathic α-helical </w:t>
      </w:r>
      <w:r>
        <w:rPr>
          <w:rFonts w:ascii="Times New Roman" w:hAnsi="Times New Roman" w:cs="Times New Roman"/>
        </w:rPr>
        <w:t xml:space="preserve">cytolytic peptide toxins that attract, activate and subsequently lyse phagocytes such as neutrophils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&lt;EndNote&gt;&lt;Cite&gt;&lt;Author&gt;Wang&lt;/Author&gt;&lt;Year&gt;2007&lt;/Year&gt;&lt;IDText&gt;Identification of novel cytolytic peptides as key virulence determinants for community-associated MRSA&lt;/IDText&gt;&lt;DisplayText&gt;(Wang&lt;style face="italic"&gt; et al.&lt;/style&gt;, 2007)&lt;/DisplayText&gt;&lt;record&gt;&lt;dates&gt;&lt;pub-dates&gt;&lt;date&gt;Dec&lt;/date&gt;&lt;/pub-dates&gt;&lt;year&gt;2007&lt;/year&gt;&lt;/dates&gt;&lt;urls&gt;&lt;related-urls&gt;&lt;url&gt;&amp;lt;Go to ISI&amp;gt;://WOS:000251445400027&lt;/url&gt;&lt;/related-urls&gt;&lt;/urls&gt;&lt;isbn&gt;1078-8956&lt;/isbn&gt;&lt;titles&gt;&lt;title&gt;Identification of novel cytolytic peptides as key virulence determinants for community-associated MRSA&lt;/title&gt;&lt;secondary-title&gt;Nature Medicine&lt;/secondary-title&gt;&lt;/titles&gt;&lt;pages&gt;1510-1514&lt;/pages&gt;&lt;number&gt;12&lt;/number&gt;&lt;contributors&gt;&lt;authors&gt;&lt;author&gt;Wang, R.&lt;/author&gt;&lt;author&gt;Braughton, K. R.&lt;/author&gt;&lt;author&gt;Kretschmer, D.&lt;/author&gt;&lt;author&gt;Bach, T. H. L.&lt;/author&gt;&lt;author&gt;Queck, S. Y.&lt;/author&gt;&lt;author&gt;Li, M.&lt;/author&gt;&lt;author&gt;Kennedy, A. D.&lt;/author&gt;&lt;author&gt;Dorward, D. W.&lt;/author&gt;&lt;author&gt;Klebanoff, S. J.&lt;/author&gt;&lt;author&gt;Peschel, A.&lt;/author&gt;&lt;author&gt;Deleo, F. R.&lt;/author&gt;&lt;author&gt;Otto, M.&lt;/author&gt;&lt;/authors&gt;&lt;/contributors&gt;&lt;added-date format="utc"&gt;1677714538&lt;/added-date&gt;&lt;ref-type name="Journal Article"&gt;17&lt;/ref-type&gt;&lt;rec-number&gt;629&lt;/rec-number&gt;&lt;last-updated-date format="utc"&gt;1677725365&lt;/last-updated-date&gt;&lt;accession-num&gt;WOS:000251445400027&lt;/accession-num&gt;&lt;electronic-resource-num&gt;10.1038/nm1656&lt;/electronic-resource-num&gt;&lt;volume&gt;13&lt;/volume&gt;&lt;/record&gt;&lt;/Cite&gt;&lt;/EndNote&gt;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(Wang</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2007)</w:t>
      </w:r>
      <w:r w:rsidRPr="00433266">
        <w:rPr>
          <w:rFonts w:ascii="Times New Roman" w:hAnsi="Times New Roman" w:cs="Times New Roman"/>
          <w:b/>
          <w:bCs/>
        </w:rPr>
        <w:fldChar w:fldCharType="end"/>
      </w:r>
      <w:r>
        <w:rPr>
          <w:rFonts w:ascii="Times New Roman" w:hAnsi="Times New Roman" w:cs="Times New Roman"/>
        </w:rPr>
        <w:t>. PSM</w:t>
      </w:r>
      <w:r w:rsidRPr="001E1079">
        <w:rPr>
          <w:rFonts w:ascii="Times New Roman" w:hAnsi="Times New Roman" w:cs="Times New Roman"/>
        </w:rPr>
        <w:t>α</w:t>
      </w:r>
      <w:r>
        <w:rPr>
          <w:rFonts w:ascii="Times New Roman" w:hAnsi="Times New Roman" w:cs="Times New Roman"/>
        </w:rPr>
        <w:t xml:space="preserve">-deficient MRSA displayed significantly reduced virulence in a murine sepsis model, while PSMβ-deficient MRSA killed similarly to wildtype (WT)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&lt;EndNote&gt;&lt;Cite&gt;&lt;Author&gt;Wang&lt;/Author&gt;&lt;Year&gt;2007&lt;/Year&gt;&lt;IDText&gt;Identification of novel cytolytic peptides as key virulence determinants for community-associated MRSA&lt;/IDText&gt;&lt;DisplayText&gt;(Wang&lt;style face="italic"&gt; et al.&lt;/style&gt;, 2007)&lt;/DisplayText&gt;&lt;record&gt;&lt;dates&gt;&lt;pub-dates&gt;&lt;date&gt;Dec&lt;/date&gt;&lt;/pub-dates&gt;&lt;year&gt;2007&lt;/year&gt;&lt;/dates&gt;&lt;urls&gt;&lt;related-urls&gt;&lt;url&gt;&amp;lt;Go to ISI&amp;gt;://WOS:000251445400027&lt;/url&gt;&lt;/related-urls&gt;&lt;/urls&gt;&lt;isbn&gt;1078-8956&lt;/isbn&gt;&lt;titles&gt;&lt;title&gt;Identification of novel cytolytic peptides as key virulence determinants for community-associated MRSA&lt;/title&gt;&lt;secondary-title&gt;Nature Medicine&lt;/secondary-title&gt;&lt;/titles&gt;&lt;pages&gt;1510-1514&lt;/pages&gt;&lt;number&gt;12&lt;/number&gt;&lt;contributors&gt;&lt;authors&gt;&lt;author&gt;Wang, R.&lt;/author&gt;&lt;author&gt;Braughton, K. R.&lt;/author&gt;&lt;author&gt;Kretschmer, D.&lt;/author&gt;&lt;author&gt;Bach, T. H. L.&lt;/author&gt;&lt;author&gt;Queck, S. Y.&lt;/author&gt;&lt;author&gt;Li, M.&lt;/author&gt;&lt;author&gt;Kennedy, A. D.&lt;/author&gt;&lt;author&gt;Dorward, D. W.&lt;/author&gt;&lt;author&gt;Klebanoff, S. J.&lt;/author&gt;&lt;author&gt;Peschel, A.&lt;/author&gt;&lt;author&gt;Deleo, F. R.&lt;/author&gt;&lt;author&gt;Otto, M.&lt;/author&gt;&lt;/authors&gt;&lt;/contributors&gt;&lt;added-date format="utc"&gt;1677714538&lt;/added-date&gt;&lt;ref-type name="Journal Article"&gt;17&lt;/ref-type&gt;&lt;rec-number&gt;629&lt;/rec-number&gt;&lt;last-updated-date format="utc"&gt;1677725365&lt;/last-updated-date&gt;&lt;accession-num&gt;WOS:000251445400027&lt;/accession-num&gt;&lt;electronic-resource-num&gt;10.1038/nm1656&lt;/electronic-resource-num&gt;&lt;volume&gt;13&lt;/volume&gt;&lt;/record&gt;&lt;/Cite&gt;&lt;/EndNote&gt;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(Wang</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2007)</w:t>
      </w:r>
      <w:r w:rsidRPr="00433266">
        <w:rPr>
          <w:rFonts w:ascii="Times New Roman" w:hAnsi="Times New Roman" w:cs="Times New Roman"/>
          <w:b/>
          <w:bCs/>
        </w:rPr>
        <w:fldChar w:fldCharType="end"/>
      </w:r>
      <w:r>
        <w:rPr>
          <w:rFonts w:ascii="Times New Roman" w:hAnsi="Times New Roman" w:cs="Times New Roman"/>
        </w:rPr>
        <w:t>. PSMs were thought to be genome-encoded however, PSM</w:t>
      </w:r>
      <w:r>
        <w:rPr>
          <w:rFonts w:ascii="Times New Roman" w:hAnsi="Times New Roman" w:cs="Times New Roman"/>
          <w:i/>
          <w:iCs/>
        </w:rPr>
        <w:t>-mec</w:t>
      </w:r>
      <w:r>
        <w:rPr>
          <w:rFonts w:ascii="Times New Roman" w:hAnsi="Times New Roman" w:cs="Times New Roman"/>
        </w:rPr>
        <w:t xml:space="preserve"> is encoded on SCC</w:t>
      </w:r>
      <w:r>
        <w:rPr>
          <w:rFonts w:ascii="Times New Roman" w:hAnsi="Times New Roman" w:cs="Times New Roman"/>
          <w:i/>
          <w:iCs/>
        </w:rPr>
        <w:t>mec</w:t>
      </w:r>
      <w:r>
        <w:rPr>
          <w:rFonts w:ascii="Times New Roman" w:hAnsi="Times New Roman" w:cs="Times New Roman"/>
        </w:rPr>
        <w:t xml:space="preserve">, adjacent to the </w:t>
      </w:r>
      <w:r>
        <w:rPr>
          <w:rFonts w:ascii="Times New Roman" w:hAnsi="Times New Roman" w:cs="Times New Roman"/>
          <w:i/>
          <w:iCs/>
        </w:rPr>
        <w:t xml:space="preserve">mec </w:t>
      </w:r>
      <w:r>
        <w:rPr>
          <w:rFonts w:ascii="Times New Roman" w:hAnsi="Times New Roman" w:cs="Times New Roman"/>
        </w:rPr>
        <w:t>gene complex and the ability of PSM-</w:t>
      </w:r>
      <w:r>
        <w:rPr>
          <w:rFonts w:ascii="Times New Roman" w:hAnsi="Times New Roman" w:cs="Times New Roman"/>
          <w:i/>
          <w:iCs/>
        </w:rPr>
        <w:t>mec</w:t>
      </w:r>
      <w:r>
        <w:rPr>
          <w:rFonts w:ascii="Times New Roman" w:hAnsi="Times New Roman" w:cs="Times New Roman"/>
        </w:rPr>
        <w:t xml:space="preserve"> to lyse neutrophils was lower than that of PSM</w:t>
      </w:r>
      <w:r w:rsidRPr="001E1079">
        <w:rPr>
          <w:rFonts w:ascii="Times New Roman" w:hAnsi="Times New Roman" w:cs="Times New Roman"/>
        </w:rPr>
        <w:t>α</w:t>
      </w:r>
      <w:r>
        <w:rPr>
          <w:rFonts w:ascii="Times New Roman" w:hAnsi="Times New Roman" w:cs="Times New Roman"/>
        </w:rPr>
        <w:t xml:space="preserve"> but higher than PSMβ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&lt;EndNote&gt;&lt;Cite&gt;&lt;Author&gt;Queck&lt;/Author&gt;&lt;Year&gt;2009&lt;/Year&gt;&lt;IDText&gt;Mobile Genetic Element-Encoded Cytolysin Connects Virulence to Methicillin Resistance in MRSA&lt;/IDText&gt;&lt;DisplayText&gt;(Queck&lt;style face="italic"&gt; et al.&lt;/style&gt;, 2009)&lt;/DisplayText&gt;&lt;record&gt;&lt;dates&gt;&lt;pub-dates&gt;&lt;date&gt;Jul&lt;/date&gt;&lt;/pub-dates&gt;&lt;year&gt;2009&lt;/year&gt;&lt;/dates&gt;&lt;urls&gt;&lt;related-urls&gt;&lt;url&gt;&amp;lt;Go to ISI&amp;gt;://WOS:000269224500009&lt;/url&gt;&lt;/related-urls&gt;&lt;/urls&gt;&lt;isbn&gt;1553-7366&lt;/isbn&gt;&lt;titles&gt;&lt;title&gt;Mobile Genetic Element-Encoded Cytolysin Connects Virulence to Methicillin Resistance in MRSA&lt;/title&gt;&lt;secondary-title&gt;Plos Pathogens&lt;/secondary-title&gt;&lt;/titles&gt;&lt;number&gt;7&lt;/number&gt;&lt;contributors&gt;&lt;authors&gt;&lt;author&gt;Queck, S. Y.&lt;/author&gt;&lt;author&gt;Khan, B. A.&lt;/author&gt;&lt;author&gt;Wang, R.&lt;/author&gt;&lt;author&gt;Bach, T. H. L.&lt;/author&gt;&lt;author&gt;Kretschmer, D.&lt;/author&gt;&lt;author&gt;Chen, L.&lt;/author&gt;&lt;author&gt;Kreiswirth, B. N.&lt;/author&gt;&lt;author&gt;Peschel, A.&lt;/author&gt;&lt;author&gt;DeLeo, F. R.&lt;/author&gt;&lt;author&gt;Otto, M.&lt;/author&gt;&lt;/authors&gt;&lt;/contributors&gt;&lt;custom7&gt;e1000533&lt;/custom7&gt;&lt;added-date format="utc"&gt;1677715313&lt;/added-date&gt;&lt;ref-type name="Journal Article"&gt;17&lt;/ref-type&gt;&lt;rec-number&gt;630&lt;/rec-number&gt;&lt;last-updated-date format="utc"&gt;1677725365&lt;/last-updated-date&gt;&lt;accession-num&gt;WOS:000269224500009&lt;/accession-num&gt;&lt;electronic-resource-num&gt;10.1371/journal.ppat.1000533&lt;/electronic-resource-num&gt;&lt;volume&gt;5&lt;/volume&gt;&lt;/record&gt;&lt;/Cite&gt;&lt;/EndNote&gt;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(Queck</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2009)</w:t>
      </w:r>
      <w:r w:rsidRPr="00433266">
        <w:rPr>
          <w:rFonts w:ascii="Times New Roman" w:hAnsi="Times New Roman" w:cs="Times New Roman"/>
          <w:b/>
          <w:bCs/>
        </w:rPr>
        <w:fldChar w:fldCharType="end"/>
      </w:r>
      <w:r>
        <w:rPr>
          <w:rFonts w:ascii="Times New Roman" w:hAnsi="Times New Roman" w:cs="Times New Roman"/>
        </w:rPr>
        <w:t xml:space="preserve">. This demonstrates how some strains of MRSA evolve to acquire virulence factors by “toxin hitchhiking” on MGEs, which are important determinants of disease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&lt;EndNote&gt;&lt;Cite&gt;&lt;Author&gt;Queck&lt;/Author&gt;&lt;Year&gt;2009&lt;/Year&gt;&lt;IDText&gt;Mobile Genetic Element-Encoded Cytolysin Connects Virulence to Methicillin Resistance in MRSA&lt;/IDText&gt;&lt;DisplayText&gt;(Queck&lt;style face="italic"&gt; et al.&lt;/style&gt;, 2009)&lt;/DisplayText&gt;&lt;record&gt;&lt;dates&gt;&lt;pub-dates&gt;&lt;date&gt;Jul&lt;/date&gt;&lt;/pub-dates&gt;&lt;year&gt;2009&lt;/year&gt;&lt;/dates&gt;&lt;urls&gt;&lt;related-urls&gt;&lt;url&gt;&amp;lt;Go to ISI&amp;gt;://WOS:000269224500009&lt;/url&gt;&lt;/related-urls&gt;&lt;/urls&gt;&lt;isbn&gt;1553-7366&lt;/isbn&gt;&lt;titles&gt;&lt;title&gt;Mobile Genetic Element-Encoded Cytolysin Connects Virulence to Methicillin Resistance in MRSA&lt;/title&gt;&lt;secondary-title&gt;Plos Pathogens&lt;/secondary-title&gt;&lt;/titles&gt;&lt;number&gt;7&lt;/number&gt;&lt;contributors&gt;&lt;authors&gt;&lt;author&gt;Queck, S. Y.&lt;/author&gt;&lt;author&gt;Khan, B. A.&lt;/author&gt;&lt;author&gt;Wang, R.&lt;/author&gt;&lt;author&gt;Bach, T. H. L.&lt;/author&gt;&lt;author&gt;Kretschmer, D.&lt;/author&gt;&lt;author&gt;Chen, L.&lt;/author&gt;&lt;author&gt;Kreiswirth, B. N.&lt;/author&gt;&lt;author&gt;Peschel, A.&lt;/author&gt;&lt;author&gt;DeLeo, F. R.&lt;/author&gt;&lt;author&gt;Otto, M.&lt;/author&gt;&lt;/authors&gt;&lt;/contributors&gt;&lt;custom7&gt;e1000533&lt;/custom7&gt;&lt;added-date format="utc"&gt;1677715313&lt;/added-date&gt;&lt;ref-type name="Journal Article"&gt;17&lt;/ref-type&gt;&lt;rec-number&gt;630&lt;/rec-number&gt;&lt;last-updated-date format="utc"&gt;1677725365&lt;/last-updated-date&gt;&lt;accession-num&gt;WOS:000269224500009&lt;/accession-num&gt;&lt;electronic-resource-num&gt;10.1371/journal.ppat.1000533&lt;/electronic-resource-num&gt;&lt;volume&gt;5&lt;/volume&gt;&lt;/record&gt;&lt;/Cite&gt;&lt;/EndNote&gt;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(Queck</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2009)</w:t>
      </w:r>
      <w:r w:rsidRPr="00433266">
        <w:rPr>
          <w:rFonts w:ascii="Times New Roman" w:hAnsi="Times New Roman" w:cs="Times New Roman"/>
          <w:b/>
          <w:bCs/>
        </w:rPr>
        <w:fldChar w:fldCharType="end"/>
      </w:r>
      <w:r>
        <w:rPr>
          <w:rFonts w:ascii="Times New Roman" w:hAnsi="Times New Roman" w:cs="Times New Roman"/>
        </w:rPr>
        <w:t xml:space="preserve">. Panton-Valentine leukocidin (PVL) and leukocidin AB (LukAB) are examples of two-component toxins. PVL binds to the C5aR and LukAB </w:t>
      </w:r>
      <w:r w:rsidR="00E20145">
        <w:rPr>
          <w:rFonts w:ascii="Times New Roman" w:hAnsi="Times New Roman" w:cs="Times New Roman"/>
        </w:rPr>
        <w:t xml:space="preserve">binds </w:t>
      </w:r>
      <w:r>
        <w:rPr>
          <w:rFonts w:ascii="Times New Roman" w:hAnsi="Times New Roman" w:cs="Times New Roman"/>
        </w:rPr>
        <w:t xml:space="preserve">to the leukocyte intregrin CD11b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&lt;EndNote&gt;&lt;Cite&gt;&lt;Author&gt;Alonzo&lt;/Author&gt;&lt;Year&gt;2014&lt;/Year&gt;&lt;IDText&gt;The Bicomponent Pore-Forming Leucocidins of Staphylococcus aureus&lt;/IDText&gt;&lt;DisplayText&gt;(Alonzo and Torres, 2014)&lt;/DisplayText&gt;&lt;record&gt;&lt;dates&gt;&lt;pub-dates&gt;&lt;date&gt;Jun&lt;/date&gt;&lt;/pub-dates&gt;&lt;year&gt;2014&lt;/year&gt;&lt;/dates&gt;&lt;urls&gt;&lt;related-urls&gt;&lt;url&gt;&amp;lt;Go to ISI&amp;gt;://WOS:000341639100001&lt;/url&gt;&lt;/related-urls&gt;&lt;/urls&gt;&lt;isbn&gt;1092-2172&lt;/isbn&gt;&lt;titles&gt;&lt;title&gt;The Bicomponent Pore-Forming Leucocidins of Staphylococcus aureus&lt;/title&gt;&lt;secondary-title&gt;Microbiology and Molecular Biology Reviews&lt;/secondary-title&gt;&lt;/titles&gt;&lt;pages&gt;199-230&lt;/pages&gt;&lt;number&gt;2&lt;/number&gt;&lt;contributors&gt;&lt;authors&gt;&lt;author&gt;Alonzo, F.&lt;/author&gt;&lt;author&gt;Torres, V. J.&lt;/author&gt;&lt;/authors&gt;&lt;/contributors&gt;&lt;added-date format="utc"&gt;1677717891&lt;/added-date&gt;&lt;ref-type name="Journal Article"&gt;17&lt;/ref-type&gt;&lt;rec-number&gt;631&lt;/rec-number&gt;&lt;last-updated-date format="utc"&gt;1677725365&lt;/last-updated-date&gt;&lt;accession-num&gt;WOS:000341639100001&lt;/accession-num&gt;&lt;electronic-resource-num&gt;10.1128/mmbr.00055-13&lt;/electronic-resource-num&gt;&lt;volume&gt;78&lt;/volume&gt;&lt;/record&gt;&lt;/Cite&gt;&lt;/EndNote&gt;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(Alonzo and Torres, 2014)</w:t>
      </w:r>
      <w:r w:rsidRPr="00433266">
        <w:rPr>
          <w:rFonts w:ascii="Times New Roman" w:hAnsi="Times New Roman" w:cs="Times New Roman"/>
          <w:b/>
          <w:bCs/>
        </w:rPr>
        <w:fldChar w:fldCharType="end"/>
      </w:r>
      <w:r>
        <w:rPr>
          <w:rFonts w:ascii="Times New Roman" w:hAnsi="Times New Roman" w:cs="Times New Roman"/>
        </w:rPr>
        <w:t xml:space="preserve">. Many USA300 and USA400 MRSA strains are PVL-positive and are often associated with severe skin infections and necrotising pneumonia </w:t>
      </w:r>
      <w:r w:rsidRPr="00433266">
        <w:rPr>
          <w:rFonts w:ascii="Times New Roman" w:hAnsi="Times New Roman" w:cs="Times New Roman"/>
          <w:b/>
          <w:bCs/>
        </w:rPr>
        <w:fldChar w:fldCharType="begin">
          <w:fldData xml:space="preserve">PEVuZE5vdGU+PENpdGU+PEF1dGhvcj5MaW5hPC9BdXRob3I+PFllYXI+MTk5OTwvWWVhcj48SURU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</w:fldData>
        </w:fldChar>
      </w:r>
      <w:r w:rsidRPr="00433266">
        <w:rPr>
          <w:rFonts w:ascii="Times New Roman" w:hAnsi="Times New Roman" w:cs="Times New Roman"/>
          <w:b/>
          <w:bCs/>
        </w:rPr>
        <w:instrText xml:space="preserve"> ADDIN EN.CITE </w:instrText>
      </w:r>
      <w:r w:rsidRPr="00433266">
        <w:rPr>
          <w:rFonts w:ascii="Times New Roman" w:hAnsi="Times New Roman" w:cs="Times New Roman"/>
          <w:b/>
          <w:bCs/>
        </w:rPr>
        <w:fldChar w:fldCharType="begin">
          <w:fldData xml:space="preserve">PEVuZE5vdGU+PENpdGU+PEF1dGhvcj5MaW5hPC9BdXRob3I+PFllYXI+MTk5OTwvWWVhcj48SURU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</w:fldData>
        </w:fldChar>
      </w:r>
      <w:r w:rsidRPr="00433266">
        <w:rPr>
          <w:rFonts w:ascii="Times New Roman" w:hAnsi="Times New Roman" w:cs="Times New Roman"/>
          <w:b/>
          <w:bCs/>
        </w:rPr>
        <w:instrText xml:space="preserve"> ADDIN EN.CITE.DATA </w:instrText>
      </w:r>
      <w:r w:rsidRPr="00433266">
        <w:rPr>
          <w:rFonts w:ascii="Times New Roman" w:hAnsi="Times New Roman" w:cs="Times New Roman"/>
          <w:b/>
          <w:bCs/>
        </w:rPr>
      </w:r>
      <w:r w:rsidRPr="00433266">
        <w:rPr>
          <w:rFonts w:ascii="Times New Roman" w:hAnsi="Times New Roman" w:cs="Times New Roman"/>
          <w:b/>
          <w:bCs/>
        </w:rPr>
        <w:fldChar w:fldCharType="end"/>
      </w:r>
      <w:r w:rsidRPr="00433266">
        <w:rPr>
          <w:rFonts w:ascii="Times New Roman" w:hAnsi="Times New Roman" w:cs="Times New Roman"/>
          <w:b/>
          <w:bCs/>
        </w:rPr>
      </w:r>
      <w:r w:rsidRPr="00433266">
        <w:rPr>
          <w:rFonts w:ascii="Times New Roman" w:hAnsi="Times New Roman" w:cs="Times New Roman"/>
          <w:b/>
          <w:bCs/>
        </w:rPr>
        <w:fldChar w:fldCharType="separate"/>
      </w:r>
      <w:r w:rsidRPr="00433266">
        <w:rPr>
          <w:rFonts w:ascii="Times New Roman" w:hAnsi="Times New Roman" w:cs="Times New Roman"/>
          <w:b/>
          <w:bCs/>
          <w:noProof/>
        </w:rPr>
        <w:t>(Lina</w:t>
      </w:r>
      <w:r w:rsidRPr="00433266">
        <w:rPr>
          <w:rFonts w:ascii="Times New Roman" w:hAnsi="Times New Roman" w:cs="Times New Roman"/>
          <w:b/>
          <w:bCs/>
          <w:i/>
          <w:noProof/>
        </w:rPr>
        <w:t xml:space="preserve"> et al.</w:t>
      </w:r>
      <w:r w:rsidRPr="00433266">
        <w:rPr>
          <w:rFonts w:ascii="Times New Roman" w:hAnsi="Times New Roman" w:cs="Times New Roman"/>
          <w:b/>
          <w:bCs/>
          <w:noProof/>
        </w:rPr>
        <w:t>, 1999; Gillet</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2002)</w:t>
      </w:r>
      <w:r w:rsidRPr="00433266">
        <w:rPr>
          <w:rFonts w:ascii="Times New Roman" w:hAnsi="Times New Roman" w:cs="Times New Roman"/>
          <w:b/>
          <w:bCs/>
        </w:rPr>
        <w:fldChar w:fldCharType="end"/>
      </w:r>
      <w:r w:rsidRPr="00B365D9">
        <w:rPr>
          <w:rFonts w:ascii="Times New Roman" w:hAnsi="Times New Roman" w:cs="Times New Roman"/>
        </w:rPr>
        <w:t>.</w:t>
      </w:r>
      <w:r>
        <w:rPr>
          <w:rFonts w:ascii="Times New Roman" w:hAnsi="Times New Roman" w:cs="Times New Roman"/>
        </w:rPr>
        <w:t xml:space="preserve"> A well-known staphylococcal superantigen (sAg) is the toxic shock syndrome toxin (TSST) that is responsible for the cytokine storm and multi-organ failure associated with toxic shock syndrome. This is achieved by the crosslinking of </w:t>
      </w:r>
      <w:r w:rsidRPr="006008E9">
        <w:rPr>
          <w:rFonts w:ascii="Times New Roman" w:hAnsi="Times New Roman" w:cs="Times New Roman"/>
        </w:rPr>
        <w:t>major histocompatibility complex class II molecules on antigen-presenting cells (APCs) to T cell receptors (TCRs)</w:t>
      </w:r>
      <w:r>
        <w:rPr>
          <w:rFonts w:ascii="Times New Roman" w:hAnsi="Times New Roman" w:cs="Times New Roman"/>
        </w:rPr>
        <w:t xml:space="preserve">, which leads to overactivation of the immune system, and excess cytokine production </w:t>
      </w:r>
      <w:r w:rsidRPr="00433266">
        <w:rPr>
          <w:rFonts w:ascii="Times New Roman" w:hAnsi="Times New Roman" w:cs="Times New Roman"/>
          <w:b/>
          <w:bCs/>
        </w:rPr>
        <w:fldChar w:fldCharType="begin">
          <w:fldData xml:space="preserve">PEVuZE5vdGU+PENpdGU+PEF1dGhvcj5GbGVpc2NoZXI8L0F1dGhvcj48WWVhcj4xOTg4PC9ZZWFy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</w:fldData>
        </w:fldChar>
      </w:r>
      <w:r w:rsidRPr="00433266">
        <w:rPr>
          <w:rFonts w:ascii="Times New Roman" w:hAnsi="Times New Roman" w:cs="Times New Roman"/>
          <w:b/>
          <w:bCs/>
        </w:rPr>
        <w:instrText xml:space="preserve"> ADDIN EN.CITE </w:instrText>
      </w:r>
      <w:r w:rsidRPr="00433266">
        <w:rPr>
          <w:rFonts w:ascii="Times New Roman" w:hAnsi="Times New Roman" w:cs="Times New Roman"/>
          <w:b/>
          <w:bCs/>
        </w:rPr>
        <w:fldChar w:fldCharType="begin">
          <w:fldData xml:space="preserve">PEVuZE5vdGU+PENpdGU+PEF1dGhvcj5GbGVpc2NoZXI8L0F1dGhvcj48WWVhcj4xOTg4PC9ZZWFy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</w:fldData>
        </w:fldChar>
      </w:r>
      <w:r w:rsidRPr="00433266">
        <w:rPr>
          <w:rFonts w:ascii="Times New Roman" w:hAnsi="Times New Roman" w:cs="Times New Roman"/>
          <w:b/>
          <w:bCs/>
        </w:rPr>
        <w:instrText xml:space="preserve"> ADDIN EN.CITE.DATA </w:instrText>
      </w:r>
      <w:r w:rsidRPr="00433266">
        <w:rPr>
          <w:rFonts w:ascii="Times New Roman" w:hAnsi="Times New Roman" w:cs="Times New Roman"/>
          <w:b/>
          <w:bCs/>
        </w:rPr>
      </w:r>
      <w:r w:rsidRPr="00433266">
        <w:rPr>
          <w:rFonts w:ascii="Times New Roman" w:hAnsi="Times New Roman" w:cs="Times New Roman"/>
          <w:b/>
          <w:bCs/>
        </w:rPr>
        <w:fldChar w:fldCharType="end"/>
      </w:r>
      <w:r w:rsidRPr="00433266">
        <w:rPr>
          <w:rFonts w:ascii="Times New Roman" w:hAnsi="Times New Roman" w:cs="Times New Roman"/>
          <w:b/>
          <w:bCs/>
        </w:rPr>
      </w:r>
      <w:r w:rsidRPr="00433266">
        <w:rPr>
          <w:rFonts w:ascii="Times New Roman" w:hAnsi="Times New Roman" w:cs="Times New Roman"/>
          <w:b/>
          <w:bCs/>
        </w:rPr>
        <w:fldChar w:fldCharType="separate"/>
      </w:r>
      <w:r w:rsidRPr="00433266">
        <w:rPr>
          <w:rFonts w:ascii="Times New Roman" w:hAnsi="Times New Roman" w:cs="Times New Roman"/>
          <w:b/>
          <w:bCs/>
          <w:noProof/>
        </w:rPr>
        <w:t>(Fleischer and Schrezenmeier, 1988; Stich</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2010)</w:t>
      </w:r>
      <w:r w:rsidRPr="00433266">
        <w:rPr>
          <w:rFonts w:ascii="Times New Roman" w:hAnsi="Times New Roman" w:cs="Times New Roman"/>
          <w:b/>
          <w:bCs/>
        </w:rPr>
        <w:fldChar w:fldCharType="end"/>
      </w:r>
      <w:r>
        <w:rPr>
          <w:rFonts w:ascii="Times New Roman" w:hAnsi="Times New Roman" w:cs="Times New Roman"/>
          <w:b/>
          <w:bCs/>
        </w:rPr>
        <w:t xml:space="preserve"> (Fig. 1.1.3)</w:t>
      </w:r>
      <w:r>
        <w:rPr>
          <w:rFonts w:ascii="Times New Roman" w:hAnsi="Times New Roman" w:cs="Times New Roman"/>
        </w:rPr>
        <w:t xml:space="preserve">. Recently, it was shown that TSST interacts with </w:t>
      </w:r>
      <w:r w:rsidRPr="001463A5">
        <w:rPr>
          <w:rFonts w:ascii="Times New Roman" w:hAnsi="Times New Roman" w:cs="Times New Roman"/>
        </w:rPr>
        <w:t>TRBV12-3/12-4+ TCRs</w:t>
      </w:r>
      <w:r>
        <w:rPr>
          <w:rFonts w:ascii="Times New Roman" w:hAnsi="Times New Roman" w:cs="Times New Roman"/>
        </w:rPr>
        <w:t xml:space="preserve">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&lt;EndNote&gt;&lt;Cite&gt;&lt;Author&gt;Shepherd&lt;/Author&gt;&lt;Year&gt;2023&lt;/Year&gt;&lt;IDText&gt;The superantigens SpeC and TSST-1 specifically activate TRBV12-3/12-4(+) memory T cells&lt;/IDText&gt;&lt;DisplayText&gt;(Shepherd&lt;style face="italic"&gt; et al.&lt;/style&gt;, 2023)&lt;/DisplayText&gt;&lt;record&gt;&lt;dates&gt;&lt;pub-dates&gt;&lt;date&gt;Jan&lt;/date&gt;&lt;/pub-dates&gt;&lt;year&gt;2023&lt;/year&gt;&lt;/dates&gt;&lt;urls&gt;&lt;related-urls&gt;&lt;url&gt;&amp;lt;Go to ISI&amp;gt;://WOS:000918138200001&lt;/url&gt;&lt;/related-urls&gt;&lt;/urls&gt;&lt;titles&gt;&lt;title&gt;The superantigens SpeC and TSST-1 specifically activate TRBV12-3/12-4(+) memory T cells&lt;/title&gt;&lt;secondary-title&gt;Communications Biology&lt;/secondary-title&gt;&lt;/titles&gt;&lt;number&gt;1&lt;/number&gt;&lt;contributors&gt;&lt;authors&gt;&lt;author&gt;Shepherd, F. R.&lt;/author&gt;&lt;author&gt;Davies, K.&lt;/author&gt;&lt;author&gt;Miners, K. L.&lt;/author&gt;&lt;author&gt;Llewellyn-Lacey, S.&lt;/author&gt;&lt;author&gt;Kollnberger, S.&lt;/author&gt;&lt;author&gt;Redman, J. E.&lt;/author&gt;&lt;author&gt;Grant, M. M.&lt;/author&gt;&lt;author&gt;Ladell, K.&lt;/author&gt;&lt;author&gt;Price, D. A.&lt;/author&gt;&lt;author&gt;McLaren, J. E.&lt;/author&gt;&lt;/authors&gt;&lt;/contributors&gt;&lt;custom7&gt;78&lt;/custom7&gt;&lt;added-date format="utc"&gt;1677720590&lt;/added-date&gt;&lt;ref-type name="Journal Article"&gt;17&lt;/ref-type&gt;&lt;rec-number&gt;636&lt;/rec-number&gt;&lt;last-updated-date format="utc"&gt;1677725365&lt;/last-updated-date&gt;&lt;accession-num&gt;WOS:000918138200001&lt;/accession-num&gt;&lt;electronic-resource-num&gt;10.1038/s42003-023-04420-1&lt;/electronic-resource-num&gt;&lt;volume&gt;6&lt;/volume&gt;&lt;/record&gt;&lt;/Cite&gt;&lt;/EndNote&gt;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(Shepherd</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2023)</w:t>
      </w:r>
      <w:r w:rsidRPr="00433266">
        <w:rPr>
          <w:rFonts w:ascii="Times New Roman" w:hAnsi="Times New Roman" w:cs="Times New Roman"/>
          <w:b/>
          <w:bCs/>
        </w:rPr>
        <w:fldChar w:fldCharType="end"/>
      </w:r>
      <w:r>
        <w:rPr>
          <w:rFonts w:ascii="Times New Roman" w:hAnsi="Times New Roman" w:cs="Times New Roman"/>
        </w:rPr>
        <w:t>.</w:t>
      </w:r>
    </w:p>
    <w:p w14:paraId="02A1DA3A" w14:textId="77777777" w:rsidR="00033564" w:rsidRDefault="00033564" w:rsidP="00033564">
      <w:pPr>
        <w:pStyle w:val="Heading4"/>
      </w:pPr>
      <w:r>
        <w:t>1.1.3.3. Biofilm formation</w:t>
      </w:r>
    </w:p>
    <w:p w14:paraId="163D96D9" w14:textId="77777777" w:rsidR="00033564" w:rsidRDefault="00033564" w:rsidP="00033564"/>
    <w:p w14:paraId="53D0CA04" w14:textId="059489B1" w:rsidR="00033564" w:rsidRPr="009416F9" w:rsidRDefault="00033564" w:rsidP="00033564">
      <w:pPr>
        <w:spacing w:line="360" w:lineRule="auto"/>
        <w:jc w:val="both"/>
      </w:pPr>
      <w:r>
        <w:rPr>
          <w:rFonts w:ascii="Times New Roman" w:hAnsi="Times New Roman" w:cs="Times New Roman"/>
        </w:rPr>
        <w:t xml:space="preserve">Biofilms are sessile communities of bacteria that form on a surface, encased in a matrix of extracellular polymeric substance (EPS) that consists of many components including proteins, DNA and polysaccharides </w:t>
      </w:r>
      <w:r w:rsidRPr="008C3062">
        <w:rPr>
          <w:rFonts w:ascii="Times New Roman" w:hAnsi="Times New Roman" w:cs="Times New Roman"/>
          <w:b/>
          <w:bCs/>
        </w:rPr>
        <w:fldChar w:fldCharType="begin"/>
      </w:r>
      <w:r w:rsidRPr="008C3062">
        <w:rPr>
          <w:rFonts w:ascii="Times New Roman" w:hAnsi="Times New Roman" w:cs="Times New Roman"/>
          <w:b/>
          <w:bCs/>
        </w:rPr>
        <w:instrText xml:space="preserve"> ADDIN EN.CITE &lt;EndNote&gt;&lt;Cite&gt;&lt;Author&gt;Donlan&lt;/Author&gt;&lt;Year&gt;2002&lt;/Year&gt;&lt;IDText&gt;Biofilms: Microbial life on surfaces&lt;/IDText&gt;&lt;DisplayText&gt;(Donlan, 2002)&lt;/DisplayText&gt;&lt;record&gt;&lt;dates&gt;&lt;pub-dates&gt;&lt;date&gt;Sep&lt;/date&gt;&lt;/pub-dates&gt;&lt;year&gt;2002&lt;/year&gt;&lt;/dates&gt;&lt;urls&gt;&lt;related-urls&gt;&lt;url&gt;&amp;lt;Go to ISI&amp;gt;://WOS:000177728700001&lt;/url&gt;&lt;/related-urls&gt;&lt;/urls&gt;&lt;isbn&gt;1080-6040&lt;/isbn&gt;&lt;titles&gt;&lt;title&gt;Biofilms: Microbial life on surfaces&lt;/title&gt;&lt;secondary-title&gt;Emerging Infectious Diseases&lt;/secondary-title&gt;&lt;/titles&gt;&lt;pages&gt;881-890&lt;/pages&gt;&lt;number&gt;9&lt;/number&gt;&lt;contributors&gt;&lt;authors&gt;&lt;author&gt;Donlan, R. M.&lt;/author&gt;&lt;/authors&gt;&lt;/contributors&gt;&lt;added-date format="utc"&gt;1678231384&lt;/added-date&gt;&lt;ref-type name="Journal Article"&gt;17&lt;/ref-type&gt;&lt;rec-number&gt;748&lt;/rec-number&gt;&lt;last-updated-date format="utc"&gt;1678231384&lt;/last-updated-date&gt;&lt;accession-num&gt;WOS:000177728700001&lt;/accession-num&gt;&lt;electronic-resource-num&gt;10.3201/eid0809.020063&lt;/electronic-resource-num&gt;&lt;volume&gt;8&lt;/volume&gt;&lt;/record&gt;&lt;/Cite&gt;&lt;/EndNote&gt;</w:instrText>
      </w:r>
      <w:r w:rsidRPr="008C3062">
        <w:rPr>
          <w:rFonts w:ascii="Times New Roman" w:hAnsi="Times New Roman" w:cs="Times New Roman"/>
          <w:b/>
          <w:bCs/>
        </w:rPr>
        <w:fldChar w:fldCharType="separate"/>
      </w:r>
      <w:r w:rsidRPr="008C3062">
        <w:rPr>
          <w:rFonts w:ascii="Times New Roman" w:hAnsi="Times New Roman" w:cs="Times New Roman"/>
          <w:b/>
          <w:bCs/>
          <w:noProof/>
        </w:rPr>
        <w:t>(Donlan, 2002)</w:t>
      </w:r>
      <w:r w:rsidRPr="008C3062">
        <w:rPr>
          <w:rFonts w:ascii="Times New Roman" w:hAnsi="Times New Roman" w:cs="Times New Roman"/>
          <w:b/>
          <w:bCs/>
        </w:rPr>
        <w:fldChar w:fldCharType="end"/>
      </w:r>
      <w:r>
        <w:rPr>
          <w:rFonts w:ascii="Times New Roman" w:hAnsi="Times New Roman" w:cs="Times New Roman"/>
        </w:rPr>
        <w:t xml:space="preserve">. </w:t>
      </w:r>
      <w:r>
        <w:rPr>
          <w:rFonts w:ascii="Times New Roman" w:hAnsi="Times New Roman" w:cs="Times New Roman"/>
          <w:i/>
          <w:iCs/>
        </w:rPr>
        <w:t xml:space="preserve">S. aureus </w:t>
      </w:r>
      <w:r>
        <w:rPr>
          <w:rFonts w:ascii="Times New Roman" w:hAnsi="Times New Roman" w:cs="Times New Roman"/>
        </w:rPr>
        <w:t xml:space="preserve">can establish biofilms during infections such as osteomyelitis on bones and endocarditis on heart valves as well as on inserted medical devices and this can result in chronic infection </w:t>
      </w:r>
      <w:r w:rsidRPr="008C3062">
        <w:rPr>
          <w:rFonts w:ascii="Times New Roman" w:hAnsi="Times New Roman" w:cs="Times New Roman"/>
          <w:b/>
          <w:bCs/>
        </w:rPr>
        <w:fldChar w:fldCharType="begin"/>
      </w:r>
      <w:r w:rsidRPr="008C3062">
        <w:rPr>
          <w:rFonts w:ascii="Times New Roman" w:hAnsi="Times New Roman" w:cs="Times New Roman"/>
          <w:b/>
          <w:bCs/>
        </w:rPr>
        <w:instrText xml:space="preserve"> ADDIN EN.CITE &lt;EndNote&gt;&lt;Cite&gt;&lt;Author&gt;Kiedrowski&lt;/Author&gt;&lt;Year&gt;2011&lt;/Year&gt;&lt;IDText&gt;New approaches for treating staphylococcal biofilm infections&lt;/IDText&gt;&lt;DisplayText&gt;(Kiedrowski and Horswill, 2011)&lt;/DisplayText&gt;&lt;record&gt;&lt;urls&gt;&lt;related-urls&gt;&lt;url&gt;&amp;lt;Go to ISI&amp;gt;://WOS:000301502800008&lt;/url&gt;&lt;/related-urls&gt;&lt;/urls&gt;&lt;isbn&gt;0077-8923&lt;/isbn&gt;&lt;titles&gt;&lt;title&gt;New approaches for treating staphylococcal biofilm infections&lt;/title&gt;&lt;secondary-title&gt;Antimicrobial Therapeutics Reviews: Antibiotics That Target the Ribosome&lt;/secondary-title&gt;&lt;/titles&gt;&lt;pages&gt;104-121&lt;/pages&gt;&lt;contributors&gt;&lt;authors&gt;&lt;author&gt;Kiedrowski, M. R.&lt;/author&gt;&lt;author&gt;Horswill, A. R.&lt;/author&gt;&lt;/authors&gt;&lt;/contributors&gt;&lt;added-date format="utc"&gt;1678231896&lt;/added-date&gt;&lt;ref-type name="Journal Article"&gt;17&lt;/ref-type&gt;&lt;dates&gt;&lt;year&gt;2011&lt;/year&gt;&lt;/dates&gt;&lt;rec-number&gt;749&lt;/rec-number&gt;&lt;last-updated-date format="utc"&gt;1678231896&lt;/last-updated-date&gt;&lt;accession-num&gt;WOS:000301502800008&lt;/accession-num&gt;&lt;electronic-resource-num&gt;10.1111/j.1749-6632.2011.06281.x&lt;/electronic-resource-num&gt;&lt;volume&gt;1241&lt;/volume&gt;&lt;/record&gt;&lt;/Cite&gt;&lt;/EndNote&gt;</w:instrText>
      </w:r>
      <w:r w:rsidRPr="008C3062">
        <w:rPr>
          <w:rFonts w:ascii="Times New Roman" w:hAnsi="Times New Roman" w:cs="Times New Roman"/>
          <w:b/>
          <w:bCs/>
        </w:rPr>
        <w:fldChar w:fldCharType="separate"/>
      </w:r>
      <w:r w:rsidRPr="008C3062">
        <w:rPr>
          <w:rFonts w:ascii="Times New Roman" w:hAnsi="Times New Roman" w:cs="Times New Roman"/>
          <w:b/>
          <w:bCs/>
          <w:noProof/>
        </w:rPr>
        <w:t>(Kiedrowski and Horswill, 2011)</w:t>
      </w:r>
      <w:r w:rsidRPr="008C3062">
        <w:rPr>
          <w:rFonts w:ascii="Times New Roman" w:hAnsi="Times New Roman" w:cs="Times New Roman"/>
          <w:b/>
          <w:bCs/>
        </w:rPr>
        <w:fldChar w:fldCharType="end"/>
      </w:r>
      <w:r>
        <w:rPr>
          <w:rFonts w:ascii="Times New Roman" w:hAnsi="Times New Roman" w:cs="Times New Roman"/>
        </w:rPr>
        <w:t xml:space="preserve">. Many </w:t>
      </w:r>
      <w:r>
        <w:rPr>
          <w:rFonts w:ascii="Times New Roman" w:hAnsi="Times New Roman" w:cs="Times New Roman"/>
          <w:i/>
          <w:iCs/>
        </w:rPr>
        <w:t xml:space="preserve">S. aureus </w:t>
      </w:r>
      <w:r>
        <w:rPr>
          <w:rFonts w:ascii="Times New Roman" w:hAnsi="Times New Roman" w:cs="Times New Roman"/>
        </w:rPr>
        <w:t xml:space="preserve">virulence factors have been associated with the development of biofilms, including the MSCRAMMs that are required for initial adhesion to a surface </w:t>
      </w:r>
      <w:r w:rsidRPr="001475DD">
        <w:rPr>
          <w:rFonts w:ascii="Times New Roman" w:hAnsi="Times New Roman" w:cs="Times New Roman"/>
          <w:b/>
          <w:bCs/>
        </w:rPr>
        <w:fldChar w:fldCharType="begin"/>
      </w:r>
      <w:r w:rsidRPr="001475DD">
        <w:rPr>
          <w:rFonts w:ascii="Times New Roman" w:hAnsi="Times New Roman" w:cs="Times New Roman"/>
          <w:b/>
          <w:bCs/>
        </w:rPr>
        <w:instrText xml:space="preserve"> ADDIN EN.CITE &lt;EndNote&gt;&lt;Cite&gt;&lt;Author&gt;Foster&lt;/Author&gt;&lt;Year&gt;2014&lt;/Year&gt;&lt;IDText&gt;Adhesion, invasion and evasion: the many functions of the surface proteins of Staphylococcus aureus&lt;/IDText&gt;&lt;DisplayText&gt;(Foster&lt;style face="italic"&gt; et al.&lt;/style&gt;, 2014)&lt;/DisplayText&gt;&lt;record&gt;&lt;dates&gt;&lt;pub-dates&gt;&lt;date&gt;Jan&lt;/date&gt;&lt;/pub-dates&gt;&lt;year&gt;2014&lt;/year&gt;&lt;/dates&gt;&lt;urls&gt;&lt;related-urls&gt;&lt;url&gt;&amp;lt;Go to ISI&amp;gt;://WOS:000328742800012&lt;/url&gt;&lt;/related-urls&gt;&lt;/urls&gt;&lt;isbn&gt;1740-1526&lt;/isbn&gt;&lt;titles&gt;&lt;title&gt;Adhesion, invasion and evasion: the many functions of the surface proteins of Staphylococcus aureus&lt;/title&gt;&lt;secondary-title&gt;Nature Reviews Microbiology&lt;/secondary-title&gt;&lt;/titles&gt;&lt;pages&gt;49-62&lt;/pages&gt;&lt;number&gt;1&lt;/number&gt;&lt;contributors&gt;&lt;authors&gt;&lt;author&gt;Foster, T. J.&lt;/author&gt;&lt;author&gt;Geoghegan, J. A.&lt;/author&gt;&lt;author&gt;Ganesh, V. K.&lt;/author&gt;&lt;author&gt;Hook, M.&lt;/author&gt;&lt;/authors&gt;&lt;/contributors&gt;&lt;added-date format="utc"&gt;1677642975&lt;/added-date&gt;&lt;ref-type name="Journal Article"&gt;17&lt;/ref-type&gt;&lt;rec-number&gt;609&lt;/rec-number&gt;&lt;last-updated-date format="utc"&gt;1678058042&lt;/last-updated-date&gt;&lt;accession-num&gt;WOS:000328742800012&lt;/accession-num&gt;&lt;electronic-resource-num&gt;10.1038/nrmicro3161&lt;/electronic-resource-num&gt;&lt;volume&gt;12&lt;/volume&gt;&lt;/record&gt;&lt;/Cite&gt;&lt;/EndNote&gt;</w:instrText>
      </w:r>
      <w:r w:rsidRPr="001475DD">
        <w:rPr>
          <w:rFonts w:ascii="Times New Roman" w:hAnsi="Times New Roman" w:cs="Times New Roman"/>
          <w:b/>
          <w:bCs/>
        </w:rPr>
        <w:fldChar w:fldCharType="separate"/>
      </w:r>
      <w:r w:rsidRPr="001475DD">
        <w:rPr>
          <w:rFonts w:ascii="Times New Roman" w:hAnsi="Times New Roman" w:cs="Times New Roman"/>
          <w:b/>
          <w:bCs/>
          <w:noProof/>
        </w:rPr>
        <w:t>(Foster</w:t>
      </w:r>
      <w:r w:rsidRPr="001475DD">
        <w:rPr>
          <w:rFonts w:ascii="Times New Roman" w:hAnsi="Times New Roman" w:cs="Times New Roman"/>
          <w:b/>
          <w:bCs/>
          <w:i/>
          <w:noProof/>
        </w:rPr>
        <w:t xml:space="preserve"> et al.</w:t>
      </w:r>
      <w:r w:rsidRPr="001475DD">
        <w:rPr>
          <w:rFonts w:ascii="Times New Roman" w:hAnsi="Times New Roman" w:cs="Times New Roman"/>
          <w:b/>
          <w:bCs/>
          <w:noProof/>
        </w:rPr>
        <w:t>, 2014)</w:t>
      </w:r>
      <w:r w:rsidRPr="001475DD">
        <w:rPr>
          <w:rFonts w:ascii="Times New Roman" w:hAnsi="Times New Roman" w:cs="Times New Roman"/>
          <w:b/>
          <w:bCs/>
        </w:rPr>
        <w:fldChar w:fldCharType="end"/>
      </w:r>
      <w:r>
        <w:rPr>
          <w:rFonts w:ascii="Times New Roman" w:hAnsi="Times New Roman" w:cs="Times New Roman"/>
        </w:rPr>
        <w:t xml:space="preserve">. For example, FnBPs are required for MRSA biofilm formation as  </w:t>
      </w:r>
      <w:r>
        <w:rPr>
          <w:rFonts w:ascii="Times New Roman" w:hAnsi="Times New Roman" w:cs="Times New Roman"/>
          <w:i/>
          <w:iCs/>
        </w:rPr>
        <w:t>fnbpA/B</w:t>
      </w:r>
      <w:r>
        <w:rPr>
          <w:rFonts w:ascii="Times New Roman" w:hAnsi="Times New Roman" w:cs="Times New Roman"/>
        </w:rPr>
        <w:t xml:space="preserve"> mutants display a diminished ability to form biofilms </w:t>
      </w:r>
      <w:r w:rsidRPr="005211E4">
        <w:rPr>
          <w:rFonts w:ascii="Times New Roman" w:hAnsi="Times New Roman" w:cs="Times New Roman"/>
          <w:b/>
          <w:bCs/>
        </w:rPr>
        <w:fldChar w:fldCharType="begin"/>
      </w:r>
      <w:r w:rsidRPr="005211E4">
        <w:rPr>
          <w:rFonts w:ascii="Times New Roman" w:hAnsi="Times New Roman" w:cs="Times New Roman"/>
          <w:b/>
          <w:bCs/>
        </w:rPr>
        <w:instrText xml:space="preserve"> ADDIN EN.CITE &lt;EndNote&gt;&lt;Cite&gt;&lt;Author&gt;O&amp;apos;Neill&lt;/Author&gt;&lt;Year&gt;2008&lt;/Year&gt;&lt;IDText&gt;A novel Staphylococcus aureus biofilm phenotype mediated by the fibronectin-binding proteins, FnBPA and FnBPB&lt;/IDText&gt;&lt;DisplayText&gt;(O&amp;apos;Neill&lt;style face="italic"&gt; et al.&lt;/style&gt;, 2008)&lt;/DisplayText&gt;&lt;record&gt;&lt;dates&gt;&lt;pub-dates&gt;&lt;date&gt;Jun&lt;/date&gt;&lt;/pub-dates&gt;&lt;year&gt;2008&lt;/year&gt;&lt;/dates&gt;&lt;urls&gt;&lt;related-urls&gt;&lt;url&gt;&amp;lt;Go to ISI&amp;gt;://WOS:000256043900006&lt;/url&gt;&lt;/related-urls&gt;&lt;/urls&gt;&lt;isbn&gt;0021-9193&lt;/isbn&gt;&lt;titles&gt;&lt;title&gt;A novel Staphylococcus aureus biofilm phenotype mediated by the fibronectin-binding proteins, FnBPA and FnBPB&lt;/title&gt;&lt;secondary-title&gt;Journal of Bacteriology&lt;/secondary-title&gt;&lt;/titles&gt;&lt;pages&gt;3835-3850&lt;/pages&gt;&lt;number&gt;11&lt;/number&gt;&lt;contributors&gt;&lt;authors&gt;&lt;author&gt;O&amp;apos;Neill, E.&lt;/author&gt;&lt;author&gt;Pozzi, C.&lt;/author&gt;&lt;author&gt;Houston, P.&lt;/author&gt;&lt;author&gt;Humphreys, H.&lt;/author&gt;&lt;author&gt;Robinson, D. A.&lt;/author&gt;&lt;author&gt;Loughman, A.&lt;/author&gt;&lt;author&gt;Foster, T. J.&lt;/author&gt;&lt;author&gt;O&amp;apos;Gara, J. P.&lt;/author&gt;&lt;/authors&gt;&lt;/contributors&gt;&lt;added-date format="utc"&gt;1678234300&lt;/added-date&gt;&lt;ref-type name="Journal Article"&gt;17&lt;/ref-type&gt;&lt;rec-number&gt;750&lt;/rec-number&gt;&lt;last-updated-date format="utc"&gt;1678234300&lt;/last-updated-date&gt;&lt;accession-num&gt;WOS:000256043900006&lt;/accession-num&gt;&lt;electronic-resource-num&gt;10.1128/jb.00167-08&lt;/electronic-resource-num&gt;&lt;volume&gt;190&lt;/volume&gt;&lt;/record&gt;&lt;/Cite&gt;&lt;/EndNote&gt;</w:instrText>
      </w:r>
      <w:r w:rsidRPr="005211E4">
        <w:rPr>
          <w:rFonts w:ascii="Times New Roman" w:hAnsi="Times New Roman" w:cs="Times New Roman"/>
          <w:b/>
          <w:bCs/>
        </w:rPr>
        <w:fldChar w:fldCharType="separate"/>
      </w:r>
      <w:r w:rsidRPr="005211E4">
        <w:rPr>
          <w:rFonts w:ascii="Times New Roman" w:hAnsi="Times New Roman" w:cs="Times New Roman"/>
          <w:b/>
          <w:bCs/>
          <w:noProof/>
        </w:rPr>
        <w:t>(O'Neill</w:t>
      </w:r>
      <w:r w:rsidRPr="005211E4">
        <w:rPr>
          <w:rFonts w:ascii="Times New Roman" w:hAnsi="Times New Roman" w:cs="Times New Roman"/>
          <w:b/>
          <w:bCs/>
          <w:i/>
          <w:noProof/>
        </w:rPr>
        <w:t xml:space="preserve"> et al.</w:t>
      </w:r>
      <w:r w:rsidRPr="005211E4">
        <w:rPr>
          <w:rFonts w:ascii="Times New Roman" w:hAnsi="Times New Roman" w:cs="Times New Roman"/>
          <w:b/>
          <w:bCs/>
          <w:noProof/>
        </w:rPr>
        <w:t>, 2008)</w:t>
      </w:r>
      <w:r w:rsidRPr="005211E4">
        <w:rPr>
          <w:rFonts w:ascii="Times New Roman" w:hAnsi="Times New Roman" w:cs="Times New Roman"/>
          <w:b/>
          <w:bCs/>
        </w:rPr>
        <w:fldChar w:fldCharType="end"/>
      </w:r>
      <w:r>
        <w:rPr>
          <w:rFonts w:ascii="Times New Roman" w:hAnsi="Times New Roman" w:cs="Times New Roman"/>
        </w:rPr>
        <w:t xml:space="preserve">. The global regulator SarA positively regulates </w:t>
      </w:r>
      <w:r>
        <w:rPr>
          <w:rFonts w:ascii="Times New Roman" w:hAnsi="Times New Roman" w:cs="Times New Roman"/>
          <w:i/>
          <w:iCs/>
        </w:rPr>
        <w:t>fnbp</w:t>
      </w:r>
      <w:r w:rsidRPr="005211E4">
        <w:rPr>
          <w:rFonts w:ascii="Times New Roman" w:hAnsi="Times New Roman" w:cs="Times New Roman"/>
          <w:i/>
          <w:iCs/>
        </w:rPr>
        <w:t xml:space="preserve">A/B </w:t>
      </w:r>
      <w:r>
        <w:rPr>
          <w:rFonts w:ascii="Times New Roman" w:hAnsi="Times New Roman" w:cs="Times New Roman"/>
        </w:rPr>
        <w:t xml:space="preserve">gene expression, and as well as the Krebs cycle intermediate citrate, are required for biofilm formation </w:t>
      </w:r>
      <w:r w:rsidRPr="00402DB3">
        <w:rPr>
          <w:rFonts w:ascii="Times New Roman" w:hAnsi="Times New Roman" w:cs="Times New Roman"/>
          <w:b/>
          <w:bCs/>
        </w:rPr>
        <w:fldChar w:fldCharType="begin"/>
      </w:r>
      <w:r w:rsidRPr="00402DB3">
        <w:rPr>
          <w:rFonts w:ascii="Times New Roman" w:hAnsi="Times New Roman" w:cs="Times New Roman"/>
          <w:b/>
          <w:bCs/>
        </w:rPr>
        <w:instrText xml:space="preserve"> ADDIN EN.CITE &lt;EndNote&gt;&lt;Cite&gt;&lt;Author&gt;Shanks&lt;/Author&gt;&lt;Year&gt;2008&lt;/Year&gt;&lt;IDText&gt;Genetic evidence for an alternative citrate-dependent biofilm formation pathway in Staphylococcus aureus that is dependent on fibronectin binding proteins and the GraRS two-component regulatory system&lt;/IDText&gt;&lt;DisplayText&gt;(Shanks&lt;style face="italic"&gt; et al.&lt;/style&gt;, 2008)&lt;/DisplayText&gt;&lt;record&gt;&lt;dates&gt;&lt;pub-dates&gt;&lt;date&gt;Jun&lt;/date&gt;&lt;/pub-dates&gt;&lt;year&gt;2008&lt;/year&gt;&lt;/dates&gt;&lt;urls&gt;&lt;related-urls&gt;&lt;url&gt;&amp;lt;Go to ISI&amp;gt;://WOS:000256128900022&lt;/url&gt;&lt;/related-urls&gt;&lt;/urls&gt;&lt;isbn&gt;0019-9567&lt;/isbn&gt;&lt;titles&gt;&lt;title&gt;Genetic evidence for an alternative citrate-dependent biofilm formation pathway in Staphylococcus aureus that is dependent on fibronectin binding proteins and the GraRS two-component regulatory system&lt;/title&gt;&lt;secondary-title&gt;Infection and Immunity&lt;/secondary-title&gt;&lt;/titles&gt;&lt;pages&gt;2469-2477&lt;/pages&gt;&lt;number&gt;6&lt;/number&gt;&lt;contributors&gt;&lt;authors&gt;&lt;author&gt;Shanks, R. M. Q.&lt;/author&gt;&lt;author&gt;Meehl, M. A.&lt;/author&gt;&lt;author&gt;Brothers, K. M.&lt;/author&gt;&lt;author&gt;Martinez, R. M.&lt;/author&gt;&lt;author&gt;Donegan, N. P.&lt;/author&gt;&lt;author&gt;Graber, M. L.&lt;/author&gt;&lt;author&gt;Cheung, A. L.&lt;/author&gt;&lt;author&gt;O&amp;apos;Toole, G. A.&lt;/author&gt;&lt;/authors&gt;&lt;/contributors&gt;&lt;added-date format="utc"&gt;1678234897&lt;/added-date&gt;&lt;ref-type name="Journal Article"&gt;17&lt;/ref-type&gt;&lt;rec-number&gt;751&lt;/rec-number&gt;&lt;last-updated-date format="utc"&gt;1678234897&lt;/last-updated-date&gt;&lt;accession-num&gt;WOS:000256128900022&lt;/accession-num&gt;&lt;electronic-resource-num&gt;10.1128/iai.01370-07&lt;/electronic-resource-num&gt;&lt;volume&gt;76&lt;/volume&gt;&lt;/record&gt;&lt;/Cite&gt;&lt;/EndNote&gt;</w:instrText>
      </w:r>
      <w:r w:rsidRPr="00402DB3">
        <w:rPr>
          <w:rFonts w:ascii="Times New Roman" w:hAnsi="Times New Roman" w:cs="Times New Roman"/>
          <w:b/>
          <w:bCs/>
        </w:rPr>
        <w:fldChar w:fldCharType="separate"/>
      </w:r>
      <w:r w:rsidRPr="00402DB3">
        <w:rPr>
          <w:rFonts w:ascii="Times New Roman" w:hAnsi="Times New Roman" w:cs="Times New Roman"/>
          <w:b/>
          <w:bCs/>
          <w:noProof/>
        </w:rPr>
        <w:t>(Shanks</w:t>
      </w:r>
      <w:r w:rsidRPr="00402DB3">
        <w:rPr>
          <w:rFonts w:ascii="Times New Roman" w:hAnsi="Times New Roman" w:cs="Times New Roman"/>
          <w:b/>
          <w:bCs/>
          <w:i/>
          <w:noProof/>
        </w:rPr>
        <w:t xml:space="preserve"> et al.</w:t>
      </w:r>
      <w:r w:rsidRPr="00402DB3">
        <w:rPr>
          <w:rFonts w:ascii="Times New Roman" w:hAnsi="Times New Roman" w:cs="Times New Roman"/>
          <w:b/>
          <w:bCs/>
          <w:noProof/>
        </w:rPr>
        <w:t>, 2008)</w:t>
      </w:r>
      <w:r w:rsidRPr="00402DB3">
        <w:rPr>
          <w:rFonts w:ascii="Times New Roman" w:hAnsi="Times New Roman" w:cs="Times New Roman"/>
          <w:b/>
          <w:bCs/>
        </w:rPr>
        <w:fldChar w:fldCharType="end"/>
      </w:r>
      <w:r>
        <w:rPr>
          <w:rFonts w:ascii="Times New Roman" w:hAnsi="Times New Roman" w:cs="Times New Roman"/>
        </w:rPr>
        <w:t xml:space="preserve">. Furthermore, the </w:t>
      </w:r>
      <w:bookmarkStart w:id="24" w:name="_Hlk129127762"/>
      <w:r w:rsidRPr="00402DB3">
        <w:rPr>
          <w:rFonts w:ascii="Times New Roman" w:hAnsi="Times New Roman" w:cs="Times New Roman"/>
          <w:i/>
          <w:iCs/>
        </w:rPr>
        <w:t>S. aureus</w:t>
      </w:r>
      <w:r w:rsidRPr="00402DB3">
        <w:rPr>
          <w:rFonts w:ascii="Times New Roman" w:hAnsi="Times New Roman" w:cs="Times New Roman"/>
        </w:rPr>
        <w:t xml:space="preserve"> surface protein </w:t>
      </w:r>
      <w:r>
        <w:rPr>
          <w:rFonts w:ascii="Times New Roman" w:hAnsi="Times New Roman" w:cs="Times New Roman"/>
        </w:rPr>
        <w:t xml:space="preserve">G </w:t>
      </w:r>
      <w:bookmarkEnd w:id="24"/>
      <w:r>
        <w:rPr>
          <w:rFonts w:ascii="Times New Roman" w:hAnsi="Times New Roman" w:cs="Times New Roman"/>
        </w:rPr>
        <w:t>(SasG), a G5-E repeat family protein</w:t>
      </w:r>
      <w:r w:rsidR="00B17F15">
        <w:rPr>
          <w:rFonts w:ascii="Times New Roman" w:hAnsi="Times New Roman" w:cs="Times New Roman"/>
        </w:rPr>
        <w:t xml:space="preserve"> and thus a CWA</w:t>
      </w:r>
      <w:r>
        <w:rPr>
          <w:rFonts w:ascii="Times New Roman" w:hAnsi="Times New Roman" w:cs="Times New Roman"/>
        </w:rPr>
        <w:t xml:space="preserve">, is also necessary for staphylococcal biofilm formation by forming long </w:t>
      </w:r>
      <w:r w:rsidRPr="00EF02D3">
        <w:rPr>
          <w:rFonts w:ascii="Times New Roman" w:hAnsi="Times New Roman" w:cs="Times New Roman"/>
        </w:rPr>
        <w:t>peritrichous fibrils</w:t>
      </w:r>
      <w:r>
        <w:rPr>
          <w:rFonts w:ascii="Times New Roman" w:hAnsi="Times New Roman" w:cs="Times New Roman"/>
        </w:rPr>
        <w:t xml:space="preserve"> and can do so independently of polysaccharide intercellular adhesin, which is also involved in biofilm formation </w:t>
      </w:r>
      <w:r w:rsidRPr="00030D3B">
        <w:rPr>
          <w:rFonts w:ascii="Times New Roman" w:hAnsi="Times New Roman" w:cs="Times New Roman"/>
          <w:b/>
          <w:bCs/>
        </w:rPr>
        <w:fldChar w:fldCharType="begin"/>
      </w:r>
      <w:r w:rsidRPr="00030D3B">
        <w:rPr>
          <w:rFonts w:ascii="Times New Roman" w:hAnsi="Times New Roman" w:cs="Times New Roman"/>
          <w:b/>
          <w:bCs/>
        </w:rPr>
        <w:instrText xml:space="preserve"> ADDIN EN.CITE &lt;EndNote&gt;&lt;Cite&gt;&lt;Author&gt;Corrigan&lt;/Author&gt;&lt;Year&gt;2007&lt;/Year&gt;&lt;IDText&gt;The role of Staphylococcus aureus surface protein SasG in adherence and biofilm formation&lt;/IDText&gt;&lt;DisplayText&gt;(Corrigan&lt;style face="italic"&gt; et al.&lt;/style&gt;, 2007)&lt;/DisplayText&gt;&lt;record&gt;&lt;dates&gt;&lt;pub-dates&gt;&lt;date&gt;Aug&lt;/date&gt;&lt;/pub-dates&gt;&lt;year&gt;2007&lt;/year&gt;&lt;/dates&gt;&lt;urls&gt;&lt;related-urls&gt;&lt;url&gt;&amp;lt;Go to ISI&amp;gt;://WOS:000249044900007&lt;/url&gt;&lt;/related-urls&gt;&lt;/urls&gt;&lt;isbn&gt;1350-0872&lt;/isbn&gt;&lt;titles&gt;&lt;title&gt;The role of Staphylococcus aureus surface protein SasG in adherence and biofilm formation&lt;/title&gt;&lt;secondary-title&gt;Microbiology-Sgm&lt;/secondary-title&gt;&lt;/titles&gt;&lt;pages&gt;2435-2446&lt;/pages&gt;&lt;contributors&gt;&lt;authors&gt;&lt;author&gt;Corrigan, R. M.&lt;/author&gt;&lt;author&gt;Rigby, D.&lt;/author&gt;&lt;author&gt;Handley, P.&lt;/author&gt;&lt;author&gt;Foster, T. J.&lt;/author&gt;&lt;/authors&gt;&lt;/contributors&gt;&lt;added-date format="utc"&gt;1678236659&lt;/added-date&gt;&lt;ref-type name="Journal Article"&gt;17&lt;/ref-type&gt;&lt;rec-number&gt;752&lt;/rec-number&gt;&lt;last-updated-date format="utc"&gt;1678236659&lt;/last-updated-date&gt;&lt;accession-num&gt;WOS:000249044900007&lt;/accession-num&gt;&lt;electronic-resource-num&gt;10.1099/mic.0.2007/006676-0&lt;/electronic-resource-num&gt;&lt;volume&gt;153&lt;/volume&gt;&lt;/record&gt;&lt;/Cite&gt;&lt;/EndNote&gt;</w:instrText>
      </w:r>
      <w:r w:rsidRPr="00030D3B">
        <w:rPr>
          <w:rFonts w:ascii="Times New Roman" w:hAnsi="Times New Roman" w:cs="Times New Roman"/>
          <w:b/>
          <w:bCs/>
        </w:rPr>
        <w:fldChar w:fldCharType="separate"/>
      </w:r>
      <w:r w:rsidRPr="00030D3B">
        <w:rPr>
          <w:rFonts w:ascii="Times New Roman" w:hAnsi="Times New Roman" w:cs="Times New Roman"/>
          <w:b/>
          <w:bCs/>
          <w:noProof/>
        </w:rPr>
        <w:t>(Corrigan</w:t>
      </w:r>
      <w:r w:rsidRPr="00030D3B">
        <w:rPr>
          <w:rFonts w:ascii="Times New Roman" w:hAnsi="Times New Roman" w:cs="Times New Roman"/>
          <w:b/>
          <w:bCs/>
          <w:i/>
          <w:noProof/>
        </w:rPr>
        <w:t xml:space="preserve"> et al.</w:t>
      </w:r>
      <w:r w:rsidRPr="00030D3B">
        <w:rPr>
          <w:rFonts w:ascii="Times New Roman" w:hAnsi="Times New Roman" w:cs="Times New Roman"/>
          <w:b/>
          <w:bCs/>
          <w:noProof/>
        </w:rPr>
        <w:t>, 2007)</w:t>
      </w:r>
      <w:r w:rsidRPr="00030D3B">
        <w:rPr>
          <w:rFonts w:ascii="Times New Roman" w:hAnsi="Times New Roman" w:cs="Times New Roman"/>
          <w:b/>
          <w:bCs/>
        </w:rPr>
        <w:fldChar w:fldCharType="end"/>
      </w:r>
      <w:r>
        <w:rPr>
          <w:rFonts w:ascii="Times New Roman" w:hAnsi="Times New Roman" w:cs="Times New Roman"/>
        </w:rPr>
        <w:t xml:space="preserve">. The SasG protein is </w:t>
      </w:r>
      <w:r w:rsidR="00B17F15">
        <w:rPr>
          <w:rFonts w:ascii="Times New Roman" w:hAnsi="Times New Roman" w:cs="Times New Roman"/>
        </w:rPr>
        <w:t>comprised</w:t>
      </w:r>
      <w:r>
        <w:rPr>
          <w:rFonts w:ascii="Times New Roman" w:hAnsi="Times New Roman" w:cs="Times New Roman"/>
        </w:rPr>
        <w:t xml:space="preserve"> of a C-terminal domain that is anchored to the cell wall, multiple </w:t>
      </w:r>
      <w:r>
        <w:rPr>
          <w:rFonts w:ascii="Times New Roman" w:hAnsi="Times New Roman" w:cs="Times New Roman"/>
        </w:rPr>
        <w:lastRenderedPageBreak/>
        <w:t xml:space="preserve">subunits of B domain and a singular N-terminal A domain. The B domains were revealed to be important in cell-cell interactions during the accumulation phase and this occurs upon cleavage (by an unknown protease) of the A domain, as SasG with recombinant B domain could not form biofilms </w:t>
      </w:r>
      <w:r w:rsidRPr="0002534A">
        <w:rPr>
          <w:rFonts w:ascii="Times New Roman" w:hAnsi="Times New Roman" w:cs="Times New Roman"/>
          <w:b/>
          <w:bCs/>
        </w:rPr>
        <w:fldChar w:fldCharType="begin"/>
      </w:r>
      <w:r w:rsidRPr="0002534A">
        <w:rPr>
          <w:rFonts w:ascii="Times New Roman" w:hAnsi="Times New Roman" w:cs="Times New Roman"/>
          <w:b/>
          <w:bCs/>
        </w:rPr>
        <w:instrText xml:space="preserve"> ADDIN EN.CITE &lt;EndNote&gt;&lt;Cite&gt;&lt;Author&gt;Geoghegan&lt;/Author&gt;&lt;Year&gt;2010&lt;/Year&gt;&lt;IDText&gt;Role of Surface Protein SasG in Biofilm Formation by Staphylococcus aureus&lt;/IDText&gt;&lt;DisplayText&gt;(Geoghegan&lt;style face="italic"&gt; et al.&lt;/style&gt;, 2010)&lt;/DisplayText&gt;&lt;record&gt;&lt;dates&gt;&lt;pub-dates&gt;&lt;date&gt;Nov&lt;/date&gt;&lt;/pub-dates&gt;&lt;year&gt;2010&lt;/year&gt;&lt;/dates&gt;&lt;urls&gt;&lt;related-urls&gt;&lt;url&gt;&amp;lt;Go to ISI&amp;gt;://WOS:000282807900012&lt;/url&gt;&lt;/related-urls&gt;&lt;/urls&gt;&lt;isbn&gt;0021-9193&lt;/isbn&gt;&lt;titles&gt;&lt;title&gt;Role of Surface Protein SasG in Biofilm Formation by Staphylococcus aureus&lt;/title&gt;&lt;secondary-title&gt;Journal of Bacteriology&lt;/secondary-title&gt;&lt;/titles&gt;&lt;pages&gt;5663-5673&lt;/pages&gt;&lt;number&gt;21&lt;/number&gt;&lt;contributors&gt;&lt;authors&gt;&lt;author&gt;Geoghegan, J. A.&lt;/author&gt;&lt;author&gt;Corrigan, R. M.&lt;/author&gt;&lt;author&gt;Gruszka, D. T.&lt;/author&gt;&lt;author&gt;Speziale, P.&lt;/author&gt;&lt;author&gt;O&amp;apos;Gara, J. P.&lt;/author&gt;&lt;author&gt;Potts, J. R.&lt;/author&gt;&lt;author&gt;Foster, T. J.&lt;/author&gt;&lt;/authors&gt;&lt;/contributors&gt;&lt;added-date format="utc"&gt;1678237353&lt;/added-date&gt;&lt;ref-type name="Journal Article"&gt;17&lt;/ref-type&gt;&lt;rec-number&gt;753&lt;/rec-number&gt;&lt;last-updated-date format="utc"&gt;1678237353&lt;/last-updated-date&gt;&lt;accession-num&gt;WOS:000282807900012&lt;/accession-num&gt;&lt;electronic-resource-num&gt;10.1128/jb.00628-10&lt;/electronic-resource-num&gt;&lt;volume&gt;192&lt;/volume&gt;&lt;/record&gt;&lt;/Cite&gt;&lt;/EndNote&gt;</w:instrText>
      </w:r>
      <w:r w:rsidRPr="0002534A">
        <w:rPr>
          <w:rFonts w:ascii="Times New Roman" w:hAnsi="Times New Roman" w:cs="Times New Roman"/>
          <w:b/>
          <w:bCs/>
        </w:rPr>
        <w:fldChar w:fldCharType="separate"/>
      </w:r>
      <w:r w:rsidRPr="0002534A">
        <w:rPr>
          <w:rFonts w:ascii="Times New Roman" w:hAnsi="Times New Roman" w:cs="Times New Roman"/>
          <w:b/>
          <w:bCs/>
          <w:noProof/>
        </w:rPr>
        <w:t>(Geoghegan</w:t>
      </w:r>
      <w:r w:rsidRPr="0002534A">
        <w:rPr>
          <w:rFonts w:ascii="Times New Roman" w:hAnsi="Times New Roman" w:cs="Times New Roman"/>
          <w:b/>
          <w:bCs/>
          <w:i/>
          <w:noProof/>
        </w:rPr>
        <w:t xml:space="preserve"> et al.</w:t>
      </w:r>
      <w:r w:rsidRPr="0002534A">
        <w:rPr>
          <w:rFonts w:ascii="Times New Roman" w:hAnsi="Times New Roman" w:cs="Times New Roman"/>
          <w:b/>
          <w:bCs/>
          <w:noProof/>
        </w:rPr>
        <w:t>, 2010)</w:t>
      </w:r>
      <w:r w:rsidRPr="0002534A">
        <w:rPr>
          <w:rFonts w:ascii="Times New Roman" w:hAnsi="Times New Roman" w:cs="Times New Roman"/>
          <w:b/>
          <w:bCs/>
        </w:rPr>
        <w:fldChar w:fldCharType="end"/>
      </w:r>
      <w:r>
        <w:rPr>
          <w:rFonts w:ascii="Times New Roman" w:hAnsi="Times New Roman" w:cs="Times New Roman"/>
          <w:b/>
          <w:bCs/>
        </w:rPr>
        <w:t xml:space="preserve"> (Fig. 1.1.3)</w:t>
      </w:r>
      <w:r>
        <w:rPr>
          <w:rFonts w:ascii="Times New Roman" w:hAnsi="Times New Roman" w:cs="Times New Roman"/>
        </w:rPr>
        <w:t xml:space="preserve">. </w:t>
      </w:r>
      <w:bookmarkStart w:id="25" w:name="_Hlk129130873"/>
      <w:r>
        <w:rPr>
          <w:rFonts w:ascii="Times New Roman" w:hAnsi="Times New Roman" w:cs="Times New Roman"/>
        </w:rPr>
        <w:t xml:space="preserve">Biofilm associated protein </w:t>
      </w:r>
      <w:bookmarkEnd w:id="25"/>
      <w:r>
        <w:rPr>
          <w:rFonts w:ascii="Times New Roman" w:hAnsi="Times New Roman" w:cs="Times New Roman"/>
        </w:rPr>
        <w:t xml:space="preserve">(Bap) on the other hand, is associated with both primary attachment of biofilms and cell-cell interactions </w:t>
      </w:r>
      <w:r w:rsidRPr="008C534B">
        <w:rPr>
          <w:rFonts w:ascii="Times New Roman" w:hAnsi="Times New Roman" w:cs="Times New Roman"/>
          <w:b/>
          <w:bCs/>
        </w:rPr>
        <w:fldChar w:fldCharType="begin"/>
      </w:r>
      <w:r w:rsidRPr="008C534B">
        <w:rPr>
          <w:rFonts w:ascii="Times New Roman" w:hAnsi="Times New Roman" w:cs="Times New Roman"/>
          <w:b/>
          <w:bCs/>
        </w:rPr>
        <w:instrText xml:space="preserve"> ADDIN EN.CITE &lt;EndNote&gt;&lt;Cite&gt;&lt;Author&gt;Cucarella&lt;/Author&gt;&lt;Year&gt;2001&lt;/Year&gt;&lt;IDText&gt;Bap, a Staphylococcus aureus surface protein involved in biofilm formation&lt;/IDText&gt;&lt;DisplayText&gt;(Cucarella&lt;style face="italic"&gt; et al.&lt;/style&gt;, 2001)&lt;/DisplayText&gt;&lt;record&gt;&lt;dates&gt;&lt;pub-dates&gt;&lt;date&gt;May&lt;/date&gt;&lt;/pub-dates&gt;&lt;year&gt;2001&lt;/year&gt;&lt;/dates&gt;&lt;urls&gt;&lt;related-urls&gt;&lt;url&gt;&amp;lt;Go to ISI&amp;gt;://WOS:000168082000022&lt;/url&gt;&lt;/related-urls&gt;&lt;/urls&gt;&lt;isbn&gt;0021-9193&lt;/isbn&gt;&lt;titles&gt;&lt;title&gt;Bap, a Staphylococcus aureus surface protein involved in biofilm formation&lt;/title&gt;&lt;secondary-title&gt;Journal of Bacteriology&lt;/secondary-title&gt;&lt;/titles&gt;&lt;pages&gt;2888-2896&lt;/pages&gt;&lt;number&gt;9&lt;/number&gt;&lt;contributors&gt;&lt;authors&gt;&lt;author&gt;Cucarella, C.&lt;/author&gt;&lt;author&gt;Solano, C.&lt;/author&gt;&lt;author&gt;Valle, J.&lt;/author&gt;&lt;author&gt;Amorena, B.&lt;/author&gt;&lt;author&gt;Lasa, I.&lt;/author&gt;&lt;author&gt;Penades, J. R.&lt;/author&gt;&lt;/authors&gt;&lt;/contributors&gt;&lt;added-date format="utc"&gt;1678238022&lt;/added-date&gt;&lt;ref-type name="Journal Article"&gt;17&lt;/ref-type&gt;&lt;rec-number&gt;754&lt;/rec-number&gt;&lt;last-updated-date format="utc"&gt;1678238022&lt;/last-updated-date&gt;&lt;accession-num&gt;WOS:000168082000022&lt;/accession-num&gt;&lt;electronic-resource-num&gt;10.1128/jb.183.9.2888-2896.2001&lt;/electronic-resource-num&gt;&lt;volume&gt;183&lt;/volume&gt;&lt;/record&gt;&lt;/Cite&gt;&lt;/EndNote&gt;</w:instrText>
      </w:r>
      <w:r w:rsidRPr="008C534B">
        <w:rPr>
          <w:rFonts w:ascii="Times New Roman" w:hAnsi="Times New Roman" w:cs="Times New Roman"/>
          <w:b/>
          <w:bCs/>
        </w:rPr>
        <w:fldChar w:fldCharType="separate"/>
      </w:r>
      <w:r w:rsidRPr="008C534B">
        <w:rPr>
          <w:rFonts w:ascii="Times New Roman" w:hAnsi="Times New Roman" w:cs="Times New Roman"/>
          <w:b/>
          <w:bCs/>
          <w:noProof/>
        </w:rPr>
        <w:t>(Cucarella</w:t>
      </w:r>
      <w:r w:rsidRPr="008C534B">
        <w:rPr>
          <w:rFonts w:ascii="Times New Roman" w:hAnsi="Times New Roman" w:cs="Times New Roman"/>
          <w:b/>
          <w:bCs/>
          <w:i/>
          <w:noProof/>
        </w:rPr>
        <w:t xml:space="preserve"> et al.</w:t>
      </w:r>
      <w:r w:rsidRPr="008C534B">
        <w:rPr>
          <w:rFonts w:ascii="Times New Roman" w:hAnsi="Times New Roman" w:cs="Times New Roman"/>
          <w:b/>
          <w:bCs/>
          <w:noProof/>
        </w:rPr>
        <w:t>, 2001)</w:t>
      </w:r>
      <w:r w:rsidRPr="008C534B">
        <w:rPr>
          <w:rFonts w:ascii="Times New Roman" w:hAnsi="Times New Roman" w:cs="Times New Roman"/>
          <w:b/>
          <w:bCs/>
        </w:rPr>
        <w:fldChar w:fldCharType="end"/>
      </w:r>
      <w:r>
        <w:rPr>
          <w:rFonts w:ascii="Times New Roman" w:hAnsi="Times New Roman" w:cs="Times New Roman"/>
        </w:rPr>
        <w:t>.</w:t>
      </w:r>
    </w:p>
    <w:p w14:paraId="0BE2DB5D" w14:textId="77777777" w:rsidR="00033564" w:rsidRDefault="00033564" w:rsidP="00033564">
      <w:pPr>
        <w:pStyle w:val="Heading4"/>
      </w:pPr>
      <w:r w:rsidRPr="006853E8">
        <w:t>1.1.3.</w:t>
      </w:r>
      <w:r>
        <w:t>4</w:t>
      </w:r>
      <w:r w:rsidRPr="006853E8">
        <w:t xml:space="preserve">. </w:t>
      </w:r>
      <w:r>
        <w:t xml:space="preserve">The regulation of </w:t>
      </w:r>
      <w:r>
        <w:rPr>
          <w:i/>
          <w:iCs w:val="0"/>
        </w:rPr>
        <w:t xml:space="preserve">S. aureus </w:t>
      </w:r>
      <w:r>
        <w:t xml:space="preserve">virulence factors  </w:t>
      </w:r>
    </w:p>
    <w:p w14:paraId="19064572" w14:textId="77777777" w:rsidR="00033564" w:rsidRDefault="00033564" w:rsidP="00033564"/>
    <w:p w14:paraId="20A2E4E8" w14:textId="0E6A4435" w:rsidR="00033564" w:rsidRPr="00B17F15" w:rsidRDefault="00033564" w:rsidP="00033564">
      <w:pPr>
        <w:spacing w:line="360" w:lineRule="auto"/>
        <w:jc w:val="both"/>
        <w:rPr>
          <w:rFonts w:ascii="Times New Roman" w:hAnsi="Times New Roman" w:cs="Times New Roman"/>
          <w:color w:val="000000" w:themeColor="text1"/>
        </w:rPr>
      </w:pPr>
      <w:r>
        <w:rPr>
          <w:rFonts w:ascii="Times New Roman" w:hAnsi="Times New Roman" w:cs="Times New Roman"/>
        </w:rPr>
        <w:t>Virulence genes must be tightly regulated in order to survive and adapt to different environmental conditions. Thus,</w:t>
      </w:r>
      <w:r>
        <w:rPr>
          <w:rFonts w:ascii="Times New Roman" w:hAnsi="Times New Roman" w:cs="Times New Roman"/>
          <w:i/>
          <w:iCs/>
        </w:rPr>
        <w:t xml:space="preserve"> S. aureus </w:t>
      </w:r>
      <w:r>
        <w:rPr>
          <w:rFonts w:ascii="Times New Roman" w:hAnsi="Times New Roman" w:cs="Times New Roman"/>
        </w:rPr>
        <w:t>encodes for multiple regulators of virulence, most of which are two-component systems (TCSs). TCSs consist of a membrane-bound histidine sensor kinase receptor</w:t>
      </w:r>
      <w:r w:rsidR="00B17F15">
        <w:rPr>
          <w:rFonts w:ascii="Times New Roman" w:hAnsi="Times New Roman" w:cs="Times New Roman"/>
        </w:rPr>
        <w:t xml:space="preserve"> and a response regulator: the histidine kinase</w:t>
      </w:r>
      <w:r>
        <w:rPr>
          <w:rFonts w:ascii="Times New Roman" w:hAnsi="Times New Roman" w:cs="Times New Roman"/>
        </w:rPr>
        <w:t xml:space="preserve"> recognises external signals leading to its autophosphorylation at the histidine residue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&lt;EndNote&gt;&lt;Cite&gt;&lt;Author&gt;Liu&lt;/Author&gt;&lt;Year&gt;2019&lt;/Year&gt;&lt;IDText&gt;Two-Component Signal Transduction Systems: A Major Strategy for Connecting Input Stimuli to Biofilm Formation&lt;/IDText&gt;&lt;DisplayText&gt;(Liu&lt;style face="italic"&gt; et al.&lt;/style&gt;, 2019)&lt;/DisplayText&gt;&lt;record&gt;&lt;dates&gt;&lt;pub-dates&gt;&lt;date&gt;Jan&lt;/date&gt;&lt;/pub-dates&gt;&lt;year&gt;2019&lt;/year&gt;&lt;/dates&gt;&lt;urls&gt;&lt;related-urls&gt;&lt;url&gt;&amp;lt;Go to ISI&amp;gt;://WOS:000455383700001&lt;/url&gt;&lt;/related-urls&gt;&lt;/urls&gt;&lt;isbn&gt;1664-302X&lt;/isbn&gt;&lt;titles&gt;&lt;title&gt;Two-Component Signal Transduction Systems: A Major Strategy for Connecting Input Stimuli to Biofilm Formation&lt;/title&gt;&lt;secondary-title&gt;Frontiers in Microbiology&lt;/secondary-title&gt;&lt;/titles&gt;&lt;contributors&gt;&lt;authors&gt;&lt;author&gt;Liu, C.&lt;/author&gt;&lt;author&gt;Sun, D.&lt;/author&gt;&lt;author&gt;Zhu, J. R.&lt;/author&gt;&lt;author&gt;Liu, W. J.&lt;/author&gt;&lt;/authors&gt;&lt;/contributors&gt;&lt;custom7&gt;3279&lt;/custom7&gt;&lt;added-date format="utc"&gt;1677722449&lt;/added-date&gt;&lt;ref-type name="Journal Article"&gt;17&lt;/ref-type&gt;&lt;rec-number&gt;637&lt;/rec-number&gt;&lt;last-updated-date format="utc"&gt;1677725365&lt;/last-updated-date&gt;&lt;accession-num&gt;WOS:000455383700001&lt;/accession-num&gt;&lt;electronic-resource-num&gt;10.3389/fmicb.2018.03279&lt;/electronic-resource-num&gt;&lt;volume&gt;9&lt;/volume&gt;&lt;/record&gt;&lt;/Cite&gt;&lt;/EndNote&gt;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(Liu</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2019)</w:t>
      </w:r>
      <w:r w:rsidRPr="00433266">
        <w:rPr>
          <w:rFonts w:ascii="Times New Roman" w:hAnsi="Times New Roman" w:cs="Times New Roman"/>
          <w:b/>
          <w:bCs/>
        </w:rPr>
        <w:fldChar w:fldCharType="end"/>
      </w:r>
      <w:r>
        <w:rPr>
          <w:rFonts w:ascii="Times New Roman" w:hAnsi="Times New Roman" w:cs="Times New Roman"/>
        </w:rPr>
        <w:t xml:space="preserve">. This then results in autophosphorylation of the response regulator by donation of the phosphoryl group to an aspartic acid residue on the response regulator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&lt;EndNote&gt;&lt;Cite&gt;&lt;Author&gt;Liu&lt;/Author&gt;&lt;Year&gt;2019&lt;/Year&gt;&lt;IDText&gt;Two-Component Signal Transduction Systems: A Major Strategy for Connecting Input Stimuli to Biofilm Formation&lt;/IDText&gt;&lt;DisplayText&gt;(Liu&lt;style face="italic"&gt; et al.&lt;/style&gt;, 2019)&lt;/DisplayText&gt;&lt;record&gt;&lt;dates&gt;&lt;pub-dates&gt;&lt;date&gt;Jan&lt;/date&gt;&lt;/pub-dates&gt;&lt;year&gt;2019&lt;/year&gt;&lt;/dates&gt;&lt;urls&gt;&lt;related-urls&gt;&lt;url&gt;&amp;lt;Go to ISI&amp;gt;://WOS:000455383700001&lt;/url&gt;&lt;/related-urls&gt;&lt;/urls&gt;&lt;isbn&gt;1664-302X&lt;/isbn&gt;&lt;titles&gt;&lt;title&gt;Two-Component Signal Transduction Systems: A Major Strategy for Connecting Input Stimuli to Biofilm Formation&lt;/title&gt;&lt;secondary-title&gt;Frontiers in Microbiology&lt;/secondary-title&gt;&lt;/titles&gt;&lt;contributors&gt;&lt;authors&gt;&lt;author&gt;Liu, C.&lt;/author&gt;&lt;author&gt;Sun, D.&lt;/author&gt;&lt;author&gt;Zhu, J. R.&lt;/author&gt;&lt;author&gt;Liu, W. J.&lt;/author&gt;&lt;/authors&gt;&lt;/contributors&gt;&lt;custom7&gt;3279&lt;/custom7&gt;&lt;added-date format="utc"&gt;1677722449&lt;/added-date&gt;&lt;ref-type name="Journal Article"&gt;17&lt;/ref-type&gt;&lt;rec-number&gt;637&lt;/rec-number&gt;&lt;last-updated-date format="utc"&gt;1677725365&lt;/last-updated-date&gt;&lt;accession-num&gt;WOS:000455383700001&lt;/accession-num&gt;&lt;electronic-resource-num&gt;10.3389/fmicb.2018.03279&lt;/electronic-resource-num&gt;&lt;volume&gt;9&lt;/volume&gt;&lt;/record&gt;&lt;/Cite&gt;&lt;/EndNote&gt;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(Liu</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2019)</w:t>
      </w:r>
      <w:r w:rsidRPr="00433266">
        <w:rPr>
          <w:rFonts w:ascii="Times New Roman" w:hAnsi="Times New Roman" w:cs="Times New Roman"/>
          <w:b/>
          <w:bCs/>
        </w:rPr>
        <w:fldChar w:fldCharType="end"/>
      </w:r>
      <w:r>
        <w:rPr>
          <w:rFonts w:ascii="Times New Roman" w:hAnsi="Times New Roman" w:cs="Times New Roman"/>
        </w:rPr>
        <w:t xml:space="preserve">. The accessory gene regulator (Agr) is a global virulence regulator that controls the expression </w:t>
      </w:r>
      <w:r w:rsidR="00B17F15">
        <w:rPr>
          <w:rFonts w:ascii="Times New Roman" w:hAnsi="Times New Roman" w:cs="Times New Roman"/>
        </w:rPr>
        <w:t xml:space="preserve">of </w:t>
      </w:r>
      <w:r>
        <w:rPr>
          <w:rFonts w:ascii="Times New Roman" w:hAnsi="Times New Roman" w:cs="Times New Roman"/>
        </w:rPr>
        <w:t>many virulence factors. Agr</w:t>
      </w:r>
      <w:r w:rsidR="00B17F15">
        <w:rPr>
          <w:rFonts w:ascii="Times New Roman" w:hAnsi="Times New Roman" w:cs="Times New Roman"/>
        </w:rPr>
        <w:t xml:space="preserve"> is</w:t>
      </w:r>
      <w:r>
        <w:rPr>
          <w:rFonts w:ascii="Times New Roman" w:hAnsi="Times New Roman" w:cs="Times New Roman"/>
        </w:rPr>
        <w:t xml:space="preserve"> involved in a quorum sensing system resulting in the upregulation of toxins and downregulation of adhesins in the post-exponential phase of growth </w:t>
      </w:r>
      <w:r w:rsidRPr="00433266">
        <w:rPr>
          <w:rFonts w:ascii="Times New Roman" w:hAnsi="Times New Roman" w:cs="Times New Roman"/>
          <w:b/>
          <w:bCs/>
        </w:rPr>
        <w:fldChar w:fldCharType="begin">
          <w:fldData xml:space="preserve">PEVuZE5vdGU+PENpdGU+PEF1dGhvcj5QZW5nPC9BdXRob3I+PFllYXI+MTk4ODwvWWVhcj48SURU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</w:fldData>
        </w:fldChar>
      </w:r>
      <w:r w:rsidRPr="00433266">
        <w:rPr>
          <w:rFonts w:ascii="Times New Roman" w:hAnsi="Times New Roman" w:cs="Times New Roman"/>
          <w:b/>
          <w:bCs/>
        </w:rPr>
        <w:instrText xml:space="preserve"> ADDIN EN.CITE </w:instrText>
      </w:r>
      <w:r w:rsidRPr="00433266">
        <w:rPr>
          <w:rFonts w:ascii="Times New Roman" w:hAnsi="Times New Roman" w:cs="Times New Roman"/>
          <w:b/>
          <w:bCs/>
        </w:rPr>
        <w:fldChar w:fldCharType="begin">
          <w:fldData xml:space="preserve">PEVuZE5vdGU+PENpdGU+PEF1dGhvcj5QZW5nPC9BdXRob3I+PFllYXI+MTk4ODwvWWVhcj48SURU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</w:fldData>
        </w:fldChar>
      </w:r>
      <w:r w:rsidRPr="00433266">
        <w:rPr>
          <w:rFonts w:ascii="Times New Roman" w:hAnsi="Times New Roman" w:cs="Times New Roman"/>
          <w:b/>
          <w:bCs/>
        </w:rPr>
        <w:instrText xml:space="preserve"> ADDIN EN.CITE.DATA </w:instrText>
      </w:r>
      <w:r w:rsidRPr="00433266">
        <w:rPr>
          <w:rFonts w:ascii="Times New Roman" w:hAnsi="Times New Roman" w:cs="Times New Roman"/>
          <w:b/>
          <w:bCs/>
        </w:rPr>
      </w:r>
      <w:r w:rsidRPr="00433266">
        <w:rPr>
          <w:rFonts w:ascii="Times New Roman" w:hAnsi="Times New Roman" w:cs="Times New Roman"/>
          <w:b/>
          <w:bCs/>
        </w:rPr>
        <w:fldChar w:fldCharType="end"/>
      </w:r>
      <w:r w:rsidRPr="00433266">
        <w:rPr>
          <w:rFonts w:ascii="Times New Roman" w:hAnsi="Times New Roman" w:cs="Times New Roman"/>
          <w:b/>
          <w:bCs/>
        </w:rPr>
      </w:r>
      <w:r w:rsidRPr="00433266">
        <w:rPr>
          <w:rFonts w:ascii="Times New Roman" w:hAnsi="Times New Roman" w:cs="Times New Roman"/>
          <w:b/>
          <w:bCs/>
        </w:rPr>
        <w:fldChar w:fldCharType="separate"/>
      </w:r>
      <w:r w:rsidRPr="00433266">
        <w:rPr>
          <w:rFonts w:ascii="Times New Roman" w:hAnsi="Times New Roman" w:cs="Times New Roman"/>
          <w:b/>
          <w:bCs/>
          <w:noProof/>
        </w:rPr>
        <w:t>(Peng</w:t>
      </w:r>
      <w:r w:rsidRPr="00433266">
        <w:rPr>
          <w:rFonts w:ascii="Times New Roman" w:hAnsi="Times New Roman" w:cs="Times New Roman"/>
          <w:b/>
          <w:bCs/>
          <w:i/>
          <w:noProof/>
        </w:rPr>
        <w:t xml:space="preserve"> et al.</w:t>
      </w:r>
      <w:r w:rsidRPr="00433266">
        <w:rPr>
          <w:rFonts w:ascii="Times New Roman" w:hAnsi="Times New Roman" w:cs="Times New Roman"/>
          <w:b/>
          <w:bCs/>
          <w:noProof/>
        </w:rPr>
        <w:t>, 1988; Recsei</w:t>
      </w:r>
      <w:r w:rsidRPr="00433266">
        <w:rPr>
          <w:rFonts w:ascii="Times New Roman" w:hAnsi="Times New Roman" w:cs="Times New Roman"/>
          <w:b/>
          <w:bCs/>
          <w:i/>
          <w:noProof/>
        </w:rPr>
        <w:t xml:space="preserve"> et al.</w:t>
      </w:r>
      <w:r w:rsidRPr="00433266">
        <w:rPr>
          <w:rFonts w:ascii="Times New Roman" w:hAnsi="Times New Roman" w:cs="Times New Roman"/>
          <w:b/>
          <w:bCs/>
          <w:noProof/>
        </w:rPr>
        <w:t>, 1986)</w:t>
      </w:r>
      <w:r w:rsidRPr="00433266">
        <w:rPr>
          <w:rFonts w:ascii="Times New Roman" w:hAnsi="Times New Roman" w:cs="Times New Roman"/>
          <w:b/>
          <w:bCs/>
        </w:rPr>
        <w:fldChar w:fldCharType="end"/>
      </w:r>
      <w:r w:rsidRPr="00433266">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The </w:t>
      </w:r>
      <w:r>
        <w:rPr>
          <w:rFonts w:ascii="Times New Roman" w:hAnsi="Times New Roman" w:cs="Times New Roman"/>
          <w:i/>
          <w:iCs/>
        </w:rPr>
        <w:t xml:space="preserve">agr </w:t>
      </w:r>
      <w:r>
        <w:rPr>
          <w:rFonts w:ascii="Times New Roman" w:hAnsi="Times New Roman" w:cs="Times New Roman"/>
        </w:rPr>
        <w:t xml:space="preserve">locus consists of two divergent promoters P2 and P3 that produce the RNA transcripts RNAII and RNAIII respectively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&lt;EndNote&gt;&lt;Cite&gt;&lt;Author&gt;Morfeldt&lt;/Author&gt;&lt;Year&gt;1995&lt;/Year&gt;&lt;IDText&gt;ACTIVATION OF ALPHA-TOXIN TRANSLATION IN STAPHYLOCOCCUS-AUREUS BY THE TRANS-ENCODED ANTISENSE RNA, RNAIII&lt;/IDText&gt;&lt;DisplayText&gt;(Morfeldt&lt;style face="italic"&gt; et al.&lt;/style&gt;, 1995)&lt;/DisplayText&gt;&lt;record&gt;&lt;dates&gt;&lt;pub-dates&gt;&lt;date&gt;Sep&lt;/date&gt;&lt;/pub-dates&gt;&lt;year&gt;1995&lt;/year&gt;&lt;/dates&gt;&lt;urls&gt;&lt;related-urls&gt;&lt;url&gt;&amp;lt;Go to ISI&amp;gt;://WOS:A1995RX44100020&lt;/url&gt;&lt;/related-urls&gt;&lt;/urls&gt;&lt;isbn&gt;0261-4189&lt;/isbn&gt;&lt;titles&gt;&lt;title&gt;ACTIVATION OF ALPHA-TOXIN TRANSLATION IN STAPHYLOCOCCUS-AUREUS BY THE TRANS-ENCODED ANTISENSE RNA, RNAIII&lt;/title&gt;&lt;secondary-title&gt;Embo Journal&lt;/secondary-title&gt;&lt;/titles&gt;&lt;pages&gt;4569-4577&lt;/pages&gt;&lt;number&gt;18&lt;/number&gt;&lt;contributors&gt;&lt;authors&gt;&lt;author&gt;Morfeldt, E.&lt;/author&gt;&lt;author&gt;Taylor, D.&lt;/author&gt;&lt;author&gt;Vongabain, A.&lt;/author&gt;&lt;author&gt;Arvidson, S.&lt;/author&gt;&lt;/authors&gt;&lt;/contributors&gt;&lt;added-date format="utc"&gt;1677725306&lt;/added-date&gt;&lt;ref-type name="Journal Article"&gt;17&lt;/ref-type&gt;&lt;rec-number&gt;640&lt;/rec-number&gt;&lt;last-updated-date format="utc"&gt;1677725365&lt;/last-updated-date&gt;&lt;accession-num&gt;WOS:A1995RX44100020&lt;/accession-num&gt;&lt;electronic-resource-num&gt;10.1002/j.1460-2075.1995.tb00136.x&lt;/electronic-resource-num&gt;&lt;volume&gt;14&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(Morfeldt</w:t>
      </w:r>
      <w:r w:rsidRPr="00433266">
        <w:rPr>
          <w:rFonts w:ascii="Times New Roman" w:hAnsi="Times New Roman" w:cs="Times New Roman"/>
          <w:b/>
          <w:bCs/>
          <w:i/>
          <w:noProof/>
        </w:rPr>
        <w:t xml:space="preserve"> et al.</w:t>
      </w:r>
      <w:r w:rsidRPr="00433266">
        <w:rPr>
          <w:rFonts w:ascii="Times New Roman" w:hAnsi="Times New Roman" w:cs="Times New Roman"/>
          <w:b/>
          <w:bCs/>
          <w:noProof/>
        </w:rPr>
        <w:t>, 1995)</w:t>
      </w:r>
      <w:r w:rsidRPr="00433266">
        <w:rPr>
          <w:rFonts w:ascii="Times New Roman" w:hAnsi="Times New Roman" w:cs="Times New Roman"/>
          <w:b/>
          <w:bCs/>
        </w:rPr>
        <w:fldChar w:fldCharType="end"/>
      </w:r>
      <w:r>
        <w:rPr>
          <w:rFonts w:ascii="Times New Roman" w:hAnsi="Times New Roman" w:cs="Times New Roman"/>
        </w:rPr>
        <w:t xml:space="preserve">. The </w:t>
      </w:r>
      <w:r>
        <w:rPr>
          <w:rFonts w:ascii="Times New Roman" w:hAnsi="Times New Roman" w:cs="Times New Roman"/>
          <w:i/>
          <w:iCs/>
        </w:rPr>
        <w:t xml:space="preserve">agr </w:t>
      </w:r>
      <w:r>
        <w:rPr>
          <w:rFonts w:ascii="Times New Roman" w:hAnsi="Times New Roman" w:cs="Times New Roman"/>
        </w:rPr>
        <w:t xml:space="preserve">locus consists of </w:t>
      </w:r>
      <w:r>
        <w:rPr>
          <w:rFonts w:ascii="Times New Roman" w:hAnsi="Times New Roman" w:cs="Times New Roman"/>
          <w:i/>
          <w:iCs/>
        </w:rPr>
        <w:t xml:space="preserve">agrA, agrB, agrC, agrD </w:t>
      </w:r>
      <w:r>
        <w:rPr>
          <w:rFonts w:ascii="Times New Roman" w:hAnsi="Times New Roman" w:cs="Times New Roman"/>
        </w:rPr>
        <w:t xml:space="preserve">and </w:t>
      </w:r>
      <w:r>
        <w:rPr>
          <w:rFonts w:ascii="Times New Roman" w:hAnsi="Times New Roman" w:cs="Times New Roman"/>
          <w:i/>
          <w:iCs/>
        </w:rPr>
        <w:t>hld</w:t>
      </w:r>
      <w:r>
        <w:rPr>
          <w:rFonts w:ascii="Calibri" w:hAnsi="Calibri" w:cs="Calibri"/>
        </w:rPr>
        <w:t>/</w:t>
      </w:r>
      <w:r w:rsidRPr="00B17F15">
        <w:rPr>
          <w:rFonts w:ascii="Times New Roman" w:hAnsi="Times New Roman" w:cs="Times New Roman"/>
        </w:rPr>
        <w:t>δ</w:t>
      </w:r>
      <w:r>
        <w:rPr>
          <w:rFonts w:ascii="Times New Roman" w:hAnsi="Times New Roman" w:cs="Times New Roman"/>
        </w:rPr>
        <w:t xml:space="preserve">-haemolysin. The P2 promoter controls the transcription of </w:t>
      </w:r>
      <w:r>
        <w:rPr>
          <w:rFonts w:ascii="Times New Roman" w:hAnsi="Times New Roman" w:cs="Times New Roman"/>
          <w:i/>
          <w:iCs/>
        </w:rPr>
        <w:t xml:space="preserve">agrA, agrB, agrC </w:t>
      </w:r>
      <w:r>
        <w:rPr>
          <w:rFonts w:ascii="Times New Roman" w:hAnsi="Times New Roman" w:cs="Times New Roman"/>
        </w:rPr>
        <w:t>and</w:t>
      </w:r>
      <w:r>
        <w:rPr>
          <w:rFonts w:ascii="Times New Roman" w:hAnsi="Times New Roman" w:cs="Times New Roman"/>
          <w:i/>
          <w:iCs/>
        </w:rPr>
        <w:t xml:space="preserve"> agrD</w:t>
      </w:r>
      <w:r>
        <w:rPr>
          <w:rFonts w:ascii="Times New Roman" w:hAnsi="Times New Roman" w:cs="Times New Roman"/>
        </w:rPr>
        <w:t>: AgrA (response regulator) and AgrC (histi</w:t>
      </w:r>
      <w:r w:rsidR="00F61FB1">
        <w:rPr>
          <w:rFonts w:ascii="Times New Roman" w:hAnsi="Times New Roman" w:cs="Times New Roman"/>
        </w:rPr>
        <w:t>di</w:t>
      </w:r>
      <w:r>
        <w:rPr>
          <w:rFonts w:ascii="Times New Roman" w:hAnsi="Times New Roman" w:cs="Times New Roman"/>
        </w:rPr>
        <w:t xml:space="preserve">ne kinase) comprise a TCS and AgrD encodes for an autoinducing peptide (AIP) precursor that is proteolytically processed by AgrB, a membrane bound peptidase. The P2 promoter also controls the RNAII transcript. The AgrAC TCS is responsible for detecting levels of AIP that are produced, leading to autophosphorylation of AgrA, which can control both the P2 promoter and the P3 promoter. The P3 promoter controls production of the RNAIII transcript, the major effector of the </w:t>
      </w:r>
      <w:r w:rsidRPr="0092106D">
        <w:rPr>
          <w:rFonts w:ascii="Times New Roman" w:hAnsi="Times New Roman" w:cs="Times New Roman"/>
          <w:i/>
          <w:iCs/>
        </w:rPr>
        <w:t xml:space="preserve">agr </w:t>
      </w:r>
      <w:r>
        <w:rPr>
          <w:rFonts w:ascii="Times New Roman" w:hAnsi="Times New Roman" w:cs="Times New Roman"/>
        </w:rPr>
        <w:t xml:space="preserve">regulon, and once expressed, encodes for the </w:t>
      </w:r>
      <w:r w:rsidRPr="00D6625F">
        <w:rPr>
          <w:rFonts w:ascii="Times New Roman" w:hAnsi="Times New Roman" w:cs="Times New Roman"/>
        </w:rPr>
        <w:t>δ</w:t>
      </w:r>
      <w:r>
        <w:rPr>
          <w:rFonts w:ascii="Times New Roman" w:hAnsi="Times New Roman" w:cs="Times New Roman"/>
        </w:rPr>
        <w:t>-haemolysin or PSM</w:t>
      </w:r>
      <w:r w:rsidRPr="00D6625F">
        <w:rPr>
          <w:rFonts w:ascii="Times New Roman" w:hAnsi="Times New Roman" w:cs="Times New Roman"/>
        </w:rPr>
        <w:t>γ</w:t>
      </w:r>
      <w:r>
        <w:rPr>
          <w:rFonts w:ascii="Times New Roman" w:hAnsi="Times New Roman" w:cs="Times New Roman"/>
        </w:rPr>
        <w:t xml:space="preserve">, a cytolytic toxin </w:t>
      </w:r>
      <w:r w:rsidRPr="00433266">
        <w:rPr>
          <w:rFonts w:ascii="Times New Roman" w:hAnsi="Times New Roman" w:cs="Times New Roman"/>
          <w:b/>
          <w:bCs/>
        </w:rPr>
        <w:fldChar w:fldCharType="begin">
          <w:fldData xml:space="preserve">PEVuZE5vdGU+PENpdGU+PEF1dGhvcj5Ob3ZpY2s8L0F1dGhvcj48WWVhcj4xOTkzPC9ZZWFyPjxJ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</w:fldData>
        </w:fldChar>
      </w:r>
      <w:r w:rsidRPr="00433266">
        <w:rPr>
          <w:rFonts w:ascii="Times New Roman" w:hAnsi="Times New Roman" w:cs="Times New Roman"/>
          <w:b/>
          <w:bCs/>
        </w:rPr>
        <w:instrText xml:space="preserve"> ADDIN EN.CITE </w:instrText>
      </w:r>
      <w:r w:rsidRPr="00433266">
        <w:rPr>
          <w:rFonts w:ascii="Times New Roman" w:hAnsi="Times New Roman" w:cs="Times New Roman"/>
          <w:b/>
          <w:bCs/>
        </w:rPr>
        <w:fldChar w:fldCharType="begin">
          <w:fldData xml:space="preserve">PEVuZE5vdGU+PENpdGU+PEF1dGhvcj5Ob3ZpY2s8L0F1dGhvcj48WWVhcj4xOTkzPC9ZZWFyPjxJ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</w:fldData>
        </w:fldChar>
      </w:r>
      <w:r w:rsidRPr="00433266">
        <w:rPr>
          <w:rFonts w:ascii="Times New Roman" w:hAnsi="Times New Roman" w:cs="Times New Roman"/>
          <w:b/>
          <w:bCs/>
        </w:rPr>
        <w:instrText xml:space="preserve"> ADDIN EN.CITE.DATA </w:instrText>
      </w:r>
      <w:r w:rsidRPr="00433266">
        <w:rPr>
          <w:rFonts w:ascii="Times New Roman" w:hAnsi="Times New Roman" w:cs="Times New Roman"/>
          <w:b/>
          <w:bCs/>
        </w:rPr>
      </w:r>
      <w:r w:rsidRPr="00433266">
        <w:rPr>
          <w:rFonts w:ascii="Times New Roman" w:hAnsi="Times New Roman" w:cs="Times New Roman"/>
          <w:b/>
          <w:bCs/>
        </w:rPr>
        <w:fldChar w:fldCharType="end"/>
      </w:r>
      <w:r w:rsidRPr="00433266">
        <w:rPr>
          <w:rFonts w:ascii="Times New Roman" w:hAnsi="Times New Roman" w:cs="Times New Roman"/>
          <w:b/>
          <w:bCs/>
        </w:rPr>
      </w:r>
      <w:r w:rsidRPr="00433266">
        <w:rPr>
          <w:rFonts w:ascii="Times New Roman" w:hAnsi="Times New Roman" w:cs="Times New Roman"/>
          <w:b/>
          <w:bCs/>
        </w:rPr>
        <w:fldChar w:fldCharType="separate"/>
      </w:r>
      <w:r w:rsidRPr="00433266">
        <w:rPr>
          <w:rFonts w:ascii="Times New Roman" w:hAnsi="Times New Roman" w:cs="Times New Roman"/>
          <w:b/>
          <w:bCs/>
          <w:noProof/>
        </w:rPr>
        <w:t>(Novick</w:t>
      </w:r>
      <w:r w:rsidRPr="00433266">
        <w:rPr>
          <w:rFonts w:ascii="Times New Roman" w:hAnsi="Times New Roman" w:cs="Times New Roman"/>
          <w:b/>
          <w:bCs/>
          <w:i/>
          <w:noProof/>
        </w:rPr>
        <w:t xml:space="preserve"> et al.</w:t>
      </w:r>
      <w:r w:rsidRPr="00433266">
        <w:rPr>
          <w:rFonts w:ascii="Times New Roman" w:hAnsi="Times New Roman" w:cs="Times New Roman"/>
          <w:b/>
          <w:bCs/>
          <w:noProof/>
        </w:rPr>
        <w:t>, 1993; Janzon, Lofdahl and Arvidson, 1989)</w:t>
      </w:r>
      <w:r w:rsidRPr="00433266">
        <w:rPr>
          <w:rFonts w:ascii="Times New Roman" w:hAnsi="Times New Roman" w:cs="Times New Roman"/>
          <w:b/>
          <w:bCs/>
        </w:rPr>
        <w:fldChar w:fldCharType="end"/>
      </w:r>
      <w:r>
        <w:rPr>
          <w:rFonts w:ascii="Times New Roman" w:hAnsi="Times New Roman" w:cs="Times New Roman"/>
        </w:rPr>
        <w:t xml:space="preserve">. The control of P2 and P3 promoters by AgrA was thought to be its only purpose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&lt;EndNote&gt;&lt;Cite&gt;&lt;Author&gt;Queck&lt;/Author&gt;&lt;Year&gt;2008&lt;/Year&gt;&lt;IDText&gt;RNAIII-Independent Target Gene Control by the agr Quorum-Sensing System: Insight into the Evolution of Virulence Regulation in Staphylococcus aureus&lt;/IDText&gt;&lt;DisplayText&gt;(Queck&lt;style face="italic"&gt; et al.&lt;/style&gt;, 2008)&lt;/DisplayText&gt;&lt;record&gt;&lt;dates&gt;&lt;pub-dates&gt;&lt;date&gt;Oct 10&lt;/date&gt;&lt;/pub-dates&gt;&lt;year&gt;2008&lt;/year&gt;&lt;/dates&gt;&lt;urls&gt;&lt;related-urls&gt;&lt;url&gt;&amp;lt;Go to ISI&amp;gt;://WOS:000260240200014&lt;/url&gt;&lt;/related-urls&gt;&lt;/urls&gt;&lt;isbn&gt;1097-2765&lt;/isbn&gt;&lt;titles&gt;&lt;title&gt;RNAIII-Independent Target Gene Control by the agr Quorum-Sensing System: Insight into the Evolution of Virulence Regulation in Staphylococcus aureus&lt;/title&gt;&lt;secondary-title&gt;Molecular Cell&lt;/secondary-title&gt;&lt;/titles&gt;&lt;pages&gt;150-158&lt;/pages&gt;&lt;number&gt;1&lt;/number&gt;&lt;contributors&gt;&lt;authors&gt;&lt;author&gt;Queck, Shu Y.&lt;/author&gt;&lt;author&gt;Jameson-Lee, Max&lt;/author&gt;&lt;author&gt;Villaruz, Amer E.&lt;/author&gt;&lt;author&gt;Bach, Thanh-Huy L.&lt;/author&gt;&lt;author&gt;Khan, Burhan A.&lt;/author&gt;&lt;author&gt;Sturdevant, Daniel E.&lt;/author&gt;&lt;author&gt;Ricklefs, Stacey M.&lt;/author&gt;&lt;author&gt;Li, Min&lt;/author&gt;&lt;author&gt;Otto, Michael&lt;/author&gt;&lt;/authors&gt;&lt;/contributors&gt;&lt;added-date format="utc"&gt;1663623891&lt;/added-date&gt;&lt;ref-type name="Journal Article"&gt;17&lt;/ref-type&gt;&lt;rec-number&gt;137&lt;/rec-number&gt;&lt;last-updated-date format="utc"&gt;1663624413&lt;/last-updated-date&gt;&lt;accession-num&gt;WOS:000260240200014&lt;/accession-num&gt;&lt;electronic-resource-num&gt;10.1016/j.molcel.2008.08.005&lt;/electronic-resource-num&gt;&lt;volume&gt;32&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(Queck</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2008)</w:t>
      </w:r>
      <w:r w:rsidRPr="00433266">
        <w:rPr>
          <w:rFonts w:ascii="Times New Roman" w:hAnsi="Times New Roman" w:cs="Times New Roman"/>
          <w:b/>
          <w:bCs/>
        </w:rPr>
        <w:fldChar w:fldCharType="end"/>
      </w:r>
      <w:r>
        <w:rPr>
          <w:rFonts w:ascii="Times New Roman" w:hAnsi="Times New Roman" w:cs="Times New Roman"/>
        </w:rPr>
        <w:t>, however it is now known that the</w:t>
      </w:r>
      <w:r>
        <w:rPr>
          <w:rFonts w:ascii="Times New Roman" w:hAnsi="Times New Roman" w:cs="Times New Roman"/>
          <w:i/>
          <w:iCs/>
        </w:rPr>
        <w:t xml:space="preserve"> agr </w:t>
      </w:r>
      <w:r>
        <w:rPr>
          <w:rFonts w:ascii="Times New Roman" w:hAnsi="Times New Roman" w:cs="Times New Roman"/>
        </w:rPr>
        <w:t xml:space="preserve">regulon regulates many virulence factors. AgrA controls the expression of the PSMs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&lt;EndNote&gt;&lt;Cite&gt;&lt;Author&gt;Peschel&lt;/Author&gt;&lt;Year&gt;2001&lt;/Year&gt;&lt;IDText&gt;Staphylococcus aureus resistance to human defensins and evasion of neutrophil killing via the novel virulence factor MprF is based on modification of membrane lipids with L-lysine&lt;/IDText&gt;&lt;DisplayText&gt;(Peschel&lt;style face="italic"&gt; et al.&lt;/style&gt;, 2001)&lt;/DisplayText&gt;&lt;record&gt;&lt;dates&gt;&lt;pub-dates&gt;&lt;date&gt;May&lt;/date&gt;&lt;/pub-dates&gt;&lt;year&gt;2001&lt;/year&gt;&lt;/dates&gt;&lt;urls&gt;&lt;related-urls&gt;&lt;url&gt;&amp;lt;Go to ISI&amp;gt;://WOS:000168677900009&lt;/url&gt;&lt;/related-urls&gt;&lt;/urls&gt;&lt;isbn&gt;0022-1007&lt;/isbn&gt;&lt;titles&gt;&lt;title&gt;Staphylococcus aureus resistance to human defensins and evasion of neutrophil killing via the novel virulence factor MprF is based on modification of membrane lipids with L-lysine&lt;/title&gt;&lt;secondary-title&gt;Journal of Experimental Medicine&lt;/secondary-title&gt;&lt;/titles&gt;&lt;pages&gt;1067-1076&lt;/pages&gt;&lt;number&gt;9&lt;/number&gt;&lt;contributors&gt;&lt;authors&gt;&lt;author&gt;Peschel, A.&lt;/author&gt;&lt;author&gt;Jack, R. W.&lt;/author&gt;&lt;author&gt;Otto, M.&lt;/author&gt;&lt;author&gt;Collins, L. V.&lt;/author&gt;&lt;author&gt;Staubitz, P.&lt;/author&gt;&lt;author&gt;Nicholson, G.&lt;/author&gt;&lt;author&gt;Kalbacher, H.&lt;/author&gt;&lt;author&gt;Nieuwenhuizen, W. F.&lt;/author&gt;&lt;author&gt;Jung, G.&lt;/author&gt;&lt;author&gt;Tarkowski, A.&lt;/author&gt;&lt;author&gt;van Kessel, K. P. M.&lt;/author&gt;&lt;author&gt;van Strijp, J. A. G.&lt;/author&gt;&lt;/authors&gt;&lt;/contributors&gt;&lt;added-date format="utc"&gt;1677289447&lt;/added-date&gt;&lt;ref-type name="Journal Article"&gt;17&lt;/ref-type&gt;&lt;rec-number&gt;541&lt;/rec-number&gt;&lt;last-updated-date format="utc"&gt;1677725365&lt;/last-updated-date&gt;&lt;accession-num&gt;WOS:000168677900009&lt;/accession-num&gt;&lt;electronic-resource-num&gt;10.1084/jem.193.9.1067&lt;/electronic-resource-num&gt;&lt;volume&gt;193&lt;/volume&gt;&lt;/record&gt;&lt;/Cite&gt;&lt;/EndNote&gt;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(Peschel</w:t>
      </w:r>
      <w:r w:rsidRPr="00433266">
        <w:rPr>
          <w:rFonts w:ascii="Times New Roman" w:hAnsi="Times New Roman" w:cs="Times New Roman"/>
          <w:b/>
          <w:bCs/>
          <w:i/>
          <w:noProof/>
        </w:rPr>
        <w:t xml:space="preserve"> et al.</w:t>
      </w:r>
      <w:r w:rsidRPr="00433266">
        <w:rPr>
          <w:rFonts w:ascii="Times New Roman" w:hAnsi="Times New Roman" w:cs="Times New Roman"/>
          <w:b/>
          <w:bCs/>
          <w:noProof/>
        </w:rPr>
        <w:t>, 2001)</w:t>
      </w:r>
      <w:r w:rsidRPr="00433266">
        <w:rPr>
          <w:rFonts w:ascii="Times New Roman" w:hAnsi="Times New Roman" w:cs="Times New Roman"/>
          <w:b/>
          <w:bCs/>
        </w:rPr>
        <w:fldChar w:fldCharType="end"/>
      </w:r>
      <w:r>
        <w:rPr>
          <w:rFonts w:ascii="Times New Roman" w:hAnsi="Times New Roman" w:cs="Times New Roman"/>
          <w:color w:val="000000" w:themeColor="text1"/>
        </w:rPr>
        <w:t xml:space="preserve"> and RNAIII positively upregulates </w:t>
      </w:r>
      <w:r w:rsidRPr="001E1079">
        <w:rPr>
          <w:rFonts w:ascii="Times New Roman" w:hAnsi="Times New Roman" w:cs="Times New Roman"/>
        </w:rPr>
        <w:t>α</w:t>
      </w:r>
      <w:r>
        <w:rPr>
          <w:rFonts w:ascii="Times New Roman" w:hAnsi="Times New Roman" w:cs="Times New Roman"/>
        </w:rPr>
        <w:t xml:space="preserve">-toxin </w:t>
      </w:r>
      <w:r w:rsidRPr="00433266">
        <w:rPr>
          <w:rFonts w:ascii="Times New Roman" w:hAnsi="Times New Roman" w:cs="Times New Roman"/>
          <w:b/>
          <w:bCs/>
        </w:rPr>
        <w:fldChar w:fldCharType="begin"/>
      </w:r>
      <w:r w:rsidRPr="00433266">
        <w:rPr>
          <w:rFonts w:ascii="Times New Roman" w:hAnsi="Times New Roman" w:cs="Times New Roman"/>
          <w:b/>
          <w:bCs/>
        </w:rPr>
        <w:instrText xml:space="preserve"> ADDIN EN.CITE &lt;EndNote&gt;&lt;Cite&gt;&lt;Author&gt;Morfeldt&lt;/Author&gt;&lt;Year&gt;1995&lt;/Year&gt;&lt;IDText&gt;ACTIVATION OF ALPHA-TOXIN TRANSLATION IN STAPHYLOCOCCUS-AUREUS BY THE TRANS-ENCODED ANTISENSE RNA, RNAIII&lt;/IDText&gt;&lt;DisplayText&gt;(Morfeldt&lt;style face="italic"&gt; et al.&lt;/style&gt;, 1995)&lt;/DisplayText&gt;&lt;record&gt;&lt;dates&gt;&lt;pub-dates&gt;&lt;date&gt;Sep&lt;/date&gt;&lt;/pub-dates&gt;&lt;year&gt;1995&lt;/year&gt;&lt;/dates&gt;&lt;urls&gt;&lt;related-urls&gt;&lt;url&gt;&amp;lt;Go to ISI&amp;gt;://WOS:A1995RX44100020&lt;/url&gt;&lt;/related-urls&gt;&lt;/urls&gt;&lt;isbn&gt;0261-4189&lt;/isbn&gt;&lt;titles&gt;&lt;title&gt;ACTIVATION OF ALPHA-TOXIN TRANSLATION IN STAPHYLOCOCCUS-AUREUS BY THE TRANS-ENCODED ANTISENSE RNA, RNAIII&lt;/title&gt;&lt;secondary-title&gt;Embo Journal&lt;/secondary-title&gt;&lt;/titles&gt;&lt;pages&gt;4569-4577&lt;/pages&gt;&lt;number&gt;18&lt;/number&gt;&lt;contributors&gt;&lt;authors&gt;&lt;author&gt;Morfeldt, E.&lt;/author&gt;&lt;author&gt;Taylor, D.&lt;/author&gt;&lt;author&gt;Vongabain, A.&lt;/author&gt;&lt;author&gt;Arvidson, S.&lt;/author&gt;&lt;/authors&gt;&lt;/contributors&gt;&lt;added-date format="utc"&gt;1677725306&lt;/added-date&gt;&lt;ref-type name="Journal Article"&gt;17&lt;/ref-type&gt;&lt;rec-number&gt;640&lt;/rec-number&gt;&lt;last-updated-date format="utc"&gt;1677725365&lt;/last-updated-date&gt;&lt;accession-num&gt;WOS:A1995RX44100020&lt;/accession-num&gt;&lt;electronic-resource-num&gt;10.1002/j.1460-2075.1995.tb00136.x&lt;/electronic-resource-num&gt;&lt;volume&gt;14&lt;/volume&gt;&lt;/record&gt;&lt;/Cite&gt;&lt;/EndNote&gt;</w:instrText>
      </w:r>
      <w:r w:rsidRPr="00433266">
        <w:rPr>
          <w:rFonts w:ascii="Times New Roman" w:hAnsi="Times New Roman" w:cs="Times New Roman"/>
          <w:b/>
          <w:bCs/>
        </w:rPr>
        <w:fldChar w:fldCharType="separate"/>
      </w:r>
      <w:r w:rsidRPr="00433266">
        <w:rPr>
          <w:rFonts w:ascii="Times New Roman" w:hAnsi="Times New Roman" w:cs="Times New Roman"/>
          <w:b/>
          <w:bCs/>
          <w:noProof/>
        </w:rPr>
        <w:t>(Morfeldt</w:t>
      </w:r>
      <w:r w:rsidRPr="00433266">
        <w:rPr>
          <w:rFonts w:ascii="Times New Roman" w:hAnsi="Times New Roman" w:cs="Times New Roman"/>
          <w:b/>
          <w:bCs/>
          <w:i/>
          <w:noProof/>
        </w:rPr>
        <w:t xml:space="preserve"> et al.</w:t>
      </w:r>
      <w:r w:rsidRPr="00433266">
        <w:rPr>
          <w:rFonts w:ascii="Times New Roman" w:hAnsi="Times New Roman" w:cs="Times New Roman"/>
          <w:b/>
          <w:bCs/>
          <w:noProof/>
        </w:rPr>
        <w:t>, 1995)</w:t>
      </w:r>
      <w:r w:rsidRPr="00433266">
        <w:rPr>
          <w:rFonts w:ascii="Times New Roman" w:hAnsi="Times New Roman" w:cs="Times New Roman"/>
          <w:b/>
          <w:bCs/>
        </w:rPr>
        <w:fldChar w:fldCharType="end"/>
      </w:r>
      <w:r w:rsidRPr="00433266">
        <w:rPr>
          <w:rFonts w:ascii="Times New Roman" w:hAnsi="Times New Roman" w:cs="Times New Roman"/>
        </w:rPr>
        <w:t>.</w:t>
      </w:r>
      <w:r>
        <w:rPr>
          <w:rFonts w:ascii="Times New Roman" w:hAnsi="Times New Roman" w:cs="Times New Roman"/>
          <w:b/>
          <w:bCs/>
          <w:color w:val="FF0000"/>
        </w:rPr>
        <w:t xml:space="preserve"> </w:t>
      </w:r>
      <w:r>
        <w:rPr>
          <w:rFonts w:ascii="Times New Roman" w:hAnsi="Times New Roman" w:cs="Times New Roman"/>
          <w:color w:val="000000" w:themeColor="text1"/>
        </w:rPr>
        <w:t>Interestingly, the PSM-</w:t>
      </w:r>
      <w:r>
        <w:rPr>
          <w:rFonts w:ascii="Times New Roman" w:hAnsi="Times New Roman" w:cs="Times New Roman"/>
          <w:i/>
          <w:iCs/>
          <w:color w:val="000000" w:themeColor="text1"/>
        </w:rPr>
        <w:t>mec</w:t>
      </w:r>
      <w:r>
        <w:rPr>
          <w:rFonts w:ascii="Times New Roman" w:hAnsi="Times New Roman" w:cs="Times New Roman"/>
          <w:color w:val="000000" w:themeColor="text1"/>
        </w:rPr>
        <w:t xml:space="preserve"> transcript is a regulatory RNA similar to RNAIII and inhibits AgrA, which then inhibits the expression of the genomic PSMs </w:t>
      </w:r>
      <w:r w:rsidRPr="00387FF4">
        <w:rPr>
          <w:rFonts w:ascii="Times New Roman" w:hAnsi="Times New Roman" w:cs="Times New Roman"/>
          <w:b/>
          <w:bCs/>
          <w:color w:val="000000" w:themeColor="text1"/>
        </w:rPr>
        <w:fldChar w:fldCharType="begin">
          <w:fldData xml:space="preserve">PEVuZE5vdGU+PENpdGU+PEF1dGhvcj5LYWl0bzwvQXV0aG9yPjxZZWFyPjIwMTE8L1llYXI+PElE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</w:fldData>
        </w:fldChar>
      </w:r>
      <w:r w:rsidRPr="00387FF4">
        <w:rPr>
          <w:rFonts w:ascii="Times New Roman" w:hAnsi="Times New Roman" w:cs="Times New Roman"/>
          <w:b/>
          <w:bCs/>
          <w:color w:val="000000" w:themeColor="text1"/>
        </w:rPr>
        <w:instrText xml:space="preserve"> ADDIN EN.CITE </w:instrText>
      </w:r>
      <w:r w:rsidRPr="00387FF4">
        <w:rPr>
          <w:rFonts w:ascii="Times New Roman" w:hAnsi="Times New Roman" w:cs="Times New Roman"/>
          <w:b/>
          <w:bCs/>
          <w:color w:val="000000" w:themeColor="text1"/>
        </w:rPr>
        <w:fldChar w:fldCharType="begin">
          <w:fldData xml:space="preserve">PEVuZE5vdGU+PENpdGU+PEF1dGhvcj5LYWl0bzwvQXV0aG9yPjxZZWFyPjIwMTE8L1llYXI+PElE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</w:fldData>
        </w:fldChar>
      </w:r>
      <w:r w:rsidRPr="00387FF4">
        <w:rPr>
          <w:rFonts w:ascii="Times New Roman" w:hAnsi="Times New Roman" w:cs="Times New Roman"/>
          <w:b/>
          <w:bCs/>
          <w:color w:val="000000" w:themeColor="text1"/>
        </w:rPr>
        <w:instrText xml:space="preserve"> ADDIN EN.CITE.DATA </w:instrText>
      </w:r>
      <w:r w:rsidRPr="00387FF4">
        <w:rPr>
          <w:rFonts w:ascii="Times New Roman" w:hAnsi="Times New Roman" w:cs="Times New Roman"/>
          <w:b/>
          <w:bCs/>
          <w:color w:val="000000" w:themeColor="text1"/>
        </w:rPr>
      </w:r>
      <w:r w:rsidRPr="00387FF4">
        <w:rPr>
          <w:rFonts w:ascii="Times New Roman" w:hAnsi="Times New Roman" w:cs="Times New Roman"/>
          <w:b/>
          <w:bCs/>
          <w:color w:val="000000" w:themeColor="text1"/>
        </w:rPr>
        <w:fldChar w:fldCharType="end"/>
      </w:r>
      <w:r w:rsidRPr="00387FF4">
        <w:rPr>
          <w:rFonts w:ascii="Times New Roman" w:hAnsi="Times New Roman" w:cs="Times New Roman"/>
          <w:b/>
          <w:bCs/>
          <w:color w:val="000000" w:themeColor="text1"/>
        </w:rPr>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(Kaito</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2011; Kaito</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2013)</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However, this is not the case for every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 xml:space="preserve">strain </w:t>
      </w:r>
      <w:r w:rsidRPr="00387FF4">
        <w:rPr>
          <w:rFonts w:ascii="Times New Roman" w:hAnsi="Times New Roman" w:cs="Times New Roman"/>
          <w:b/>
          <w:bCs/>
          <w:color w:val="000000" w:themeColor="text1"/>
        </w:rPr>
        <w:fldChar w:fldCharType="begin"/>
      </w:r>
      <w:r w:rsidRPr="00387FF4">
        <w:rPr>
          <w:rFonts w:ascii="Times New Roman" w:hAnsi="Times New Roman" w:cs="Times New Roman"/>
          <w:b/>
          <w:bCs/>
          <w:color w:val="000000" w:themeColor="text1"/>
        </w:rPr>
        <w:instrText xml:space="preserve"> ADDIN EN.CITE &lt;EndNote&gt;&lt;Cite&gt;&lt;Author&gt;Kaito&lt;/Author&gt;&lt;Year&gt;2013&lt;/Year&gt;&lt;IDText&gt;Mobile Genetic Element SCCmec-encoded psm-mec RNA Suppresses Translation of agrA and Attenuates MRSA Virulence&lt;/IDText&gt;&lt;DisplayText&gt;(Kaito&lt;style face="italic"&gt; et al.&lt;/style&gt;, 2013)&lt;/DisplayText&gt;&lt;record&gt;&lt;dates&gt;&lt;pub-dates&gt;&lt;date&gt;Apr&lt;/date&gt;&lt;/pub-dates&gt;&lt;year&gt;2013&lt;/year&gt;&lt;/dates&gt;&lt;urls&gt;&lt;related-urls&gt;&lt;url&gt;&amp;lt;Go to ISI&amp;gt;://WOS:000318072700019&lt;/url&gt;&lt;/related-urls&gt;&lt;/urls&gt;&lt;isbn&gt;1553-7366&lt;/isbn&gt;&lt;titles&gt;&lt;title&gt;Mobile Genetic Element SCCmec-encoded psm-mec RNA Suppresses Translation of agrA and Attenuates MRSA Virulence&lt;/title&gt;&lt;secondary-title&gt;Plos Pathogens&lt;/secondary-title&gt;&lt;/titles&gt;&lt;number&gt;4&lt;/number&gt;&lt;contributors&gt;&lt;authors&gt;&lt;author&gt;Kaito, C.&lt;/author&gt;&lt;author&gt;Saito, Y.&lt;/author&gt;&lt;author&gt;Ikuo, M.&lt;/author&gt;&lt;author&gt;Omae, Y.&lt;/author&gt;&lt;author&gt;Mao, H.&lt;/author&gt;&lt;author&gt;Nagano, G.&lt;/author&gt;&lt;author&gt;Fujiyuki, T.&lt;/author&gt;&lt;author&gt;Numata, S.&lt;/author&gt;&lt;author&gt;Han, X.&lt;/author&gt;&lt;author&gt;Obata, K.&lt;/author&gt;&lt;author&gt;Hasegawa, S.&lt;/author&gt;&lt;author&gt;Yamaguchi, H.&lt;/author&gt;&lt;author&gt;Inokuchi, K.&lt;/author&gt;&lt;author&gt;Ito, T.&lt;/author&gt;&lt;author&gt;Hiramatsu, K.&lt;/author&gt;&lt;author&gt;Sekimizu, K.&lt;/author&gt;&lt;/authors&gt;&lt;/contributors&gt;&lt;custom7&gt;e1003269&lt;/custom7&gt;&lt;added-date format="utc"&gt;1677727563&lt;/added-date&gt;&lt;ref-type name="Journal Article"&gt;17&lt;/ref-type&gt;&lt;rec-number&gt;642&lt;/rec-number&gt;&lt;last-updated-date format="utc"&gt;1677727563&lt;/last-updated-date&gt;&lt;accession-num&gt;WOS:000318072700019&lt;/accession-num&gt;&lt;electronic-resource-num&gt;10.1371/journal.ppat.1003269&lt;/electronic-resource-num&gt;&lt;volume&gt;9&lt;/volume&gt;&lt;/record&gt;&lt;/Cite&gt;&lt;/EndNote&gt;</w:instrText>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(Kaito</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2013)</w:t>
      </w:r>
      <w:r w:rsidRPr="00387FF4">
        <w:rPr>
          <w:rFonts w:ascii="Times New Roman" w:hAnsi="Times New Roman" w:cs="Times New Roman"/>
          <w:b/>
          <w:bCs/>
          <w:color w:val="000000" w:themeColor="text1"/>
        </w:rPr>
        <w:fldChar w:fldCharType="end"/>
      </w:r>
      <w:r w:rsidRPr="00387FF4">
        <w:rPr>
          <w:rFonts w:ascii="Times New Roman" w:hAnsi="Times New Roman" w:cs="Times New Roman"/>
        </w:rPr>
        <w:t xml:space="preserve">. </w:t>
      </w:r>
      <w:r>
        <w:rPr>
          <w:rFonts w:ascii="Times New Roman" w:hAnsi="Times New Roman" w:cs="Times New Roman"/>
          <w:color w:val="000000" w:themeColor="text1"/>
        </w:rPr>
        <w:t xml:space="preserve">Protein A is also negatively regulated by RNAIII – the ribosome-binding site and start codon are inhibited to prevent translation but also the mRNA itself can be targeted for degradation </w:t>
      </w:r>
      <w:r w:rsidRPr="00387FF4">
        <w:rPr>
          <w:rFonts w:ascii="Times New Roman" w:hAnsi="Times New Roman" w:cs="Times New Roman"/>
          <w:b/>
          <w:bCs/>
          <w:color w:val="000000" w:themeColor="text1"/>
        </w:rPr>
        <w:fldChar w:fldCharType="begin"/>
      </w:r>
      <w:r w:rsidRPr="00387FF4">
        <w:rPr>
          <w:rFonts w:ascii="Times New Roman" w:hAnsi="Times New Roman" w:cs="Times New Roman"/>
          <w:b/>
          <w:bCs/>
          <w:color w:val="000000" w:themeColor="text1"/>
        </w:rPr>
        <w:instrText xml:space="preserve"> ADDIN EN.CITE &lt;EndNote&gt;&lt;Cite&gt;&lt;Author&gt;Huntzinger&lt;/Author&gt;&lt;Year&gt;2005&lt;/Year&gt;&lt;IDText&gt;Staphylococcus aureus RNAIII and the endoribonuclease III coordinately regulate spa gene expression&lt;/IDText&gt;&lt;DisplayText&gt;(Huntzinger&lt;style face="italic"&gt; et al.&lt;/style&gt;, 2005)&lt;/DisplayText&gt;&lt;record&gt;&lt;dates&gt;&lt;pub-dates&gt;&lt;date&gt;Feb&lt;/date&gt;&lt;/pub-dates&gt;&lt;year&gt;2005&lt;/year&gt;&lt;/dates&gt;&lt;urls&gt;&lt;related-urls&gt;&lt;url&gt;&amp;lt;Go to ISI&amp;gt;://WOS:000227494900016&lt;/url&gt;&lt;/related-urls&gt;&lt;/urls&gt;&lt;isbn&gt;0261-4189&lt;/isbn&gt;&lt;titles&gt;&lt;title&gt;Staphylococcus aureus RNAIII and the endoribonuclease III coordinately regulate spa gene expression&lt;/title&gt;&lt;secondary-title&gt;Embo Journal&lt;/secondary-title&gt;&lt;/titles&gt;&lt;pages&gt;824-835&lt;/pages&gt;&lt;number&gt;4&lt;/number&gt;&lt;contributors&gt;&lt;authors&gt;&lt;author&gt;Huntzinger, E.&lt;/author&gt;&lt;author&gt;Boisset, S.&lt;/author&gt;&lt;author&gt;Saveanu, C.&lt;/author&gt;&lt;author&gt;Benito, Y.&lt;/author&gt;&lt;author&gt;Geissmann, T.&lt;/author&gt;&lt;author&gt;Namane, A.&lt;/author&gt;&lt;author&gt;Lina, G.&lt;/author&gt;&lt;author&gt;Etienne, J.&lt;/author&gt;&lt;author&gt;Ehresmann, B.&lt;/author&gt;&lt;author&gt;Ehresmann, C.&lt;/author&gt;&lt;author&gt;Jacquier, A.&lt;/author&gt;&lt;author&gt;Vandenesch, F. O.&lt;/author&gt;&lt;author&gt;Romby, P.&lt;/author&gt;&lt;/authors&gt;&lt;/contributors&gt;&lt;added-date format="utc"&gt;1677728390&lt;/added-date&gt;&lt;ref-type name="Journal Article"&gt;17&lt;/ref-type&gt;&lt;rec-number&gt;643&lt;/rec-number&gt;&lt;last-updated-date format="utc"&gt;1677728390&lt;/last-updated-date&gt;&lt;accession-num&gt;WOS:000227494900016&lt;/accession-num&gt;&lt;electronic-resource-num&gt;10.1038/sj.emboj.7600572&lt;/electronic-resource-num&gt;&lt;volume&gt;24&lt;/volume&gt;&lt;/record&gt;&lt;/Cite&gt;&lt;/EndNote&gt;</w:instrText>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(Huntzinger</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2005)</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The repressor of toxins (Rot) is regulated by RNAIII in a similar fashion as protein A </w:t>
      </w:r>
      <w:r w:rsidRPr="00387FF4">
        <w:rPr>
          <w:rFonts w:ascii="Times New Roman" w:hAnsi="Times New Roman" w:cs="Times New Roman"/>
          <w:b/>
          <w:bCs/>
          <w:color w:val="000000" w:themeColor="text1"/>
        </w:rPr>
        <w:fldChar w:fldCharType="begin"/>
      </w:r>
      <w:r w:rsidRPr="00387FF4">
        <w:rPr>
          <w:rFonts w:ascii="Times New Roman" w:hAnsi="Times New Roman" w:cs="Times New Roman"/>
          <w:b/>
          <w:bCs/>
          <w:color w:val="000000" w:themeColor="text1"/>
        </w:rPr>
        <w:instrText xml:space="preserve"> ADDIN EN.CITE &lt;EndNote&gt;&lt;Cite&gt;&lt;Author&gt;Geisinger&lt;/Author&gt;&lt;Year&gt;2006&lt;/Year&gt;&lt;IDText&gt;Inhibition of rot translation by RNAIII, a key feature of agr function&lt;/IDText&gt;&lt;DisplayText&gt;(Geisinger&lt;style face="italic"&gt; et al.&lt;/style&gt;, 2006)&lt;/DisplayText&gt;&lt;record&gt;&lt;dates&gt;&lt;pub-dates&gt;&lt;date&gt;Aug&lt;/date&gt;&lt;/pub-dates&gt;&lt;year&gt;2006&lt;/year&gt;&lt;/dates&gt;&lt;urls&gt;&lt;related-urls&gt;&lt;url&gt;&amp;lt;Go to ISI&amp;gt;://WOS:000239336100017&lt;/url&gt;&lt;/related-urls&gt;&lt;/urls&gt;&lt;isbn&gt;0950-382X&lt;/isbn&gt;&lt;titles&gt;&lt;title&gt;Inhibition of rot translation by RNAIII, a key feature of agr function&lt;/title&gt;&lt;secondary-title&gt;Molecular Microbiology&lt;/secondary-title&gt;&lt;/titles&gt;&lt;pages&gt;1038-1048&lt;/pages&gt;&lt;number&gt;4&lt;/number&gt;&lt;contributors&gt;&lt;authors&gt;&lt;author&gt;Geisinger, E.&lt;/author&gt;&lt;author&gt;Adhikari, R. P.&lt;/author&gt;&lt;author&gt;Jin, R. Z.&lt;/author&gt;&lt;author&gt;Ross, H. F.&lt;/author&gt;&lt;author&gt;Novick, R. P.&lt;/author&gt;&lt;/authors&gt;&lt;/contributors&gt;&lt;added-date format="utc"&gt;1677728553&lt;/added-date&gt;&lt;ref-type name="Journal Article"&gt;17&lt;/ref-type&gt;&lt;rec-number&gt;644&lt;/rec-number&gt;&lt;last-updated-date format="utc"&gt;1677728553&lt;/last-updated-date&gt;&lt;accession-num&gt;WOS:000239336100017&lt;/accession-num&gt;&lt;electronic-resource-num&gt;10.1111/j.1365-2958.2006.05292.x&lt;/electronic-resource-num&gt;&lt;volume&gt;61&lt;/volume&gt;&lt;/record&gt;&lt;/Cite&gt;&lt;/EndNote&gt;</w:instrText>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(Geisinger</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2006)</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w:t>
      </w:r>
      <w:r w:rsidR="00B17F15">
        <w:rPr>
          <w:rFonts w:ascii="Times New Roman" w:hAnsi="Times New Roman" w:cs="Times New Roman"/>
          <w:color w:val="000000" w:themeColor="text1"/>
        </w:rPr>
        <w:t xml:space="preserve">Thus, the regulatory capacity of the </w:t>
      </w:r>
      <w:r w:rsidR="00B17F15">
        <w:rPr>
          <w:rFonts w:ascii="Times New Roman" w:hAnsi="Times New Roman" w:cs="Times New Roman"/>
          <w:i/>
          <w:iCs/>
          <w:color w:val="000000" w:themeColor="text1"/>
        </w:rPr>
        <w:t>agr</w:t>
      </w:r>
      <w:r w:rsidR="00B17F15">
        <w:rPr>
          <w:rFonts w:ascii="Times New Roman" w:hAnsi="Times New Roman" w:cs="Times New Roman"/>
          <w:color w:val="000000" w:themeColor="text1"/>
        </w:rPr>
        <w:t xml:space="preserve"> locus is </w:t>
      </w:r>
      <w:r w:rsidR="006F774B">
        <w:rPr>
          <w:rFonts w:ascii="Times New Roman" w:hAnsi="Times New Roman" w:cs="Times New Roman"/>
          <w:color w:val="000000" w:themeColor="text1"/>
        </w:rPr>
        <w:t>widespread, evidenced by its ability to regulate many different staphylococcal virulence factors.</w:t>
      </w:r>
    </w:p>
    <w:p w14:paraId="24345E7E" w14:textId="678D58E7" w:rsidR="00033564" w:rsidRPr="00F71487" w:rsidRDefault="00033564" w:rsidP="00033564">
      <w:pPr>
        <w:spacing w:line="360" w:lineRule="auto"/>
        <w:jc w:val="both"/>
        <w:rPr>
          <w:rFonts w:ascii="Times New Roman" w:hAnsi="Times New Roman" w:cs="Times New Roman"/>
          <w:b/>
          <w:bCs/>
          <w:color w:val="000000" w:themeColor="text1"/>
        </w:rPr>
      </w:pPr>
      <w:r>
        <w:rPr>
          <w:rFonts w:ascii="Times New Roman" w:hAnsi="Times New Roman" w:cs="Times New Roman"/>
          <w:color w:val="000000" w:themeColor="text1"/>
        </w:rPr>
        <w:tab/>
        <w:t xml:space="preserve">The </w:t>
      </w:r>
      <w:r w:rsidRPr="001F3867">
        <w:rPr>
          <w:rFonts w:ascii="Times New Roman" w:hAnsi="Times New Roman" w:cs="Times New Roman"/>
          <w:i/>
          <w:iCs/>
          <w:color w:val="000000" w:themeColor="text1"/>
        </w:rPr>
        <w:t>S. aureus</w:t>
      </w:r>
      <w:r w:rsidRPr="001F3867">
        <w:rPr>
          <w:rFonts w:ascii="Times New Roman" w:hAnsi="Times New Roman" w:cs="Times New Roman"/>
          <w:color w:val="000000" w:themeColor="text1"/>
        </w:rPr>
        <w:t xml:space="preserve"> exoprotein expression</w:t>
      </w:r>
      <w:r>
        <w:rPr>
          <w:rFonts w:ascii="Times New Roman" w:hAnsi="Times New Roman" w:cs="Times New Roman"/>
          <w:color w:val="000000" w:themeColor="text1"/>
        </w:rPr>
        <w:t xml:space="preserve"> SaeS sensor kinase and SaeR response regulator constitute the SaeR/S</w:t>
      </w:r>
      <w:r w:rsidR="004954F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TCS also regulates virulence factors and like the </w:t>
      </w:r>
      <w:r>
        <w:rPr>
          <w:rFonts w:ascii="Times New Roman" w:hAnsi="Times New Roman" w:cs="Times New Roman"/>
          <w:i/>
          <w:iCs/>
          <w:color w:val="000000" w:themeColor="text1"/>
        </w:rPr>
        <w:t xml:space="preserve">agr </w:t>
      </w:r>
      <w:r>
        <w:rPr>
          <w:rFonts w:ascii="Times New Roman" w:hAnsi="Times New Roman" w:cs="Times New Roman"/>
          <w:color w:val="000000" w:themeColor="text1"/>
        </w:rPr>
        <w:t xml:space="preserve">operon, has two promoters. The secreted protein SPIN is upregulated by SaeR/S, as well as </w:t>
      </w:r>
      <w:r w:rsidRPr="001E1079">
        <w:rPr>
          <w:rFonts w:ascii="Times New Roman" w:hAnsi="Times New Roman" w:cs="Times New Roman"/>
        </w:rPr>
        <w:t>α</w:t>
      </w:r>
      <w:r>
        <w:rPr>
          <w:rFonts w:ascii="Times New Roman" w:hAnsi="Times New Roman" w:cs="Times New Roman"/>
        </w:rPr>
        <w:t xml:space="preserve">-toxin, Efb, Eap, SCIN, TSST and FnBPA/B </w:t>
      </w:r>
      <w:r w:rsidRPr="00387FF4">
        <w:rPr>
          <w:rFonts w:ascii="Times New Roman" w:hAnsi="Times New Roman" w:cs="Times New Roman"/>
          <w:b/>
          <w:bCs/>
        </w:rPr>
        <w:fldChar w:fldCharType="begin">
          <w:fldData xml:space="preserve">PEVuZE5vdGU+PENpdGU+PEF1dGhvcj5kZSBKb25nPC9BdXRob3I+PFllYXI+MjAxNzwvWWVhcj48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</w:fldData>
        </w:fldChar>
      </w:r>
      <w:r w:rsidR="00276090">
        <w:rPr>
          <w:rFonts w:ascii="Times New Roman" w:hAnsi="Times New Roman" w:cs="Times New Roman"/>
          <w:b/>
          <w:bCs/>
        </w:rPr>
        <w:instrText xml:space="preserve"> ADDIN EN.CITE </w:instrText>
      </w:r>
      <w:r w:rsidR="00276090">
        <w:rPr>
          <w:rFonts w:ascii="Times New Roman" w:hAnsi="Times New Roman" w:cs="Times New Roman"/>
          <w:b/>
          <w:bCs/>
        </w:rPr>
        <w:fldChar w:fldCharType="begin">
          <w:fldData xml:space="preserve">PEVuZE5vdGU+PENpdGU+PEF1dGhvcj5kZSBKb25nPC9BdXRob3I+PFllYXI+MjAxNzwvWWVhcj48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</w:fldData>
        </w:fldChar>
      </w:r>
      <w:r w:rsidR="00276090">
        <w:rPr>
          <w:rFonts w:ascii="Times New Roman" w:hAnsi="Times New Roman" w:cs="Times New Roman"/>
          <w:b/>
          <w:bCs/>
        </w:rPr>
        <w:instrText xml:space="preserve"> ADDIN EN.CITE.DATA </w:instrText>
      </w:r>
      <w:r w:rsidR="00276090">
        <w:rPr>
          <w:rFonts w:ascii="Times New Roman" w:hAnsi="Times New Roman" w:cs="Times New Roman"/>
          <w:b/>
          <w:bCs/>
        </w:rPr>
      </w:r>
      <w:r w:rsidR="00276090">
        <w:rPr>
          <w:rFonts w:ascii="Times New Roman" w:hAnsi="Times New Roman" w:cs="Times New Roman"/>
          <w:b/>
          <w:bCs/>
        </w:rPr>
        <w:fldChar w:fldCharType="end"/>
      </w:r>
      <w:r w:rsidRPr="00387FF4">
        <w:rPr>
          <w:rFonts w:ascii="Times New Roman" w:hAnsi="Times New Roman" w:cs="Times New Roman"/>
          <w:b/>
          <w:bCs/>
        </w:rPr>
      </w:r>
      <w:r w:rsidRPr="00387FF4">
        <w:rPr>
          <w:rFonts w:ascii="Times New Roman" w:hAnsi="Times New Roman" w:cs="Times New Roman"/>
          <w:b/>
          <w:bCs/>
        </w:rPr>
        <w:fldChar w:fldCharType="separate"/>
      </w:r>
      <w:r w:rsidR="00276090">
        <w:rPr>
          <w:rFonts w:ascii="Times New Roman" w:hAnsi="Times New Roman" w:cs="Times New Roman"/>
          <w:b/>
          <w:bCs/>
          <w:noProof/>
        </w:rPr>
        <w:t>(de Jong</w:t>
      </w:r>
      <w:r w:rsidR="00276090" w:rsidRPr="00276090">
        <w:rPr>
          <w:rFonts w:ascii="Times New Roman" w:hAnsi="Times New Roman" w:cs="Times New Roman"/>
          <w:b/>
          <w:bCs/>
          <w:i/>
          <w:noProof/>
        </w:rPr>
        <w:t xml:space="preserve"> et al.</w:t>
      </w:r>
      <w:r w:rsidR="00276090">
        <w:rPr>
          <w:rFonts w:ascii="Times New Roman" w:hAnsi="Times New Roman" w:cs="Times New Roman"/>
          <w:b/>
          <w:bCs/>
          <w:noProof/>
        </w:rPr>
        <w:t>, 2017a; Liu, Yeo and Bae, 2016)</w:t>
      </w:r>
      <w:r w:rsidRPr="00387FF4">
        <w:rPr>
          <w:rFonts w:ascii="Times New Roman" w:hAnsi="Times New Roman" w:cs="Times New Roman"/>
          <w:b/>
          <w:bCs/>
        </w:rPr>
        <w:fldChar w:fldCharType="end"/>
      </w:r>
      <w:r>
        <w:rPr>
          <w:rFonts w:ascii="Times New Roman" w:hAnsi="Times New Roman" w:cs="Times New Roman"/>
          <w:color w:val="000000" w:themeColor="text1"/>
        </w:rPr>
        <w:t xml:space="preserve">. SaeR/S-deficient </w:t>
      </w:r>
      <w:r>
        <w:rPr>
          <w:rFonts w:ascii="Times New Roman" w:hAnsi="Times New Roman" w:cs="Times New Roman"/>
          <w:i/>
          <w:iCs/>
          <w:color w:val="000000" w:themeColor="text1"/>
        </w:rPr>
        <w:t>S. aureus</w:t>
      </w:r>
      <w:r>
        <w:rPr>
          <w:rFonts w:ascii="Times New Roman" w:hAnsi="Times New Roman" w:cs="Times New Roman"/>
          <w:color w:val="000000" w:themeColor="text1"/>
        </w:rPr>
        <w:t xml:space="preserve"> strains led to 95% survival of mice in a sepsis model, suggesting that the virulence factors regulated by this TCS are important </w:t>
      </w:r>
      <w:r>
        <w:rPr>
          <w:rFonts w:ascii="Times New Roman" w:hAnsi="Times New Roman" w:cs="Times New Roman"/>
          <w:i/>
          <w:iCs/>
          <w:color w:val="000000" w:themeColor="text1"/>
        </w:rPr>
        <w:t>in vivo</w:t>
      </w:r>
      <w:r>
        <w:rPr>
          <w:rFonts w:ascii="Times New Roman" w:hAnsi="Times New Roman" w:cs="Times New Roman"/>
          <w:color w:val="000000" w:themeColor="text1"/>
        </w:rPr>
        <w:t xml:space="preserve"> </w:t>
      </w:r>
      <w:r w:rsidRPr="00387FF4">
        <w:rPr>
          <w:rFonts w:ascii="Times New Roman" w:hAnsi="Times New Roman" w:cs="Times New Roman"/>
          <w:b/>
          <w:bCs/>
          <w:color w:val="000000" w:themeColor="text1"/>
        </w:rPr>
        <w:fldChar w:fldCharType="begin"/>
      </w:r>
      <w:r w:rsidRPr="00387FF4">
        <w:rPr>
          <w:rFonts w:ascii="Times New Roman" w:hAnsi="Times New Roman" w:cs="Times New Roman"/>
          <w:b/>
          <w:bCs/>
          <w:color w:val="000000" w:themeColor="text1"/>
        </w:rPr>
        <w:instrText xml:space="preserve"> ADDIN EN.CITE &lt;EndNote&gt;&lt;Cite&gt;&lt;Author&gt;Voyich&lt;/Author&gt;&lt;Year&gt;2009&lt;/Year&gt;&lt;IDText&gt;The SaeR/S Gene Regulatory System Is Essential for Innate Immune Evasion by Staphylococcus aureus&lt;/IDText&gt;&lt;DisplayText&gt;(Voyich&lt;style face="italic"&gt; et al.&lt;/style&gt;, 2009)&lt;/DisplayText&gt;&lt;record&gt;&lt;dates&gt;&lt;pub-dates&gt;&lt;date&gt;Jun&lt;/date&gt;&lt;/pub-dates&gt;&lt;year&gt;2009&lt;/year&gt;&lt;/dates&gt;&lt;urls&gt;&lt;related-urls&gt;&lt;url&gt;&amp;lt;Go to ISI&amp;gt;://WOS:000266000600019&lt;/url&gt;&lt;/related-urls&gt;&lt;/urls&gt;&lt;isbn&gt;0022-1899&lt;/isbn&gt;&lt;titles&gt;&lt;title&gt;The SaeR/S Gene Regulatory System Is Essential for Innate Immune Evasion by Staphylococcus aureus&lt;/title&gt;&lt;secondary-title&gt;Journal of Infectious Diseases&lt;/secondary-title&gt;&lt;/titles&gt;&lt;pages&gt;1698-1706&lt;/pages&gt;&lt;number&gt;11&lt;/number&gt;&lt;contributors&gt;&lt;authors&gt;&lt;author&gt;Voyich, J. M.&lt;/author&gt;&lt;author&gt;Vuong, C.&lt;/author&gt;&lt;author&gt;DeWald, M.&lt;/author&gt;&lt;author&gt;Nygaard, T. K.&lt;/author&gt;&lt;author&gt;Kocianova, S.&lt;/author&gt;&lt;author&gt;Griffith, S.&lt;/author&gt;&lt;author&gt;Jones, J.&lt;/author&gt;&lt;author&gt;Iverson, C.&lt;/author&gt;&lt;author&gt;Sturdevant, D. E.&lt;/author&gt;&lt;author&gt;Braughton, K. R.&lt;/author&gt;&lt;author&gt;Whitney, A. R.&lt;/author&gt;&lt;author&gt;Otto, M.&lt;/author&gt;&lt;author&gt;Deleo, F. R.&lt;/author&gt;&lt;/authors&gt;&lt;/contributors&gt;&lt;added-date format="utc"&gt;1677732964&lt;/added-date&gt;&lt;ref-type name="Journal Article"&gt;17&lt;/ref-type&gt;&lt;rec-number&gt;649&lt;/rec-number&gt;&lt;last-updated-date format="utc"&gt;1677732964&lt;/last-updated-date&gt;&lt;accession-num&gt;WOS:000266000600019&lt;/accession-num&gt;&lt;electronic-resource-num&gt;10.1086/598967&lt;/electronic-resource-num&gt;&lt;volume&gt;199&lt;/volume&gt;&lt;/record&gt;&lt;/Cite&gt;&lt;/EndNote&gt;</w:instrText>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(Voyich</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2009)</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The </w:t>
      </w:r>
      <w:r>
        <w:rPr>
          <w:rFonts w:ascii="Times New Roman" w:hAnsi="Times New Roman" w:cs="Times New Roman"/>
          <w:i/>
          <w:iCs/>
          <w:color w:val="000000" w:themeColor="text1"/>
        </w:rPr>
        <w:t xml:space="preserve">sarA </w:t>
      </w:r>
      <w:r>
        <w:rPr>
          <w:rFonts w:ascii="Times New Roman" w:hAnsi="Times New Roman" w:cs="Times New Roman"/>
          <w:color w:val="000000" w:themeColor="text1"/>
        </w:rPr>
        <w:t>operon produces three transcripts:</w:t>
      </w:r>
      <w:r>
        <w:rPr>
          <w:rFonts w:ascii="Merriweather" w:hAnsi="Merriweather"/>
          <w:color w:val="2A2A2A"/>
          <w:sz w:val="23"/>
          <w:szCs w:val="23"/>
          <w:shd w:val="clear" w:color="auto" w:fill="FFFFFF"/>
        </w:rPr>
        <w:t> </w:t>
      </w:r>
      <w:r w:rsidRPr="00542368">
        <w:rPr>
          <w:rFonts w:ascii="Times New Roman" w:hAnsi="Times New Roman" w:cs="Times New Roman"/>
          <w:i/>
          <w:iCs/>
          <w:color w:val="000000" w:themeColor="text1"/>
        </w:rPr>
        <w:t>sarP1</w:t>
      </w:r>
      <w:r>
        <w:rPr>
          <w:rFonts w:ascii="Times New Roman" w:hAnsi="Times New Roman" w:cs="Times New Roman"/>
          <w:i/>
          <w:iCs/>
          <w:color w:val="000000" w:themeColor="text1"/>
        </w:rPr>
        <w:t>,</w:t>
      </w:r>
      <w:r w:rsidRPr="00542368">
        <w:rPr>
          <w:rFonts w:ascii="Times New Roman" w:hAnsi="Times New Roman" w:cs="Times New Roman"/>
          <w:color w:val="000000" w:themeColor="text1"/>
        </w:rPr>
        <w:t> </w:t>
      </w:r>
      <w:r w:rsidRPr="00542368">
        <w:rPr>
          <w:rFonts w:ascii="Times New Roman" w:hAnsi="Times New Roman" w:cs="Times New Roman"/>
          <w:i/>
          <w:iCs/>
          <w:color w:val="000000" w:themeColor="text1"/>
        </w:rPr>
        <w:t>sarP2</w:t>
      </w:r>
      <w:r w:rsidRPr="00542368">
        <w:rPr>
          <w:rFonts w:ascii="Times New Roman" w:hAnsi="Times New Roman" w:cs="Times New Roman"/>
          <w:color w:val="000000" w:themeColor="text1"/>
        </w:rPr>
        <w:t> and</w:t>
      </w:r>
      <w:r w:rsidRPr="00542368">
        <w:rPr>
          <w:rFonts w:ascii="Times New Roman" w:hAnsi="Times New Roman" w:cs="Times New Roman"/>
          <w:i/>
          <w:iCs/>
          <w:color w:val="000000" w:themeColor="text1"/>
        </w:rPr>
        <w:t xml:space="preserve"> sarP3</w:t>
      </w:r>
      <w:r>
        <w:rPr>
          <w:rFonts w:ascii="Times New Roman" w:hAnsi="Times New Roman" w:cs="Times New Roman"/>
          <w:color w:val="000000" w:themeColor="text1"/>
        </w:rPr>
        <w:t xml:space="preserve">. </w:t>
      </w:r>
      <w:r w:rsidRPr="00542368">
        <w:rPr>
          <w:rFonts w:ascii="Times New Roman" w:hAnsi="Times New Roman" w:cs="Times New Roman"/>
          <w:i/>
          <w:iCs/>
          <w:color w:val="000000" w:themeColor="text1"/>
        </w:rPr>
        <w:t>sarP</w:t>
      </w:r>
      <w:r>
        <w:rPr>
          <w:rFonts w:ascii="Times New Roman" w:hAnsi="Times New Roman" w:cs="Times New Roman"/>
          <w:i/>
          <w:iCs/>
          <w:color w:val="000000" w:themeColor="text1"/>
        </w:rPr>
        <w:t>1</w:t>
      </w:r>
      <w:r>
        <w:rPr>
          <w:rFonts w:ascii="Times New Roman" w:hAnsi="Times New Roman" w:cs="Times New Roman"/>
          <w:color w:val="000000" w:themeColor="text1"/>
        </w:rPr>
        <w:t xml:space="preserve"> and</w:t>
      </w:r>
      <w:r w:rsidRPr="00542368">
        <w:rPr>
          <w:rFonts w:ascii="Times New Roman" w:hAnsi="Times New Roman" w:cs="Times New Roman"/>
          <w:color w:val="000000" w:themeColor="text1"/>
        </w:rPr>
        <w:t> </w:t>
      </w:r>
      <w:r w:rsidRPr="00542368">
        <w:rPr>
          <w:rFonts w:ascii="Times New Roman" w:hAnsi="Times New Roman" w:cs="Times New Roman"/>
          <w:i/>
          <w:iCs/>
          <w:color w:val="000000" w:themeColor="text1"/>
        </w:rPr>
        <w:t>sarP2</w:t>
      </w:r>
      <w:r w:rsidRPr="00542368">
        <w:rPr>
          <w:rFonts w:ascii="Times New Roman" w:hAnsi="Times New Roman" w:cs="Times New Roman"/>
          <w:color w:val="000000" w:themeColor="text1"/>
        </w:rPr>
        <w:t> </w:t>
      </w:r>
      <w:r>
        <w:rPr>
          <w:rFonts w:ascii="Times New Roman" w:hAnsi="Times New Roman" w:cs="Times New Roman"/>
          <w:color w:val="000000" w:themeColor="text1"/>
        </w:rPr>
        <w:t>are expressed</w:t>
      </w:r>
      <w:r w:rsidR="006F774B">
        <w:rPr>
          <w:rFonts w:ascii="Times New Roman" w:hAnsi="Times New Roman" w:cs="Times New Roman"/>
          <w:color w:val="000000" w:themeColor="text1"/>
        </w:rPr>
        <w:t xml:space="preserve"> during</w:t>
      </w:r>
      <w:r>
        <w:rPr>
          <w:rFonts w:ascii="Times New Roman" w:hAnsi="Times New Roman" w:cs="Times New Roman"/>
          <w:color w:val="000000" w:themeColor="text1"/>
        </w:rPr>
        <w:t xml:space="preserve"> mid-exponential phase, while </w:t>
      </w:r>
      <w:r w:rsidRPr="00542368">
        <w:rPr>
          <w:rFonts w:ascii="Times New Roman" w:hAnsi="Times New Roman" w:cs="Times New Roman"/>
          <w:i/>
          <w:iCs/>
          <w:color w:val="000000" w:themeColor="text1"/>
        </w:rPr>
        <w:t>sarP3</w:t>
      </w:r>
      <w:r>
        <w:rPr>
          <w:rFonts w:ascii="Times New Roman" w:hAnsi="Times New Roman" w:cs="Times New Roman"/>
          <w:color w:val="000000" w:themeColor="text1"/>
        </w:rPr>
        <w:t xml:space="preserve"> is expressed during late-exponential and stationary phases as well as during environmental stress </w:t>
      </w:r>
      <w:r w:rsidRPr="00387FF4">
        <w:rPr>
          <w:rFonts w:ascii="Times New Roman" w:hAnsi="Times New Roman" w:cs="Times New Roman"/>
          <w:b/>
          <w:bCs/>
          <w:color w:val="000000" w:themeColor="text1"/>
        </w:rPr>
        <w:fldChar w:fldCharType="begin"/>
      </w:r>
      <w:r w:rsidRPr="00387FF4">
        <w:rPr>
          <w:rFonts w:ascii="Times New Roman" w:hAnsi="Times New Roman" w:cs="Times New Roman"/>
          <w:b/>
          <w:bCs/>
          <w:color w:val="000000" w:themeColor="text1"/>
        </w:rPr>
        <w:instrText xml:space="preserve"> ADDIN EN.CITE &lt;EndNote&gt;&lt;Cite&gt;&lt;Author&gt;Manna&lt;/Author&gt;&lt;Year&gt;1998&lt;/Year&gt;&lt;IDText&gt;Transcriptional analysis of different promoters in the sar locus in Staphylococcus aureus&lt;/IDText&gt;&lt;DisplayText&gt;(Manna, Bayer and Cheung, 1998)&lt;/DisplayText&gt;&lt;record&gt;&lt;dates&gt;&lt;pub-dates&gt;&lt;date&gt;Aug&lt;/date&gt;&lt;/pub-dates&gt;&lt;year&gt;1998&lt;/year&gt;&lt;/dates&gt;&lt;urls&gt;&lt;related-urls&gt;&lt;url&gt;&amp;lt;Go to ISI&amp;gt;://WOS:000075104000015&lt;/url&gt;&lt;/related-urls&gt;&lt;/urls&gt;&lt;isbn&gt;0021-9193&lt;/isbn&gt;&lt;titles&gt;&lt;title&gt;Transcriptional analysis of different promoters in the sar locus in Staphylococcus aureus&lt;/title&gt;&lt;secondary-title&gt;Journal of Bacteriology&lt;/secondary-title&gt;&lt;/titles&gt;&lt;pages&gt;3828-3836&lt;/pages&gt;&lt;number&gt;15&lt;/number&gt;&lt;contributors&gt;&lt;authors&gt;&lt;author&gt;Manna, A. C.&lt;/author&gt;&lt;author&gt;Bayer, M. G.&lt;/author&gt;&lt;author&gt;Cheung, A. L.&lt;/author&gt;&lt;/authors&gt;&lt;/contributors&gt;&lt;added-date format="utc"&gt;1677734538&lt;/added-date&gt;&lt;ref-type name="Journal Article"&gt;17&lt;/ref-type&gt;&lt;rec-number&gt;650&lt;/rec-number&gt;&lt;last-updated-date format="utc"&gt;1677734538&lt;/last-updated-date&gt;&lt;accession-num&gt;WOS:000075104000015&lt;/accession-num&gt;&lt;electronic-resource-num&gt;10.1128/jb.180.15.3828-3836.1998&lt;/electronic-resource-num&gt;&lt;volume&gt;180&lt;/volume&gt;&lt;/record&gt;&lt;/Cite&gt;&lt;/EndNote&gt;</w:instrText>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(Manna, Bayer and Cheung, 1998)</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Virulence factors regulated by SarA include protein A and PVL, but also RNAIII and the </w:t>
      </w:r>
      <w:r>
        <w:rPr>
          <w:rFonts w:ascii="Times New Roman" w:hAnsi="Times New Roman" w:cs="Times New Roman"/>
          <w:i/>
          <w:iCs/>
          <w:color w:val="000000" w:themeColor="text1"/>
        </w:rPr>
        <w:t xml:space="preserve">agrABCD </w:t>
      </w:r>
      <w:r>
        <w:rPr>
          <w:rFonts w:ascii="Times New Roman" w:hAnsi="Times New Roman" w:cs="Times New Roman"/>
          <w:color w:val="000000" w:themeColor="text1"/>
        </w:rPr>
        <w:t xml:space="preserve">operon </w:t>
      </w:r>
      <w:r w:rsidRPr="00387FF4">
        <w:rPr>
          <w:rFonts w:ascii="Times New Roman" w:hAnsi="Times New Roman" w:cs="Times New Roman"/>
          <w:b/>
          <w:bCs/>
          <w:color w:val="000000" w:themeColor="text1"/>
        </w:rPr>
        <w:fldChar w:fldCharType="begin">
          <w:fldData xml:space="preserve">PEVuZE5vdGU+PENpdGU+PEF1dGhvcj5EdW5tYW48L0F1dGhvcj48WWVhcj4yMDAxPC9ZZWFyPjxJ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</w:fldData>
        </w:fldChar>
      </w:r>
      <w:r w:rsidRPr="00387FF4">
        <w:rPr>
          <w:rFonts w:ascii="Times New Roman" w:hAnsi="Times New Roman" w:cs="Times New Roman"/>
          <w:b/>
          <w:bCs/>
          <w:color w:val="000000" w:themeColor="text1"/>
        </w:rPr>
        <w:instrText xml:space="preserve"> ADDIN EN.CITE </w:instrText>
      </w:r>
      <w:r w:rsidRPr="00387FF4">
        <w:rPr>
          <w:rFonts w:ascii="Times New Roman" w:hAnsi="Times New Roman" w:cs="Times New Roman"/>
          <w:b/>
          <w:bCs/>
          <w:color w:val="000000" w:themeColor="text1"/>
        </w:rPr>
        <w:fldChar w:fldCharType="begin">
          <w:fldData xml:space="preserve">PEVuZE5vdGU+PENpdGU+PEF1dGhvcj5EdW5tYW48L0F1dGhvcj48WWVhcj4yMDAxPC9ZZWFyPjxJ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</w:fldData>
        </w:fldChar>
      </w:r>
      <w:r w:rsidRPr="00387FF4">
        <w:rPr>
          <w:rFonts w:ascii="Times New Roman" w:hAnsi="Times New Roman" w:cs="Times New Roman"/>
          <w:b/>
          <w:bCs/>
          <w:color w:val="000000" w:themeColor="text1"/>
        </w:rPr>
        <w:instrText xml:space="preserve"> ADDIN EN.CITE.DATA </w:instrText>
      </w:r>
      <w:r w:rsidRPr="00387FF4">
        <w:rPr>
          <w:rFonts w:ascii="Times New Roman" w:hAnsi="Times New Roman" w:cs="Times New Roman"/>
          <w:b/>
          <w:bCs/>
          <w:color w:val="000000" w:themeColor="text1"/>
        </w:rPr>
      </w:r>
      <w:r w:rsidRPr="00387FF4">
        <w:rPr>
          <w:rFonts w:ascii="Times New Roman" w:hAnsi="Times New Roman" w:cs="Times New Roman"/>
          <w:b/>
          <w:bCs/>
          <w:color w:val="000000" w:themeColor="text1"/>
        </w:rPr>
        <w:fldChar w:fldCharType="end"/>
      </w:r>
      <w:r w:rsidRPr="00387FF4">
        <w:rPr>
          <w:rFonts w:ascii="Times New Roman" w:hAnsi="Times New Roman" w:cs="Times New Roman"/>
          <w:b/>
          <w:bCs/>
          <w:color w:val="000000" w:themeColor="text1"/>
        </w:rPr>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(Dunman</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2001; Bronner</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2000; Cheung, Bayer and Heinrichs, 1997)</w:t>
      </w:r>
      <w:r w:rsidRPr="00387FF4">
        <w:rPr>
          <w:rFonts w:ascii="Times New Roman" w:hAnsi="Times New Roman" w:cs="Times New Roman"/>
          <w:b/>
          <w:bCs/>
          <w:color w:val="000000" w:themeColor="text1"/>
        </w:rPr>
        <w:fldChar w:fldCharType="end"/>
      </w:r>
      <w:r w:rsidRPr="00387FF4">
        <w:rPr>
          <w:rFonts w:ascii="Times New Roman" w:hAnsi="Times New Roman" w:cs="Times New Roman"/>
          <w:color w:val="000000" w:themeColor="text1"/>
        </w:rPr>
        <w:t>.</w:t>
      </w:r>
      <w:r>
        <w:rPr>
          <w:rFonts w:ascii="Times New Roman" w:hAnsi="Times New Roman" w:cs="Times New Roman"/>
          <w:b/>
          <w:bCs/>
          <w:color w:val="000000" w:themeColor="text1"/>
        </w:rPr>
        <w:t xml:space="preserve"> </w:t>
      </w:r>
      <w:r w:rsidR="006F774B">
        <w:rPr>
          <w:rFonts w:ascii="Times New Roman" w:hAnsi="Times New Roman" w:cs="Times New Roman"/>
          <w:color w:val="000000" w:themeColor="text1"/>
        </w:rPr>
        <w:t>Furthermore</w:t>
      </w:r>
      <w:r>
        <w:rPr>
          <w:rFonts w:ascii="Times New Roman" w:hAnsi="Times New Roman" w:cs="Times New Roman"/>
          <w:color w:val="000000" w:themeColor="text1"/>
        </w:rPr>
        <w:t>, the alternative sigma factor B (</w:t>
      </w:r>
      <w:r w:rsidRPr="00A944AA">
        <w:rPr>
          <w:rFonts w:ascii="Times New Roman" w:hAnsi="Times New Roman" w:cs="Times New Roman"/>
          <w:color w:val="000000" w:themeColor="text1"/>
        </w:rPr>
        <w:t>σ</w:t>
      </w:r>
      <w:r w:rsidRPr="00A944AA">
        <w:rPr>
          <w:rFonts w:ascii="Times New Roman" w:hAnsi="Times New Roman" w:cs="Times New Roman"/>
          <w:color w:val="000000" w:themeColor="text1"/>
          <w:vertAlign w:val="superscript"/>
        </w:rPr>
        <w:t>B</w:t>
      </w:r>
      <w:r>
        <w:rPr>
          <w:rFonts w:ascii="Times New Roman" w:hAnsi="Times New Roman" w:cs="Times New Roman"/>
          <w:color w:val="000000" w:themeColor="text1"/>
        </w:rPr>
        <w:t xml:space="preserve">) is responsible for modulating the Gram-positive stress responses e.g., heat and oxidative stresses </w:t>
      </w:r>
      <w:r w:rsidRPr="00387FF4">
        <w:rPr>
          <w:rFonts w:ascii="Times New Roman" w:hAnsi="Times New Roman" w:cs="Times New Roman"/>
          <w:b/>
          <w:bCs/>
          <w:color w:val="000000" w:themeColor="text1"/>
        </w:rPr>
        <w:fldChar w:fldCharType="begin">
          <w:fldData xml:space="preserve">PEVuZE5vdGU+PENpdGU+PEF1dGhvcj5CaXNjaG9mZjwvQXV0aG9yPjxZZWFyPjIwMDQ8L1llYXI+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</w:fldData>
        </w:fldChar>
      </w:r>
      <w:r w:rsidRPr="00387FF4">
        <w:rPr>
          <w:rFonts w:ascii="Times New Roman" w:hAnsi="Times New Roman" w:cs="Times New Roman"/>
          <w:b/>
          <w:bCs/>
          <w:color w:val="000000" w:themeColor="text1"/>
        </w:rPr>
        <w:instrText xml:space="preserve"> ADDIN EN.CITE </w:instrText>
      </w:r>
      <w:r w:rsidRPr="00387FF4">
        <w:rPr>
          <w:rFonts w:ascii="Times New Roman" w:hAnsi="Times New Roman" w:cs="Times New Roman"/>
          <w:b/>
          <w:bCs/>
          <w:color w:val="000000" w:themeColor="text1"/>
        </w:rPr>
        <w:fldChar w:fldCharType="begin">
          <w:fldData xml:space="preserve">PEVuZE5vdGU+PENpdGU+PEF1dGhvcj5CaXNjaG9mZjwvQXV0aG9yPjxZZWFyPjIwMDQ8L1llYXI+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</w:fldData>
        </w:fldChar>
      </w:r>
      <w:r w:rsidRPr="00387FF4">
        <w:rPr>
          <w:rFonts w:ascii="Times New Roman" w:hAnsi="Times New Roman" w:cs="Times New Roman"/>
          <w:b/>
          <w:bCs/>
          <w:color w:val="000000" w:themeColor="text1"/>
        </w:rPr>
        <w:instrText xml:space="preserve"> ADDIN EN.CITE.DATA </w:instrText>
      </w:r>
      <w:r w:rsidRPr="00387FF4">
        <w:rPr>
          <w:rFonts w:ascii="Times New Roman" w:hAnsi="Times New Roman" w:cs="Times New Roman"/>
          <w:b/>
          <w:bCs/>
          <w:color w:val="000000" w:themeColor="text1"/>
        </w:rPr>
      </w:r>
      <w:r w:rsidRPr="00387FF4">
        <w:rPr>
          <w:rFonts w:ascii="Times New Roman" w:hAnsi="Times New Roman" w:cs="Times New Roman"/>
          <w:b/>
          <w:bCs/>
          <w:color w:val="000000" w:themeColor="text1"/>
        </w:rPr>
        <w:fldChar w:fldCharType="end"/>
      </w:r>
      <w:r w:rsidRPr="00387FF4">
        <w:rPr>
          <w:rFonts w:ascii="Times New Roman" w:hAnsi="Times New Roman" w:cs="Times New Roman"/>
          <w:b/>
          <w:bCs/>
          <w:color w:val="000000" w:themeColor="text1"/>
        </w:rPr>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(Bischoff</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2004; Hecker</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2009)</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w:t>
      </w:r>
      <w:r w:rsidRPr="00A944AA">
        <w:rPr>
          <w:rFonts w:ascii="Times New Roman" w:hAnsi="Times New Roman" w:cs="Times New Roman"/>
          <w:color w:val="000000" w:themeColor="text1"/>
        </w:rPr>
        <w:t>σ</w:t>
      </w:r>
      <w:r w:rsidRPr="00A944AA">
        <w:rPr>
          <w:rFonts w:ascii="Times New Roman" w:hAnsi="Times New Roman" w:cs="Times New Roman"/>
          <w:color w:val="000000" w:themeColor="text1"/>
          <w:vertAlign w:val="superscript"/>
        </w:rPr>
        <w:t>B</w:t>
      </w:r>
      <w:r>
        <w:rPr>
          <w:rFonts w:ascii="Times New Roman" w:hAnsi="Times New Roman" w:cs="Times New Roman"/>
          <w:color w:val="000000" w:themeColor="text1"/>
        </w:rPr>
        <w:t xml:space="preserve"> is necessary for the adaptation of </w:t>
      </w:r>
      <w:r>
        <w:rPr>
          <w:rFonts w:ascii="Times New Roman" w:hAnsi="Times New Roman" w:cs="Times New Roman"/>
          <w:i/>
          <w:iCs/>
          <w:color w:val="000000" w:themeColor="text1"/>
        </w:rPr>
        <w:t xml:space="preserve">S. aureus </w:t>
      </w:r>
      <w:r w:rsidR="006F774B">
        <w:rPr>
          <w:rFonts w:ascii="Times New Roman" w:hAnsi="Times New Roman" w:cs="Times New Roman"/>
          <w:color w:val="000000" w:themeColor="text1"/>
        </w:rPr>
        <w:t>during</w:t>
      </w:r>
      <w:r>
        <w:rPr>
          <w:rFonts w:ascii="Times New Roman" w:hAnsi="Times New Roman" w:cs="Times New Roman"/>
          <w:color w:val="000000" w:themeColor="text1"/>
        </w:rPr>
        <w:t xml:space="preserve"> chronic infections. While a </w:t>
      </w:r>
      <w:r>
        <w:rPr>
          <w:rFonts w:ascii="Times New Roman" w:hAnsi="Times New Roman" w:cs="Times New Roman"/>
          <w:i/>
          <w:iCs/>
          <w:color w:val="000000" w:themeColor="text1"/>
        </w:rPr>
        <w:t>sigB</w:t>
      </w:r>
      <w:r>
        <w:rPr>
          <w:rFonts w:ascii="Times New Roman" w:hAnsi="Times New Roman" w:cs="Times New Roman"/>
          <w:color w:val="000000" w:themeColor="text1"/>
        </w:rPr>
        <w:t xml:space="preserve"> single mutant demonstrates higher expression of toxins and is thus more virulent, a </w:t>
      </w:r>
      <w:r>
        <w:rPr>
          <w:rFonts w:ascii="Times New Roman" w:hAnsi="Times New Roman" w:cs="Times New Roman"/>
          <w:i/>
          <w:iCs/>
          <w:color w:val="000000" w:themeColor="text1"/>
        </w:rPr>
        <w:t>sigB</w:t>
      </w:r>
      <w:r w:rsidR="00F92EFB">
        <w:rPr>
          <w:rFonts w:ascii="Times New Roman" w:hAnsi="Times New Roman" w:cs="Times New Roman"/>
          <w:i/>
          <w:iCs/>
          <w:color w:val="000000" w:themeColor="text1"/>
        </w:rPr>
        <w:t>/</w:t>
      </w:r>
      <w:r>
        <w:rPr>
          <w:rFonts w:ascii="Times New Roman" w:hAnsi="Times New Roman" w:cs="Times New Roman"/>
          <w:i/>
          <w:iCs/>
          <w:color w:val="000000" w:themeColor="text1"/>
        </w:rPr>
        <w:t xml:space="preserve">sarA </w:t>
      </w:r>
      <w:r>
        <w:rPr>
          <w:rFonts w:ascii="Times New Roman" w:hAnsi="Times New Roman" w:cs="Times New Roman"/>
          <w:color w:val="000000" w:themeColor="text1"/>
        </w:rPr>
        <w:t xml:space="preserve">or </w:t>
      </w:r>
      <w:r>
        <w:rPr>
          <w:rFonts w:ascii="Times New Roman" w:hAnsi="Times New Roman" w:cs="Times New Roman"/>
          <w:i/>
          <w:iCs/>
          <w:color w:val="000000" w:themeColor="text1"/>
        </w:rPr>
        <w:t>sigB</w:t>
      </w:r>
      <w:r>
        <w:rPr>
          <w:rFonts w:ascii="Times New Roman" w:hAnsi="Times New Roman" w:cs="Times New Roman"/>
          <w:color w:val="000000" w:themeColor="text1"/>
        </w:rPr>
        <w:t>/</w:t>
      </w:r>
      <w:r>
        <w:rPr>
          <w:rFonts w:ascii="Times New Roman" w:hAnsi="Times New Roman" w:cs="Times New Roman"/>
          <w:i/>
          <w:iCs/>
          <w:color w:val="000000" w:themeColor="text1"/>
        </w:rPr>
        <w:t xml:space="preserve">agr </w:t>
      </w:r>
      <w:r>
        <w:rPr>
          <w:rFonts w:ascii="Times New Roman" w:hAnsi="Times New Roman" w:cs="Times New Roman"/>
          <w:color w:val="000000" w:themeColor="text1"/>
        </w:rPr>
        <w:t xml:space="preserve">double mutant was avirulent </w:t>
      </w:r>
      <w:r w:rsidRPr="00387FF4">
        <w:rPr>
          <w:rFonts w:ascii="Times New Roman" w:hAnsi="Times New Roman" w:cs="Times New Roman"/>
          <w:b/>
          <w:bCs/>
          <w:color w:val="000000" w:themeColor="text1"/>
        </w:rPr>
        <w:fldChar w:fldCharType="begin"/>
      </w:r>
      <w:r w:rsidRPr="00387FF4">
        <w:rPr>
          <w:rFonts w:ascii="Times New Roman" w:hAnsi="Times New Roman" w:cs="Times New Roman"/>
          <w:b/>
          <w:bCs/>
          <w:color w:val="000000" w:themeColor="text1"/>
        </w:rPr>
        <w:instrText xml:space="preserve"> ADDIN EN.CITE &lt;EndNote&gt;&lt;Cite&gt;&lt;Author&gt;Tuchscherr&lt;/Author&gt;&lt;Year&gt;2015&lt;/Year&gt;&lt;IDText&gt;Sigma Factor SigB Is Crucial to Mediate Staphylococcus aureus Adaptation during Chronic Infections&lt;/IDText&gt;&lt;DisplayText&gt;(Tuchscherr&lt;style face="italic"&gt; et al.&lt;/style&gt;, 2015)&lt;/DisplayText&gt;&lt;record&gt;&lt;dates&gt;&lt;pub-dates&gt;&lt;date&gt;Apr&lt;/date&gt;&lt;/pub-dates&gt;&lt;year&gt;2015&lt;/year&gt;&lt;/dates&gt;&lt;urls&gt;&lt;related-urls&gt;&lt;url&gt;&amp;lt;Go to ISI&amp;gt;://WOS:000354978000053&lt;/url&gt;&lt;/related-urls&gt;&lt;/urls&gt;&lt;isbn&gt;1553-7366&lt;/isbn&gt;&lt;titles&gt;&lt;title&gt;Sigma Factor SigB Is Crucial to Mediate Staphylococcus aureus Adaptation during Chronic Infections&lt;/title&gt;&lt;secondary-title&gt;Plos Pathogens&lt;/secondary-title&gt;&lt;/titles&gt;&lt;number&gt;4&lt;/number&gt;&lt;contributors&gt;&lt;authors&gt;&lt;author&gt;Tuchscherr, L.&lt;/author&gt;&lt;author&gt;Bischoff, M.&lt;/author&gt;&lt;author&gt;Lattar, S. M.&lt;/author&gt;&lt;author&gt;Llana, M. N.&lt;/author&gt;&lt;author&gt;Pfortner, H.&lt;/author&gt;&lt;author&gt;Niemann, S.&lt;/author&gt;&lt;author&gt;Geraci, J.&lt;/author&gt;&lt;author&gt;Van de Vyver, H.&lt;/author&gt;&lt;author&gt;Fraunholz, M. J.&lt;/author&gt;&lt;author&gt;Cheung, A. L.&lt;/author&gt;&lt;author&gt;Herrmann, M.&lt;/author&gt;&lt;author&gt;Volker, U.&lt;/author&gt;&lt;author&gt;Sordelli, D. O.&lt;/author&gt;&lt;author&gt;Peters, G.&lt;/author&gt;&lt;author&gt;Loffler, B.&lt;/author&gt;&lt;/authors&gt;&lt;/contributors&gt;&lt;custom7&gt;e1004870&lt;/custom7&gt;&lt;added-date format="utc"&gt;1677736494&lt;/added-date&gt;&lt;ref-type name="Journal Article"&gt;17&lt;/ref-type&gt;&lt;rec-number&gt;655&lt;/rec-number&gt;&lt;last-updated-date format="utc"&gt;1677736494&lt;/last-updated-date&gt;&lt;accession-num&gt;WOS:000354978000053&lt;/accession-num&gt;&lt;electronic-resource-num&gt;10.1371/journal.ppat.1004870&lt;/electronic-resource-num&gt;&lt;volume&gt;11&lt;/volume&gt;&lt;/record&gt;&lt;/Cite&gt;&lt;/EndNote&gt;</w:instrText>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(Tuchscherr</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2015)</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 demonstrating the complexity of the different regulons.</w:t>
      </w:r>
    </w:p>
    <w:p w14:paraId="0819C2D2" w14:textId="31446A89" w:rsidR="00033564" w:rsidRDefault="00033564" w:rsidP="00033564">
      <w:pPr>
        <w:spacing w:line="360" w:lineRule="auto"/>
        <w:jc w:val="both"/>
        <w:rPr>
          <w:rFonts w:ascii="Times New Roman" w:hAnsi="Times New Roman" w:cs="Times New Roman"/>
        </w:rPr>
      </w:pPr>
      <w:r>
        <w:rPr>
          <w:rFonts w:ascii="Times New Roman" w:hAnsi="Times New Roman" w:cs="Times New Roman"/>
          <w:color w:val="000000" w:themeColor="text1"/>
        </w:rPr>
        <w:tab/>
        <w:t xml:space="preserve">It is clear from these studies that regulation of the staphylococcal virulence factors is hugely complex as there is crosstalk between the different regulators. For example, induction of transcripts from the </w:t>
      </w:r>
      <w:r>
        <w:rPr>
          <w:rFonts w:ascii="Times New Roman" w:hAnsi="Times New Roman" w:cs="Times New Roman"/>
          <w:i/>
          <w:iCs/>
          <w:color w:val="000000" w:themeColor="text1"/>
        </w:rPr>
        <w:t xml:space="preserve">sae </w:t>
      </w:r>
      <w:r>
        <w:rPr>
          <w:rFonts w:ascii="Times New Roman" w:hAnsi="Times New Roman" w:cs="Times New Roman"/>
          <w:color w:val="000000" w:themeColor="text1"/>
        </w:rPr>
        <w:t xml:space="preserve">operon P1 promoter requires RNAIII </w:t>
      </w:r>
      <w:r w:rsidRPr="00387FF4">
        <w:rPr>
          <w:rFonts w:ascii="Times New Roman" w:hAnsi="Times New Roman" w:cs="Times New Roman"/>
          <w:b/>
          <w:bCs/>
          <w:color w:val="000000" w:themeColor="text1"/>
        </w:rPr>
        <w:fldChar w:fldCharType="begin"/>
      </w:r>
      <w:r w:rsidRPr="00387FF4">
        <w:rPr>
          <w:rFonts w:ascii="Times New Roman" w:hAnsi="Times New Roman" w:cs="Times New Roman"/>
          <w:b/>
          <w:bCs/>
          <w:color w:val="000000" w:themeColor="text1"/>
        </w:rPr>
        <w:instrText xml:space="preserve"> ADDIN EN.CITE &lt;EndNote&gt;&lt;Cite&gt;&lt;Author&gt;Novick&lt;/Author&gt;&lt;Year&gt;2003&lt;/Year&gt;&lt;IDText&gt;The staphylococcal saeRS system coordinates environmental signals with agr quorum sensing&lt;/IDText&gt;&lt;DisplayText&gt;(Novick and Jiang, 2003)&lt;/DisplayText&gt;&lt;record&gt;&lt;dates&gt;&lt;pub-dates&gt;&lt;date&gt;Oct&lt;/date&gt;&lt;/pub-dates&gt;&lt;year&gt;2003&lt;/year&gt;&lt;/dates&gt;&lt;urls&gt;&lt;related-urls&gt;&lt;url&gt;&amp;lt;Go to ISI&amp;gt;://WOS:000186008200003&lt;/url&gt;&lt;/related-urls&gt;&lt;/urls&gt;&lt;isbn&gt;1350-0872&lt;/isbn&gt;&lt;titles&gt;&lt;title&gt;The staphylococcal saeRS system coordinates environmental signals with agr quorum sensing&lt;/title&gt;&lt;secondary-title&gt;Microbiology-Sgm&lt;/secondary-title&gt;&lt;/titles&gt;&lt;pages&gt;2709-2717&lt;/pages&gt;&lt;contributors&gt;&lt;authors&gt;&lt;author&gt;Novick, R. P.&lt;/author&gt;&lt;author&gt;Jiang, D. R.&lt;/author&gt;&lt;/authors&gt;&lt;/contributors&gt;&lt;added-date format="utc"&gt;1677732334&lt;/added-date&gt;&lt;ref-type name="Journal Article"&gt;17&lt;/ref-type&gt;&lt;rec-number&gt;648&lt;/rec-number&gt;&lt;last-updated-date format="utc"&gt;1677732334&lt;/last-updated-date&gt;&lt;accession-num&gt;WOS:000186008200003&lt;/accession-num&gt;&lt;electronic-resource-num&gt;10.1099/mic.0.26575-0&lt;/electronic-resource-num&gt;&lt;volume&gt;149&lt;/volume&gt;&lt;/record&gt;&lt;/Cite&gt;&lt;/EndNote&gt;</w:instrText>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(Novick and Jiang, 2003)</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There is also overlap in genes that the regulators control e.g. both SarA and SaeR/S upregulate </w:t>
      </w:r>
      <w:r w:rsidRPr="001E1079">
        <w:rPr>
          <w:rFonts w:ascii="Times New Roman" w:hAnsi="Times New Roman" w:cs="Times New Roman"/>
        </w:rPr>
        <w:t>α</w:t>
      </w:r>
      <w:r>
        <w:rPr>
          <w:rFonts w:ascii="Times New Roman" w:hAnsi="Times New Roman" w:cs="Times New Roman"/>
        </w:rPr>
        <w:t xml:space="preserve">-toxin while </w:t>
      </w:r>
      <w:r>
        <w:rPr>
          <w:rFonts w:ascii="Times New Roman" w:hAnsi="Times New Roman" w:cs="Times New Roman"/>
          <w:color w:val="000000" w:themeColor="text1"/>
        </w:rPr>
        <w:t xml:space="preserve">repressor of toxins </w:t>
      </w:r>
      <w:r>
        <w:rPr>
          <w:rFonts w:ascii="Times New Roman" w:hAnsi="Times New Roman" w:cs="Times New Roman"/>
        </w:rPr>
        <w:t xml:space="preserve">(Rot) is responsible for its downregulation </w:t>
      </w:r>
      <w:r w:rsidRPr="00387FF4">
        <w:rPr>
          <w:rFonts w:ascii="Times New Roman" w:hAnsi="Times New Roman" w:cs="Times New Roman"/>
          <w:b/>
          <w:bCs/>
        </w:rPr>
        <w:fldChar w:fldCharType="begin"/>
      </w:r>
      <w:r w:rsidRPr="00387FF4">
        <w:rPr>
          <w:rFonts w:ascii="Times New Roman" w:hAnsi="Times New Roman" w:cs="Times New Roman"/>
          <w:b/>
          <w:bCs/>
        </w:rPr>
        <w:instrText xml:space="preserve"> ADDIN EN.CITE &lt;EndNote&gt;&lt;Cite&gt;&lt;Author&gt;Bronner&lt;/Author&gt;&lt;Year&gt;2004&lt;/Year&gt;&lt;IDText&gt;Regulation of virulence determinants in Staphylococcus aureus: complexity and applications&lt;/IDText&gt;&lt;DisplayText&gt;(Bronner, Monteil and Prevost, 2004)&lt;/DisplayText&gt;&lt;record&gt;&lt;dates&gt;&lt;pub-dates&gt;&lt;date&gt;May&lt;/date&gt;&lt;/pub-dates&gt;&lt;year&gt;2004&lt;/year&gt;&lt;/dates&gt;&lt;urls&gt;&lt;related-urls&gt;&lt;url&gt;&amp;lt;Go to ISI&amp;gt;://WOS:000221375300002&lt;/url&gt;&lt;/related-urls&gt;&lt;/urls&gt;&lt;isbn&gt;0168-6445&lt;/isbn&gt;&lt;titles&gt;&lt;title&gt;Regulation of virulence determinants in Staphylococcus aureus: complexity and applications&lt;/title&gt;&lt;secondary-title&gt;Fems Microbiology Reviews&lt;/secondary-title&gt;&lt;/titles&gt;&lt;pages&gt;183-200&lt;/pages&gt;&lt;number&gt;2&lt;/number&gt;&lt;contributors&gt;&lt;authors&gt;&lt;author&gt;Bronner, S.&lt;/author&gt;&lt;author&gt;Monteil, H.&lt;/author&gt;&lt;author&gt;Prevost, G.&lt;/author&gt;&lt;/authors&gt;&lt;/contributors&gt;&lt;added-date format="utc"&gt;1677734752&lt;/added-date&gt;&lt;ref-type name="Journal Article"&gt;17&lt;/ref-type&gt;&lt;rec-number&gt;651&lt;/rec-number&gt;&lt;last-updated-date format="utc"&gt;1677734752&lt;/last-updated-date&gt;&lt;accession-num&gt;WOS:000221375300002&lt;/accession-num&gt;&lt;electronic-resource-num&gt;10.1016/j.femsre.2003.09.003&lt;/electronic-resource-num&gt;&lt;volume&gt;28&lt;/volume&gt;&lt;/record&gt;&lt;/Cite&gt;&lt;/EndNote&gt;</w:instrText>
      </w:r>
      <w:r w:rsidRPr="00387FF4">
        <w:rPr>
          <w:rFonts w:ascii="Times New Roman" w:hAnsi="Times New Roman" w:cs="Times New Roman"/>
          <w:b/>
          <w:bCs/>
        </w:rPr>
        <w:fldChar w:fldCharType="separate"/>
      </w:r>
      <w:r w:rsidRPr="00387FF4">
        <w:rPr>
          <w:rFonts w:ascii="Times New Roman" w:hAnsi="Times New Roman" w:cs="Times New Roman"/>
          <w:b/>
          <w:bCs/>
          <w:noProof/>
        </w:rPr>
        <w:t>(Bronner, Monteil and Prevost, 2004)</w:t>
      </w:r>
      <w:r w:rsidRPr="00387FF4">
        <w:rPr>
          <w:rFonts w:ascii="Times New Roman" w:hAnsi="Times New Roman" w:cs="Times New Roman"/>
          <w:b/>
          <w:bCs/>
        </w:rPr>
        <w:fldChar w:fldCharType="end"/>
      </w:r>
      <w:r>
        <w:rPr>
          <w:rFonts w:ascii="Times New Roman" w:hAnsi="Times New Roman" w:cs="Times New Roman"/>
        </w:rPr>
        <w:t xml:space="preserve">. Additionally, </w:t>
      </w:r>
      <w:r>
        <w:rPr>
          <w:rFonts w:ascii="Times New Roman" w:hAnsi="Times New Roman" w:cs="Times New Roman"/>
          <w:color w:val="000000" w:themeColor="text1"/>
        </w:rPr>
        <w:t xml:space="preserve">Protein A is upregulated by Rot, but as mentioned is downregulated by </w:t>
      </w:r>
      <w:r>
        <w:rPr>
          <w:rFonts w:ascii="Times New Roman" w:hAnsi="Times New Roman" w:cs="Times New Roman"/>
          <w:i/>
          <w:iCs/>
          <w:color w:val="000000" w:themeColor="text1"/>
        </w:rPr>
        <w:t>agr</w:t>
      </w:r>
      <w:r>
        <w:rPr>
          <w:rFonts w:ascii="Times New Roman" w:hAnsi="Times New Roman" w:cs="Times New Roman"/>
          <w:color w:val="000000" w:themeColor="text1"/>
        </w:rPr>
        <w:t xml:space="preserve"> via RNAIII </w:t>
      </w:r>
      <w:r w:rsidRPr="00387FF4">
        <w:rPr>
          <w:rFonts w:ascii="Times New Roman" w:hAnsi="Times New Roman" w:cs="Times New Roman"/>
          <w:b/>
          <w:bCs/>
          <w:color w:val="000000" w:themeColor="text1"/>
        </w:rPr>
        <w:fldChar w:fldCharType="begin">
          <w:fldData xml:space="preserve">PEVuZE5vdGU+PENpdGU+PEF1dGhvcj5TYWlkLVNhbGltPC9BdXRob3I+PFllYXI+MjAwMzwvWWVh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</w:fldData>
        </w:fldChar>
      </w:r>
      <w:r w:rsidRPr="00387FF4">
        <w:rPr>
          <w:rFonts w:ascii="Times New Roman" w:hAnsi="Times New Roman" w:cs="Times New Roman"/>
          <w:b/>
          <w:bCs/>
          <w:color w:val="000000" w:themeColor="text1"/>
        </w:rPr>
        <w:instrText xml:space="preserve"> ADDIN EN.CITE </w:instrText>
      </w:r>
      <w:r w:rsidRPr="00387FF4">
        <w:rPr>
          <w:rFonts w:ascii="Times New Roman" w:hAnsi="Times New Roman" w:cs="Times New Roman"/>
          <w:b/>
          <w:bCs/>
          <w:color w:val="000000" w:themeColor="text1"/>
        </w:rPr>
        <w:fldChar w:fldCharType="begin">
          <w:fldData xml:space="preserve">PEVuZE5vdGU+PENpdGU+PEF1dGhvcj5TYWlkLVNhbGltPC9BdXRob3I+PFllYXI+MjAwMzwvWWVh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</w:fldData>
        </w:fldChar>
      </w:r>
      <w:r w:rsidRPr="00387FF4">
        <w:rPr>
          <w:rFonts w:ascii="Times New Roman" w:hAnsi="Times New Roman" w:cs="Times New Roman"/>
          <w:b/>
          <w:bCs/>
          <w:color w:val="000000" w:themeColor="text1"/>
        </w:rPr>
        <w:instrText xml:space="preserve"> ADDIN EN.CITE.DATA </w:instrText>
      </w:r>
      <w:r w:rsidRPr="00387FF4">
        <w:rPr>
          <w:rFonts w:ascii="Times New Roman" w:hAnsi="Times New Roman" w:cs="Times New Roman"/>
          <w:b/>
          <w:bCs/>
          <w:color w:val="000000" w:themeColor="text1"/>
        </w:rPr>
      </w:r>
      <w:r w:rsidRPr="00387FF4">
        <w:rPr>
          <w:rFonts w:ascii="Times New Roman" w:hAnsi="Times New Roman" w:cs="Times New Roman"/>
          <w:b/>
          <w:bCs/>
          <w:color w:val="000000" w:themeColor="text1"/>
        </w:rPr>
        <w:fldChar w:fldCharType="end"/>
      </w:r>
      <w:r w:rsidRPr="00387FF4">
        <w:rPr>
          <w:rFonts w:ascii="Times New Roman" w:hAnsi="Times New Roman" w:cs="Times New Roman"/>
          <w:b/>
          <w:bCs/>
          <w:color w:val="000000" w:themeColor="text1"/>
        </w:rPr>
      </w:r>
      <w:r w:rsidRPr="00387FF4">
        <w:rPr>
          <w:rFonts w:ascii="Times New Roman" w:hAnsi="Times New Roman" w:cs="Times New Roman"/>
          <w:b/>
          <w:bCs/>
          <w:color w:val="000000" w:themeColor="text1"/>
        </w:rPr>
        <w:fldChar w:fldCharType="separate"/>
      </w:r>
      <w:r w:rsidRPr="00387FF4">
        <w:rPr>
          <w:rFonts w:ascii="Times New Roman" w:hAnsi="Times New Roman" w:cs="Times New Roman"/>
          <w:b/>
          <w:bCs/>
          <w:noProof/>
          <w:color w:val="000000" w:themeColor="text1"/>
        </w:rPr>
        <w:t>(Said-Salim</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2003; Huntzinger</w:t>
      </w:r>
      <w:r w:rsidRPr="00387FF4">
        <w:rPr>
          <w:rFonts w:ascii="Times New Roman" w:hAnsi="Times New Roman" w:cs="Times New Roman"/>
          <w:b/>
          <w:bCs/>
          <w:i/>
          <w:noProof/>
          <w:color w:val="000000" w:themeColor="text1"/>
        </w:rPr>
        <w:t xml:space="preserve"> et al.</w:t>
      </w:r>
      <w:r w:rsidRPr="00387FF4">
        <w:rPr>
          <w:rFonts w:ascii="Times New Roman" w:hAnsi="Times New Roman" w:cs="Times New Roman"/>
          <w:b/>
          <w:bCs/>
          <w:noProof/>
          <w:color w:val="000000" w:themeColor="text1"/>
        </w:rPr>
        <w:t>, 2005)</w:t>
      </w:r>
      <w:r w:rsidRPr="00387FF4">
        <w:rPr>
          <w:rFonts w:ascii="Times New Roman" w:hAnsi="Times New Roman" w:cs="Times New Roman"/>
          <w:b/>
          <w:bCs/>
          <w:color w:val="000000" w:themeColor="text1"/>
        </w:rPr>
        <w:fldChar w:fldCharType="end"/>
      </w:r>
      <w:r>
        <w:rPr>
          <w:rFonts w:ascii="Times New Roman" w:hAnsi="Times New Roman" w:cs="Times New Roman"/>
          <w:color w:val="000000" w:themeColor="text1"/>
        </w:rPr>
        <w:t>.</w:t>
      </w:r>
      <w:r>
        <w:rPr>
          <w:rFonts w:ascii="Times New Roman" w:hAnsi="Times New Roman" w:cs="Times New Roman"/>
        </w:rPr>
        <w:t xml:space="preserve"> Thus, the regulation of the different staphylococcal virulence factors must be controlled appropriately as dysfunction in one aspect of the regulatory network </w:t>
      </w:r>
      <w:r w:rsidR="006F774B">
        <w:rPr>
          <w:rFonts w:ascii="Times New Roman" w:hAnsi="Times New Roman" w:cs="Times New Roman"/>
        </w:rPr>
        <w:t>may</w:t>
      </w:r>
      <w:r>
        <w:rPr>
          <w:rFonts w:ascii="Times New Roman" w:hAnsi="Times New Roman" w:cs="Times New Roman"/>
        </w:rPr>
        <w:t xml:space="preserve"> have detrimental effects.</w:t>
      </w:r>
    </w:p>
    <w:p w14:paraId="5F53AADC" w14:textId="77777777" w:rsidR="00033564" w:rsidRDefault="00033564" w:rsidP="00033564">
      <w:pPr>
        <w:pStyle w:val="Heading2"/>
      </w:pPr>
      <w:bookmarkStart w:id="26" w:name="_Toc142043570"/>
      <w:r>
        <w:t>1.2. The stringent response</w:t>
      </w:r>
      <w:bookmarkEnd w:id="26"/>
      <w:r>
        <w:t xml:space="preserve"> </w:t>
      </w:r>
    </w:p>
    <w:p w14:paraId="27CE9915" w14:textId="77777777" w:rsidR="00033564" w:rsidRDefault="00033564" w:rsidP="00033564">
      <w:pPr>
        <w:spacing w:line="240" w:lineRule="auto"/>
      </w:pPr>
    </w:p>
    <w:p w14:paraId="3BD38855" w14:textId="34EA5A50" w:rsidR="00033564" w:rsidRPr="0092106D" w:rsidRDefault="00033564" w:rsidP="00033564">
      <w:pPr>
        <w:spacing w:line="360" w:lineRule="auto"/>
        <w:jc w:val="both"/>
        <w:rPr>
          <w:rFonts w:ascii="Times New Roman" w:hAnsi="Times New Roman" w:cs="Times New Roman"/>
        </w:rPr>
      </w:pPr>
      <w:r>
        <w:rPr>
          <w:rFonts w:ascii="Times New Roman" w:hAnsi="Times New Roman" w:cs="Times New Roman"/>
          <w:i/>
          <w:iCs/>
        </w:rPr>
        <w:t xml:space="preserve">S. aureus </w:t>
      </w:r>
      <w:r>
        <w:rPr>
          <w:rFonts w:ascii="Times New Roman" w:hAnsi="Times New Roman" w:cs="Times New Roman"/>
        </w:rPr>
        <w:t xml:space="preserve">is a ubiquitous pathogen and </w:t>
      </w:r>
      <w:r w:rsidR="006F774B">
        <w:rPr>
          <w:rFonts w:ascii="Times New Roman" w:hAnsi="Times New Roman" w:cs="Times New Roman"/>
        </w:rPr>
        <w:t>its</w:t>
      </w:r>
      <w:r>
        <w:rPr>
          <w:rFonts w:ascii="Times New Roman" w:hAnsi="Times New Roman" w:cs="Times New Roman"/>
        </w:rPr>
        <w:t xml:space="preserve"> adaptability makes it excellent at inhabiting multiple niches, as demonstrated by the multiple infection types that </w:t>
      </w:r>
      <w:r>
        <w:rPr>
          <w:rFonts w:ascii="Times New Roman" w:hAnsi="Times New Roman" w:cs="Times New Roman"/>
          <w:i/>
          <w:iCs/>
        </w:rPr>
        <w:t>S. aureus</w:t>
      </w:r>
      <w:r>
        <w:rPr>
          <w:rFonts w:ascii="Times New Roman" w:hAnsi="Times New Roman" w:cs="Times New Roman"/>
        </w:rPr>
        <w:t xml:space="preserve"> is the causative agent for. When colonising a new environment such as the host during infection, conditions may become unfavourable. Under nutrient limitation within the environment, bacteria induce a conserved stress pathway termed the stringent response, which is coordinated by the nucleotide alarmone and signalling molecules guanosine penta-/tetraphosphate ((p)ppGpp)</w:t>
      </w:r>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&lt;EndNote&gt;&lt;Cite&gt;&lt;Author&gt;Potrykus&lt;/Author&gt;&lt;Year&gt;2008&lt;/Year&gt;&lt;IDText&gt;(p)ppGpp: Still Magical?&lt;/IDText&gt;&lt;DisplayText&gt;(Potrykus and Cashel, 2008; Irving, Choudhury and Corrigan, 2021)&lt;/DisplayText&gt;&lt;record&gt;&lt;keywords&gt;&lt;keyword&gt;pathogenesis,rel,spo,stress,stringent response,transcription&lt;/keyword&gt;&lt;/keywords&gt;&lt;isbn&gt;0066-4227&lt;/isbn&gt;&lt;titles&gt;&lt;title&gt;(p)ppGpp: Still Magical?&lt;/title&gt;&lt;secondary-title&gt;Annual Review of Microbiology&lt;/secondary-title&gt;&lt;/titles&gt;&lt;pages&gt;35--51&lt;/pages&gt;&lt;number&gt;1&lt;/number&gt;&lt;contributors&gt;&lt;authors&gt;&lt;author&gt;Potrykus, Katarzyna&lt;/author&gt;&lt;author&gt;Cashel, Michael&lt;/author&gt;&lt;/authors&gt;&lt;/contributors&gt;&lt;added-date format="utc"&gt;1584368907&lt;/added-date&gt;&lt;ref-type name="Journal Article"&gt;17&lt;/ref-type&gt;&lt;dates&gt;&lt;year&gt;2008&lt;/year&gt;&lt;/dates&gt;&lt;rec-number&gt;43&lt;/rec-number&gt;&lt;last-updated-date format="utc"&gt;1677781133&lt;/last-updated-date&gt;&lt;accession-num&gt;Potrykus2008&lt;/accession-num&gt;&lt;electronic-resource-num&gt;10.1146/annurev.micro.62.081307.162903&lt;/electronic-resource-num&gt;&lt;volume&gt;62&lt;/volume&gt;&lt;/record&gt;&lt;/Cite&gt;&lt;Cite&gt;&lt;Author&gt;Irving&lt;/Author&gt;&lt;Year&gt;2021&lt;/Year&gt;&lt;IDText&gt;The stringent response and physiological roles of (pp)pGpp in bacteria&lt;/IDText&gt;&lt;record&gt;&lt;dates&gt;&lt;pub-dates&gt;&lt;date&gt;Apr&lt;/date&gt;&lt;/pub-dates&gt;&lt;year&gt;2021&lt;/year&gt;&lt;/dates&gt;&lt;urls&gt;&lt;related-urls&gt;&lt;url&gt;&amp;lt;Go to ISI&amp;gt;://WOS:000585814900001&lt;/url&gt;&lt;/related-urls&gt;&lt;/urls&gt;&lt;isbn&gt;1740-1526&lt;/isbn&gt;&lt;titles&gt;&lt;title&gt;The stringent response and physiological roles of (pp)pGpp in bacteria&lt;/title&gt;&lt;secondary-title&gt;Nature Reviews Microbiology&lt;/secondary-title&gt;&lt;/titles&gt;&lt;pages&gt;256-271&lt;/pages&gt;&lt;number&gt;4&lt;/number&gt;&lt;contributors&gt;&lt;authors&gt;&lt;author&gt;Irving, Sophie E.&lt;/author&gt;&lt;author&gt;Choudhury, Naznin R.&lt;/author&gt;&lt;author&gt;Corrigan, Rebecca M.&lt;/author&gt;&lt;/authors&gt;&lt;/contributors&gt;&lt;added-date format="utc"&gt;1663624283&lt;/added-date&gt;&lt;ref-type name="Journal Article"&gt;17&lt;/ref-type&gt;&lt;rec-number&gt;145&lt;/rec-number&gt;&lt;last-updated-date format="utc"&gt;1663624413&lt;/last-updated-date&gt;&lt;accession-num&gt;WOS:000585814900001&lt;/accession-num&gt;&lt;electronic-resource-num&gt;10.1038/s41579-020-00470-y&lt;/electronic-resource-num&gt;&lt;volume&gt;19&lt;/volume&gt;&lt;/record&gt;&lt;/Cite&gt;&lt;/EndNote&gt;</w:instrText>
      </w:r>
      <w:r>
        <w:rPr>
          <w:rFonts w:ascii="Times New Roman" w:hAnsi="Times New Roman" w:cs="Times New Roman"/>
          <w:b/>
          <w:bCs/>
        </w:rPr>
        <w:fldChar w:fldCharType="separate"/>
      </w:r>
      <w:r>
        <w:rPr>
          <w:rFonts w:ascii="Times New Roman" w:hAnsi="Times New Roman" w:cs="Times New Roman"/>
          <w:b/>
          <w:bCs/>
          <w:noProof/>
        </w:rPr>
        <w:t>(Potrykus and Cashel, 2008; Irving, Choudhury and Corrigan, 2021)</w:t>
      </w:r>
      <w:r>
        <w:rPr>
          <w:rFonts w:ascii="Times New Roman" w:hAnsi="Times New Roman" w:cs="Times New Roman"/>
          <w:b/>
          <w:bCs/>
        </w:rPr>
        <w:fldChar w:fldCharType="end"/>
      </w:r>
      <w:r>
        <w:rPr>
          <w:rFonts w:ascii="Times New Roman" w:hAnsi="Times New Roman" w:cs="Times New Roman"/>
          <w:b/>
          <w:bCs/>
        </w:rPr>
        <w:t xml:space="preserve"> (Fig. 1.2)</w:t>
      </w:r>
      <w:r>
        <w:rPr>
          <w:rFonts w:ascii="Times New Roman" w:hAnsi="Times New Roman" w:cs="Times New Roman"/>
        </w:rPr>
        <w:t>. While widely conserved, 35 species (mainly endosymbionts) do not encode for (p)ppGpp synthe</w:t>
      </w:r>
      <w:r w:rsidR="006F774B">
        <w:rPr>
          <w:rFonts w:ascii="Times New Roman" w:hAnsi="Times New Roman" w:cs="Times New Roman"/>
        </w:rPr>
        <w:t>tase</w:t>
      </w:r>
      <w:r>
        <w:rPr>
          <w:rFonts w:ascii="Times New Roman" w:hAnsi="Times New Roman" w:cs="Times New Roman"/>
        </w:rPr>
        <w:t xml:space="preserve"> proteins and therefore cannot mount a stringent response </w:t>
      </w:r>
      <w:r w:rsidRPr="000D2677">
        <w:rPr>
          <w:rFonts w:ascii="Times New Roman" w:hAnsi="Times New Roman" w:cs="Times New Roman"/>
          <w:b/>
          <w:bCs/>
        </w:rPr>
        <w:fldChar w:fldCharType="begin"/>
      </w:r>
      <w:r w:rsidRPr="000D2677">
        <w:rPr>
          <w:rFonts w:ascii="Times New Roman" w:hAnsi="Times New Roman" w:cs="Times New Roman"/>
          <w:b/>
          <w:bCs/>
        </w:rPr>
        <w:instrText xml:space="preserve"> ADDIN EN.CITE &lt;EndNote&gt;&lt;Cite&gt;&lt;Author&gt;Atkinson&lt;/Author&gt;&lt;Year&gt;2011&lt;/Year&gt;&lt;IDText&gt;The RelA/SpoT Homolog (RSH) Superfamily: Distribution and Functional Evolution of ppGpp Synthetases and Hydrolases across the Tree of Life&lt;/IDText&gt;&lt;DisplayText&gt;(Atkinson, Tenson and Hauryliuk, 2011)&lt;/DisplayText&gt;&lt;record&gt;&lt;dates&gt;&lt;pub-dates&gt;&lt;date&gt;Aug&lt;/date&gt;&lt;/pub-dates&gt;&lt;year&gt;2011&lt;/year&gt;&lt;/dates&gt;&lt;urls&gt;&lt;related-urls&gt;&lt;url&gt;&amp;lt;Go to ISI&amp;gt;://WOS:000293774300036&lt;/url&gt;&lt;/related-urls&gt;&lt;/urls&gt;&lt;isbn&gt;1932-6203&lt;/isbn&gt;&lt;titles&gt;&lt;title&gt;The RelA/SpoT Homolog (RSH) Superfamily: Distribution and Functional Evolution of ppGpp Synthetases and Hydrolases across the Tree of Life&lt;/title&gt;&lt;secondary-title&gt;Plos One&lt;/secondary-title&gt;&lt;/titles&gt;&lt;number&gt;8&lt;/number&gt;&lt;contributors&gt;&lt;authors&gt;&lt;author&gt;Atkinson, G. C.&lt;/author&gt;&lt;author&gt;Tenson, T.&lt;/author&gt;&lt;author&gt;Hauryliuk, V.&lt;/author&gt;&lt;/authors&gt;&lt;/contributors&gt;&lt;custom7&gt;e23479&lt;/custom7&gt;&lt;added-date format="utc"&gt;1677781575&lt;/added-date&gt;&lt;ref-type name="Journal Article"&gt;17&lt;/ref-type&gt;&lt;rec-number&gt;659&lt;/rec-number&gt;&lt;last-updated-date format="utc"&gt;1677781575&lt;/last-updated-date&gt;&lt;accession-num&gt;WOS:000293774300036&lt;/accession-num&gt;&lt;electronic-resource-num&gt;10.1371/journal.pone.0023479&lt;/electronic-resource-num&gt;&lt;volume&gt;6&lt;/volume&gt;&lt;/record&gt;&lt;/Cite&gt;&lt;/EndNote&gt;</w:instrText>
      </w:r>
      <w:r w:rsidRPr="000D2677">
        <w:rPr>
          <w:rFonts w:ascii="Times New Roman" w:hAnsi="Times New Roman" w:cs="Times New Roman"/>
          <w:b/>
          <w:bCs/>
        </w:rPr>
        <w:fldChar w:fldCharType="separate"/>
      </w:r>
      <w:r w:rsidRPr="000D2677">
        <w:rPr>
          <w:rFonts w:ascii="Times New Roman" w:hAnsi="Times New Roman" w:cs="Times New Roman"/>
          <w:b/>
          <w:bCs/>
          <w:noProof/>
        </w:rPr>
        <w:t>(Atkinson, Tenson and Hauryliuk, 2011)</w:t>
      </w:r>
      <w:r w:rsidRPr="000D2677">
        <w:rPr>
          <w:rFonts w:ascii="Times New Roman" w:hAnsi="Times New Roman" w:cs="Times New Roman"/>
          <w:b/>
          <w:bCs/>
        </w:rPr>
        <w:fldChar w:fldCharType="end"/>
      </w:r>
      <w:r>
        <w:rPr>
          <w:rFonts w:ascii="Times New Roman" w:hAnsi="Times New Roman" w:cs="Times New Roman"/>
        </w:rPr>
        <w:t xml:space="preserve">. (p)ppGpp is produced by the RelA/SpoT Homologue (RSH) protein family </w:t>
      </w:r>
      <w:r w:rsidRPr="00C42088">
        <w:rPr>
          <w:rFonts w:ascii="Times New Roman" w:hAnsi="Times New Roman" w:cs="Times New Roman"/>
          <w:b/>
          <w:bCs/>
        </w:rPr>
        <w:fldChar w:fldCharType="begin">
          <w:fldData xml:space="preserve">PEVuZE5vdGU+PENpdGU+PEF1dGhvcj5NaXR0ZW5odWJlcjwvQXV0aG9yPjxZZWFyPjIwMDE8L1ll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</w:fldData>
        </w:fldChar>
      </w:r>
      <w:r w:rsidRPr="00C42088">
        <w:rPr>
          <w:rFonts w:ascii="Times New Roman" w:hAnsi="Times New Roman" w:cs="Times New Roman"/>
          <w:b/>
          <w:bCs/>
        </w:rPr>
        <w:instrText xml:space="preserve"> ADDIN EN.CITE </w:instrText>
      </w:r>
      <w:r w:rsidRPr="00C42088">
        <w:rPr>
          <w:rFonts w:ascii="Times New Roman" w:hAnsi="Times New Roman" w:cs="Times New Roman"/>
          <w:b/>
          <w:bCs/>
        </w:rPr>
        <w:fldChar w:fldCharType="begin">
          <w:fldData xml:space="preserve">PEVuZE5vdGU+PENpdGU+PEF1dGhvcj5NaXR0ZW5odWJlcjwvQXV0aG9yPjxZZWFyPjIwMDE8L1ll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</w:fldData>
        </w:fldChar>
      </w:r>
      <w:r w:rsidRPr="00C42088">
        <w:rPr>
          <w:rFonts w:ascii="Times New Roman" w:hAnsi="Times New Roman" w:cs="Times New Roman"/>
          <w:b/>
          <w:bCs/>
        </w:rPr>
        <w:instrText xml:space="preserve"> ADDIN EN.CITE.DATA </w:instrText>
      </w:r>
      <w:r w:rsidRPr="00C42088">
        <w:rPr>
          <w:rFonts w:ascii="Times New Roman" w:hAnsi="Times New Roman" w:cs="Times New Roman"/>
          <w:b/>
          <w:bCs/>
        </w:rPr>
      </w:r>
      <w:r w:rsidRPr="00C42088">
        <w:rPr>
          <w:rFonts w:ascii="Times New Roman" w:hAnsi="Times New Roman" w:cs="Times New Roman"/>
          <w:b/>
          <w:bCs/>
        </w:rPr>
        <w:fldChar w:fldCharType="end"/>
      </w:r>
      <w:r w:rsidRPr="00C42088">
        <w:rPr>
          <w:rFonts w:ascii="Times New Roman" w:hAnsi="Times New Roman" w:cs="Times New Roman"/>
          <w:b/>
          <w:bCs/>
        </w:rPr>
      </w:r>
      <w:r w:rsidRPr="00C42088">
        <w:rPr>
          <w:rFonts w:ascii="Times New Roman" w:hAnsi="Times New Roman" w:cs="Times New Roman"/>
          <w:b/>
          <w:bCs/>
        </w:rPr>
        <w:fldChar w:fldCharType="separate"/>
      </w:r>
      <w:r w:rsidRPr="00C42088">
        <w:rPr>
          <w:rFonts w:ascii="Times New Roman" w:hAnsi="Times New Roman" w:cs="Times New Roman"/>
          <w:b/>
          <w:bCs/>
          <w:noProof/>
        </w:rPr>
        <w:t>(Mittenhuber, 2001; Atkinson, Tenson and Hauryliuk, 2011)</w:t>
      </w:r>
      <w:r w:rsidRPr="00C42088">
        <w:rPr>
          <w:rFonts w:ascii="Times New Roman" w:hAnsi="Times New Roman" w:cs="Times New Roman"/>
          <w:b/>
          <w:bCs/>
        </w:rPr>
        <w:fldChar w:fldCharType="end"/>
      </w:r>
      <w:r>
        <w:rPr>
          <w:rFonts w:ascii="Times New Roman" w:hAnsi="Times New Roman" w:cs="Times New Roman"/>
        </w:rPr>
        <w:t xml:space="preserve">, and production of this alarmone results in major changes to both the transcriptome and proteome due to its interaction with several target effector molecules, highlighting the pleiotropic nature of the stringent response. Hyperphosphorylated nucleotides such as </w:t>
      </w:r>
      <w:r w:rsidRPr="00C42088">
        <w:rPr>
          <w:rFonts w:ascii="Times New Roman" w:hAnsi="Times New Roman" w:cs="Times New Roman"/>
        </w:rPr>
        <w:t xml:space="preserve">(p)ppGpp </w:t>
      </w:r>
      <w:r>
        <w:rPr>
          <w:rFonts w:ascii="Times New Roman" w:hAnsi="Times New Roman" w:cs="Times New Roman"/>
        </w:rPr>
        <w:t xml:space="preserve">and (p)ppApp </w:t>
      </w:r>
      <w:r w:rsidRPr="00C42088">
        <w:rPr>
          <w:rFonts w:ascii="Times New Roman" w:hAnsi="Times New Roman" w:cs="Times New Roman"/>
        </w:rPr>
        <w:t>w</w:t>
      </w:r>
      <w:r>
        <w:rPr>
          <w:rFonts w:ascii="Times New Roman" w:hAnsi="Times New Roman" w:cs="Times New Roman"/>
        </w:rPr>
        <w:t>ere</w:t>
      </w:r>
      <w:r w:rsidRPr="00C42088">
        <w:rPr>
          <w:rFonts w:ascii="Times New Roman" w:hAnsi="Times New Roman" w:cs="Times New Roman"/>
        </w:rPr>
        <w:t xml:space="preserve"> first discovered </w:t>
      </w:r>
      <w:r>
        <w:rPr>
          <w:rFonts w:ascii="Times New Roman" w:hAnsi="Times New Roman" w:cs="Times New Roman"/>
        </w:rPr>
        <w:t xml:space="preserve">approximately 50 </w:t>
      </w:r>
      <w:r w:rsidRPr="00C42088">
        <w:rPr>
          <w:rFonts w:ascii="Times New Roman" w:hAnsi="Times New Roman" w:cs="Times New Roman"/>
        </w:rPr>
        <w:t xml:space="preserve">years ago </w:t>
      </w:r>
      <w:r w:rsidRPr="00C42088">
        <w:rPr>
          <w:rFonts w:ascii="Times New Roman" w:hAnsi="Times New Roman" w:cs="Times New Roman"/>
          <w:b/>
          <w:bCs/>
        </w:rPr>
        <w:fldChar w:fldCharType="begin">
          <w:fldData xml:space="preserve">PEVuZE5vdGU+PENpdGU+PEF1dGhvcj5DYXNoZWw8L0F1dGhvcj48WWVhcj4xOTY5PC9ZZWFyPjxJ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</w:fldData>
        </w:fldChar>
      </w:r>
      <w:r w:rsidRPr="00C42088">
        <w:rPr>
          <w:rFonts w:ascii="Times New Roman" w:hAnsi="Times New Roman" w:cs="Times New Roman"/>
          <w:b/>
          <w:bCs/>
        </w:rPr>
        <w:instrText xml:space="preserve"> ADDIN EN.CITE </w:instrText>
      </w:r>
      <w:r w:rsidRPr="00C42088">
        <w:rPr>
          <w:rFonts w:ascii="Times New Roman" w:hAnsi="Times New Roman" w:cs="Times New Roman"/>
          <w:b/>
          <w:bCs/>
        </w:rPr>
        <w:fldChar w:fldCharType="begin">
          <w:fldData xml:space="preserve">PEVuZE5vdGU+PENpdGU+PEF1dGhvcj5DYXNoZWw8L0F1dGhvcj48WWVhcj4xOTY5PC9ZZWFyPjxJ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</w:fldData>
        </w:fldChar>
      </w:r>
      <w:r w:rsidRPr="00C42088">
        <w:rPr>
          <w:rFonts w:ascii="Times New Roman" w:hAnsi="Times New Roman" w:cs="Times New Roman"/>
          <w:b/>
          <w:bCs/>
        </w:rPr>
        <w:instrText xml:space="preserve"> ADDIN EN.CITE.DATA </w:instrText>
      </w:r>
      <w:r w:rsidRPr="00C42088">
        <w:rPr>
          <w:rFonts w:ascii="Times New Roman" w:hAnsi="Times New Roman" w:cs="Times New Roman"/>
          <w:b/>
          <w:bCs/>
        </w:rPr>
      </w:r>
      <w:r w:rsidRPr="00C42088">
        <w:rPr>
          <w:rFonts w:ascii="Times New Roman" w:hAnsi="Times New Roman" w:cs="Times New Roman"/>
          <w:b/>
          <w:bCs/>
        </w:rPr>
        <w:fldChar w:fldCharType="end"/>
      </w:r>
      <w:r w:rsidRPr="00C42088">
        <w:rPr>
          <w:rFonts w:ascii="Times New Roman" w:hAnsi="Times New Roman" w:cs="Times New Roman"/>
          <w:b/>
          <w:bCs/>
        </w:rPr>
      </w:r>
      <w:r w:rsidRPr="00C42088">
        <w:rPr>
          <w:rFonts w:ascii="Times New Roman" w:hAnsi="Times New Roman" w:cs="Times New Roman"/>
          <w:b/>
          <w:bCs/>
        </w:rPr>
        <w:fldChar w:fldCharType="separate"/>
      </w:r>
      <w:r w:rsidRPr="00C42088">
        <w:rPr>
          <w:rFonts w:ascii="Times New Roman" w:hAnsi="Times New Roman" w:cs="Times New Roman"/>
          <w:b/>
          <w:bCs/>
          <w:noProof/>
        </w:rPr>
        <w:t>(Cashel and Gallant, 1969; Oki</w:t>
      </w:r>
      <w:r w:rsidRPr="00C42088">
        <w:rPr>
          <w:rFonts w:ascii="Times New Roman" w:hAnsi="Times New Roman" w:cs="Times New Roman"/>
          <w:b/>
          <w:bCs/>
          <w:i/>
          <w:noProof/>
        </w:rPr>
        <w:t xml:space="preserve"> et al.</w:t>
      </w:r>
      <w:r w:rsidRPr="00C42088">
        <w:rPr>
          <w:rFonts w:ascii="Times New Roman" w:hAnsi="Times New Roman" w:cs="Times New Roman"/>
          <w:b/>
          <w:bCs/>
          <w:noProof/>
        </w:rPr>
        <w:t>, 1976)</w:t>
      </w:r>
      <w:r w:rsidRPr="00C42088">
        <w:rPr>
          <w:rFonts w:ascii="Times New Roman" w:hAnsi="Times New Roman" w:cs="Times New Roman"/>
          <w:b/>
          <w:bCs/>
        </w:rPr>
        <w:fldChar w:fldCharType="end"/>
      </w:r>
      <w:r w:rsidRPr="00C42088">
        <w:rPr>
          <w:rFonts w:ascii="Times New Roman" w:hAnsi="Times New Roman" w:cs="Times New Roman"/>
        </w:rPr>
        <w:t>.</w:t>
      </w:r>
      <w:r>
        <w:rPr>
          <w:rFonts w:ascii="Times New Roman" w:hAnsi="Times New Roman" w:cs="Times New Roman"/>
        </w:rPr>
        <w:t xml:space="preserve"> In 1969,</w:t>
      </w:r>
      <w:r w:rsidRPr="00C42088">
        <w:rPr>
          <w:rFonts w:ascii="Times New Roman" w:hAnsi="Times New Roman" w:cs="Times New Roman"/>
        </w:rPr>
        <w:t xml:space="preserve"> </w:t>
      </w:r>
      <w:r w:rsidRPr="00C42088">
        <w:rPr>
          <w:rFonts w:ascii="Times New Roman" w:hAnsi="Times New Roman" w:cs="Times New Roman"/>
          <w:i/>
          <w:iCs/>
        </w:rPr>
        <w:t>Escherichia coli</w:t>
      </w:r>
      <w:r w:rsidRPr="00C42088">
        <w:rPr>
          <w:rFonts w:ascii="Times New Roman" w:hAnsi="Times New Roman" w:cs="Times New Roman"/>
        </w:rPr>
        <w:t xml:space="preserve"> deprived</w:t>
      </w:r>
      <w:r>
        <w:rPr>
          <w:rFonts w:ascii="Times New Roman" w:hAnsi="Times New Roman" w:cs="Times New Roman"/>
        </w:rPr>
        <w:t xml:space="preserve"> of</w:t>
      </w:r>
      <w:r w:rsidRPr="00C42088">
        <w:rPr>
          <w:rFonts w:ascii="Times New Roman" w:hAnsi="Times New Roman" w:cs="Times New Roman"/>
        </w:rPr>
        <w:t xml:space="preserve"> amino acids were revealed to produce hyperphosphorylated nucleotides, termed “magic spots”</w:t>
      </w:r>
      <w:r>
        <w:rPr>
          <w:rFonts w:ascii="Times New Roman" w:hAnsi="Times New Roman" w:cs="Times New Roman"/>
        </w:rPr>
        <w:t xml:space="preserve"> </w:t>
      </w:r>
      <w:r w:rsidRPr="00C42088">
        <w:rPr>
          <w:rFonts w:ascii="Times New Roman" w:hAnsi="Times New Roman" w:cs="Times New Roman"/>
          <w:b/>
          <w:bCs/>
        </w:rPr>
        <w:fldChar w:fldCharType="begin"/>
      </w:r>
      <w:r w:rsidRPr="00C42088">
        <w:rPr>
          <w:rFonts w:ascii="Times New Roman" w:hAnsi="Times New Roman" w:cs="Times New Roman"/>
          <w:b/>
          <w:bCs/>
        </w:rPr>
        <w:instrText xml:space="preserve"> ADDIN EN.CITE &lt;EndNote&gt;&lt;Cite&gt;&lt;Author&gt;Cashel&lt;/Author&gt;&lt;Year&gt;1969&lt;/Year&gt;&lt;IDText&gt;Two Compounds implicated in the Function of the RC Gene of Escherichia coli&lt;/IDText&gt;&lt;DisplayText&gt;(Cashel and Gallant, 1969)&lt;/DisplayText&gt;&lt;record&gt;&lt;dates&gt;&lt;pub-dates&gt;&lt;date&gt;1969&lt;/date&gt;&lt;/pub-dates&gt;&lt;year&gt;1969&lt;/year&gt;&lt;/dates&gt;&lt;urls&gt;&lt;related-urls&gt;&lt;/related-urls&gt;&lt;/urls&gt;&lt;isbn&gt;0028-0836&lt;/isbn&gt;&lt;titles&gt;&lt;title&gt;&lt;style font="default" size="100%"&gt;Two Compounds implicated in the Function of the R&lt;/style&gt;&lt;style face="italic" font="default" size="100%"&gt;C &lt;/style&gt;&lt;style font="default" size="100%"&gt;Gene of E&lt;/style&gt;&lt;style face="italic" font="default" size="100%"&gt;scherichia coli&lt;/style&gt;&lt;/title&gt;&lt;secondary-title&gt;Nature&lt;/secondary-title&gt;&lt;/titles&gt;&lt;pages&gt;838-&amp;amp;&lt;/pages&gt;&lt;number&gt;5183&lt;/number&gt;&lt;contributors&gt;&lt;authors&gt;&lt;author&gt;Cashel, M.&lt;/author&gt;&lt;author&gt;Gallant, J.&lt;/author&gt;&lt;/authors&gt;&lt;/contributors&gt;&lt;added-date format="utc"&gt;1663621121&lt;/added-date&gt;&lt;ref-type name="Journal Article"&gt;17&lt;/ref-type&gt;&lt;rec-number&gt;108&lt;/rec-number&gt;&lt;last-updated-date format="utc"&gt;1675729360&lt;/last-updated-date&gt;&lt;accession-num&gt;WOS:A1969C660200019&lt;/accession-num&gt;&lt;electronic-resource-num&gt;10.1038/221838a0&lt;/electronic-resource-num&gt;&lt;volume&gt;221&lt;/volume&gt;&lt;/record&gt;&lt;/Cite&gt;&lt;/EndNote&gt;</w:instrText>
      </w:r>
      <w:r w:rsidRPr="00C42088">
        <w:rPr>
          <w:rFonts w:ascii="Times New Roman" w:hAnsi="Times New Roman" w:cs="Times New Roman"/>
          <w:b/>
          <w:bCs/>
        </w:rPr>
        <w:fldChar w:fldCharType="separate"/>
      </w:r>
      <w:r w:rsidRPr="00C42088">
        <w:rPr>
          <w:rFonts w:ascii="Times New Roman" w:hAnsi="Times New Roman" w:cs="Times New Roman"/>
          <w:b/>
          <w:bCs/>
          <w:noProof/>
        </w:rPr>
        <w:t>(Cashel and Gallant, 1969)</w:t>
      </w:r>
      <w:r w:rsidRPr="00C42088">
        <w:rPr>
          <w:rFonts w:ascii="Times New Roman" w:hAnsi="Times New Roman" w:cs="Times New Roman"/>
          <w:b/>
          <w:bCs/>
        </w:rPr>
        <w:fldChar w:fldCharType="end"/>
      </w:r>
      <w:r w:rsidRPr="00C42088">
        <w:rPr>
          <w:rFonts w:ascii="Times New Roman" w:hAnsi="Times New Roman" w:cs="Times New Roman"/>
        </w:rPr>
        <w:t xml:space="preserve">. This breakthrough paper allowed the commencement of research into how (p)ppGpp coordinates the stringent response. </w:t>
      </w:r>
      <w:r>
        <w:rPr>
          <w:rFonts w:ascii="Times New Roman" w:hAnsi="Times New Roman" w:cs="Times New Roman"/>
        </w:rPr>
        <w:t xml:space="preserve">Since then, various other phosphorylated nucleotides have been identified for example pGpp, identified in </w:t>
      </w:r>
      <w:r>
        <w:rPr>
          <w:rFonts w:ascii="Times New Roman" w:hAnsi="Times New Roman" w:cs="Times New Roman"/>
          <w:i/>
          <w:iCs/>
        </w:rPr>
        <w:t xml:space="preserve">Enterococcus faecalis </w:t>
      </w:r>
      <w:r>
        <w:rPr>
          <w:rFonts w:ascii="Times New Roman" w:hAnsi="Times New Roman" w:cs="Times New Roman"/>
        </w:rPr>
        <w:t xml:space="preserve">and </w:t>
      </w:r>
      <w:r>
        <w:rPr>
          <w:rFonts w:ascii="Times New Roman" w:hAnsi="Times New Roman" w:cs="Times New Roman"/>
          <w:i/>
          <w:iCs/>
        </w:rPr>
        <w:t xml:space="preserve">Bacillus subtilis </w:t>
      </w:r>
      <w:r w:rsidRPr="00B501BF">
        <w:rPr>
          <w:rFonts w:ascii="Times New Roman" w:hAnsi="Times New Roman" w:cs="Times New Roman"/>
          <w:b/>
          <w:bCs/>
        </w:rPr>
        <w:fldChar w:fldCharType="begin">
          <w:fldData xml:space="preserve">PEVuZE5vdGU+PENpdGU+PEF1dGhvcj5HYWNhPC9BdXRob3I+PFllYXI+MjAxNTwvWWVhcj48SURU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</w:fldData>
        </w:fldChar>
      </w:r>
      <w:r w:rsidRPr="00B501BF">
        <w:rPr>
          <w:rFonts w:ascii="Times New Roman" w:hAnsi="Times New Roman" w:cs="Times New Roman"/>
          <w:b/>
          <w:bCs/>
        </w:rPr>
        <w:instrText xml:space="preserve"> ADDIN EN.CITE </w:instrText>
      </w:r>
      <w:r w:rsidRPr="00B501BF">
        <w:rPr>
          <w:rFonts w:ascii="Times New Roman" w:hAnsi="Times New Roman" w:cs="Times New Roman"/>
          <w:b/>
          <w:bCs/>
        </w:rPr>
        <w:fldChar w:fldCharType="begin">
          <w:fldData xml:space="preserve">PEVuZE5vdGU+PENpdGU+PEF1dGhvcj5HYWNhPC9BdXRob3I+PFllYXI+MjAxNTwvWWVhcj48SURU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</w:fldData>
        </w:fldChar>
      </w:r>
      <w:r w:rsidRPr="00B501BF">
        <w:rPr>
          <w:rFonts w:ascii="Times New Roman" w:hAnsi="Times New Roman" w:cs="Times New Roman"/>
          <w:b/>
          <w:bCs/>
        </w:rPr>
        <w:instrText xml:space="preserve"> ADDIN EN.CITE.DATA </w:instrText>
      </w:r>
      <w:r w:rsidRPr="00B501BF">
        <w:rPr>
          <w:rFonts w:ascii="Times New Roman" w:hAnsi="Times New Roman" w:cs="Times New Roman"/>
          <w:b/>
          <w:bCs/>
        </w:rPr>
      </w:r>
      <w:r w:rsidRPr="00B501BF">
        <w:rPr>
          <w:rFonts w:ascii="Times New Roman" w:hAnsi="Times New Roman" w:cs="Times New Roman"/>
          <w:b/>
          <w:bCs/>
        </w:rPr>
        <w:fldChar w:fldCharType="end"/>
      </w:r>
      <w:r w:rsidRPr="00B501BF">
        <w:rPr>
          <w:rFonts w:ascii="Times New Roman" w:hAnsi="Times New Roman" w:cs="Times New Roman"/>
          <w:b/>
          <w:bCs/>
        </w:rPr>
      </w:r>
      <w:r w:rsidRPr="00B501BF">
        <w:rPr>
          <w:rFonts w:ascii="Times New Roman" w:hAnsi="Times New Roman" w:cs="Times New Roman"/>
          <w:b/>
          <w:bCs/>
        </w:rPr>
        <w:fldChar w:fldCharType="separate"/>
      </w:r>
      <w:r w:rsidRPr="00B501BF">
        <w:rPr>
          <w:rFonts w:ascii="Times New Roman" w:hAnsi="Times New Roman" w:cs="Times New Roman"/>
          <w:b/>
          <w:bCs/>
          <w:noProof/>
        </w:rPr>
        <w:t>(Gaca et al., 2015; Yang et al., 2021)</w:t>
      </w:r>
      <w:r w:rsidRPr="00B501BF">
        <w:rPr>
          <w:rFonts w:ascii="Times New Roman" w:hAnsi="Times New Roman" w:cs="Times New Roman"/>
          <w:b/>
          <w:bCs/>
        </w:rPr>
        <w:fldChar w:fldCharType="end"/>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33564" w14:paraId="5889B4CE" w14:textId="77777777" w:rsidTr="00A74445">
        <w:tc>
          <w:tcPr>
            <w:tcW w:w="9016" w:type="dxa"/>
          </w:tcPr>
          <w:p w14:paraId="3D21E638" w14:textId="77777777" w:rsidR="00033564" w:rsidRDefault="00033564"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8C0DFF5" wp14:editId="4A5CA394">
                  <wp:extent cx="5472333" cy="57337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0838" cy="5774052"/>
                          </a:xfrm>
                          <a:prstGeom prst="rect">
                            <a:avLst/>
                          </a:prstGeom>
                          <a:noFill/>
                        </pic:spPr>
                      </pic:pic>
                    </a:graphicData>
                  </a:graphic>
                </wp:inline>
              </w:drawing>
            </w:r>
          </w:p>
        </w:tc>
      </w:tr>
      <w:tr w:rsidR="00033564" w14:paraId="720482E3" w14:textId="77777777" w:rsidTr="00A74445">
        <w:tc>
          <w:tcPr>
            <w:tcW w:w="9016" w:type="dxa"/>
          </w:tcPr>
          <w:p w14:paraId="35EA2119" w14:textId="56B79DAA" w:rsidR="00033564" w:rsidRDefault="00033564" w:rsidP="00A74445">
            <w:pPr>
              <w:jc w:val="both"/>
              <w:rPr>
                <w:rFonts w:ascii="Times New Roman" w:hAnsi="Times New Roman" w:cs="Times New Roman"/>
              </w:rPr>
            </w:pPr>
            <w:r w:rsidRPr="004B1C48">
              <w:rPr>
                <w:rFonts w:ascii="Times New Roman" w:hAnsi="Times New Roman" w:cs="Times New Roman"/>
                <w:b/>
                <w:bCs/>
                <w:sz w:val="18"/>
                <w:szCs w:val="18"/>
              </w:rPr>
              <w:t xml:space="preserve">Figure 1.2. The structure of (pp)pGpp and RSH domain architecture. a) </w:t>
            </w:r>
            <w:r w:rsidRPr="004B1C48">
              <w:rPr>
                <w:rFonts w:ascii="Times New Roman" w:hAnsi="Times New Roman" w:cs="Times New Roman"/>
                <w:sz w:val="18"/>
                <w:szCs w:val="18"/>
              </w:rPr>
              <w:t xml:space="preserve">Chemical structure of (p)ppGpp. The phosphate groups coloured red, blue and orange indicate whether </w:t>
            </w:r>
            <w:r w:rsidR="006F774B">
              <w:rPr>
                <w:rFonts w:ascii="Times New Roman" w:hAnsi="Times New Roman" w:cs="Times New Roman"/>
                <w:sz w:val="18"/>
                <w:szCs w:val="18"/>
              </w:rPr>
              <w:t xml:space="preserve">the </w:t>
            </w:r>
            <w:r w:rsidRPr="004B1C48">
              <w:rPr>
                <w:rFonts w:ascii="Times New Roman" w:hAnsi="Times New Roman" w:cs="Times New Roman"/>
                <w:sz w:val="18"/>
                <w:szCs w:val="18"/>
              </w:rPr>
              <w:t xml:space="preserve">molecule is pppGpp, ppGpp or pGpp and corresponds to whether GTP, GDP or GMP are the backbone of the molecule. </w:t>
            </w:r>
            <w:r w:rsidRPr="004B1C48">
              <w:rPr>
                <w:rFonts w:ascii="Times New Roman" w:hAnsi="Times New Roman" w:cs="Times New Roman"/>
                <w:b/>
                <w:bCs/>
                <w:sz w:val="18"/>
                <w:szCs w:val="18"/>
              </w:rPr>
              <w:t>b)</w:t>
            </w:r>
            <w:r w:rsidRPr="004B1C48">
              <w:rPr>
                <w:rFonts w:ascii="Times New Roman" w:hAnsi="Times New Roman" w:cs="Times New Roman"/>
                <w:sz w:val="18"/>
                <w:szCs w:val="18"/>
              </w:rPr>
              <w:t xml:space="preserve"> Long bifunctional RSH enzyme domain architecture. The N-terminal enzymatic domain consists of the HD domain (orange) and SYNTH domain (blue) and the C-terminal regulatory domain consists of a threonyl-tRNA synthetase GTPase and SpoT (TGS) motif (yellow), </w:t>
            </w:r>
            <w:r w:rsidRPr="004B1C48">
              <w:rPr>
                <w:rFonts w:ascii="Times New Roman" w:hAnsi="Times New Roman" w:cs="Times New Roman"/>
                <w:sz w:val="18"/>
                <w:szCs w:val="18"/>
                <w:lang w:val="el-GR"/>
              </w:rPr>
              <w:t>α</w:t>
            </w:r>
            <w:r w:rsidRPr="004B1C48">
              <w:rPr>
                <w:rFonts w:ascii="Times New Roman" w:hAnsi="Times New Roman" w:cs="Times New Roman"/>
                <w:sz w:val="18"/>
                <w:szCs w:val="18"/>
              </w:rPr>
              <w:t xml:space="preserve">-helical domain (grey), zinc finger domain with 3 conserved cysteine residues (ZFD/CC) (black) and an aspartokinase, chorismite mutase and TyrR/RNA recognition motif (ACT/RRM) (green). </w:t>
            </w:r>
            <w:r w:rsidRPr="004B1C48">
              <w:rPr>
                <w:rFonts w:ascii="Times New Roman" w:hAnsi="Times New Roman" w:cs="Times New Roman"/>
                <w:b/>
                <w:bCs/>
                <w:sz w:val="18"/>
                <w:szCs w:val="18"/>
              </w:rPr>
              <w:t xml:space="preserve">(c) </w:t>
            </w:r>
            <w:r w:rsidRPr="004B1C48">
              <w:rPr>
                <w:rFonts w:ascii="Times New Roman" w:hAnsi="Times New Roman" w:cs="Times New Roman"/>
                <w:sz w:val="18"/>
                <w:szCs w:val="18"/>
              </w:rPr>
              <w:t>Short alarmone synthetase consisting of</w:t>
            </w:r>
            <w:r w:rsidR="006F774B">
              <w:rPr>
                <w:rFonts w:ascii="Times New Roman" w:hAnsi="Times New Roman" w:cs="Times New Roman"/>
                <w:sz w:val="18"/>
                <w:szCs w:val="18"/>
              </w:rPr>
              <w:t xml:space="preserve"> only</w:t>
            </w:r>
            <w:r w:rsidRPr="004B1C48">
              <w:rPr>
                <w:rFonts w:ascii="Times New Roman" w:hAnsi="Times New Roman" w:cs="Times New Roman"/>
                <w:sz w:val="18"/>
                <w:szCs w:val="18"/>
              </w:rPr>
              <w:t xml:space="preserve"> a SYNTH domain. </w:t>
            </w:r>
            <w:r w:rsidRPr="004B1C48">
              <w:rPr>
                <w:rFonts w:ascii="Times New Roman" w:hAnsi="Times New Roman" w:cs="Times New Roman"/>
                <w:b/>
                <w:bCs/>
                <w:sz w:val="18"/>
                <w:szCs w:val="18"/>
              </w:rPr>
              <w:t>(d)</w:t>
            </w:r>
            <w:r w:rsidRPr="004B1C48">
              <w:rPr>
                <w:rFonts w:ascii="Times New Roman" w:hAnsi="Times New Roman" w:cs="Times New Roman"/>
                <w:sz w:val="18"/>
                <w:szCs w:val="18"/>
              </w:rPr>
              <w:t xml:space="preserve"> Short alarmone hydrolase consisting only of a hydrolase domain.</w:t>
            </w:r>
          </w:p>
        </w:tc>
      </w:tr>
    </w:tbl>
    <w:p w14:paraId="321E3142" w14:textId="77777777" w:rsidR="00033564" w:rsidRDefault="00033564" w:rsidP="00033564">
      <w:pPr>
        <w:spacing w:line="360" w:lineRule="auto"/>
        <w:jc w:val="both"/>
        <w:rPr>
          <w:rFonts w:ascii="Times New Roman" w:hAnsi="Times New Roman" w:cs="Times New Roman"/>
        </w:rPr>
      </w:pPr>
    </w:p>
    <w:p w14:paraId="4B546EF1" w14:textId="77777777" w:rsidR="00033564" w:rsidRDefault="00033564" w:rsidP="00033564">
      <w:pPr>
        <w:spacing w:line="360" w:lineRule="auto"/>
        <w:jc w:val="both"/>
        <w:rPr>
          <w:rFonts w:ascii="Times New Roman" w:hAnsi="Times New Roman" w:cs="Times New Roman"/>
        </w:rPr>
      </w:pPr>
      <w:r>
        <w:rPr>
          <w:rFonts w:ascii="Times New Roman" w:hAnsi="Times New Roman" w:cs="Times New Roman"/>
        </w:rPr>
        <w:tab/>
        <w:t xml:space="preserve">The stringent response ultimately allows the switch from active growth to a dormant phenotype in order to promote bacterial survival during nutrient depletion. This is achieved by the downregulation of genes involved growth and metabolism and an upregulation of genes that allow adaptation to stress </w:t>
      </w:r>
      <w:r w:rsidRPr="008B063F">
        <w:rPr>
          <w:rFonts w:ascii="Times New Roman" w:hAnsi="Times New Roman" w:cs="Times New Roman"/>
          <w:b/>
          <w:bCs/>
        </w:rPr>
        <w:fldChar w:fldCharType="begin"/>
      </w:r>
      <w:r w:rsidRPr="008B063F">
        <w:rPr>
          <w:rFonts w:ascii="Times New Roman" w:hAnsi="Times New Roman" w:cs="Times New Roman"/>
          <w:b/>
          <w:bCs/>
        </w:rPr>
        <w:instrText xml:space="preserve"> ADDIN EN.CITE &lt;EndNote&gt;&lt;Cite&gt;&lt;Author&gt;Irving&lt;/Author&gt;&lt;Year&gt;2021&lt;/Year&gt;&lt;IDText&gt;The stringent response and physiological roles of (pp)pGpp in bacteria&lt;/IDText&gt;&lt;DisplayText&gt;(Irving, Choudhury and Corrigan, 2021)&lt;/DisplayText&gt;&lt;record&gt;&lt;dates&gt;&lt;pub-dates&gt;&lt;date&gt;Apr&lt;/date&gt;&lt;/pub-dates&gt;&lt;year&gt;2021&lt;/year&gt;&lt;/dates&gt;&lt;urls&gt;&lt;related-urls&gt;&lt;url&gt;&amp;lt;Go to ISI&amp;gt;://WOS:000585814900001&lt;/url&gt;&lt;/related-urls&gt;&lt;/urls&gt;&lt;isbn&gt;1740-1526&lt;/isbn&gt;&lt;titles&gt;&lt;title&gt;The stringent response and physiological roles of (pp)pGpp in bacteria&lt;/title&gt;&lt;secondary-title&gt;Nature Reviews Microbiology&lt;/secondary-title&gt;&lt;/titles&gt;&lt;pages&gt;256-271&lt;/pages&gt;&lt;number&gt;4&lt;/number&gt;&lt;contributors&gt;&lt;authors&gt;&lt;author&gt;Irving, Sophie E.&lt;/author&gt;&lt;author&gt;Choudhury, Naznin R.&lt;/author&gt;&lt;author&gt;Corrigan, Rebecca M.&lt;/author&gt;&lt;/authors&gt;&lt;/contributors&gt;&lt;added-date format="utc"&gt;1663624283&lt;/added-date&gt;&lt;ref-type name="Journal Article"&gt;17&lt;/ref-type&gt;&lt;rec-number&gt;145&lt;/rec-number&gt;&lt;last-updated-date format="utc"&gt;1663624413&lt;/last-updated-date&gt;&lt;accession-num&gt;WOS:000585814900001&lt;/accession-num&gt;&lt;electronic-resource-num&gt;10.1038/s41579-020-00470-y&lt;/electronic-resource-num&gt;&lt;volume&gt;19&lt;/volume&gt;&lt;/record&gt;&lt;/Cite&gt;&lt;/EndNote&gt;</w:instrText>
      </w:r>
      <w:r w:rsidRPr="008B063F">
        <w:rPr>
          <w:rFonts w:ascii="Times New Roman" w:hAnsi="Times New Roman" w:cs="Times New Roman"/>
          <w:b/>
          <w:bCs/>
        </w:rPr>
        <w:fldChar w:fldCharType="separate"/>
      </w:r>
      <w:r w:rsidRPr="008B063F">
        <w:rPr>
          <w:rFonts w:ascii="Times New Roman" w:hAnsi="Times New Roman" w:cs="Times New Roman"/>
          <w:b/>
          <w:bCs/>
          <w:noProof/>
        </w:rPr>
        <w:t>(Irving, Choudhury and Corrigan, 2021)</w:t>
      </w:r>
      <w:r w:rsidRPr="008B063F">
        <w:rPr>
          <w:rFonts w:ascii="Times New Roman" w:hAnsi="Times New Roman" w:cs="Times New Roman"/>
          <w:b/>
          <w:bCs/>
        </w:rPr>
        <w:fldChar w:fldCharType="end"/>
      </w:r>
      <w:r>
        <w:rPr>
          <w:rFonts w:ascii="Times New Roman" w:hAnsi="Times New Roman" w:cs="Times New Roman"/>
        </w:rPr>
        <w:t xml:space="preserve">. A consequence of these actions includes the upregulation of virulence </w:t>
      </w:r>
      <w:r w:rsidRPr="005864C6">
        <w:rPr>
          <w:rFonts w:ascii="Times New Roman" w:hAnsi="Times New Roman" w:cs="Times New Roman"/>
          <w:b/>
          <w:bCs/>
        </w:rPr>
        <w:fldChar w:fldCharType="begin"/>
      </w:r>
      <w:r w:rsidRPr="005864C6">
        <w:rPr>
          <w:rFonts w:ascii="Times New Roman" w:hAnsi="Times New Roman" w:cs="Times New Roman"/>
          <w:b/>
          <w:bCs/>
        </w:rPr>
        <w:instrText xml:space="preserve"> ADDIN EN.CITE &lt;EndNote&gt;&lt;Cite&gt;&lt;Author&gt;Ronneau&lt;/Author&gt;&lt;Year&gt;2019&lt;/Year&gt;&lt;IDText&gt;Make and break the alarmone: regulation of (p)ppGpp synthetase/hydrolase enzymes in bacteria&lt;/IDText&gt;&lt;DisplayText&gt;(Ronneau and Hallez, 2019)&lt;/DisplayText&gt;&lt;record&gt;&lt;dates&gt;&lt;pub-dates&gt;&lt;date&gt;Jul&lt;/date&gt;&lt;/pub-dates&gt;&lt;year&gt;2019&lt;/year&gt;&lt;/dates&gt;&lt;urls&gt;&lt;related-urls&gt;&lt;url&gt;&amp;lt;Go to ISI&amp;gt;://WOS:000493063800004&lt;/url&gt;&lt;/related-urls&gt;&lt;/urls&gt;&lt;isbn&gt;0168-6445&lt;/isbn&gt;&lt;titles&gt;&lt;title&gt;Make and break the alarmone: regulation of (p)ppGpp synthetase/hydrolase enzymes in bacteria&lt;/title&gt;&lt;secondary-title&gt;Fems Microbiology Reviews&lt;/secondary-title&gt;&lt;/titles&gt;&lt;pages&gt;389-400&lt;/pages&gt;&lt;number&gt;4&lt;/number&gt;&lt;contributors&gt;&lt;authors&gt;&lt;author&gt;Ronneau, Severin&lt;/author&gt;&lt;author&gt;Hallez, Regis&lt;/author&gt;&lt;/authors&gt;&lt;/contributors&gt;&lt;added-date format="utc"&gt;1663613714&lt;/added-date&gt;&lt;ref-type name="Journal Article"&gt;17&lt;/ref-type&gt;&lt;rec-number&gt;78&lt;/rec-number&gt;&lt;last-updated-date format="utc"&gt;1663624413&lt;/last-updated-date&gt;&lt;accession-num&gt;WOS:000493063800004&lt;/accession-num&gt;&lt;electronic-resource-num&gt;10.1093/femsre/fuz009&lt;/electronic-resource-num&gt;&lt;volume&gt;43&lt;/volume&gt;&lt;/record&gt;&lt;/Cite&gt;&lt;/EndNote&gt;</w:instrText>
      </w:r>
      <w:r w:rsidRPr="005864C6">
        <w:rPr>
          <w:rFonts w:ascii="Times New Roman" w:hAnsi="Times New Roman" w:cs="Times New Roman"/>
          <w:b/>
          <w:bCs/>
        </w:rPr>
        <w:fldChar w:fldCharType="separate"/>
      </w:r>
      <w:r w:rsidRPr="005864C6">
        <w:rPr>
          <w:rFonts w:ascii="Times New Roman" w:hAnsi="Times New Roman" w:cs="Times New Roman"/>
          <w:b/>
          <w:bCs/>
          <w:noProof/>
        </w:rPr>
        <w:t>(Ronneau and Hallez, 2019)</w:t>
      </w:r>
      <w:r w:rsidRPr="005864C6">
        <w:rPr>
          <w:rFonts w:ascii="Times New Roman" w:hAnsi="Times New Roman" w:cs="Times New Roman"/>
          <w:b/>
          <w:bCs/>
        </w:rPr>
        <w:fldChar w:fldCharType="end"/>
      </w:r>
      <w:r>
        <w:rPr>
          <w:rFonts w:ascii="Times New Roman" w:hAnsi="Times New Roman" w:cs="Times New Roman"/>
        </w:rPr>
        <w:t xml:space="preserve">, as bacteria endeavour to survive under harsh conditions, at the host’s expense. </w:t>
      </w:r>
      <w:r w:rsidRPr="005864C6">
        <w:rPr>
          <w:rFonts w:ascii="Times New Roman" w:hAnsi="Times New Roman" w:cs="Times New Roman"/>
        </w:rPr>
        <w:t>When conditions become favourable, bacteria</w:t>
      </w:r>
      <w:r>
        <w:rPr>
          <w:rFonts w:ascii="Times New Roman" w:hAnsi="Times New Roman" w:cs="Times New Roman"/>
        </w:rPr>
        <w:t xml:space="preserve"> can</w:t>
      </w:r>
      <w:r w:rsidRPr="005864C6">
        <w:rPr>
          <w:rFonts w:ascii="Times New Roman" w:hAnsi="Times New Roman" w:cs="Times New Roman"/>
        </w:rPr>
        <w:t xml:space="preserve"> switch back to an active </w:t>
      </w:r>
      <w:r>
        <w:rPr>
          <w:rFonts w:ascii="Times New Roman" w:hAnsi="Times New Roman" w:cs="Times New Roman"/>
        </w:rPr>
        <w:t xml:space="preserve">growth </w:t>
      </w:r>
      <w:r w:rsidRPr="005864C6">
        <w:rPr>
          <w:rFonts w:ascii="Times New Roman" w:hAnsi="Times New Roman" w:cs="Times New Roman"/>
        </w:rPr>
        <w:t xml:space="preserve">phenotype </w:t>
      </w:r>
      <w:r>
        <w:rPr>
          <w:rFonts w:ascii="Times New Roman" w:hAnsi="Times New Roman" w:cs="Times New Roman"/>
        </w:rPr>
        <w:t>that</w:t>
      </w:r>
      <w:r w:rsidRPr="005864C6">
        <w:rPr>
          <w:rFonts w:ascii="Times New Roman" w:hAnsi="Times New Roman" w:cs="Times New Roman"/>
        </w:rPr>
        <w:t xml:space="preserve"> </w:t>
      </w:r>
      <w:r>
        <w:rPr>
          <w:rFonts w:ascii="Times New Roman" w:hAnsi="Times New Roman" w:cs="Times New Roman"/>
        </w:rPr>
        <w:t>can result in</w:t>
      </w:r>
      <w:r w:rsidRPr="005864C6">
        <w:rPr>
          <w:rFonts w:ascii="Times New Roman" w:hAnsi="Times New Roman" w:cs="Times New Roman"/>
        </w:rPr>
        <w:t xml:space="preserve"> recurrent and chronic infections</w:t>
      </w:r>
      <w:r>
        <w:rPr>
          <w:rFonts w:ascii="Times New Roman" w:hAnsi="Times New Roman" w:cs="Times New Roman"/>
          <w:b/>
          <w:bCs/>
        </w:rPr>
        <w:t xml:space="preserve"> </w:t>
      </w:r>
      <w:r>
        <w:rPr>
          <w:rFonts w:ascii="Times New Roman" w:hAnsi="Times New Roman" w:cs="Times New Roman"/>
          <w:b/>
          <w:bCs/>
        </w:rPr>
        <w:fldChar w:fldCharType="begin">
          <w:fldData xml:space="preserve">PEVuZE5vdGU+PENpdGU+PEF1dGhvcj5HYW88L0F1dGhvcj48WWVhcj4yMDEwPC9ZZWFyPjxJRFRl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PEVuZE5vdGU+PENpdGU+PEF1dGhvcj5HYW88L0F1dGhvcj48WWVhcj4yMDEwPC9ZZWFyPjxJRFRl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Pr>
          <w:rFonts w:ascii="Times New Roman" w:hAnsi="Times New Roman" w:cs="Times New Roman"/>
          <w:b/>
          <w:bCs/>
        </w:rPr>
      </w:r>
      <w:r>
        <w:rPr>
          <w:rFonts w:ascii="Times New Roman" w:hAnsi="Times New Roman" w:cs="Times New Roman"/>
          <w:b/>
          <w:bCs/>
        </w:rPr>
        <w:fldChar w:fldCharType="separate"/>
      </w:r>
      <w:r>
        <w:rPr>
          <w:rFonts w:ascii="Times New Roman" w:hAnsi="Times New Roman" w:cs="Times New Roman"/>
          <w:b/>
          <w:bCs/>
          <w:noProof/>
        </w:rPr>
        <w:t>(Gao</w:t>
      </w:r>
      <w:r w:rsidRPr="004D6A9E">
        <w:rPr>
          <w:rFonts w:ascii="Times New Roman" w:hAnsi="Times New Roman" w:cs="Times New Roman"/>
          <w:b/>
          <w:bCs/>
          <w:i/>
          <w:noProof/>
        </w:rPr>
        <w:t xml:space="preserve"> et al.</w:t>
      </w:r>
      <w:r>
        <w:rPr>
          <w:rFonts w:ascii="Times New Roman" w:hAnsi="Times New Roman" w:cs="Times New Roman"/>
          <w:b/>
          <w:bCs/>
          <w:noProof/>
        </w:rPr>
        <w:t>, 2010; Mwangi</w:t>
      </w:r>
      <w:r w:rsidRPr="004D6A9E">
        <w:rPr>
          <w:rFonts w:ascii="Times New Roman" w:hAnsi="Times New Roman" w:cs="Times New Roman"/>
          <w:b/>
          <w:bCs/>
          <w:i/>
          <w:noProof/>
        </w:rPr>
        <w:t xml:space="preserve"> et al.</w:t>
      </w:r>
      <w:r>
        <w:rPr>
          <w:rFonts w:ascii="Times New Roman" w:hAnsi="Times New Roman" w:cs="Times New Roman"/>
          <w:b/>
          <w:bCs/>
          <w:noProof/>
        </w:rPr>
        <w:t>, 2013; Geiger</w:t>
      </w:r>
      <w:r w:rsidRPr="004D6A9E">
        <w:rPr>
          <w:rFonts w:ascii="Times New Roman" w:hAnsi="Times New Roman" w:cs="Times New Roman"/>
          <w:b/>
          <w:bCs/>
          <w:i/>
          <w:noProof/>
        </w:rPr>
        <w:t xml:space="preserve"> et al.</w:t>
      </w:r>
      <w:r>
        <w:rPr>
          <w:rFonts w:ascii="Times New Roman" w:hAnsi="Times New Roman" w:cs="Times New Roman"/>
          <w:b/>
          <w:bCs/>
          <w:noProof/>
        </w:rPr>
        <w:t>, 2012)</w:t>
      </w:r>
      <w:r>
        <w:rPr>
          <w:rFonts w:ascii="Times New Roman" w:hAnsi="Times New Roman" w:cs="Times New Roman"/>
          <w:b/>
          <w:bCs/>
        </w:rPr>
        <w:fldChar w:fldCharType="end"/>
      </w:r>
      <w:r w:rsidRPr="005864C6">
        <w:rPr>
          <w:rFonts w:ascii="Times New Roman" w:hAnsi="Times New Roman" w:cs="Times New Roman"/>
        </w:rPr>
        <w:t>.</w:t>
      </w:r>
      <w:r>
        <w:rPr>
          <w:rFonts w:ascii="Times New Roman" w:hAnsi="Times New Roman" w:cs="Times New Roman"/>
        </w:rPr>
        <w:t xml:space="preserve">  </w:t>
      </w:r>
    </w:p>
    <w:p w14:paraId="0130F5B6" w14:textId="77777777" w:rsidR="00033564" w:rsidRDefault="00033564" w:rsidP="00033564">
      <w:pPr>
        <w:pStyle w:val="Heading3"/>
      </w:pPr>
      <w:bookmarkStart w:id="27" w:name="_Toc142043571"/>
      <w:r>
        <w:t>1.2.1. Regulation of the RSH enzymes</w:t>
      </w:r>
      <w:bookmarkEnd w:id="27"/>
    </w:p>
    <w:p w14:paraId="4E4EF8A5" w14:textId="77777777" w:rsidR="00033564" w:rsidRPr="00823311" w:rsidRDefault="00033564" w:rsidP="00033564"/>
    <w:p w14:paraId="46A5AE41" w14:textId="77777777" w:rsidR="00033564" w:rsidRDefault="00033564" w:rsidP="00033564">
      <w:pPr>
        <w:pStyle w:val="Heading4"/>
      </w:pPr>
      <w:r>
        <w:t>1.2.1.1. Synthesis and hydrolysis of (p)ppGpp</w:t>
      </w:r>
    </w:p>
    <w:p w14:paraId="5D1AD086" w14:textId="77777777" w:rsidR="00033564" w:rsidRPr="00823311" w:rsidRDefault="00033564" w:rsidP="00033564"/>
    <w:p w14:paraId="68BE8782" w14:textId="12CF8846" w:rsidR="00033564" w:rsidRPr="003A2A81" w:rsidRDefault="00033564" w:rsidP="00033564">
      <w:pPr>
        <w:spacing w:line="360" w:lineRule="auto"/>
        <w:jc w:val="both"/>
        <w:rPr>
          <w:rFonts w:ascii="Times New Roman" w:hAnsi="Times New Roman" w:cs="Times New Roman"/>
        </w:rPr>
      </w:pPr>
      <w:r w:rsidRPr="003365A0">
        <w:rPr>
          <w:rFonts w:ascii="Times New Roman" w:hAnsi="Times New Roman" w:cs="Times New Roman"/>
        </w:rPr>
        <w:t xml:space="preserve">Enzymes from the RSH protein superfamily are responsible for the synthesis and hydrolysis of (p)ppGpp. </w:t>
      </w:r>
      <w:r w:rsidRPr="008751F4">
        <w:rPr>
          <w:rFonts w:ascii="Times New Roman" w:hAnsi="Times New Roman" w:cs="Times New Roman"/>
        </w:rPr>
        <w:t xml:space="preserve">RSH enzymes </w:t>
      </w:r>
      <w:r>
        <w:rPr>
          <w:rFonts w:ascii="Times New Roman" w:hAnsi="Times New Roman" w:cs="Times New Roman"/>
        </w:rPr>
        <w:t>are grouped into three main classes</w:t>
      </w:r>
      <w:r w:rsidRPr="008751F4">
        <w:rPr>
          <w:rFonts w:ascii="Times New Roman" w:hAnsi="Times New Roman" w:cs="Times New Roman"/>
        </w:rPr>
        <w:t>, long RSH that are often bifunctional, with the ability to synthesise and hydrolyse (p)ppGpp and short RSH, subdivided into short alarmone synthetases (SAS</w:t>
      </w:r>
      <w:r>
        <w:rPr>
          <w:rFonts w:ascii="Times New Roman" w:hAnsi="Times New Roman" w:cs="Times New Roman"/>
        </w:rPr>
        <w:t>s</w:t>
      </w:r>
      <w:r w:rsidRPr="008751F4">
        <w:rPr>
          <w:rFonts w:ascii="Times New Roman" w:hAnsi="Times New Roman" w:cs="Times New Roman"/>
        </w:rPr>
        <w:t>) and short alarmone hydrolases (SAH</w:t>
      </w:r>
      <w:r>
        <w:rPr>
          <w:rFonts w:ascii="Times New Roman" w:hAnsi="Times New Roman" w:cs="Times New Roman"/>
        </w:rPr>
        <w:t>s</w:t>
      </w:r>
      <w:r w:rsidRPr="008751F4">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
          <w:bCs/>
        </w:rPr>
        <w:t>(Fig. 1.2)</w:t>
      </w:r>
      <w:r w:rsidRPr="008751F4">
        <w:rPr>
          <w:rFonts w:ascii="Times New Roman" w:hAnsi="Times New Roman" w:cs="Times New Roman"/>
        </w:rPr>
        <w:t xml:space="preserve">. </w:t>
      </w:r>
      <w:r w:rsidRPr="003365A0">
        <w:rPr>
          <w:rFonts w:ascii="Times New Roman" w:hAnsi="Times New Roman" w:cs="Times New Roman"/>
        </w:rPr>
        <w:t xml:space="preserve">The first RSH discovered in </w:t>
      </w:r>
      <w:r w:rsidRPr="00E93674">
        <w:rPr>
          <w:rFonts w:ascii="Times New Roman" w:hAnsi="Times New Roman" w:cs="Times New Roman"/>
          <w:i/>
          <w:iCs/>
        </w:rPr>
        <w:t>E. coli</w:t>
      </w:r>
      <w:r>
        <w:rPr>
          <w:rFonts w:ascii="Times New Roman" w:hAnsi="Times New Roman" w:cs="Times New Roman"/>
        </w:rPr>
        <w:t xml:space="preserve">, </w:t>
      </w:r>
      <w:r w:rsidRPr="003365A0">
        <w:rPr>
          <w:rFonts w:ascii="Times New Roman" w:hAnsi="Times New Roman" w:cs="Times New Roman"/>
        </w:rPr>
        <w:t>RelA</w:t>
      </w:r>
      <w:r>
        <w:rPr>
          <w:rFonts w:ascii="Times New Roman" w:hAnsi="Times New Roman" w:cs="Times New Roman"/>
        </w:rPr>
        <w:t>,</w:t>
      </w:r>
      <w:r w:rsidRPr="003365A0">
        <w:rPr>
          <w:rFonts w:ascii="Times New Roman" w:hAnsi="Times New Roman" w:cs="Times New Roman"/>
        </w:rPr>
        <w:t xml:space="preserve"> was named </w:t>
      </w:r>
      <w:r w:rsidR="006F774B">
        <w:rPr>
          <w:rFonts w:ascii="Times New Roman" w:hAnsi="Times New Roman" w:cs="Times New Roman"/>
        </w:rPr>
        <w:t xml:space="preserve">accordingly, as </w:t>
      </w:r>
      <w:r w:rsidRPr="003365A0">
        <w:rPr>
          <w:rFonts w:ascii="Times New Roman" w:hAnsi="Times New Roman" w:cs="Times New Roman"/>
        </w:rPr>
        <w:t>strains</w:t>
      </w:r>
      <w:r>
        <w:rPr>
          <w:rFonts w:ascii="Times New Roman" w:hAnsi="Times New Roman" w:cs="Times New Roman"/>
        </w:rPr>
        <w:t xml:space="preserve"> </w:t>
      </w:r>
      <w:r w:rsidRPr="003365A0">
        <w:rPr>
          <w:rFonts w:ascii="Times New Roman" w:hAnsi="Times New Roman" w:cs="Times New Roman"/>
        </w:rPr>
        <w:t xml:space="preserve">containing </w:t>
      </w:r>
      <w:r w:rsidRPr="00E93674">
        <w:rPr>
          <w:rFonts w:ascii="Times New Roman" w:hAnsi="Times New Roman" w:cs="Times New Roman"/>
          <w:i/>
          <w:iCs/>
        </w:rPr>
        <w:t>relA</w:t>
      </w:r>
      <w:r w:rsidRPr="003365A0">
        <w:rPr>
          <w:rFonts w:ascii="Times New Roman" w:hAnsi="Times New Roman" w:cs="Times New Roman"/>
        </w:rPr>
        <w:t xml:space="preserve"> mutations displaying a ‘relaxed’ phenotype as opposed to ‘stringent’</w:t>
      </w:r>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&lt;EndNote&gt;&lt;Cite&gt;&lt;Author&gt;Stent&lt;/Author&gt;&lt;Year&gt;1961&lt;/Year&gt;&lt;IDText&gt;GENETIC LOCUS FOR REGULATION OF RIBONUCLEIC ACID SYNTHESIS&lt;/IDText&gt;&lt;DisplayText&gt;(Stent and Brenner, 1961)&lt;/DisplayText&gt;&lt;record&gt;&lt;dates&gt;&lt;pub-dates&gt;&lt;date&gt;1961&lt;/date&gt;&lt;/pub-dates&gt;&lt;year&gt;1961&lt;/year&gt;&lt;/dates&gt;&lt;urls&gt;&lt;related-urls&gt;&lt;url&gt;&amp;lt;Go to ISI&amp;gt;://WOS:A19619794B00023&lt;/url&gt;&lt;/related-urls&gt;&lt;/urls&gt;&lt;isbn&gt;0027-8424&lt;/isbn&gt;&lt;work-type&gt;Article&lt;/work-type&gt;&lt;titles&gt;&lt;title&gt;GENETIC LOCUS FOR REGULATION OF RIBONUCLEIC ACID SYNTHESIS&lt;/title&gt;&lt;secondary-title&gt;Proceedings of the National Academy of Sciences of the United States of America&lt;/secondary-title&gt;&lt;/titles&gt;&lt;pages&gt;2005-&amp;amp;&lt;/pages&gt;&lt;number&gt;12&lt;/number&gt;&lt;contributors&gt;&lt;authors&gt;&lt;author&gt;Stent, G. S.&lt;/author&gt;&lt;author&gt;Brenner, S.&lt;/author&gt;&lt;/authors&gt;&lt;/contributors&gt;&lt;added-date format="utc"&gt;1677869156&lt;/added-date&gt;&lt;ref-type name="Journal Article"&gt;17&lt;/ref-type&gt;&lt;rec-number&gt;674&lt;/rec-number&gt;&lt;last-updated-date format="utc"&gt;1677869156&lt;/last-updated-date&gt;&lt;accession-num&gt;WOS:A19619794B00023&lt;/accession-num&gt;&lt;electronic-resource-num&gt;10.1073/pnas.47.12.2005&lt;/electronic-resource-num&gt;&lt;volume&gt;47&lt;/volume&gt;&lt;/record&gt;&lt;/Cite&gt;&lt;/EndNote&gt;</w:instrText>
      </w:r>
      <w:r>
        <w:rPr>
          <w:rFonts w:ascii="Times New Roman" w:hAnsi="Times New Roman" w:cs="Times New Roman"/>
          <w:b/>
          <w:bCs/>
        </w:rPr>
        <w:fldChar w:fldCharType="separate"/>
      </w:r>
      <w:r>
        <w:rPr>
          <w:rFonts w:ascii="Times New Roman" w:hAnsi="Times New Roman" w:cs="Times New Roman"/>
          <w:b/>
          <w:bCs/>
          <w:noProof/>
        </w:rPr>
        <w:t>(Stent and Brenner, 1961)</w:t>
      </w:r>
      <w:r>
        <w:rPr>
          <w:rFonts w:ascii="Times New Roman" w:hAnsi="Times New Roman" w:cs="Times New Roman"/>
          <w:b/>
          <w:bCs/>
        </w:rPr>
        <w:fldChar w:fldCharType="end"/>
      </w:r>
      <w:r w:rsidRPr="003365A0">
        <w:rPr>
          <w:rFonts w:ascii="Times New Roman" w:hAnsi="Times New Roman" w:cs="Times New Roman"/>
        </w:rPr>
        <w:t xml:space="preserve">. </w:t>
      </w:r>
      <w:r>
        <w:rPr>
          <w:rFonts w:ascii="Times New Roman" w:hAnsi="Times New Roman" w:cs="Times New Roman"/>
        </w:rPr>
        <w:t>Adenosine</w:t>
      </w:r>
      <w:r w:rsidRPr="003365A0">
        <w:rPr>
          <w:rFonts w:ascii="Times New Roman" w:hAnsi="Times New Roman" w:cs="Times New Roman"/>
        </w:rPr>
        <w:t xml:space="preserve"> triphosphate (ATP) and guanosine tri/diphosphate (GTP/GDP</w:t>
      </w:r>
      <w:r>
        <w:rPr>
          <w:rFonts w:ascii="Times New Roman" w:hAnsi="Times New Roman" w:cs="Times New Roman"/>
        </w:rPr>
        <w:t>/GMP</w:t>
      </w:r>
      <w:r w:rsidRPr="003365A0">
        <w:rPr>
          <w:rFonts w:ascii="Times New Roman" w:hAnsi="Times New Roman" w:cs="Times New Roman"/>
        </w:rPr>
        <w:t>) molecule</w:t>
      </w:r>
      <w:r>
        <w:rPr>
          <w:rFonts w:ascii="Times New Roman" w:hAnsi="Times New Roman" w:cs="Times New Roman"/>
        </w:rPr>
        <w:t>s</w:t>
      </w:r>
      <w:r w:rsidRPr="003365A0">
        <w:rPr>
          <w:rFonts w:ascii="Times New Roman" w:hAnsi="Times New Roman" w:cs="Times New Roman"/>
        </w:rPr>
        <w:t xml:space="preserve"> are </w:t>
      </w:r>
      <w:r>
        <w:rPr>
          <w:rFonts w:ascii="Times New Roman" w:hAnsi="Times New Roman" w:cs="Times New Roman"/>
        </w:rPr>
        <w:t xml:space="preserve">necessary </w:t>
      </w:r>
      <w:r w:rsidRPr="003365A0">
        <w:rPr>
          <w:rFonts w:ascii="Times New Roman" w:hAnsi="Times New Roman" w:cs="Times New Roman"/>
        </w:rPr>
        <w:t>to produce one molecule of pppGpp/ppGpp</w:t>
      </w:r>
      <w:r>
        <w:rPr>
          <w:rFonts w:ascii="Times New Roman" w:hAnsi="Times New Roman" w:cs="Times New Roman"/>
        </w:rPr>
        <w:t>/pGpp</w:t>
      </w:r>
      <w:r w:rsidRPr="003365A0">
        <w:rPr>
          <w:rFonts w:ascii="Times New Roman" w:hAnsi="Times New Roman" w:cs="Times New Roman"/>
        </w:rPr>
        <w:t xml:space="preserve"> respectively</w:t>
      </w:r>
      <w:r>
        <w:rPr>
          <w:rFonts w:ascii="Times New Roman" w:hAnsi="Times New Roman" w:cs="Times New Roman"/>
        </w:rPr>
        <w:t xml:space="preserve"> </w:t>
      </w:r>
      <w:r>
        <w:rPr>
          <w:rFonts w:ascii="Times New Roman" w:hAnsi="Times New Roman" w:cs="Times New Roman"/>
          <w:b/>
          <w:bCs/>
        </w:rPr>
        <w:t>(Fig. 1.2)</w:t>
      </w:r>
      <w:r w:rsidRPr="003365A0">
        <w:rPr>
          <w:rFonts w:ascii="Times New Roman" w:hAnsi="Times New Roman" w:cs="Times New Roman"/>
        </w:rPr>
        <w:t xml:space="preserve">. RSH enzymes catalyse the </w:t>
      </w:r>
      <w:r>
        <w:rPr>
          <w:rFonts w:ascii="Times New Roman" w:hAnsi="Times New Roman" w:cs="Times New Roman"/>
        </w:rPr>
        <w:t xml:space="preserve">nucleophilic attack of </w:t>
      </w:r>
      <w:r w:rsidRPr="003365A0">
        <w:rPr>
          <w:rFonts w:ascii="Times New Roman" w:hAnsi="Times New Roman" w:cs="Times New Roman"/>
        </w:rPr>
        <w:t xml:space="preserve">the β-phosphate of ATP by the 3’-OH of </w:t>
      </w:r>
      <w:r>
        <w:rPr>
          <w:rFonts w:ascii="Times New Roman" w:hAnsi="Times New Roman" w:cs="Times New Roman"/>
        </w:rPr>
        <w:t xml:space="preserve">the </w:t>
      </w:r>
      <w:r w:rsidRPr="003365A0">
        <w:rPr>
          <w:rFonts w:ascii="Times New Roman" w:hAnsi="Times New Roman" w:cs="Times New Roman"/>
        </w:rPr>
        <w:t>GTP/GDP</w:t>
      </w:r>
      <w:r>
        <w:rPr>
          <w:rFonts w:ascii="Times New Roman" w:hAnsi="Times New Roman" w:cs="Times New Roman"/>
        </w:rPr>
        <w:t>/GMP ribose moiety, resulting in the</w:t>
      </w:r>
      <w:r w:rsidRPr="003365A0">
        <w:rPr>
          <w:rFonts w:ascii="Times New Roman" w:hAnsi="Times New Roman" w:cs="Times New Roman"/>
        </w:rPr>
        <w:t xml:space="preserve"> transfer of a pyrophosphate group from ATP to GTP/GDP</w:t>
      </w:r>
      <w:r>
        <w:rPr>
          <w:rFonts w:ascii="Times New Roman" w:hAnsi="Times New Roman" w:cs="Times New Roman"/>
        </w:rPr>
        <w:t xml:space="preserve">/GMP </w:t>
      </w:r>
      <w:r w:rsidRPr="00D85EA8">
        <w:rPr>
          <w:rFonts w:ascii="Times New Roman" w:hAnsi="Times New Roman" w:cs="Times New Roman"/>
          <w:b/>
          <w:bCs/>
        </w:rPr>
        <w:fldChar w:fldCharType="begin"/>
      </w:r>
      <w:r w:rsidRPr="00D85EA8">
        <w:rPr>
          <w:rFonts w:ascii="Times New Roman" w:hAnsi="Times New Roman" w:cs="Times New Roman"/>
          <w:b/>
          <w:bCs/>
        </w:rPr>
        <w:instrText xml:space="preserve"> ADDIN EN.CITE &lt;EndNote&gt;&lt;Cite&gt;&lt;Author&gt;Sy&lt;/Author&gt;&lt;Year&gt;1973&lt;/Year&gt;&lt;IDText&gt;IDENTIFICATION OF SYNTHESIS OF GUANOSINE TETRAPHOSPHATE (MS I) AS INSERTION OF A PYROPHOSPHORYL GROUP INTO 3&amp;apos;-POSITION IN GUANOSINE 5&amp;apos;-DIPHOSPHATE&lt;/IDText&gt;&lt;DisplayText&gt;(Sy and Lipmann, 1973)&lt;/DisplayText&gt;&lt;record&gt;&lt;urls&gt;&lt;related-urls&gt;&lt;url&gt;&amp;lt;Go to ISI&amp;gt;://WOS:A1973O785500005&lt;/url&gt;&lt;/related-urls&gt;&lt;/urls&gt;&lt;isbn&gt;0027-8424&lt;/isbn&gt;&lt;titles&gt;&lt;title&gt;IDENTIFICATION OF SYNTHESIS OF GUANOSINE TETRAPHOSPHATE (MS I) AS INSERTION OF A PYROPHOSPHORYL GROUP INTO 3&amp;apos;-POSITION IN GUANOSINE 5&amp;apos;-DIPHOSPHATE&lt;/title&gt;&lt;secondary-title&gt;Proceedings of the National Academy of Sciences of the United States of America&lt;/secondary-title&gt;&lt;/titles&gt;&lt;pages&gt;306-309&lt;/pages&gt;&lt;number&gt;2&lt;/number&gt;&lt;contributors&gt;&lt;authors&gt;&lt;author&gt;Sy, J.&lt;/author&gt;&lt;author&gt;Lipmann, F.&lt;/author&gt;&lt;/authors&gt;&lt;/contributors&gt;&lt;added-date format="utc"&gt;1677792518&lt;/added-date&gt;&lt;ref-type name="Journal Article"&gt;17&lt;/ref-type&gt;&lt;dates&gt;&lt;year&gt;1973&lt;/year&gt;&lt;/dates&gt;&lt;rec-number&gt;664&lt;/rec-number&gt;&lt;last-updated-date format="utc"&gt;1677792518&lt;/last-updated-date&gt;&lt;accession-num&gt;WOS:A1973O785500005&lt;/accession-num&gt;&lt;electronic-resource-num&gt;10.1073/pnas.70.2.306&lt;/electronic-resource-num&gt;&lt;volume&gt;70&lt;/volume&gt;&lt;/record&gt;&lt;/Cite&gt;&lt;/EndNote&gt;</w:instrText>
      </w:r>
      <w:r w:rsidRPr="00D85EA8">
        <w:rPr>
          <w:rFonts w:ascii="Times New Roman" w:hAnsi="Times New Roman" w:cs="Times New Roman"/>
          <w:b/>
          <w:bCs/>
        </w:rPr>
        <w:fldChar w:fldCharType="separate"/>
      </w:r>
      <w:r w:rsidRPr="00D85EA8">
        <w:rPr>
          <w:rFonts w:ascii="Times New Roman" w:hAnsi="Times New Roman" w:cs="Times New Roman"/>
          <w:b/>
          <w:bCs/>
          <w:noProof/>
        </w:rPr>
        <w:t>(Sy and Lipmann, 1973)</w:t>
      </w:r>
      <w:r w:rsidRPr="00D85EA8">
        <w:rPr>
          <w:rFonts w:ascii="Times New Roman" w:hAnsi="Times New Roman" w:cs="Times New Roman"/>
          <w:b/>
          <w:bCs/>
        </w:rPr>
        <w:fldChar w:fldCharType="end"/>
      </w:r>
      <w:r w:rsidR="006F774B">
        <w:rPr>
          <w:rFonts w:ascii="Times New Roman" w:hAnsi="Times New Roman" w:cs="Times New Roman"/>
          <w:b/>
          <w:bCs/>
        </w:rPr>
        <w:t xml:space="preserve"> </w:t>
      </w:r>
      <w:r w:rsidR="006F774B">
        <w:rPr>
          <w:rFonts w:ascii="Times New Roman" w:hAnsi="Times New Roman" w:cs="Times New Roman"/>
        </w:rPr>
        <w:t>thus producing a hyperphosphorylated guanosine nucleotide alarmone</w:t>
      </w:r>
      <w:r w:rsidRPr="003365A0">
        <w:rPr>
          <w:rFonts w:ascii="Times New Roman" w:hAnsi="Times New Roman" w:cs="Times New Roman"/>
        </w:rPr>
        <w:t>.</w:t>
      </w:r>
      <w:r>
        <w:rPr>
          <w:rFonts w:ascii="Times New Roman" w:hAnsi="Times New Roman" w:cs="Times New Roman"/>
        </w:rPr>
        <w:t xml:space="preserve"> </w:t>
      </w:r>
      <w:r w:rsidRPr="003365A0">
        <w:rPr>
          <w:rFonts w:ascii="Times New Roman" w:hAnsi="Times New Roman" w:cs="Times New Roman"/>
        </w:rPr>
        <w:t>Some RSH enzymes are also able to hydrolyse (p)ppGpp by removing a pyrophosphate (PPi) group, the δ and ε phosphates, to produce GTP and PPi</w:t>
      </w:r>
      <w:r>
        <w:rPr>
          <w:rFonts w:ascii="Times New Roman" w:hAnsi="Times New Roman" w:cs="Times New Roman"/>
        </w:rPr>
        <w:t xml:space="preserve"> </w:t>
      </w:r>
      <w:r>
        <w:rPr>
          <w:rFonts w:ascii="Times New Roman" w:hAnsi="Times New Roman" w:cs="Times New Roman"/>
          <w:b/>
          <w:bCs/>
        </w:rPr>
        <w:t>(Fig. 1.2)</w:t>
      </w:r>
      <w:r w:rsidRPr="003365A0">
        <w:rPr>
          <w:rFonts w:ascii="Times New Roman" w:hAnsi="Times New Roman" w:cs="Times New Roman"/>
        </w:rPr>
        <w:t xml:space="preserve">. </w:t>
      </w:r>
      <w:r>
        <w:rPr>
          <w:rFonts w:ascii="Times New Roman" w:hAnsi="Times New Roman" w:cs="Times New Roman"/>
        </w:rPr>
        <w:t xml:space="preserve">Basal levels of (p)ppGpp produced by </w:t>
      </w:r>
      <w:r>
        <w:rPr>
          <w:rFonts w:ascii="Times New Roman" w:hAnsi="Times New Roman" w:cs="Times New Roman"/>
          <w:i/>
          <w:iCs/>
        </w:rPr>
        <w:t>E. coli</w:t>
      </w:r>
      <w:r>
        <w:rPr>
          <w:rFonts w:ascii="Times New Roman" w:hAnsi="Times New Roman" w:cs="Times New Roman"/>
        </w:rPr>
        <w:t xml:space="preserve"> amount to approximately 10-40 </w:t>
      </w:r>
      <w:r w:rsidRPr="002A20C0">
        <w:rPr>
          <w:rFonts w:ascii="Times New Roman" w:hAnsi="Times New Roman" w:cs="Times New Roman"/>
        </w:rPr>
        <w:t>μ</w:t>
      </w:r>
      <w:r>
        <w:rPr>
          <w:rFonts w:ascii="Times New Roman" w:hAnsi="Times New Roman" w:cs="Times New Roman"/>
        </w:rPr>
        <w:t xml:space="preserve">M, while increasing to 800 </w:t>
      </w:r>
      <w:r w:rsidRPr="002A20C0">
        <w:rPr>
          <w:rFonts w:ascii="Times New Roman" w:hAnsi="Times New Roman" w:cs="Times New Roman"/>
        </w:rPr>
        <w:t>μ</w:t>
      </w:r>
      <w:r>
        <w:rPr>
          <w:rFonts w:ascii="Times New Roman" w:hAnsi="Times New Roman" w:cs="Times New Roman"/>
        </w:rPr>
        <w:t xml:space="preserve">M by the end of exponential phase, with full induction of the stringent response resulting in concentrations between 1-2 mM </w:t>
      </w:r>
      <w:r w:rsidRPr="008A7024">
        <w:rPr>
          <w:rFonts w:ascii="Times New Roman" w:hAnsi="Times New Roman" w:cs="Times New Roman"/>
          <w:b/>
          <w:bCs/>
        </w:rPr>
        <w:fldChar w:fldCharType="begin">
          <w:fldData xml:space="preserve">PEVuZE5vdGU+PENpdGU+PEF1dGhvcj5WYXJpazwvQXV0aG9yPjxZZWFyPjIwMTc8L1llYXI+PElE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</w:fldData>
        </w:fldChar>
      </w:r>
      <w:r w:rsidR="00276090">
        <w:rPr>
          <w:rFonts w:ascii="Times New Roman" w:hAnsi="Times New Roman" w:cs="Times New Roman"/>
          <w:b/>
          <w:bCs/>
        </w:rPr>
        <w:instrText xml:space="preserve"> ADDIN EN.CITE </w:instrText>
      </w:r>
      <w:r w:rsidR="00276090">
        <w:rPr>
          <w:rFonts w:ascii="Times New Roman" w:hAnsi="Times New Roman" w:cs="Times New Roman"/>
          <w:b/>
          <w:bCs/>
        </w:rPr>
        <w:fldChar w:fldCharType="begin">
          <w:fldData xml:space="preserve">PEVuZE5vdGU+PENpdGU+PEF1dGhvcj5WYXJpazwvQXV0aG9yPjxZZWFyPjIwMTc8L1llYXI+PElE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</w:fldData>
        </w:fldChar>
      </w:r>
      <w:r w:rsidR="00276090">
        <w:rPr>
          <w:rFonts w:ascii="Times New Roman" w:hAnsi="Times New Roman" w:cs="Times New Roman"/>
          <w:b/>
          <w:bCs/>
        </w:rPr>
        <w:instrText xml:space="preserve"> ADDIN EN.CITE.DATA </w:instrText>
      </w:r>
      <w:r w:rsidR="00276090">
        <w:rPr>
          <w:rFonts w:ascii="Times New Roman" w:hAnsi="Times New Roman" w:cs="Times New Roman"/>
          <w:b/>
          <w:bCs/>
        </w:rPr>
      </w:r>
      <w:r w:rsidR="00276090">
        <w:rPr>
          <w:rFonts w:ascii="Times New Roman" w:hAnsi="Times New Roman" w:cs="Times New Roman"/>
          <w:b/>
          <w:bCs/>
        </w:rPr>
        <w:fldChar w:fldCharType="end"/>
      </w:r>
      <w:r w:rsidRPr="008A7024">
        <w:rPr>
          <w:rFonts w:ascii="Times New Roman" w:hAnsi="Times New Roman" w:cs="Times New Roman"/>
          <w:b/>
          <w:bCs/>
        </w:rPr>
      </w:r>
      <w:r w:rsidRPr="008A7024">
        <w:rPr>
          <w:rFonts w:ascii="Times New Roman" w:hAnsi="Times New Roman" w:cs="Times New Roman"/>
          <w:b/>
          <w:bCs/>
        </w:rPr>
        <w:fldChar w:fldCharType="separate"/>
      </w:r>
      <w:r w:rsidR="00276090">
        <w:rPr>
          <w:rFonts w:ascii="Times New Roman" w:hAnsi="Times New Roman" w:cs="Times New Roman"/>
          <w:b/>
          <w:bCs/>
          <w:noProof/>
        </w:rPr>
        <w:t>(Varik</w:t>
      </w:r>
      <w:r w:rsidR="00276090" w:rsidRPr="00276090">
        <w:rPr>
          <w:rFonts w:ascii="Times New Roman" w:hAnsi="Times New Roman" w:cs="Times New Roman"/>
          <w:b/>
          <w:bCs/>
          <w:i/>
          <w:noProof/>
        </w:rPr>
        <w:t xml:space="preserve"> et al.</w:t>
      </w:r>
      <w:r w:rsidR="00276090">
        <w:rPr>
          <w:rFonts w:ascii="Times New Roman" w:hAnsi="Times New Roman" w:cs="Times New Roman"/>
          <w:b/>
          <w:bCs/>
          <w:noProof/>
        </w:rPr>
        <w:t>, 2017; Zbornikova</w:t>
      </w:r>
      <w:r w:rsidR="00276090" w:rsidRPr="00276090">
        <w:rPr>
          <w:rFonts w:ascii="Times New Roman" w:hAnsi="Times New Roman" w:cs="Times New Roman"/>
          <w:b/>
          <w:bCs/>
          <w:i/>
          <w:noProof/>
        </w:rPr>
        <w:t xml:space="preserve"> et al.</w:t>
      </w:r>
      <w:r w:rsidR="00276090">
        <w:rPr>
          <w:rFonts w:ascii="Times New Roman" w:hAnsi="Times New Roman" w:cs="Times New Roman"/>
          <w:b/>
          <w:bCs/>
          <w:noProof/>
        </w:rPr>
        <w:t>, 2019; Haseltine and Block, 1973a; Cashel, 1975)</w:t>
      </w:r>
      <w:r w:rsidRPr="008A7024">
        <w:rPr>
          <w:rFonts w:ascii="Times New Roman" w:hAnsi="Times New Roman" w:cs="Times New Roman"/>
          <w:b/>
          <w:bCs/>
        </w:rPr>
        <w:fldChar w:fldCharType="end"/>
      </w:r>
      <w:r>
        <w:rPr>
          <w:rFonts w:ascii="Times New Roman" w:hAnsi="Times New Roman" w:cs="Times New Roman"/>
        </w:rPr>
        <w:t xml:space="preserve">. It is important to note that (p)ppGpp is not only produced during the stringent response, and is produced at low concentrations during steady-state growth </w:t>
      </w:r>
      <w:r w:rsidRPr="0081437E">
        <w:rPr>
          <w:rFonts w:ascii="Times New Roman" w:hAnsi="Times New Roman" w:cs="Times New Roman"/>
          <w:b/>
          <w:bCs/>
        </w:rPr>
        <w:fldChar w:fldCharType="begin"/>
      </w:r>
      <w:r w:rsidRPr="0081437E">
        <w:rPr>
          <w:rFonts w:ascii="Times New Roman" w:hAnsi="Times New Roman" w:cs="Times New Roman"/>
          <w:b/>
          <w:bCs/>
        </w:rPr>
        <w:instrText xml:space="preserve"> ADDIN EN.CITE &lt;EndNote&gt;&lt;Cite&gt;&lt;Author&gt;Imholz&lt;/Author&gt;&lt;Year&gt;2020&lt;/Year&gt;&lt;IDText&gt;Calibrating the Bacterial Growth Rate Speedometer: A Re-evaluation of the Relationship Between Basal ppGpp, Growth, and RNA Synthesis inEscherichia coli&lt;/IDText&gt;&lt;DisplayText&gt;(Imholz&lt;style face="italic"&gt; et al.&lt;/style&gt;, 2020)&lt;/DisplayText&gt;&lt;record&gt;&lt;dates&gt;&lt;pub-dates&gt;&lt;date&gt;Sep&lt;/date&gt;&lt;/pub-dates&gt;&lt;year&gt;2020&lt;/year&gt;&lt;/dates&gt;&lt;urls&gt;&lt;related-urls&gt;&lt;url&gt;&amp;lt;Go to ISI&amp;gt;://WOS:000576826600001&lt;/url&gt;&lt;/related-urls&gt;&lt;/urls&gt;&lt;isbn&gt;1664-302X&lt;/isbn&gt;&lt;titles&gt;&lt;title&gt;Calibrating the Bacterial Growth Rate Speedometer: A Re-evaluation of the Relationship Between Basal ppGpp, Growth, and RNA Synthesis inEscherichia coli&lt;/title&gt;&lt;secondary-title&gt;Frontiers in Microbiology&lt;/secondary-title&gt;&lt;/titles&gt;&lt;contributors&gt;&lt;authors&gt;&lt;author&gt;Imholz, N. C. E.&lt;/author&gt;&lt;author&gt;Noga, M. J.&lt;/author&gt;&lt;author&gt;van den Broek, N. J. F.&lt;/author&gt;&lt;author&gt;Bokinsky, G.&lt;/author&gt;&lt;/authors&gt;&lt;/contributors&gt;&lt;custom7&gt;574872&lt;/custom7&gt;&lt;added-date format="utc"&gt;1678154563&lt;/added-date&gt;&lt;ref-type name="Journal Article"&gt;17&lt;/ref-type&gt;&lt;rec-number&gt;729&lt;/rec-number&gt;&lt;last-updated-date format="utc"&gt;1678154563&lt;/last-updated-date&gt;&lt;accession-num&gt;WOS:000576826600001&lt;/accession-num&gt;&lt;electronic-resource-num&gt;10.3389/fmicb.2020.574872&lt;/electronic-resource-num&gt;&lt;volume&gt;11&lt;/volume&gt;&lt;/record&gt;&lt;/Cite&gt;&lt;/EndNote&gt;</w:instrText>
      </w:r>
      <w:r w:rsidRPr="0081437E">
        <w:rPr>
          <w:rFonts w:ascii="Times New Roman" w:hAnsi="Times New Roman" w:cs="Times New Roman"/>
          <w:b/>
          <w:bCs/>
        </w:rPr>
        <w:fldChar w:fldCharType="separate"/>
      </w:r>
      <w:r w:rsidRPr="0081437E">
        <w:rPr>
          <w:rFonts w:ascii="Times New Roman" w:hAnsi="Times New Roman" w:cs="Times New Roman"/>
          <w:b/>
          <w:bCs/>
          <w:noProof/>
        </w:rPr>
        <w:t>(Imholz</w:t>
      </w:r>
      <w:r w:rsidRPr="0081437E">
        <w:rPr>
          <w:rFonts w:ascii="Times New Roman" w:hAnsi="Times New Roman" w:cs="Times New Roman"/>
          <w:b/>
          <w:bCs/>
          <w:i/>
          <w:noProof/>
        </w:rPr>
        <w:t xml:space="preserve"> et al.</w:t>
      </w:r>
      <w:r w:rsidRPr="0081437E">
        <w:rPr>
          <w:rFonts w:ascii="Times New Roman" w:hAnsi="Times New Roman" w:cs="Times New Roman"/>
          <w:b/>
          <w:bCs/>
          <w:noProof/>
        </w:rPr>
        <w:t>, 2020)</w:t>
      </w:r>
      <w:r w:rsidRPr="0081437E">
        <w:rPr>
          <w:rFonts w:ascii="Times New Roman" w:hAnsi="Times New Roman" w:cs="Times New Roman"/>
          <w:b/>
          <w:bCs/>
        </w:rPr>
        <w:fldChar w:fldCharType="end"/>
      </w:r>
      <w:r>
        <w:rPr>
          <w:rFonts w:ascii="Times New Roman" w:hAnsi="Times New Roman" w:cs="Times New Roman"/>
        </w:rPr>
        <w:t>.</w:t>
      </w:r>
    </w:p>
    <w:p w14:paraId="70617677" w14:textId="77777777" w:rsidR="00033564" w:rsidRDefault="00033564" w:rsidP="00033564">
      <w:pPr>
        <w:pStyle w:val="Heading4"/>
      </w:pPr>
      <w:r>
        <w:t>1.2.1.2. Long RSH</w:t>
      </w:r>
    </w:p>
    <w:p w14:paraId="660AB72D" w14:textId="77777777" w:rsidR="00033564" w:rsidRDefault="00033564" w:rsidP="00033564"/>
    <w:p w14:paraId="4422349B" w14:textId="6D3FC9EB" w:rsidR="00033564" w:rsidRDefault="00033564" w:rsidP="00033564">
      <w:pPr>
        <w:spacing w:line="360" w:lineRule="auto"/>
        <w:jc w:val="both"/>
        <w:rPr>
          <w:rFonts w:ascii="Times New Roman" w:hAnsi="Times New Roman" w:cs="Times New Roman"/>
        </w:rPr>
      </w:pPr>
      <w:r w:rsidRPr="00B8118A">
        <w:rPr>
          <w:rFonts w:ascii="Times New Roman" w:hAnsi="Times New Roman" w:cs="Times New Roman"/>
        </w:rPr>
        <w:t>Long RSH enzymes have multiple domains in comparison to short RSH, consisting of an enzymatic N-terminal domain (NTD) and a regulatory C-terminal domain (CTD). The hydrolase and synthetase domain</w:t>
      </w:r>
      <w:r w:rsidR="006F774B">
        <w:rPr>
          <w:rFonts w:ascii="Times New Roman" w:hAnsi="Times New Roman" w:cs="Times New Roman"/>
        </w:rPr>
        <w:t>s</w:t>
      </w:r>
      <w:r w:rsidRPr="00B8118A">
        <w:rPr>
          <w:rFonts w:ascii="Times New Roman" w:hAnsi="Times New Roman" w:cs="Times New Roman"/>
        </w:rPr>
        <w:t>, HD and SYNTH domain respectively, comprise the NTD</w:t>
      </w:r>
      <w:r>
        <w:rPr>
          <w:rFonts w:ascii="Times New Roman" w:hAnsi="Times New Roman" w:cs="Times New Roman"/>
        </w:rPr>
        <w:t xml:space="preserve"> </w:t>
      </w:r>
      <w:r>
        <w:rPr>
          <w:rFonts w:ascii="Times New Roman" w:hAnsi="Times New Roman" w:cs="Times New Roman"/>
          <w:b/>
          <w:bCs/>
        </w:rPr>
        <w:t>(Fig 1.2)</w:t>
      </w:r>
      <w:r w:rsidRPr="00B8118A">
        <w:rPr>
          <w:rFonts w:ascii="Times New Roman" w:hAnsi="Times New Roman" w:cs="Times New Roman"/>
        </w:rPr>
        <w:t>. The HD domain is named according to conserved</w:t>
      </w:r>
      <w:r w:rsidR="006F774B">
        <w:rPr>
          <w:rFonts w:ascii="Times New Roman" w:hAnsi="Times New Roman" w:cs="Times New Roman"/>
        </w:rPr>
        <w:t xml:space="preserve"> histidine and aspartate</w:t>
      </w:r>
      <w:r w:rsidRPr="00B8118A">
        <w:rPr>
          <w:rFonts w:ascii="Times New Roman" w:hAnsi="Times New Roman" w:cs="Times New Roman"/>
        </w:rPr>
        <w:t xml:space="preserve"> residues within the active site and its role</w:t>
      </w:r>
      <w:r>
        <w:rPr>
          <w:rFonts w:ascii="Times New Roman" w:hAnsi="Times New Roman" w:cs="Times New Roman"/>
        </w:rPr>
        <w:t xml:space="preserve"> in</w:t>
      </w:r>
      <w:r w:rsidRPr="00B8118A">
        <w:rPr>
          <w:rFonts w:ascii="Times New Roman" w:hAnsi="Times New Roman" w:cs="Times New Roman"/>
        </w:rPr>
        <w:t xml:space="preserve"> hydroly</w:t>
      </w:r>
      <w:r>
        <w:rPr>
          <w:rFonts w:ascii="Times New Roman" w:hAnsi="Times New Roman" w:cs="Times New Roman"/>
        </w:rPr>
        <w:t>sing</w:t>
      </w:r>
      <w:r w:rsidRPr="00B8118A">
        <w:rPr>
          <w:rFonts w:ascii="Times New Roman" w:hAnsi="Times New Roman" w:cs="Times New Roman"/>
        </w:rPr>
        <w:t xml:space="preserve"> (p)ppGpp to PP</w:t>
      </w:r>
      <w:r w:rsidRPr="00B8118A">
        <w:rPr>
          <w:rFonts w:ascii="Times New Roman" w:hAnsi="Times New Roman" w:cs="Times New Roman"/>
          <w:vertAlign w:val="subscript"/>
        </w:rPr>
        <w:t>i</w:t>
      </w:r>
      <w:r w:rsidRPr="00B8118A">
        <w:rPr>
          <w:rFonts w:ascii="Times New Roman" w:hAnsi="Times New Roman" w:cs="Times New Roman"/>
        </w:rPr>
        <w:t xml:space="preserve"> and GTP/GDP. The SYNTH domain however, </w:t>
      </w:r>
      <w:r>
        <w:rPr>
          <w:rFonts w:ascii="Times New Roman" w:hAnsi="Times New Roman" w:cs="Times New Roman"/>
        </w:rPr>
        <w:t xml:space="preserve">synthesises </w:t>
      </w:r>
      <w:r w:rsidRPr="00B8118A">
        <w:rPr>
          <w:rFonts w:ascii="Times New Roman" w:hAnsi="Times New Roman" w:cs="Times New Roman"/>
        </w:rPr>
        <w:t xml:space="preserve">(p)ppGpp, as described above. The CTD </w:t>
      </w:r>
      <w:r>
        <w:rPr>
          <w:rFonts w:ascii="Times New Roman" w:hAnsi="Times New Roman" w:cs="Times New Roman"/>
        </w:rPr>
        <w:t>regulates</w:t>
      </w:r>
      <w:r w:rsidRPr="00B8118A">
        <w:rPr>
          <w:rFonts w:ascii="Times New Roman" w:hAnsi="Times New Roman" w:cs="Times New Roman"/>
        </w:rPr>
        <w:t xml:space="preserve"> the NTD and consists of four motifs:</w:t>
      </w:r>
      <w:r>
        <w:rPr>
          <w:rFonts w:ascii="Times New Roman" w:hAnsi="Times New Roman" w:cs="Times New Roman"/>
        </w:rPr>
        <w:t xml:space="preserve"> a</w:t>
      </w:r>
      <w:r w:rsidRPr="00B8118A">
        <w:rPr>
          <w:rFonts w:ascii="Times New Roman" w:hAnsi="Times New Roman" w:cs="Times New Roman"/>
        </w:rPr>
        <w:t xml:space="preserve"> threonyl-tRNA synthetase GTPase and SpoT</w:t>
      </w:r>
      <w:r>
        <w:rPr>
          <w:rFonts w:ascii="Times New Roman" w:hAnsi="Times New Roman" w:cs="Times New Roman"/>
        </w:rPr>
        <w:t xml:space="preserve"> </w:t>
      </w:r>
      <w:r w:rsidRPr="00B8118A">
        <w:rPr>
          <w:rFonts w:ascii="Times New Roman" w:hAnsi="Times New Roman" w:cs="Times New Roman"/>
        </w:rPr>
        <w:t>(TGS)</w:t>
      </w:r>
      <w:r>
        <w:rPr>
          <w:rFonts w:ascii="Times New Roman" w:hAnsi="Times New Roman" w:cs="Times New Roman"/>
        </w:rPr>
        <w:t xml:space="preserve"> motif</w:t>
      </w:r>
      <w:r w:rsidRPr="00B8118A">
        <w:rPr>
          <w:rFonts w:ascii="Times New Roman" w:hAnsi="Times New Roman" w:cs="Times New Roman"/>
        </w:rPr>
        <w:t xml:space="preserve">, </w:t>
      </w:r>
      <w:r w:rsidRPr="00B8118A">
        <w:rPr>
          <w:rFonts w:ascii="Times New Roman" w:hAnsi="Times New Roman" w:cs="Times New Roman"/>
          <w:lang w:val="el-GR"/>
        </w:rPr>
        <w:t>α</w:t>
      </w:r>
      <w:r w:rsidRPr="00B8118A">
        <w:rPr>
          <w:rFonts w:ascii="Times New Roman" w:hAnsi="Times New Roman" w:cs="Times New Roman"/>
        </w:rPr>
        <w:t>-helical domain, zinc finger domain with 3 conserved cysteine residues (ZFD/CC) and the aspartokinase, chorismite mutase and TyrR/RNA recognition motif (ACT/RRM)</w:t>
      </w:r>
      <w:r>
        <w:rPr>
          <w:rFonts w:ascii="Times New Roman" w:hAnsi="Times New Roman" w:cs="Times New Roman"/>
        </w:rPr>
        <w:t xml:space="preserve"> </w:t>
      </w:r>
      <w:r w:rsidRPr="008A7024">
        <w:rPr>
          <w:rFonts w:ascii="Times New Roman" w:hAnsi="Times New Roman" w:cs="Times New Roman"/>
          <w:b/>
          <w:bCs/>
        </w:rPr>
        <w:fldChar w:fldCharType="begin"/>
      </w:r>
      <w:r w:rsidRPr="008A7024">
        <w:rPr>
          <w:rFonts w:ascii="Times New Roman" w:hAnsi="Times New Roman" w:cs="Times New Roman"/>
          <w:b/>
          <w:bCs/>
        </w:rPr>
        <w:instrText xml:space="preserve"> ADDIN EN.CITE &lt;EndNote&gt;&lt;Cite&gt;&lt;Author&gt;Steinchen&lt;/Author&gt;&lt;Year&gt;2016&lt;/Year&gt;&lt;IDText&gt;The magic dance of the alarmones (p)ppGpp&lt;/IDText&gt;&lt;DisplayText&gt;(Steinchen and Bange, 2016)&lt;/DisplayText&gt;&lt;record&gt;&lt;dates&gt;&lt;pub-dates&gt;&lt;date&gt;Aug&lt;/date&gt;&lt;/pub-dates&gt;&lt;year&gt;2016&lt;/year&gt;&lt;/dates&gt;&lt;urls&gt;&lt;related-urls&gt;&lt;url&gt;&amp;lt;Go to ISI&amp;gt;://WOS:000382541900001&lt;/url&gt;&lt;/related-urls&gt;&lt;/urls&gt;&lt;isbn&gt;0950-382X&lt;/isbn&gt;&lt;titles&gt;&lt;title&gt;The magic dance of the alarmones (p)ppGpp&lt;/title&gt;&lt;secondary-title&gt;Molecular Microbiology&lt;/secondary-title&gt;&lt;/titles&gt;&lt;pages&gt;531-544&lt;/pages&gt;&lt;number&gt;4&lt;/number&gt;&lt;contributors&gt;&lt;authors&gt;&lt;author&gt;Steinchen, Wieland&lt;/author&gt;&lt;author&gt;Bange, Gert&lt;/author&gt;&lt;/authors&gt;&lt;/contributors&gt;&lt;added-date format="utc"&gt;1665355225&lt;/added-date&gt;&lt;ref-type name="Journal Article"&gt;17&lt;/ref-type&gt;&lt;rec-number&gt;171&lt;/rec-number&gt;&lt;last-updated-date format="utc"&gt;1665355282&lt;/last-updated-date&gt;&lt;accession-num&gt;WOS:000382541900001&lt;/accession-num&gt;&lt;electronic-resource-num&gt;10.1111/mmi.13412&lt;/electronic-resource-num&gt;&lt;volume&gt;101&lt;/volume&gt;&lt;/record&gt;&lt;/Cite&gt;&lt;/EndNote&gt;</w:instrText>
      </w:r>
      <w:r w:rsidRPr="008A7024">
        <w:rPr>
          <w:rFonts w:ascii="Times New Roman" w:hAnsi="Times New Roman" w:cs="Times New Roman"/>
          <w:b/>
          <w:bCs/>
        </w:rPr>
        <w:fldChar w:fldCharType="separate"/>
      </w:r>
      <w:r w:rsidRPr="008A7024">
        <w:rPr>
          <w:rFonts w:ascii="Times New Roman" w:hAnsi="Times New Roman" w:cs="Times New Roman"/>
          <w:b/>
          <w:bCs/>
          <w:noProof/>
        </w:rPr>
        <w:t>(Steinchen and Bange, 2016)</w:t>
      </w:r>
      <w:r w:rsidRPr="008A7024">
        <w:rPr>
          <w:rFonts w:ascii="Times New Roman" w:hAnsi="Times New Roman" w:cs="Times New Roman"/>
          <w:b/>
          <w:bCs/>
        </w:rPr>
        <w:fldChar w:fldCharType="end"/>
      </w:r>
      <w:r>
        <w:rPr>
          <w:rFonts w:ascii="Times New Roman" w:hAnsi="Times New Roman" w:cs="Times New Roman"/>
        </w:rPr>
        <w:t xml:space="preserve"> </w:t>
      </w:r>
      <w:r w:rsidR="006F774B">
        <w:rPr>
          <w:rFonts w:ascii="Times New Roman" w:hAnsi="Times New Roman" w:cs="Times New Roman"/>
          <w:b/>
          <w:bCs/>
        </w:rPr>
        <w:t xml:space="preserve">(Fig. 1.2) </w:t>
      </w:r>
      <w:r>
        <w:rPr>
          <w:rFonts w:ascii="Times New Roman" w:hAnsi="Times New Roman" w:cs="Times New Roman"/>
        </w:rPr>
        <w:t>however, the domain archi</w:t>
      </w:r>
      <w:r w:rsidR="00ED3D7C">
        <w:rPr>
          <w:rFonts w:ascii="Times New Roman" w:hAnsi="Times New Roman" w:cs="Times New Roman"/>
        </w:rPr>
        <w:t>tec</w:t>
      </w:r>
      <w:r>
        <w:rPr>
          <w:rFonts w:ascii="Times New Roman" w:hAnsi="Times New Roman" w:cs="Times New Roman"/>
        </w:rPr>
        <w:t xml:space="preserve">ture of the CTD can differ depending on the species </w:t>
      </w:r>
      <w:r w:rsidRPr="005B3D69">
        <w:rPr>
          <w:rFonts w:ascii="Times New Roman" w:hAnsi="Times New Roman" w:cs="Times New Roman"/>
          <w:b/>
          <w:bCs/>
        </w:rPr>
        <w:fldChar w:fldCharType="begin"/>
      </w:r>
      <w:r w:rsidRPr="005B3D69">
        <w:rPr>
          <w:rFonts w:ascii="Times New Roman" w:hAnsi="Times New Roman" w:cs="Times New Roman"/>
          <w:b/>
          <w:bCs/>
        </w:rPr>
        <w:instrText xml:space="preserve"> ADDIN EN.CITE &lt;EndNote&gt;&lt;Cite&gt;&lt;Author&gt;Atkinson&lt;/Author&gt;&lt;Year&gt;2011&lt;/Year&gt;&lt;IDText&gt;The RelA/SpoT Homolog (RSH) Superfamily: Distribution and Functional Evolution of ppGpp Synthetases and Hydrolases across the Tree of Life&lt;/IDText&gt;&lt;DisplayText&gt;(Atkinson, Tenson and Hauryliuk, 2011)&lt;/DisplayText&gt;&lt;record&gt;&lt;dates&gt;&lt;pub-dates&gt;&lt;date&gt;Aug&lt;/date&gt;&lt;/pub-dates&gt;&lt;year&gt;2011&lt;/year&gt;&lt;/dates&gt;&lt;urls&gt;&lt;related-urls&gt;&lt;url&gt;&amp;lt;Go to ISI&amp;gt;://WOS:000293774300036&lt;/url&gt;&lt;/related-urls&gt;&lt;/urls&gt;&lt;isbn&gt;1932-6203&lt;/isbn&gt;&lt;titles&gt;&lt;title&gt;The RelA/SpoT Homolog (RSH) Superfamily: Distribution and Functional Evolution of ppGpp Synthetases and Hydrolases across the Tree of Life&lt;/title&gt;&lt;secondary-title&gt;Plos One&lt;/secondary-title&gt;&lt;/titles&gt;&lt;number&gt;8&lt;/number&gt;&lt;contributors&gt;&lt;authors&gt;&lt;author&gt;Atkinson, G. C.&lt;/author&gt;&lt;author&gt;Tenson, T.&lt;/author&gt;&lt;author&gt;Hauryliuk, V.&lt;/author&gt;&lt;/authors&gt;&lt;/contributors&gt;&lt;custom7&gt;e23479&lt;/custom7&gt;&lt;added-date format="utc"&gt;1677781575&lt;/added-date&gt;&lt;ref-type name="Journal Article"&gt;17&lt;/ref-type&gt;&lt;rec-number&gt;659&lt;/rec-number&gt;&lt;last-updated-date format="utc"&gt;1677781575&lt;/last-updated-date&gt;&lt;accession-num&gt;WOS:000293774300036&lt;/accession-num&gt;&lt;electronic-resource-num&gt;10.1371/journal.pone.0023479&lt;/electronic-resource-num&gt;&lt;volume&gt;6&lt;/volume&gt;&lt;/record&gt;&lt;/Cite&gt;&lt;/EndNote&gt;</w:instrText>
      </w:r>
      <w:r w:rsidRPr="005B3D69">
        <w:rPr>
          <w:rFonts w:ascii="Times New Roman" w:hAnsi="Times New Roman" w:cs="Times New Roman"/>
          <w:b/>
          <w:bCs/>
        </w:rPr>
        <w:fldChar w:fldCharType="separate"/>
      </w:r>
      <w:r w:rsidRPr="005B3D69">
        <w:rPr>
          <w:rFonts w:ascii="Times New Roman" w:hAnsi="Times New Roman" w:cs="Times New Roman"/>
          <w:b/>
          <w:bCs/>
          <w:noProof/>
        </w:rPr>
        <w:t>(Atkinson, Tenson and Hauryliuk, 2011)</w:t>
      </w:r>
      <w:r w:rsidRPr="005B3D69">
        <w:rPr>
          <w:rFonts w:ascii="Times New Roman" w:hAnsi="Times New Roman" w:cs="Times New Roman"/>
          <w:b/>
          <w:bCs/>
        </w:rPr>
        <w:fldChar w:fldCharType="end"/>
      </w:r>
      <w:r>
        <w:rPr>
          <w:rFonts w:ascii="Times New Roman" w:hAnsi="Times New Roman" w:cs="Times New Roman"/>
        </w:rPr>
        <w:t>. The SYNTH and HD domains work in concert to regulate and maintain an optim</w:t>
      </w:r>
      <w:r w:rsidR="006F774B">
        <w:rPr>
          <w:rFonts w:ascii="Times New Roman" w:hAnsi="Times New Roman" w:cs="Times New Roman"/>
        </w:rPr>
        <w:t>al</w:t>
      </w:r>
      <w:r>
        <w:rPr>
          <w:rFonts w:ascii="Times New Roman" w:hAnsi="Times New Roman" w:cs="Times New Roman"/>
        </w:rPr>
        <w:t xml:space="preserve"> level of (p)ppGpp, as in the absence of a HD domain (p)ppGpp levels are uncontrolled, </w:t>
      </w:r>
      <w:r w:rsidR="006F774B">
        <w:rPr>
          <w:rFonts w:ascii="Times New Roman" w:hAnsi="Times New Roman" w:cs="Times New Roman"/>
        </w:rPr>
        <w:t>resulting</w:t>
      </w:r>
      <w:r>
        <w:rPr>
          <w:rFonts w:ascii="Times New Roman" w:hAnsi="Times New Roman" w:cs="Times New Roman"/>
        </w:rPr>
        <w:t xml:space="preserve"> in toxic accumulation </w:t>
      </w:r>
      <w:r w:rsidRPr="00F439CC">
        <w:rPr>
          <w:rFonts w:ascii="Times New Roman" w:hAnsi="Times New Roman" w:cs="Times New Roman"/>
          <w:b/>
          <w:bCs/>
        </w:rPr>
        <w:fldChar w:fldCharType="begin">
          <w:fldData xml:space="preserve">PEVuZE5vdGU+PENpdGU+PEF1dGhvcj5Ib2dnPC9BdXRob3I+PFllYXI+MjAwNDwvWWVhcj48SURU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==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PEVuZE5vdGU+PENpdGU+PEF1dGhvcj5Ib2dnPC9BdXRob3I+PFllYXI+MjAwNDwvWWVhcj48SURU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==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F439CC">
        <w:rPr>
          <w:rFonts w:ascii="Times New Roman" w:hAnsi="Times New Roman" w:cs="Times New Roman"/>
          <w:b/>
          <w:bCs/>
        </w:rPr>
      </w:r>
      <w:r w:rsidRPr="00F439CC">
        <w:rPr>
          <w:rFonts w:ascii="Times New Roman" w:hAnsi="Times New Roman" w:cs="Times New Roman"/>
          <w:b/>
          <w:bCs/>
        </w:rPr>
        <w:fldChar w:fldCharType="separate"/>
      </w:r>
      <w:r>
        <w:rPr>
          <w:rFonts w:ascii="Times New Roman" w:hAnsi="Times New Roman" w:cs="Times New Roman"/>
          <w:b/>
          <w:bCs/>
          <w:noProof/>
        </w:rPr>
        <w:t>(Hogg</w:t>
      </w:r>
      <w:r w:rsidRPr="002856CC">
        <w:rPr>
          <w:rFonts w:ascii="Times New Roman" w:hAnsi="Times New Roman" w:cs="Times New Roman"/>
          <w:b/>
          <w:bCs/>
          <w:i/>
          <w:noProof/>
        </w:rPr>
        <w:t xml:space="preserve"> et al.</w:t>
      </w:r>
      <w:r>
        <w:rPr>
          <w:rFonts w:ascii="Times New Roman" w:hAnsi="Times New Roman" w:cs="Times New Roman"/>
          <w:b/>
          <w:bCs/>
          <w:noProof/>
        </w:rPr>
        <w:t>, 2004; Mechold</w:t>
      </w:r>
      <w:r w:rsidRPr="002856CC">
        <w:rPr>
          <w:rFonts w:ascii="Times New Roman" w:hAnsi="Times New Roman" w:cs="Times New Roman"/>
          <w:b/>
          <w:bCs/>
          <w:i/>
          <w:noProof/>
        </w:rPr>
        <w:t xml:space="preserve"> et al.</w:t>
      </w:r>
      <w:r>
        <w:rPr>
          <w:rFonts w:ascii="Times New Roman" w:hAnsi="Times New Roman" w:cs="Times New Roman"/>
          <w:b/>
          <w:bCs/>
          <w:noProof/>
        </w:rPr>
        <w:t>, 2002; Geiger</w:t>
      </w:r>
      <w:r w:rsidRPr="002856CC">
        <w:rPr>
          <w:rFonts w:ascii="Times New Roman" w:hAnsi="Times New Roman" w:cs="Times New Roman"/>
          <w:b/>
          <w:bCs/>
          <w:i/>
          <w:noProof/>
        </w:rPr>
        <w:t xml:space="preserve"> et al.</w:t>
      </w:r>
      <w:r>
        <w:rPr>
          <w:rFonts w:ascii="Times New Roman" w:hAnsi="Times New Roman" w:cs="Times New Roman"/>
          <w:b/>
          <w:bCs/>
          <w:noProof/>
        </w:rPr>
        <w:t>, 2010; Lee, Park and Seok, 2018)</w:t>
      </w:r>
      <w:r w:rsidRPr="00F439CC">
        <w:rPr>
          <w:rFonts w:ascii="Times New Roman" w:hAnsi="Times New Roman" w:cs="Times New Roman"/>
          <w:b/>
          <w:bCs/>
        </w:rPr>
        <w:fldChar w:fldCharType="end"/>
      </w:r>
      <w:r>
        <w:rPr>
          <w:rFonts w:ascii="Times New Roman" w:hAnsi="Times New Roman" w:cs="Times New Roman"/>
        </w:rPr>
        <w:t xml:space="preserve">. Thus, RSH proteins containing a HD domain are conditionally essential </w:t>
      </w:r>
      <w:r w:rsidRPr="002856CC">
        <w:rPr>
          <w:rFonts w:ascii="Times New Roman" w:hAnsi="Times New Roman" w:cs="Times New Roman"/>
          <w:b/>
          <w:bCs/>
        </w:rPr>
        <w:fldChar w:fldCharType="begin"/>
      </w:r>
      <w:r w:rsidRPr="002856CC">
        <w:rPr>
          <w:rFonts w:ascii="Times New Roman" w:hAnsi="Times New Roman" w:cs="Times New Roman"/>
          <w:b/>
          <w:bCs/>
        </w:rPr>
        <w:instrText xml:space="preserve"> ADDIN EN.CITE &lt;EndNote&gt;&lt;Cite&gt;&lt;Author&gt;Takada&lt;/Author&gt;&lt;Year&gt;2020&lt;/Year&gt;&lt;IDText&gt;The C-Terminal RRM/ACT Domain Is Crucial for Fine-Tuning the Activation of &amp;apos;Long&amp;apos; RelA-SpoT Homolog Enzymes by Ribosomal Complexes&lt;/IDText&gt;&lt;DisplayText&gt;(Takada&lt;style face="italic"&gt; et al.&lt;/style&gt;, 2020)&lt;/DisplayText&gt;&lt;record&gt;&lt;dates&gt;&lt;pub-dates&gt;&lt;date&gt;Feb 28&lt;/date&gt;&lt;/pub-dates&gt;&lt;year&gt;2020&lt;/year&gt;&lt;/dates&gt;&lt;urls&gt;&lt;related-urls&gt;&lt;url&gt;&amp;lt;Go to ISI&amp;gt;://WOS:000524608300001&lt;/url&gt;&lt;/related-urls&gt;&lt;/urls&gt;&lt;isbn&gt;1664-302X&lt;/isbn&gt;&lt;titles&gt;&lt;title&gt;The C-Terminal RRM/ACT Domain Is Crucial for Fine-Tuning the Activation of &amp;apos;Long&amp;apos; RelA-SpoT Homolog Enzymes by Ribosomal Complexes&lt;/title&gt;&lt;secondary-title&gt;Frontiers in Microbiology&lt;/secondary-title&gt;&lt;/titles&gt;&lt;contributors&gt;&lt;authors&gt;&lt;author&gt;Takada, Hiraku&lt;/author&gt;&lt;author&gt;Roghanian, Mohammad&lt;/author&gt;&lt;author&gt;Murina, Victoriia&lt;/author&gt;&lt;author&gt;Dzhygyr, Ievgen&lt;/author&gt;&lt;author&gt;Murayama, Rikinori&lt;/author&gt;&lt;author&gt;Akanuma, Genki&lt;/author&gt;&lt;author&gt;Atkinson, Gemma C.&lt;/author&gt;&lt;author&gt;Garcia-Pino, Abel&lt;/author&gt;&lt;author&gt;Hauryliuk, Vasili&lt;/author&gt;&lt;/authors&gt;&lt;/contributors&gt;&lt;custom7&gt;277&lt;/custom7&gt;&lt;added-date format="utc"&gt;1663613165&lt;/added-date&gt;&lt;ref-type name="Journal Article"&gt;17&lt;/ref-type&gt;&lt;rec-number&gt;73&lt;/rec-number&gt;&lt;last-updated-date format="utc"&gt;1663624413&lt;/last-updated-date&gt;&lt;accession-num&gt;WOS:000524608300001&lt;/accession-num&gt;&lt;electronic-resource-num&gt;10.3389/fmicb.2020.00277&lt;/electronic-resource-num&gt;&lt;volume&gt;11&lt;/volume&gt;&lt;/record&gt;&lt;/Cite&gt;&lt;/EndNote&gt;</w:instrText>
      </w:r>
      <w:r w:rsidRPr="002856CC">
        <w:rPr>
          <w:rFonts w:ascii="Times New Roman" w:hAnsi="Times New Roman" w:cs="Times New Roman"/>
          <w:b/>
          <w:bCs/>
        </w:rPr>
        <w:fldChar w:fldCharType="separate"/>
      </w:r>
      <w:r w:rsidRPr="002856CC">
        <w:rPr>
          <w:rFonts w:ascii="Times New Roman" w:hAnsi="Times New Roman" w:cs="Times New Roman"/>
          <w:b/>
          <w:bCs/>
          <w:noProof/>
        </w:rPr>
        <w:t>(Takada</w:t>
      </w:r>
      <w:r w:rsidRPr="002856CC">
        <w:rPr>
          <w:rFonts w:ascii="Times New Roman" w:hAnsi="Times New Roman" w:cs="Times New Roman"/>
          <w:b/>
          <w:bCs/>
          <w:i/>
          <w:noProof/>
        </w:rPr>
        <w:t xml:space="preserve"> et al.</w:t>
      </w:r>
      <w:r w:rsidRPr="002856CC">
        <w:rPr>
          <w:rFonts w:ascii="Times New Roman" w:hAnsi="Times New Roman" w:cs="Times New Roman"/>
          <w:b/>
          <w:bCs/>
          <w:noProof/>
        </w:rPr>
        <w:t>, 2020)</w:t>
      </w:r>
      <w:r w:rsidRPr="002856CC">
        <w:rPr>
          <w:rFonts w:ascii="Times New Roman" w:hAnsi="Times New Roman" w:cs="Times New Roman"/>
          <w:b/>
          <w:bCs/>
        </w:rPr>
        <w:fldChar w:fldCharType="end"/>
      </w:r>
      <w:r>
        <w:rPr>
          <w:rFonts w:ascii="Times New Roman" w:hAnsi="Times New Roman" w:cs="Times New Roman"/>
        </w:rPr>
        <w:t xml:space="preserve">. </w:t>
      </w:r>
      <w:r w:rsidRPr="00B8118A">
        <w:rPr>
          <w:rFonts w:ascii="Times New Roman" w:hAnsi="Times New Roman" w:cs="Times New Roman"/>
        </w:rPr>
        <w:t xml:space="preserve">Long RSH enzymes can be monofunctional or bifunctional. </w:t>
      </w:r>
      <w:r>
        <w:rPr>
          <w:rFonts w:ascii="Times New Roman" w:hAnsi="Times New Roman" w:cs="Times New Roman"/>
        </w:rPr>
        <w:t xml:space="preserve">Most Proteobacteria express both a monofunctional and a bifunctional RSH while bacteria outside of this phylum tend to contain only one bifunctional RSH </w:t>
      </w:r>
      <w:r w:rsidRPr="001A338B">
        <w:rPr>
          <w:rFonts w:ascii="Times New Roman" w:hAnsi="Times New Roman" w:cs="Times New Roman"/>
          <w:b/>
          <w:bCs/>
        </w:rPr>
        <w:fldChar w:fldCharType="begin"/>
      </w:r>
      <w:r w:rsidRPr="001A338B">
        <w:rPr>
          <w:rFonts w:ascii="Times New Roman" w:hAnsi="Times New Roman" w:cs="Times New Roman"/>
          <w:b/>
          <w:bCs/>
        </w:rPr>
        <w:instrText xml:space="preserve"> ADDIN EN.CITE &lt;EndNote&gt;&lt;Cite&gt;&lt;Author&gt;Atkinson&lt;/Author&gt;&lt;Year&gt;2011&lt;/Year&gt;&lt;IDText&gt;The RelA/SpoT Homolog (RSH) Superfamily: Distribution and Functional Evolution of ppGpp Synthetases and Hydrolases across the Tree of Life&lt;/IDText&gt;&lt;DisplayText&gt;(Atkinson, Tenson and Hauryliuk, 2011)&lt;/DisplayText&gt;&lt;record&gt;&lt;dates&gt;&lt;pub-dates&gt;&lt;date&gt;Aug&lt;/date&gt;&lt;/pub-dates&gt;&lt;year&gt;2011&lt;/year&gt;&lt;/dates&gt;&lt;urls&gt;&lt;related-urls&gt;&lt;url&gt;&amp;lt;Go to ISI&amp;gt;://WOS:000293774300036&lt;/url&gt;&lt;/related-urls&gt;&lt;/urls&gt;&lt;isbn&gt;1932-6203&lt;/isbn&gt;&lt;titles&gt;&lt;title&gt;The RelA/SpoT Homolog (RSH) Superfamily: Distribution and Functional Evolution of ppGpp Synthetases and Hydrolases across the Tree of Life&lt;/title&gt;&lt;secondary-title&gt;Plos One&lt;/secondary-title&gt;&lt;/titles&gt;&lt;number&gt;8&lt;/number&gt;&lt;contributors&gt;&lt;authors&gt;&lt;author&gt;Atkinson, G. C.&lt;/author&gt;&lt;author&gt;Tenson, T.&lt;/author&gt;&lt;author&gt;Hauryliuk, V.&lt;/author&gt;&lt;/authors&gt;&lt;/contributors&gt;&lt;custom7&gt;e23479&lt;/custom7&gt;&lt;added-date format="utc"&gt;1677781575&lt;/added-date&gt;&lt;ref-type name="Journal Article"&gt;17&lt;/ref-type&gt;&lt;rec-number&gt;659&lt;/rec-number&gt;&lt;last-updated-date format="utc"&gt;1677781575&lt;/last-updated-date&gt;&lt;accession-num&gt;WOS:000293774300036&lt;/accession-num&gt;&lt;electronic-resource-num&gt;10.1371/journal.pone.0023479&lt;/electronic-resource-num&gt;&lt;volume&gt;6&lt;/volume&gt;&lt;/record&gt;&lt;/Cite&gt;&lt;/EndNote&gt;</w:instrText>
      </w:r>
      <w:r w:rsidRPr="001A338B">
        <w:rPr>
          <w:rFonts w:ascii="Times New Roman" w:hAnsi="Times New Roman" w:cs="Times New Roman"/>
          <w:b/>
          <w:bCs/>
        </w:rPr>
        <w:fldChar w:fldCharType="separate"/>
      </w:r>
      <w:r w:rsidRPr="001A338B">
        <w:rPr>
          <w:rFonts w:ascii="Times New Roman" w:hAnsi="Times New Roman" w:cs="Times New Roman"/>
          <w:b/>
          <w:bCs/>
          <w:noProof/>
        </w:rPr>
        <w:t>(Atkinson, Tenson and Hauryliuk, 2011)</w:t>
      </w:r>
      <w:r w:rsidRPr="001A338B">
        <w:rPr>
          <w:rFonts w:ascii="Times New Roman" w:hAnsi="Times New Roman" w:cs="Times New Roman"/>
          <w:b/>
          <w:bCs/>
        </w:rPr>
        <w:fldChar w:fldCharType="end"/>
      </w:r>
      <w:r>
        <w:rPr>
          <w:rFonts w:ascii="Times New Roman" w:hAnsi="Times New Roman" w:cs="Times New Roman"/>
        </w:rPr>
        <w:t xml:space="preserve">. </w:t>
      </w:r>
      <w:r w:rsidRPr="00B8118A">
        <w:rPr>
          <w:rFonts w:ascii="Times New Roman" w:hAnsi="Times New Roman" w:cs="Times New Roman"/>
          <w:i/>
          <w:iCs/>
        </w:rPr>
        <w:t xml:space="preserve">E. coli </w:t>
      </w:r>
      <w:r>
        <w:rPr>
          <w:rFonts w:ascii="Times New Roman" w:hAnsi="Times New Roman" w:cs="Times New Roman"/>
        </w:rPr>
        <w:t xml:space="preserve">contains the bifunctional </w:t>
      </w:r>
      <w:r w:rsidRPr="00B8118A">
        <w:rPr>
          <w:rFonts w:ascii="Times New Roman" w:hAnsi="Times New Roman" w:cs="Times New Roman"/>
        </w:rPr>
        <w:t xml:space="preserve">SpoT </w:t>
      </w:r>
      <w:r>
        <w:rPr>
          <w:rFonts w:ascii="Times New Roman" w:hAnsi="Times New Roman" w:cs="Times New Roman"/>
        </w:rPr>
        <w:t xml:space="preserve">and the monofunctional </w:t>
      </w:r>
      <w:r w:rsidRPr="00B8118A">
        <w:rPr>
          <w:rFonts w:ascii="Times New Roman" w:hAnsi="Times New Roman" w:cs="Times New Roman"/>
        </w:rPr>
        <w:t>RelA</w:t>
      </w:r>
      <w:r w:rsidRPr="00B8118A">
        <w:rPr>
          <w:rFonts w:ascii="Times New Roman" w:hAnsi="Times New Roman" w:cs="Times New Roman"/>
          <w:i/>
          <w:iCs/>
          <w:vertAlign w:val="subscript"/>
        </w:rPr>
        <w:t>Ec</w:t>
      </w:r>
      <w:r>
        <w:rPr>
          <w:rFonts w:ascii="Times New Roman" w:hAnsi="Times New Roman" w:cs="Times New Roman"/>
        </w:rPr>
        <w:t>,</w:t>
      </w:r>
      <w:r w:rsidRPr="002856CC">
        <w:rPr>
          <w:rFonts w:ascii="Times New Roman" w:hAnsi="Times New Roman" w:cs="Times New Roman"/>
        </w:rPr>
        <w:t xml:space="preserve"> </w:t>
      </w:r>
      <w:r>
        <w:rPr>
          <w:rFonts w:ascii="Times New Roman" w:hAnsi="Times New Roman" w:cs="Times New Roman"/>
        </w:rPr>
        <w:t xml:space="preserve">which is thought to have arisen due to a gene duplication </w:t>
      </w:r>
      <w:r w:rsidRPr="000153CA">
        <w:rPr>
          <w:rFonts w:ascii="Times New Roman" w:hAnsi="Times New Roman" w:cs="Times New Roman"/>
          <w:b/>
          <w:bCs/>
        </w:rPr>
        <w:fldChar w:fldCharType="begin"/>
      </w:r>
      <w:r w:rsidRPr="000153CA">
        <w:rPr>
          <w:rFonts w:ascii="Times New Roman" w:hAnsi="Times New Roman" w:cs="Times New Roman"/>
          <w:b/>
          <w:bCs/>
        </w:rPr>
        <w:instrText xml:space="preserve"> ADDIN EN.CITE &lt;EndNote&gt;&lt;Cite&gt;&lt;Author&gt;Mittenhuber&lt;/Author&gt;&lt;Year&gt;2001&lt;/Year&gt;&lt;IDText&gt;Comparative genomics and evolution of genes encoding bacterial (p)ppGpp synthetases/hydrolases (the rel, RelA and SpoT proteins)&lt;/IDText&gt;&lt;DisplayText&gt;(Mittenhuber, 2001)&lt;/DisplayText&gt;&lt;record&gt;&lt;dates&gt;&lt;pub-dates&gt;&lt;date&gt;Oct&lt;/date&gt;&lt;/pub-dates&gt;&lt;year&gt;2001&lt;/year&gt;&lt;/dates&gt;&lt;urls&gt;&lt;related-urls&gt;&lt;url&gt;&amp;lt;Go to ISI&amp;gt;://WOS:000170621800012&lt;/url&gt;&lt;/related-urls&gt;&lt;/urls&gt;&lt;isbn&gt;1464-1801&lt;/isbn&gt;&lt;titles&gt;&lt;title&gt;Comparative genomics and evolution of genes encoding bacterial (p)ppGpp synthetases/hydrolases (the rel, RelA and SpoT proteins)&lt;/title&gt;&lt;secondary-title&gt;Journal of Molecular Microbiology and Biotechnology&lt;/secondary-title&gt;&lt;/titles&gt;&lt;pages&gt;585-600&lt;/pages&gt;&lt;number&gt;4&lt;/number&gt;&lt;contributors&gt;&lt;authors&gt;&lt;author&gt;Mittenhuber, G.&lt;/author&gt;&lt;/authors&gt;&lt;/contributors&gt;&lt;added-date format="utc"&gt;1677782600&lt;/added-date&gt;&lt;ref-type name="Journal Article"&gt;17&lt;/ref-type&gt;&lt;rec-number&gt;660&lt;/rec-number&gt;&lt;last-updated-date format="utc"&gt;1677782600&lt;/last-updated-date&gt;&lt;accession-num&gt;WOS:000170621800012&lt;/accession-num&gt;&lt;volume&gt;3&lt;/volume&gt;&lt;/record&gt;&lt;/Cite&gt;&lt;/EndNote&gt;</w:instrText>
      </w:r>
      <w:r w:rsidRPr="000153CA">
        <w:rPr>
          <w:rFonts w:ascii="Times New Roman" w:hAnsi="Times New Roman" w:cs="Times New Roman"/>
          <w:b/>
          <w:bCs/>
        </w:rPr>
        <w:fldChar w:fldCharType="separate"/>
      </w:r>
      <w:r w:rsidRPr="000153CA">
        <w:rPr>
          <w:rFonts w:ascii="Times New Roman" w:hAnsi="Times New Roman" w:cs="Times New Roman"/>
          <w:b/>
          <w:bCs/>
          <w:noProof/>
        </w:rPr>
        <w:t>(Mittenhuber, 2001)</w:t>
      </w:r>
      <w:r w:rsidRPr="000153CA">
        <w:rPr>
          <w:rFonts w:ascii="Times New Roman" w:hAnsi="Times New Roman" w:cs="Times New Roman"/>
          <w:b/>
          <w:bCs/>
        </w:rPr>
        <w:fldChar w:fldCharType="end"/>
      </w:r>
      <w:r>
        <w:rPr>
          <w:rFonts w:ascii="Times New Roman" w:hAnsi="Times New Roman" w:cs="Times New Roman"/>
        </w:rPr>
        <w:t xml:space="preserve">. The ability of </w:t>
      </w:r>
      <w:r w:rsidRPr="00B8118A">
        <w:rPr>
          <w:rFonts w:ascii="Times New Roman" w:hAnsi="Times New Roman" w:cs="Times New Roman"/>
        </w:rPr>
        <w:t>RelA</w:t>
      </w:r>
      <w:r w:rsidRPr="00B8118A">
        <w:rPr>
          <w:rFonts w:ascii="Times New Roman" w:hAnsi="Times New Roman" w:cs="Times New Roman"/>
          <w:i/>
          <w:iCs/>
          <w:vertAlign w:val="subscript"/>
        </w:rPr>
        <w:t>Ec</w:t>
      </w:r>
      <w:r>
        <w:rPr>
          <w:rFonts w:ascii="Times New Roman" w:hAnsi="Times New Roman" w:cs="Times New Roman"/>
        </w:rPr>
        <w:t xml:space="preserve"> to</w:t>
      </w:r>
      <w:r w:rsidRPr="00B8118A">
        <w:rPr>
          <w:rFonts w:ascii="Times New Roman" w:hAnsi="Times New Roman" w:cs="Times New Roman"/>
        </w:rPr>
        <w:t xml:space="preserve"> only synthesise (p)ppGpp</w:t>
      </w:r>
      <w:r>
        <w:rPr>
          <w:rFonts w:ascii="Times New Roman" w:hAnsi="Times New Roman" w:cs="Times New Roman"/>
        </w:rPr>
        <w:t xml:space="preserve"> </w:t>
      </w:r>
      <w:r w:rsidRPr="00B8118A">
        <w:rPr>
          <w:rFonts w:ascii="Times New Roman" w:hAnsi="Times New Roman" w:cs="Times New Roman"/>
        </w:rPr>
        <w:t xml:space="preserve">is due to loss of a conserved HDXXED motif within the active site of the hydrolase domain, rendering it non-functional </w:t>
      </w:r>
      <w:r w:rsidRPr="008A7024">
        <w:rPr>
          <w:rFonts w:ascii="Times New Roman" w:hAnsi="Times New Roman" w:cs="Times New Roman"/>
          <w:b/>
          <w:bCs/>
        </w:rPr>
        <w:fldChar w:fldCharType="begin"/>
      </w:r>
      <w:r w:rsidRPr="008A7024">
        <w:rPr>
          <w:rFonts w:ascii="Times New Roman" w:hAnsi="Times New Roman" w:cs="Times New Roman"/>
          <w:b/>
          <w:bCs/>
        </w:rPr>
        <w:instrText xml:space="preserve"> ADDIN EN.CITE &lt;EndNote&gt;&lt;Cite&gt;&lt;Author&gt;Aravind&lt;/Author&gt;&lt;Year&gt;1998&lt;/Year&gt;&lt;IDText&gt;The HD domain defines a new superfamily of metal-dependent phosphohydrolases&lt;/IDText&gt;&lt;DisplayText&gt;(Aravind and Koonin, 1998)&lt;/DisplayText&gt;&lt;record&gt;&lt;dates&gt;&lt;pub-dates&gt;&lt;date&gt;Dec&lt;/date&gt;&lt;/pub-dates&gt;&lt;year&gt;1998&lt;/year&gt;&lt;/dates&gt;&lt;urls&gt;&lt;related-urls&gt;&lt;url&gt;&amp;lt;Go to ISI&amp;gt;://WOS:000077507300009&lt;/url&gt;&lt;/related-urls&gt;&lt;/urls&gt;&lt;isbn&gt;0968-0004&lt;/isbn&gt;&lt;titles&gt;&lt;title&gt;The HD domain defines a new superfamily of metal-dependent phosphohydrolases&lt;/title&gt;&lt;secondary-title&gt;Trends in Biochemical Sciences&lt;/secondary-title&gt;&lt;/titles&gt;&lt;pages&gt;469-472&lt;/pages&gt;&lt;number&gt;12&lt;/number&gt;&lt;contributors&gt;&lt;authors&gt;&lt;author&gt;Aravind, L.&lt;/author&gt;&lt;author&gt;Koonin, E. V.&lt;/author&gt;&lt;/authors&gt;&lt;/contributors&gt;&lt;added-date format="utc"&gt;1663613327&lt;/added-date&gt;&lt;ref-type name="Journal Article"&gt;17&lt;/ref-type&gt;&lt;rec-number&gt;74&lt;/rec-number&gt;&lt;last-updated-date format="utc"&gt;1663624413&lt;/last-updated-date&gt;&lt;accession-num&gt;WOS:000077507300009&lt;/accession-num&gt;&lt;electronic-resource-num&gt;10.1016/s0968-0004(98)01293-6&lt;/electronic-resource-num&gt;&lt;volume&gt;23&lt;/volume&gt;&lt;/record&gt;&lt;/Cite&gt;&lt;/EndNote&gt;</w:instrText>
      </w:r>
      <w:r w:rsidRPr="008A7024">
        <w:rPr>
          <w:rFonts w:ascii="Times New Roman" w:hAnsi="Times New Roman" w:cs="Times New Roman"/>
          <w:b/>
          <w:bCs/>
        </w:rPr>
        <w:fldChar w:fldCharType="separate"/>
      </w:r>
      <w:r w:rsidRPr="008A7024">
        <w:rPr>
          <w:rFonts w:ascii="Times New Roman" w:hAnsi="Times New Roman" w:cs="Times New Roman"/>
          <w:b/>
          <w:bCs/>
          <w:noProof/>
        </w:rPr>
        <w:t>(Aravind and Koonin, 1998)</w:t>
      </w:r>
      <w:r w:rsidRPr="008A7024">
        <w:rPr>
          <w:rFonts w:ascii="Times New Roman" w:hAnsi="Times New Roman" w:cs="Times New Roman"/>
          <w:b/>
          <w:bCs/>
        </w:rPr>
        <w:fldChar w:fldCharType="end"/>
      </w:r>
      <w:r w:rsidRPr="00B8118A">
        <w:rPr>
          <w:rFonts w:ascii="Times New Roman" w:hAnsi="Times New Roman" w:cs="Times New Roman"/>
        </w:rPr>
        <w:t xml:space="preserve">. </w:t>
      </w:r>
      <w:r>
        <w:rPr>
          <w:rFonts w:ascii="Times New Roman" w:hAnsi="Times New Roman" w:cs="Times New Roman"/>
        </w:rPr>
        <w:t>It was recently discovered that the inactive HD domain in RelA</w:t>
      </w:r>
      <w:r>
        <w:rPr>
          <w:rFonts w:ascii="Times New Roman" w:hAnsi="Times New Roman" w:cs="Times New Roman"/>
          <w:i/>
          <w:iCs/>
          <w:vertAlign w:val="subscript"/>
        </w:rPr>
        <w:t>Ec</w:t>
      </w:r>
      <w:r>
        <w:rPr>
          <w:rFonts w:ascii="Times New Roman" w:hAnsi="Times New Roman" w:cs="Times New Roman"/>
          <w:vertAlign w:val="subscript"/>
        </w:rPr>
        <w:t xml:space="preserve"> </w:t>
      </w:r>
      <w:r>
        <w:rPr>
          <w:rFonts w:ascii="Times New Roman" w:hAnsi="Times New Roman" w:cs="Times New Roman"/>
        </w:rPr>
        <w:t xml:space="preserve">contains a 17-residue loop that regulates the SYNTH domain, and a mutation in </w:t>
      </w:r>
      <w:r w:rsidR="00EE71F6">
        <w:rPr>
          <w:rFonts w:ascii="Times New Roman" w:hAnsi="Times New Roman" w:cs="Times New Roman"/>
        </w:rPr>
        <w:t xml:space="preserve">the DNA sequence that encodes </w:t>
      </w:r>
      <w:r>
        <w:rPr>
          <w:rFonts w:ascii="Times New Roman" w:hAnsi="Times New Roman" w:cs="Times New Roman"/>
        </w:rPr>
        <w:t xml:space="preserve">this loop abrogates SYNTH domain activity </w:t>
      </w:r>
      <w:r w:rsidRPr="00D528B8">
        <w:rPr>
          <w:rFonts w:ascii="Times New Roman" w:hAnsi="Times New Roman" w:cs="Times New Roman"/>
          <w:b/>
          <w:bCs/>
        </w:rPr>
        <w:fldChar w:fldCharType="begin"/>
      </w:r>
      <w:r w:rsidRPr="00D528B8">
        <w:rPr>
          <w:rFonts w:ascii="Times New Roman" w:hAnsi="Times New Roman" w:cs="Times New Roman"/>
          <w:b/>
          <w:bCs/>
        </w:rPr>
        <w:instrText xml:space="preserve"> ADDIN EN.CITE &lt;EndNote&gt;&lt;Cite&gt;&lt;Author&gt;Sinha&lt;/Author&gt;&lt;Year&gt;2021&lt;/Year&gt;&lt;IDText&gt;The RelA hydrolase domain acts as a molecular switch for (p)ppGpp synthesis&lt;/IDText&gt;&lt;DisplayText&gt;(Sinha and Winther, 2021)&lt;/DisplayText&gt;&lt;record&gt;&lt;dates&gt;&lt;pub-dates&gt;&lt;date&gt;Mar&lt;/date&gt;&lt;/pub-dates&gt;&lt;year&gt;2021&lt;/year&gt;&lt;/dates&gt;&lt;urls&gt;&lt;related-urls&gt;&lt;url&gt;&amp;lt;Go to ISI&amp;gt;://WOS:000636470500001&lt;/url&gt;&lt;/related-urls&gt;&lt;/urls&gt;&lt;titles&gt;&lt;title&gt;The RelA hydrolase domain acts as a molecular switch for (p)ppGpp synthesis&lt;/title&gt;&lt;secondary-title&gt;Communications Biology&lt;/secondary-title&gt;&lt;/titles&gt;&lt;number&gt;1&lt;/number&gt;&lt;contributors&gt;&lt;authors&gt;&lt;author&gt;Sinha, A. K.&lt;/author&gt;&lt;author&gt;Winther, K. S.&lt;/author&gt;&lt;/authors&gt;&lt;/contributors&gt;&lt;custom7&gt;434&lt;/custom7&gt;&lt;added-date format="utc"&gt;1677806649&lt;/added-date&gt;&lt;ref-type name="Journal Article"&gt;17&lt;/ref-type&gt;&lt;rec-number&gt;672&lt;/rec-number&gt;&lt;last-updated-date format="utc"&gt;1677806649&lt;/last-updated-date&gt;&lt;accession-num&gt;WOS:000636470500001&lt;/accession-num&gt;&lt;electronic-resource-num&gt;10.1038/s42003-021-01963-z&lt;/electronic-resource-num&gt;&lt;volume&gt;4&lt;/volume&gt;&lt;/record&gt;&lt;/Cite&gt;&lt;/EndNote&gt;</w:instrText>
      </w:r>
      <w:r w:rsidRPr="00D528B8">
        <w:rPr>
          <w:rFonts w:ascii="Times New Roman" w:hAnsi="Times New Roman" w:cs="Times New Roman"/>
          <w:b/>
          <w:bCs/>
        </w:rPr>
        <w:fldChar w:fldCharType="separate"/>
      </w:r>
      <w:r w:rsidRPr="00D528B8">
        <w:rPr>
          <w:rFonts w:ascii="Times New Roman" w:hAnsi="Times New Roman" w:cs="Times New Roman"/>
          <w:b/>
          <w:bCs/>
          <w:noProof/>
        </w:rPr>
        <w:t>(Sinha and Winther, 2021)</w:t>
      </w:r>
      <w:r w:rsidRPr="00D528B8">
        <w:rPr>
          <w:rFonts w:ascii="Times New Roman" w:hAnsi="Times New Roman" w:cs="Times New Roman"/>
          <w:b/>
          <w:bCs/>
        </w:rPr>
        <w:fldChar w:fldCharType="end"/>
      </w:r>
      <w:r>
        <w:rPr>
          <w:rFonts w:ascii="Times New Roman" w:hAnsi="Times New Roman" w:cs="Times New Roman"/>
        </w:rPr>
        <w:t xml:space="preserve">. In comparison, </w:t>
      </w:r>
      <w:r w:rsidRPr="00B8118A">
        <w:rPr>
          <w:rFonts w:ascii="Times New Roman" w:hAnsi="Times New Roman" w:cs="Times New Roman"/>
        </w:rPr>
        <w:t>Rel</w:t>
      </w:r>
      <w:r>
        <w:rPr>
          <w:rFonts w:ascii="Times New Roman" w:hAnsi="Times New Roman" w:cs="Times New Roman"/>
          <w:i/>
          <w:iCs/>
          <w:vertAlign w:val="subscript"/>
        </w:rPr>
        <w:t>Sau</w:t>
      </w:r>
      <w:r>
        <w:rPr>
          <w:rFonts w:ascii="Times New Roman" w:hAnsi="Times New Roman" w:cs="Times New Roman"/>
          <w:i/>
          <w:iCs/>
        </w:rPr>
        <w:t xml:space="preserve"> </w:t>
      </w:r>
      <w:r>
        <w:rPr>
          <w:rFonts w:ascii="Times New Roman" w:hAnsi="Times New Roman" w:cs="Times New Roman"/>
        </w:rPr>
        <w:t xml:space="preserve">from </w:t>
      </w:r>
      <w:r>
        <w:rPr>
          <w:rFonts w:ascii="Times New Roman" w:hAnsi="Times New Roman" w:cs="Times New Roman"/>
          <w:i/>
          <w:iCs/>
        </w:rPr>
        <w:t xml:space="preserve">S. aureus </w:t>
      </w:r>
      <w:r>
        <w:rPr>
          <w:rFonts w:ascii="Times New Roman" w:hAnsi="Times New Roman" w:cs="Times New Roman"/>
        </w:rPr>
        <w:t xml:space="preserve">is bifunctional and is similar to SpoT in that they both contain an RXFD motif in close proximity to the GTP/GDP-binding pockets, while RelA contains an EXDD motif </w:t>
      </w:r>
      <w:r w:rsidRPr="00A669B7">
        <w:rPr>
          <w:rFonts w:ascii="Times New Roman" w:hAnsi="Times New Roman" w:cs="Times New Roman"/>
          <w:b/>
          <w:bCs/>
        </w:rPr>
        <w:fldChar w:fldCharType="begin"/>
      </w:r>
      <w:r w:rsidRPr="00A669B7">
        <w:rPr>
          <w:rFonts w:ascii="Times New Roman" w:hAnsi="Times New Roman" w:cs="Times New Roman"/>
          <w:b/>
          <w:bCs/>
        </w:rPr>
        <w:instrText xml:space="preserve"> ADDIN EN.CITE &lt;EndNote&gt;&lt;Cite&gt;&lt;Author&gt;Sajish&lt;/Author&gt;&lt;Year&gt;2007&lt;/Year&gt;&lt;IDText&gt;A charge reversal differentiates (p) ppGpp synthesis by monofunctional and bifunctional Rel proteins&lt;/IDText&gt;&lt;DisplayText&gt;(Sajish&lt;style face="italic"&gt; et al.&lt;/style&gt;, 2007)&lt;/DisplayText&gt;&lt;record&gt;&lt;dates&gt;&lt;pub-dates&gt;&lt;date&gt;Nov&lt;/date&gt;&lt;/pub-dates&gt;&lt;year&gt;2007&lt;/year&gt;&lt;/dates&gt;&lt;urls&gt;&lt;related-urls&gt;&lt;url&gt;&amp;lt;Go to ISI&amp;gt;://WOS:000251155200042&lt;/url&gt;&lt;/related-urls&gt;&lt;/urls&gt;&lt;isbn&gt;0021-9258&lt;/isbn&gt;&lt;titles&gt;&lt;title&gt;A charge reversal differentiates (p) ppGpp synthesis by monofunctional and bifunctional Rel proteins&lt;/title&gt;&lt;secondary-title&gt;Journal of Biological Chemistry&lt;/secondary-title&gt;&lt;/titles&gt;&lt;pages&gt;34977-34983&lt;/pages&gt;&lt;number&gt;48&lt;/number&gt;&lt;contributors&gt;&lt;authors&gt;&lt;author&gt;Sajish, M.&lt;/author&gt;&lt;author&gt;Tiwari, D.&lt;/author&gt;&lt;author&gt;Rananaware, D.&lt;/author&gt;&lt;author&gt;Nandicoori, V. K.&lt;/author&gt;&lt;author&gt;Prakash, B.&lt;/author&gt;&lt;/authors&gt;&lt;/contributors&gt;&lt;added-date format="utc"&gt;1677806006&lt;/added-date&gt;&lt;ref-type name="Journal Article"&gt;17&lt;/ref-type&gt;&lt;rec-number&gt;670&lt;/rec-number&gt;&lt;last-updated-date format="utc"&gt;1677806006&lt;/last-updated-date&gt;&lt;accession-num&gt;WOS:000251155200042&lt;/accession-num&gt;&lt;electronic-resource-num&gt;10.1074/jbc.M704828200&lt;/electronic-resource-num&gt;&lt;volume&gt;282&lt;/volume&gt;&lt;/record&gt;&lt;/Cite&gt;&lt;/EndNote&gt;</w:instrText>
      </w:r>
      <w:r w:rsidRPr="00A669B7">
        <w:rPr>
          <w:rFonts w:ascii="Times New Roman" w:hAnsi="Times New Roman" w:cs="Times New Roman"/>
          <w:b/>
          <w:bCs/>
        </w:rPr>
        <w:fldChar w:fldCharType="separate"/>
      </w:r>
      <w:r w:rsidRPr="00A669B7">
        <w:rPr>
          <w:rFonts w:ascii="Times New Roman" w:hAnsi="Times New Roman" w:cs="Times New Roman"/>
          <w:b/>
          <w:bCs/>
          <w:noProof/>
        </w:rPr>
        <w:t>(Sajish</w:t>
      </w:r>
      <w:r w:rsidRPr="00A669B7">
        <w:rPr>
          <w:rFonts w:ascii="Times New Roman" w:hAnsi="Times New Roman" w:cs="Times New Roman"/>
          <w:b/>
          <w:bCs/>
          <w:i/>
          <w:noProof/>
        </w:rPr>
        <w:t xml:space="preserve"> et al.</w:t>
      </w:r>
      <w:r w:rsidRPr="00A669B7">
        <w:rPr>
          <w:rFonts w:ascii="Times New Roman" w:hAnsi="Times New Roman" w:cs="Times New Roman"/>
          <w:b/>
          <w:bCs/>
          <w:noProof/>
        </w:rPr>
        <w:t>, 2007)</w:t>
      </w:r>
      <w:r w:rsidRPr="00A669B7">
        <w:rPr>
          <w:rFonts w:ascii="Times New Roman" w:hAnsi="Times New Roman" w:cs="Times New Roman"/>
          <w:b/>
          <w:bCs/>
        </w:rPr>
        <w:fldChar w:fldCharType="end"/>
      </w:r>
      <w:r>
        <w:rPr>
          <w:rFonts w:ascii="Times New Roman" w:hAnsi="Times New Roman" w:cs="Times New Roman"/>
        </w:rPr>
        <w:t>. This may be responsible for the substrate specificity of Rel/SpoT for GTP vs RelA for GDP</w:t>
      </w:r>
      <w:r w:rsidRPr="00A669B7">
        <w:rPr>
          <w:rFonts w:ascii="Times New Roman" w:hAnsi="Times New Roman" w:cs="Times New Roman"/>
          <w:b/>
          <w:bCs/>
        </w:rPr>
        <w:t xml:space="preserve"> </w:t>
      </w:r>
      <w:r w:rsidRPr="00A669B7">
        <w:rPr>
          <w:rFonts w:ascii="Times New Roman" w:hAnsi="Times New Roman" w:cs="Times New Roman"/>
          <w:b/>
          <w:bCs/>
        </w:rPr>
        <w:fldChar w:fldCharType="begin"/>
      </w:r>
      <w:r w:rsidRPr="00A669B7">
        <w:rPr>
          <w:rFonts w:ascii="Times New Roman" w:hAnsi="Times New Roman" w:cs="Times New Roman"/>
          <w:b/>
          <w:bCs/>
        </w:rPr>
        <w:instrText xml:space="preserve"> ADDIN EN.CITE &lt;EndNote&gt;&lt;Cite&gt;&lt;Author&gt;Sajish&lt;/Author&gt;&lt;Year&gt;2009&lt;/Year&gt;&lt;IDText&gt;The Significance of EXDD and RXKD Motif Conservation in Rel Proteins&lt;/IDText&gt;&lt;DisplayText&gt;(Sajish&lt;style face="italic"&gt; et al.&lt;/style&gt;, 2009)&lt;/DisplayText&gt;&lt;record&gt;&lt;dates&gt;&lt;pub-dates&gt;&lt;date&gt;Apr&lt;/date&gt;&lt;/pub-dates&gt;&lt;year&gt;2009&lt;/year&gt;&lt;/dates&gt;&lt;urls&gt;&lt;related-urls&gt;&lt;url&gt;&amp;lt;Go to ISI&amp;gt;://WOS:000264669100015&lt;/url&gt;&lt;/related-urls&gt;&lt;/urls&gt;&lt;titles&gt;&lt;title&gt;The Significance of EXDD and RXKD Motif Conservation in Rel Proteins&lt;/title&gt;&lt;secondary-title&gt;Journal of Biological Chemistry&lt;/secondary-title&gt;&lt;/titles&gt;&lt;pages&gt;9115-9123&lt;/pages&gt;&lt;number&gt;14&lt;/number&gt;&lt;contributors&gt;&lt;authors&gt;&lt;author&gt;Sajish, M.&lt;/author&gt;&lt;author&gt;Kalayil, S.&lt;/author&gt;&lt;author&gt;Verma, S. K.&lt;/author&gt;&lt;author&gt;Nandicoori, V. K.&lt;/author&gt;&lt;author&gt;Prakash, B.&lt;/author&gt;&lt;/authors&gt;&lt;/contributors&gt;&lt;added-date format="utc"&gt;1677806227&lt;/added-date&gt;&lt;ref-type name="Journal Article"&gt;17&lt;/ref-type&gt;&lt;rec-number&gt;671&lt;/rec-number&gt;&lt;last-updated-date format="utc"&gt;1677806227&lt;/last-updated-date&gt;&lt;accession-num&gt;WOS:000264669100015&lt;/accession-num&gt;&lt;electronic-resource-num&gt;10.1074/jbc.M807187200&lt;/electronic-resource-num&gt;&lt;volume&gt;284&lt;/volume&gt;&lt;/record&gt;&lt;/Cite&gt;&lt;/EndNote&gt;</w:instrText>
      </w:r>
      <w:r w:rsidRPr="00A669B7">
        <w:rPr>
          <w:rFonts w:ascii="Times New Roman" w:hAnsi="Times New Roman" w:cs="Times New Roman"/>
          <w:b/>
          <w:bCs/>
        </w:rPr>
        <w:fldChar w:fldCharType="separate"/>
      </w:r>
      <w:r w:rsidRPr="00A669B7">
        <w:rPr>
          <w:rFonts w:ascii="Times New Roman" w:hAnsi="Times New Roman" w:cs="Times New Roman"/>
          <w:b/>
          <w:bCs/>
          <w:noProof/>
        </w:rPr>
        <w:t>(Sajish</w:t>
      </w:r>
      <w:r w:rsidRPr="00A669B7">
        <w:rPr>
          <w:rFonts w:ascii="Times New Roman" w:hAnsi="Times New Roman" w:cs="Times New Roman"/>
          <w:b/>
          <w:bCs/>
          <w:i/>
          <w:noProof/>
        </w:rPr>
        <w:t xml:space="preserve"> et al.</w:t>
      </w:r>
      <w:r w:rsidRPr="00A669B7">
        <w:rPr>
          <w:rFonts w:ascii="Times New Roman" w:hAnsi="Times New Roman" w:cs="Times New Roman"/>
          <w:b/>
          <w:bCs/>
          <w:noProof/>
        </w:rPr>
        <w:t>, 2009)</w:t>
      </w:r>
      <w:r w:rsidRPr="00A669B7">
        <w:rPr>
          <w:rFonts w:ascii="Times New Roman" w:hAnsi="Times New Roman" w:cs="Times New Roman"/>
          <w:b/>
          <w:bCs/>
        </w:rPr>
        <w:fldChar w:fldCharType="end"/>
      </w:r>
      <w:r>
        <w:rPr>
          <w:rFonts w:ascii="Times New Roman" w:hAnsi="Times New Roman" w:cs="Times New Roman"/>
        </w:rPr>
        <w:t>.</w:t>
      </w:r>
    </w:p>
    <w:p w14:paraId="6F48F06D" w14:textId="60CD8B9F" w:rsidR="00033564" w:rsidRDefault="00033564" w:rsidP="00033564">
      <w:pPr>
        <w:spacing w:line="360" w:lineRule="auto"/>
        <w:jc w:val="both"/>
        <w:rPr>
          <w:rFonts w:ascii="Times New Roman" w:hAnsi="Times New Roman" w:cs="Times New Roman"/>
        </w:rPr>
      </w:pPr>
      <w:r>
        <w:rPr>
          <w:rFonts w:ascii="Times New Roman" w:hAnsi="Times New Roman" w:cs="Times New Roman"/>
        </w:rPr>
        <w:tab/>
      </w:r>
      <w:r w:rsidRPr="002541E9">
        <w:rPr>
          <w:rFonts w:ascii="Times New Roman" w:hAnsi="Times New Roman" w:cs="Times New Roman"/>
        </w:rPr>
        <w:t xml:space="preserve">(p)ppGpp production by </w:t>
      </w:r>
      <w:r>
        <w:rPr>
          <w:rFonts w:ascii="Times New Roman" w:hAnsi="Times New Roman" w:cs="Times New Roman"/>
        </w:rPr>
        <w:t xml:space="preserve">Rel (Firmicutes) and RelA (Proteobacteria) </w:t>
      </w:r>
      <w:r w:rsidRPr="002541E9">
        <w:rPr>
          <w:rFonts w:ascii="Times New Roman" w:hAnsi="Times New Roman" w:cs="Times New Roman"/>
        </w:rPr>
        <w:t>is initiated by the detection of amino acid starvation. Bacteria sense the presence of uncharged tRNA</w:t>
      </w:r>
      <w:r>
        <w:rPr>
          <w:rFonts w:ascii="Times New Roman" w:hAnsi="Times New Roman" w:cs="Times New Roman"/>
        </w:rPr>
        <w:t xml:space="preserve">s </w:t>
      </w:r>
      <w:r w:rsidRPr="002541E9">
        <w:rPr>
          <w:rFonts w:ascii="Times New Roman" w:hAnsi="Times New Roman" w:cs="Times New Roman"/>
        </w:rPr>
        <w:t xml:space="preserve">in the ribosomal aminoacyl ‘A’ site and </w:t>
      </w:r>
      <w:r>
        <w:rPr>
          <w:rFonts w:ascii="Times New Roman" w:hAnsi="Times New Roman" w:cs="Times New Roman"/>
        </w:rPr>
        <w:t xml:space="preserve">long </w:t>
      </w:r>
      <w:r w:rsidRPr="002541E9">
        <w:rPr>
          <w:rFonts w:ascii="Times New Roman" w:hAnsi="Times New Roman" w:cs="Times New Roman"/>
        </w:rPr>
        <w:t>RSH enzymes are stimulated to produce (p)ppGpp when bound to a stalled ribosome</w:t>
      </w:r>
      <w:r>
        <w:rPr>
          <w:rFonts w:ascii="Times New Roman" w:hAnsi="Times New Roman" w:cs="Times New Roman"/>
        </w:rPr>
        <w:t xml:space="preserve"> </w:t>
      </w:r>
      <w:r w:rsidRPr="003534B8">
        <w:rPr>
          <w:rFonts w:ascii="Times New Roman" w:hAnsi="Times New Roman" w:cs="Times New Roman"/>
          <w:b/>
          <w:bCs/>
        </w:rPr>
        <w:fldChar w:fldCharType="begin">
          <w:fldData xml:space="preserve">PEVuZE5vdGU+PENpdGU+PEF1dGhvcj5IYXNlbHRpbmU8L0F1dGhvcj48WWVhcj4xOTczPC9ZZWFy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=
</w:fldData>
        </w:fldChar>
      </w:r>
      <w:r w:rsidR="00276090">
        <w:rPr>
          <w:rFonts w:ascii="Times New Roman" w:hAnsi="Times New Roman" w:cs="Times New Roman"/>
          <w:b/>
          <w:bCs/>
        </w:rPr>
        <w:instrText xml:space="preserve"> ADDIN EN.CITE </w:instrText>
      </w:r>
      <w:r w:rsidR="00276090">
        <w:rPr>
          <w:rFonts w:ascii="Times New Roman" w:hAnsi="Times New Roman" w:cs="Times New Roman"/>
          <w:b/>
          <w:bCs/>
        </w:rPr>
        <w:fldChar w:fldCharType="begin">
          <w:fldData xml:space="preserve">PEVuZE5vdGU+PENpdGU+PEF1dGhvcj5IYXNlbHRpbmU8L0F1dGhvcj48WWVhcj4xOTczPC9ZZWFy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=
</w:fldData>
        </w:fldChar>
      </w:r>
      <w:r w:rsidR="00276090">
        <w:rPr>
          <w:rFonts w:ascii="Times New Roman" w:hAnsi="Times New Roman" w:cs="Times New Roman"/>
          <w:b/>
          <w:bCs/>
        </w:rPr>
        <w:instrText xml:space="preserve"> ADDIN EN.CITE.DATA </w:instrText>
      </w:r>
      <w:r w:rsidR="00276090">
        <w:rPr>
          <w:rFonts w:ascii="Times New Roman" w:hAnsi="Times New Roman" w:cs="Times New Roman"/>
          <w:b/>
          <w:bCs/>
        </w:rPr>
      </w:r>
      <w:r w:rsidR="00276090">
        <w:rPr>
          <w:rFonts w:ascii="Times New Roman" w:hAnsi="Times New Roman" w:cs="Times New Roman"/>
          <w:b/>
          <w:bCs/>
        </w:rPr>
        <w:fldChar w:fldCharType="end"/>
      </w:r>
      <w:r w:rsidRPr="003534B8">
        <w:rPr>
          <w:rFonts w:ascii="Times New Roman" w:hAnsi="Times New Roman" w:cs="Times New Roman"/>
          <w:b/>
          <w:bCs/>
        </w:rPr>
      </w:r>
      <w:r w:rsidRPr="003534B8">
        <w:rPr>
          <w:rFonts w:ascii="Times New Roman" w:hAnsi="Times New Roman" w:cs="Times New Roman"/>
          <w:b/>
          <w:bCs/>
        </w:rPr>
        <w:fldChar w:fldCharType="separate"/>
      </w:r>
      <w:r w:rsidR="00276090">
        <w:rPr>
          <w:rFonts w:ascii="Times New Roman" w:hAnsi="Times New Roman" w:cs="Times New Roman"/>
          <w:b/>
          <w:bCs/>
          <w:noProof/>
        </w:rPr>
        <w:t>(Haseltine and Block, 1973a; Wendrich</w:t>
      </w:r>
      <w:r w:rsidR="00276090" w:rsidRPr="00276090">
        <w:rPr>
          <w:rFonts w:ascii="Times New Roman" w:hAnsi="Times New Roman" w:cs="Times New Roman"/>
          <w:b/>
          <w:bCs/>
          <w:i/>
          <w:noProof/>
        </w:rPr>
        <w:t xml:space="preserve"> et al.</w:t>
      </w:r>
      <w:r w:rsidR="00276090">
        <w:rPr>
          <w:rFonts w:ascii="Times New Roman" w:hAnsi="Times New Roman" w:cs="Times New Roman"/>
          <w:b/>
          <w:bCs/>
          <w:noProof/>
        </w:rPr>
        <w:t>, 2002)</w:t>
      </w:r>
      <w:r w:rsidRPr="003534B8">
        <w:rPr>
          <w:rFonts w:ascii="Times New Roman" w:hAnsi="Times New Roman" w:cs="Times New Roman"/>
          <w:b/>
          <w:bCs/>
        </w:rPr>
        <w:fldChar w:fldCharType="end"/>
      </w:r>
      <w:r>
        <w:rPr>
          <w:rFonts w:ascii="Times New Roman" w:hAnsi="Times New Roman" w:cs="Times New Roman"/>
        </w:rPr>
        <w:t xml:space="preserve">. However, DarB from </w:t>
      </w:r>
      <w:r>
        <w:rPr>
          <w:rFonts w:ascii="Times New Roman" w:hAnsi="Times New Roman" w:cs="Times New Roman"/>
          <w:i/>
          <w:iCs/>
        </w:rPr>
        <w:t xml:space="preserve">B. subtilis, </w:t>
      </w:r>
      <w:r>
        <w:rPr>
          <w:rFonts w:ascii="Times New Roman" w:hAnsi="Times New Roman" w:cs="Times New Roman"/>
        </w:rPr>
        <w:t xml:space="preserve">which is regulated by cyclic-di-AMP (c-di-AMP), was shown to stimulate synthetase activity of Rel in a ribosome-independent manner during amino acid limitation </w:t>
      </w:r>
      <w:r w:rsidRPr="00B674C1">
        <w:rPr>
          <w:rFonts w:ascii="Times New Roman" w:hAnsi="Times New Roman" w:cs="Times New Roman"/>
          <w:b/>
          <w:bCs/>
        </w:rPr>
        <w:fldChar w:fldCharType="begin">
          <w:fldData xml:space="preserve">PEVuZE5vdGU+PENpdGU+PEF1dGhvcj5LcsO8Z2VyPC9BdXRob3I+PFllYXI+MjAyMTwvWWVhcj48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</w:fldData>
        </w:fldChar>
      </w:r>
      <w:r w:rsidRPr="00B674C1">
        <w:rPr>
          <w:rFonts w:ascii="Times New Roman" w:hAnsi="Times New Roman" w:cs="Times New Roman"/>
          <w:b/>
          <w:bCs/>
        </w:rPr>
        <w:instrText xml:space="preserve"> ADDIN EN.CITE </w:instrText>
      </w:r>
      <w:r w:rsidRPr="00B674C1">
        <w:rPr>
          <w:rFonts w:ascii="Times New Roman" w:hAnsi="Times New Roman" w:cs="Times New Roman"/>
          <w:b/>
          <w:bCs/>
        </w:rPr>
        <w:fldChar w:fldCharType="begin">
          <w:fldData xml:space="preserve">PEVuZE5vdGU+PENpdGU+PEF1dGhvcj5LcsO8Z2VyPC9BdXRob3I+PFllYXI+MjAyMTwvWWVhcj48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</w:fldData>
        </w:fldChar>
      </w:r>
      <w:r w:rsidRPr="00B674C1">
        <w:rPr>
          <w:rFonts w:ascii="Times New Roman" w:hAnsi="Times New Roman" w:cs="Times New Roman"/>
          <w:b/>
          <w:bCs/>
        </w:rPr>
        <w:instrText xml:space="preserve"> ADDIN EN.CITE.DATA </w:instrText>
      </w:r>
      <w:r w:rsidRPr="00B674C1">
        <w:rPr>
          <w:rFonts w:ascii="Times New Roman" w:hAnsi="Times New Roman" w:cs="Times New Roman"/>
          <w:b/>
          <w:bCs/>
        </w:rPr>
      </w:r>
      <w:r w:rsidRPr="00B674C1">
        <w:rPr>
          <w:rFonts w:ascii="Times New Roman" w:hAnsi="Times New Roman" w:cs="Times New Roman"/>
          <w:b/>
          <w:bCs/>
        </w:rPr>
        <w:fldChar w:fldCharType="end"/>
      </w:r>
      <w:r w:rsidRPr="00B674C1">
        <w:rPr>
          <w:rFonts w:ascii="Times New Roman" w:hAnsi="Times New Roman" w:cs="Times New Roman"/>
          <w:b/>
          <w:bCs/>
        </w:rPr>
      </w:r>
      <w:r w:rsidRPr="00B674C1">
        <w:rPr>
          <w:rFonts w:ascii="Times New Roman" w:hAnsi="Times New Roman" w:cs="Times New Roman"/>
          <w:b/>
          <w:bCs/>
        </w:rPr>
        <w:fldChar w:fldCharType="separate"/>
      </w:r>
      <w:r w:rsidRPr="00B674C1">
        <w:rPr>
          <w:rFonts w:ascii="Times New Roman" w:hAnsi="Times New Roman" w:cs="Times New Roman"/>
          <w:b/>
          <w:bCs/>
          <w:noProof/>
        </w:rPr>
        <w:t>(Krüger</w:t>
      </w:r>
      <w:r w:rsidRPr="00B674C1">
        <w:rPr>
          <w:rFonts w:ascii="Times New Roman" w:hAnsi="Times New Roman" w:cs="Times New Roman"/>
          <w:b/>
          <w:bCs/>
          <w:i/>
          <w:noProof/>
        </w:rPr>
        <w:t xml:space="preserve"> et al.</w:t>
      </w:r>
      <w:r w:rsidRPr="00B674C1">
        <w:rPr>
          <w:rFonts w:ascii="Times New Roman" w:hAnsi="Times New Roman" w:cs="Times New Roman"/>
          <w:b/>
          <w:bCs/>
          <w:noProof/>
        </w:rPr>
        <w:t>, 2021; Ainelo</w:t>
      </w:r>
      <w:r w:rsidRPr="00B674C1">
        <w:rPr>
          <w:rFonts w:ascii="Times New Roman" w:hAnsi="Times New Roman" w:cs="Times New Roman"/>
          <w:b/>
          <w:bCs/>
          <w:i/>
          <w:noProof/>
        </w:rPr>
        <w:t xml:space="preserve"> et al.</w:t>
      </w:r>
      <w:r w:rsidRPr="00B674C1">
        <w:rPr>
          <w:rFonts w:ascii="Times New Roman" w:hAnsi="Times New Roman" w:cs="Times New Roman"/>
          <w:b/>
          <w:bCs/>
          <w:noProof/>
        </w:rPr>
        <w:t>, 2023)</w:t>
      </w:r>
      <w:r w:rsidRPr="00B674C1">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revealing that additional stimulatory mechanisms exist. How bacteria sense ribosome-dependent amino acid starvation was unclear, until cryo-electron microscopy structures of RelA</w:t>
      </w:r>
      <w:r w:rsidRPr="00196E3D">
        <w:rPr>
          <w:rFonts w:ascii="Times New Roman" w:hAnsi="Times New Roman" w:cs="Times New Roman"/>
          <w:i/>
          <w:iCs/>
          <w:vertAlign w:val="subscript"/>
        </w:rPr>
        <w:t>Ec</w:t>
      </w:r>
      <w:r>
        <w:rPr>
          <w:rFonts w:ascii="Times New Roman" w:hAnsi="Times New Roman" w:cs="Times New Roman"/>
        </w:rPr>
        <w:t xml:space="preserve"> complexed to stalled ribosomes were published</w:t>
      </w:r>
      <w:r>
        <w:rPr>
          <w:rFonts w:ascii="Times New Roman" w:hAnsi="Times New Roman" w:cs="Times New Roman"/>
          <w:b/>
          <w:bCs/>
        </w:rPr>
        <w:t xml:space="preserve"> </w:t>
      </w:r>
      <w:r>
        <w:rPr>
          <w:rFonts w:ascii="Times New Roman" w:hAnsi="Times New Roman" w:cs="Times New Roman"/>
          <w:b/>
          <w:bCs/>
        </w:rPr>
        <w:fldChar w:fldCharType="begin">
          <w:fldData xml:space="preserve">PEVuZE5vdGU+PENpdGU+PEF1dGhvcj5Mb3ZlbGFuZDwvQXV0aG9yPjxZZWFyPjIwMTY8L1llYXI+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PEVuZE5vdGU+PENpdGU+PEF1dGhvcj5Mb3ZlbGFuZDwvQXV0aG9yPjxZZWFyPjIwMTY8L1llYXI+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Pr>
          <w:rFonts w:ascii="Times New Roman" w:hAnsi="Times New Roman" w:cs="Times New Roman"/>
          <w:b/>
          <w:bCs/>
        </w:rPr>
      </w:r>
      <w:r>
        <w:rPr>
          <w:rFonts w:ascii="Times New Roman" w:hAnsi="Times New Roman" w:cs="Times New Roman"/>
          <w:b/>
          <w:bCs/>
        </w:rPr>
        <w:fldChar w:fldCharType="separate"/>
      </w:r>
      <w:r>
        <w:rPr>
          <w:rFonts w:ascii="Times New Roman" w:hAnsi="Times New Roman" w:cs="Times New Roman"/>
          <w:b/>
          <w:bCs/>
          <w:noProof/>
        </w:rPr>
        <w:t>(Loveland</w:t>
      </w:r>
      <w:r w:rsidRPr="00FB4232">
        <w:rPr>
          <w:rFonts w:ascii="Times New Roman" w:hAnsi="Times New Roman" w:cs="Times New Roman"/>
          <w:b/>
          <w:bCs/>
          <w:i/>
          <w:noProof/>
        </w:rPr>
        <w:t xml:space="preserve"> et al.</w:t>
      </w:r>
      <w:r>
        <w:rPr>
          <w:rFonts w:ascii="Times New Roman" w:hAnsi="Times New Roman" w:cs="Times New Roman"/>
          <w:b/>
          <w:bCs/>
          <w:noProof/>
        </w:rPr>
        <w:t>, 2016; Takada</w:t>
      </w:r>
      <w:r w:rsidRPr="00FB4232">
        <w:rPr>
          <w:rFonts w:ascii="Times New Roman" w:hAnsi="Times New Roman" w:cs="Times New Roman"/>
          <w:b/>
          <w:bCs/>
          <w:i/>
          <w:noProof/>
        </w:rPr>
        <w:t xml:space="preserve"> et al.</w:t>
      </w:r>
      <w:r>
        <w:rPr>
          <w:rFonts w:ascii="Times New Roman" w:hAnsi="Times New Roman" w:cs="Times New Roman"/>
          <w:b/>
          <w:bCs/>
          <w:noProof/>
        </w:rPr>
        <w:t>, 2021; Brown</w:t>
      </w:r>
      <w:r w:rsidRPr="00FB4232">
        <w:rPr>
          <w:rFonts w:ascii="Times New Roman" w:hAnsi="Times New Roman" w:cs="Times New Roman"/>
          <w:b/>
          <w:bCs/>
          <w:i/>
          <w:noProof/>
        </w:rPr>
        <w:t xml:space="preserve"> et al.</w:t>
      </w:r>
      <w:r>
        <w:rPr>
          <w:rFonts w:ascii="Times New Roman" w:hAnsi="Times New Roman" w:cs="Times New Roman"/>
          <w:b/>
          <w:bCs/>
          <w:noProof/>
        </w:rPr>
        <w:t>, 2016; Arenz</w:t>
      </w:r>
      <w:r w:rsidRPr="00FB4232">
        <w:rPr>
          <w:rFonts w:ascii="Times New Roman" w:hAnsi="Times New Roman" w:cs="Times New Roman"/>
          <w:b/>
          <w:bCs/>
          <w:i/>
          <w:noProof/>
        </w:rPr>
        <w:t xml:space="preserve"> et al.</w:t>
      </w:r>
      <w:r>
        <w:rPr>
          <w:rFonts w:ascii="Times New Roman" w:hAnsi="Times New Roman" w:cs="Times New Roman"/>
          <w:b/>
          <w:bCs/>
          <w:noProof/>
        </w:rPr>
        <w:t>, 2016)</w:t>
      </w:r>
      <w:r>
        <w:rPr>
          <w:rFonts w:ascii="Times New Roman" w:hAnsi="Times New Roman" w:cs="Times New Roman"/>
          <w:b/>
          <w:bCs/>
        </w:rPr>
        <w:fldChar w:fldCharType="end"/>
      </w:r>
      <w:r w:rsidRPr="00FB4232">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When bound to the ribosome, (p)ppGpp synthesis is favoured as Rel/RelA is in an open conformation. In contrast, unbound Rel/RelA favours a closed conformation, serving as a way to regulate (p)ppGpp levels </w:t>
      </w:r>
      <w:r w:rsidRPr="002A2445">
        <w:rPr>
          <w:rFonts w:ascii="Times New Roman" w:hAnsi="Times New Roman" w:cs="Times New Roman"/>
          <w:b/>
          <w:bCs/>
        </w:rPr>
        <w:fldChar w:fldCharType="begin">
          <w:fldData xml:space="preserve">PEVuZE5vdGU+PENpdGU+PEF1dGhvcj5BcmVuejwvQXV0aG9yPjxZZWFyPjIwMTY8L1llYXI+PElE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</w:fldData>
        </w:fldChar>
      </w:r>
      <w:r w:rsidRPr="002A2445">
        <w:rPr>
          <w:rFonts w:ascii="Times New Roman" w:hAnsi="Times New Roman" w:cs="Times New Roman"/>
          <w:b/>
          <w:bCs/>
        </w:rPr>
        <w:instrText xml:space="preserve"> ADDIN EN.CITE </w:instrText>
      </w:r>
      <w:r w:rsidRPr="002A2445">
        <w:rPr>
          <w:rFonts w:ascii="Times New Roman" w:hAnsi="Times New Roman" w:cs="Times New Roman"/>
          <w:b/>
          <w:bCs/>
        </w:rPr>
        <w:fldChar w:fldCharType="begin">
          <w:fldData xml:space="preserve">PEVuZE5vdGU+PENpdGU+PEF1dGhvcj5BcmVuejwvQXV0aG9yPjxZZWFyPjIwMTY8L1llYXI+PElE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</w:fldData>
        </w:fldChar>
      </w:r>
      <w:r w:rsidRPr="002A2445">
        <w:rPr>
          <w:rFonts w:ascii="Times New Roman" w:hAnsi="Times New Roman" w:cs="Times New Roman"/>
          <w:b/>
          <w:bCs/>
        </w:rPr>
        <w:instrText xml:space="preserve"> ADDIN EN.CITE.DATA </w:instrText>
      </w:r>
      <w:r w:rsidRPr="002A2445">
        <w:rPr>
          <w:rFonts w:ascii="Times New Roman" w:hAnsi="Times New Roman" w:cs="Times New Roman"/>
          <w:b/>
          <w:bCs/>
        </w:rPr>
      </w:r>
      <w:r w:rsidRPr="002A2445">
        <w:rPr>
          <w:rFonts w:ascii="Times New Roman" w:hAnsi="Times New Roman" w:cs="Times New Roman"/>
          <w:b/>
          <w:bCs/>
        </w:rPr>
        <w:fldChar w:fldCharType="end"/>
      </w:r>
      <w:r w:rsidRPr="002A2445">
        <w:rPr>
          <w:rFonts w:ascii="Times New Roman" w:hAnsi="Times New Roman" w:cs="Times New Roman"/>
          <w:b/>
          <w:bCs/>
        </w:rPr>
      </w:r>
      <w:r w:rsidRPr="002A2445">
        <w:rPr>
          <w:rFonts w:ascii="Times New Roman" w:hAnsi="Times New Roman" w:cs="Times New Roman"/>
          <w:b/>
          <w:bCs/>
        </w:rPr>
        <w:fldChar w:fldCharType="separate"/>
      </w:r>
      <w:r w:rsidRPr="002A2445">
        <w:rPr>
          <w:rFonts w:ascii="Times New Roman" w:hAnsi="Times New Roman" w:cs="Times New Roman"/>
          <w:b/>
          <w:bCs/>
          <w:noProof/>
        </w:rPr>
        <w:t>(Arenz</w:t>
      </w:r>
      <w:r w:rsidRPr="002A2445">
        <w:rPr>
          <w:rFonts w:ascii="Times New Roman" w:hAnsi="Times New Roman" w:cs="Times New Roman"/>
          <w:b/>
          <w:bCs/>
          <w:i/>
          <w:noProof/>
        </w:rPr>
        <w:t xml:space="preserve"> et al.</w:t>
      </w:r>
      <w:r w:rsidRPr="002A2445">
        <w:rPr>
          <w:rFonts w:ascii="Times New Roman" w:hAnsi="Times New Roman" w:cs="Times New Roman"/>
          <w:b/>
          <w:bCs/>
          <w:noProof/>
        </w:rPr>
        <w:t>, 2016; Gratani</w:t>
      </w:r>
      <w:r w:rsidRPr="002A2445">
        <w:rPr>
          <w:rFonts w:ascii="Times New Roman" w:hAnsi="Times New Roman" w:cs="Times New Roman"/>
          <w:b/>
          <w:bCs/>
          <w:i/>
          <w:noProof/>
        </w:rPr>
        <w:t xml:space="preserve"> et al.</w:t>
      </w:r>
      <w:r w:rsidRPr="002A2445">
        <w:rPr>
          <w:rFonts w:ascii="Times New Roman" w:hAnsi="Times New Roman" w:cs="Times New Roman"/>
          <w:b/>
          <w:bCs/>
          <w:noProof/>
        </w:rPr>
        <w:t>, 2018)</w:t>
      </w:r>
      <w:r w:rsidRPr="002A2445">
        <w:rPr>
          <w:rFonts w:ascii="Times New Roman" w:hAnsi="Times New Roman" w:cs="Times New Roman"/>
          <w:b/>
          <w:bCs/>
        </w:rPr>
        <w:fldChar w:fldCharType="end"/>
      </w:r>
      <w:r>
        <w:rPr>
          <w:rFonts w:ascii="Times New Roman" w:hAnsi="Times New Roman" w:cs="Times New Roman"/>
        </w:rPr>
        <w:t>. In the unbound state, the closed conformation allows the TGS/</w:t>
      </w:r>
      <w:r w:rsidRPr="001E1079">
        <w:rPr>
          <w:rFonts w:ascii="Times New Roman" w:hAnsi="Times New Roman" w:cs="Times New Roman"/>
        </w:rPr>
        <w:t>α</w:t>
      </w:r>
      <w:r>
        <w:rPr>
          <w:rFonts w:ascii="Times New Roman" w:hAnsi="Times New Roman" w:cs="Times New Roman"/>
        </w:rPr>
        <w:t>-helical domains</w:t>
      </w:r>
      <w:r w:rsidR="006F774B">
        <w:rPr>
          <w:rFonts w:ascii="Times New Roman" w:hAnsi="Times New Roman" w:cs="Times New Roman"/>
        </w:rPr>
        <w:t>,</w:t>
      </w:r>
      <w:r>
        <w:rPr>
          <w:rFonts w:ascii="Times New Roman" w:hAnsi="Times New Roman" w:cs="Times New Roman"/>
        </w:rPr>
        <w:t xml:space="preserve"> th</w:t>
      </w:r>
      <w:r w:rsidR="006F774B">
        <w:rPr>
          <w:rFonts w:ascii="Times New Roman" w:hAnsi="Times New Roman" w:cs="Times New Roman"/>
        </w:rPr>
        <w:t>at</w:t>
      </w:r>
      <w:r>
        <w:rPr>
          <w:rFonts w:ascii="Times New Roman" w:hAnsi="Times New Roman" w:cs="Times New Roman"/>
        </w:rPr>
        <w:t xml:space="preserve"> stimulate the HD domain and the ZFD/ACT/RRM domains</w:t>
      </w:r>
      <w:r w:rsidR="00ED22AC">
        <w:rPr>
          <w:rFonts w:ascii="Times New Roman" w:hAnsi="Times New Roman" w:cs="Times New Roman"/>
        </w:rPr>
        <w:t>,</w:t>
      </w:r>
      <w:r>
        <w:rPr>
          <w:rFonts w:ascii="Times New Roman" w:hAnsi="Times New Roman" w:cs="Times New Roman"/>
        </w:rPr>
        <w:t xml:space="preserve"> to inhibit the SYNTH domain by preventing the binding of ATP/GDP substrates </w:t>
      </w:r>
      <w:r w:rsidRPr="003F30F9">
        <w:rPr>
          <w:rFonts w:ascii="Times New Roman" w:hAnsi="Times New Roman" w:cs="Times New Roman"/>
          <w:b/>
          <w:bCs/>
        </w:rPr>
        <w:fldChar w:fldCharType="begin">
          <w:fldData xml:space="preserve">PEVuZE5vdGU+PENpdGU+PEF1dGhvcj5UYW1tYW48L0F1dGhvcj48WWVhcj4yMDIyPC9ZZWFyPjxJ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</w:fldData>
        </w:fldChar>
      </w:r>
      <w:r w:rsidRPr="003F30F9">
        <w:rPr>
          <w:rFonts w:ascii="Times New Roman" w:hAnsi="Times New Roman" w:cs="Times New Roman"/>
          <w:b/>
          <w:bCs/>
        </w:rPr>
        <w:instrText xml:space="preserve"> ADDIN EN.CITE </w:instrText>
      </w:r>
      <w:r w:rsidRPr="003F30F9">
        <w:rPr>
          <w:rFonts w:ascii="Times New Roman" w:hAnsi="Times New Roman" w:cs="Times New Roman"/>
          <w:b/>
          <w:bCs/>
        </w:rPr>
        <w:fldChar w:fldCharType="begin">
          <w:fldData xml:space="preserve">PEVuZE5vdGU+PENpdGU+PEF1dGhvcj5UYW1tYW48L0F1dGhvcj48WWVhcj4yMDIyPC9ZZWFyPjxJ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</w:fldData>
        </w:fldChar>
      </w:r>
      <w:r w:rsidRPr="003F30F9">
        <w:rPr>
          <w:rFonts w:ascii="Times New Roman" w:hAnsi="Times New Roman" w:cs="Times New Roman"/>
          <w:b/>
          <w:bCs/>
        </w:rPr>
        <w:instrText xml:space="preserve"> ADDIN EN.CITE.DATA </w:instrText>
      </w:r>
      <w:r w:rsidRPr="003F30F9">
        <w:rPr>
          <w:rFonts w:ascii="Times New Roman" w:hAnsi="Times New Roman" w:cs="Times New Roman"/>
          <w:b/>
          <w:bCs/>
        </w:rPr>
      </w:r>
      <w:r w:rsidRPr="003F30F9">
        <w:rPr>
          <w:rFonts w:ascii="Times New Roman" w:hAnsi="Times New Roman" w:cs="Times New Roman"/>
          <w:b/>
          <w:bCs/>
        </w:rPr>
        <w:fldChar w:fldCharType="end"/>
      </w:r>
      <w:r w:rsidRPr="003F30F9">
        <w:rPr>
          <w:rFonts w:ascii="Times New Roman" w:hAnsi="Times New Roman" w:cs="Times New Roman"/>
          <w:b/>
          <w:bCs/>
        </w:rPr>
      </w:r>
      <w:r w:rsidRPr="003F30F9">
        <w:rPr>
          <w:rFonts w:ascii="Times New Roman" w:hAnsi="Times New Roman" w:cs="Times New Roman"/>
          <w:b/>
          <w:bCs/>
        </w:rPr>
        <w:fldChar w:fldCharType="separate"/>
      </w:r>
      <w:r w:rsidRPr="003F30F9">
        <w:rPr>
          <w:rFonts w:ascii="Times New Roman" w:hAnsi="Times New Roman" w:cs="Times New Roman"/>
          <w:b/>
          <w:bCs/>
          <w:noProof/>
        </w:rPr>
        <w:t>(Tamman</w:t>
      </w:r>
      <w:r w:rsidRPr="003F30F9">
        <w:rPr>
          <w:rFonts w:ascii="Times New Roman" w:hAnsi="Times New Roman" w:cs="Times New Roman"/>
          <w:b/>
          <w:bCs/>
          <w:i/>
          <w:noProof/>
        </w:rPr>
        <w:t xml:space="preserve"> et al.</w:t>
      </w:r>
      <w:r w:rsidRPr="003F30F9">
        <w:rPr>
          <w:rFonts w:ascii="Times New Roman" w:hAnsi="Times New Roman" w:cs="Times New Roman"/>
          <w:b/>
          <w:bCs/>
          <w:noProof/>
        </w:rPr>
        <w:t>, 2022; Mechold</w:t>
      </w:r>
      <w:r w:rsidRPr="003F30F9">
        <w:rPr>
          <w:rFonts w:ascii="Times New Roman" w:hAnsi="Times New Roman" w:cs="Times New Roman"/>
          <w:b/>
          <w:bCs/>
          <w:i/>
          <w:noProof/>
        </w:rPr>
        <w:t xml:space="preserve"> et al.</w:t>
      </w:r>
      <w:r w:rsidRPr="003F30F9">
        <w:rPr>
          <w:rFonts w:ascii="Times New Roman" w:hAnsi="Times New Roman" w:cs="Times New Roman"/>
          <w:b/>
          <w:bCs/>
          <w:noProof/>
        </w:rPr>
        <w:t>, 2002)</w:t>
      </w:r>
      <w:r w:rsidRPr="003F30F9">
        <w:rPr>
          <w:rFonts w:ascii="Times New Roman" w:hAnsi="Times New Roman" w:cs="Times New Roman"/>
          <w:b/>
          <w:bCs/>
        </w:rPr>
        <w:fldChar w:fldCharType="end"/>
      </w:r>
      <w:r>
        <w:rPr>
          <w:rFonts w:ascii="Times New Roman" w:hAnsi="Times New Roman" w:cs="Times New Roman"/>
        </w:rPr>
        <w:t>. Not only can the CTD negatively regulate the synthetase activity, but the TGS and ZFD domains are required for interaction of Rel/RelA</w:t>
      </w:r>
      <w:r>
        <w:rPr>
          <w:rFonts w:ascii="Times New Roman" w:hAnsi="Times New Roman" w:cs="Times New Roman"/>
          <w:i/>
          <w:iCs/>
        </w:rPr>
        <w:t xml:space="preserve"> </w:t>
      </w:r>
      <w:r>
        <w:rPr>
          <w:rFonts w:ascii="Times New Roman" w:hAnsi="Times New Roman" w:cs="Times New Roman"/>
        </w:rPr>
        <w:t xml:space="preserve">with the ribosome </w:t>
      </w:r>
      <w:r w:rsidRPr="005B3D69">
        <w:rPr>
          <w:rFonts w:ascii="Times New Roman" w:hAnsi="Times New Roman" w:cs="Times New Roman"/>
          <w:b/>
          <w:bCs/>
        </w:rPr>
        <w:fldChar w:fldCharType="begin">
          <w:fldData xml:space="preserve">PEVuZE5vdGU+PENpdGU+PEF1dGhvcj5HcmF0YW5pPC9BdXRob3I+PFllYXI+MjAxODwvWWVhcj48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PEVuZE5vdGU+PENpdGU+PEF1dGhvcj5HcmF0YW5pPC9BdXRob3I+PFllYXI+MjAxODwvWWVhcj48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5B3D69">
        <w:rPr>
          <w:rFonts w:ascii="Times New Roman" w:hAnsi="Times New Roman" w:cs="Times New Roman"/>
          <w:b/>
          <w:bCs/>
        </w:rPr>
      </w:r>
      <w:r w:rsidRPr="005B3D69">
        <w:rPr>
          <w:rFonts w:ascii="Times New Roman" w:hAnsi="Times New Roman" w:cs="Times New Roman"/>
          <w:b/>
          <w:bCs/>
        </w:rPr>
        <w:fldChar w:fldCharType="separate"/>
      </w:r>
      <w:r>
        <w:rPr>
          <w:rFonts w:ascii="Times New Roman" w:hAnsi="Times New Roman" w:cs="Times New Roman"/>
          <w:b/>
          <w:bCs/>
          <w:noProof/>
        </w:rPr>
        <w:t>(Gratani</w:t>
      </w:r>
      <w:r w:rsidRPr="00FB4232">
        <w:rPr>
          <w:rFonts w:ascii="Times New Roman" w:hAnsi="Times New Roman" w:cs="Times New Roman"/>
          <w:b/>
          <w:bCs/>
          <w:i/>
          <w:noProof/>
        </w:rPr>
        <w:t xml:space="preserve"> et al.</w:t>
      </w:r>
      <w:r>
        <w:rPr>
          <w:rFonts w:ascii="Times New Roman" w:hAnsi="Times New Roman" w:cs="Times New Roman"/>
          <w:b/>
          <w:bCs/>
          <w:noProof/>
        </w:rPr>
        <w:t>, 2018; Kudrin</w:t>
      </w:r>
      <w:r w:rsidRPr="00FB4232">
        <w:rPr>
          <w:rFonts w:ascii="Times New Roman" w:hAnsi="Times New Roman" w:cs="Times New Roman"/>
          <w:b/>
          <w:bCs/>
          <w:i/>
          <w:noProof/>
        </w:rPr>
        <w:t xml:space="preserve"> et al.</w:t>
      </w:r>
      <w:r>
        <w:rPr>
          <w:rFonts w:ascii="Times New Roman" w:hAnsi="Times New Roman" w:cs="Times New Roman"/>
          <w:b/>
          <w:bCs/>
          <w:noProof/>
        </w:rPr>
        <w:t>, 2018; Takada</w:t>
      </w:r>
      <w:r w:rsidRPr="00FB4232">
        <w:rPr>
          <w:rFonts w:ascii="Times New Roman" w:hAnsi="Times New Roman" w:cs="Times New Roman"/>
          <w:b/>
          <w:bCs/>
          <w:i/>
          <w:noProof/>
        </w:rPr>
        <w:t xml:space="preserve"> et al.</w:t>
      </w:r>
      <w:r>
        <w:rPr>
          <w:rFonts w:ascii="Times New Roman" w:hAnsi="Times New Roman" w:cs="Times New Roman"/>
          <w:b/>
          <w:bCs/>
          <w:noProof/>
        </w:rPr>
        <w:t>, 2020)</w:t>
      </w:r>
      <w:r w:rsidRPr="005B3D69">
        <w:rPr>
          <w:rFonts w:ascii="Times New Roman" w:hAnsi="Times New Roman" w:cs="Times New Roman"/>
          <w:b/>
          <w:bCs/>
        </w:rPr>
        <w:fldChar w:fldCharType="end"/>
      </w:r>
      <w:r>
        <w:rPr>
          <w:rFonts w:ascii="Times New Roman" w:hAnsi="Times New Roman" w:cs="Times New Roman"/>
        </w:rPr>
        <w:t xml:space="preserve">. Upon binding to the ribosome e.g., in the event of amino acid limitation, Rel/RelA will adopt an open conformation to allow (p)ppGpp synthesis </w:t>
      </w:r>
      <w:r>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&lt;EndNote&gt;&lt;Cite&gt;&lt;Author&gt;Arenz&lt;/Author&gt;&lt;Year&gt;2016&lt;/Year&gt;&lt;IDText&gt;The stringent factor RelA adopts an open conformation on the ribosome to stimulate ppGpp synthesis&lt;/IDText&gt;&lt;DisplayText&gt;(Arenz&lt;style face="italic"&gt; et al.&lt;/style&gt;, 2016)&lt;/DisplayText&gt;&lt;record&gt;&lt;dates&gt;&lt;pub-dates&gt;&lt;date&gt;Jul 27&lt;/date&gt;&lt;/pub-dates&gt;&lt;year&gt;2016&lt;/year&gt;&lt;/dates&gt;&lt;urls&gt;&lt;related-urls&gt;&lt;url&gt;&amp;lt;Go to ISI&amp;gt;://WOS:000382999300042&lt;/url&gt;&lt;/related-urls&gt;&lt;/urls&gt;&lt;isbn&gt;0305-1048&lt;/isbn&gt;&lt;work-type&gt;Article&lt;/work-type&gt;&lt;titles&gt;&lt;title&gt;The stringent factor RelA adopts an open conformation on the ribosome to stimulate ppGpp synthesis&lt;/title&gt;&lt;secondary-title&gt;Nucleic Acids Research&lt;/secondary-title&gt;&lt;/titles&gt;&lt;pages&gt;6471-6481&lt;/pages&gt;&lt;number&gt;13&lt;/number&gt;&lt;contributors&gt;&lt;authors&gt;&lt;author&gt;Arenz, Stefan&lt;/author&gt;&lt;author&gt;Abdelshahid, Maha&lt;/author&gt;&lt;author&gt;Sohmen, Daniel&lt;/author&gt;&lt;author&gt;Payoe, Roshani&lt;/author&gt;&lt;author&gt;Starosta, Agata L.&lt;/author&gt;&lt;author&gt;Berninghausen, Otto&lt;/author&gt;&lt;author&gt;Hauryliuk, Vasili&lt;/author&gt;&lt;author&gt;Beckmann, Roland&lt;/author&gt;&lt;author&gt;Wilson, Daniel N.&lt;/author&gt;&lt;/authors&gt;&lt;/contributors&gt;&lt;added-date format="utc"&gt;1677870568&lt;/added-date&gt;&lt;ref-type name="Journal Article"&gt;17&lt;/ref-type&gt;&lt;rec-number&gt;678&lt;/rec-number&gt;&lt;last-updated-date format="utc"&gt;1678058042&lt;/last-updated-date&gt;&lt;accession-num&gt;WOS:000382999300042&lt;/accession-num&gt;&lt;electronic-resource-num&gt;10.1093/nar/gkw470&lt;/electronic-resource-num&gt;&lt;volume&gt;44&lt;/volume&gt;&lt;/record&gt;&lt;/Cite&gt;&lt;/EndNote&gt;</w:instrText>
      </w:r>
      <w:r>
        <w:rPr>
          <w:rFonts w:ascii="Times New Roman" w:hAnsi="Times New Roman" w:cs="Times New Roman"/>
          <w:b/>
          <w:bCs/>
        </w:rPr>
        <w:fldChar w:fldCharType="separate"/>
      </w:r>
      <w:r>
        <w:rPr>
          <w:rFonts w:ascii="Times New Roman" w:hAnsi="Times New Roman" w:cs="Times New Roman"/>
          <w:b/>
          <w:bCs/>
          <w:noProof/>
        </w:rPr>
        <w:t>(Arenz</w:t>
      </w:r>
      <w:r w:rsidRPr="00FA16FF">
        <w:rPr>
          <w:rFonts w:ascii="Times New Roman" w:hAnsi="Times New Roman" w:cs="Times New Roman"/>
          <w:b/>
          <w:bCs/>
          <w:i/>
          <w:noProof/>
        </w:rPr>
        <w:t xml:space="preserve"> et al.</w:t>
      </w:r>
      <w:r>
        <w:rPr>
          <w:rFonts w:ascii="Times New Roman" w:hAnsi="Times New Roman" w:cs="Times New Roman"/>
          <w:b/>
          <w:bCs/>
          <w:noProof/>
        </w:rPr>
        <w:t>, 2016)</w:t>
      </w:r>
      <w:r>
        <w:rPr>
          <w:rFonts w:ascii="Times New Roman" w:hAnsi="Times New Roman" w:cs="Times New Roman"/>
          <w:b/>
          <w:bCs/>
        </w:rPr>
        <w:fldChar w:fldCharType="end"/>
      </w:r>
      <w:r>
        <w:rPr>
          <w:rFonts w:ascii="Times New Roman" w:hAnsi="Times New Roman" w:cs="Times New Roman"/>
        </w:rPr>
        <w:t xml:space="preserve">. Stalled ribosomes as a result of the binding of uncharged tRNAs can be sensed by Rel/RelA </w:t>
      </w:r>
      <w:r>
        <w:rPr>
          <w:rFonts w:ascii="Times New Roman" w:hAnsi="Times New Roman" w:cs="Times New Roman"/>
          <w:b/>
          <w:bCs/>
        </w:rPr>
        <w:t>(Fig. 1.2.1.2)</w:t>
      </w:r>
      <w:r>
        <w:rPr>
          <w:rFonts w:ascii="Times New Roman" w:hAnsi="Times New Roman" w:cs="Times New Roman"/>
        </w:rPr>
        <w:t xml:space="preserve"> however, while the Rel/RelA-ribosome association does not require uncharged tRNAs, it is beneficial to promote (p)ppGpp synthesis </w:t>
      </w:r>
      <w:r>
        <w:rPr>
          <w:rFonts w:ascii="Times New Roman" w:hAnsi="Times New Roman" w:cs="Times New Roman"/>
          <w:b/>
          <w:bCs/>
          <w:noProof/>
        </w:rPr>
        <w:t>(Loveland</w:t>
      </w:r>
      <w:r w:rsidRPr="00FB4232">
        <w:rPr>
          <w:rFonts w:ascii="Times New Roman" w:hAnsi="Times New Roman" w:cs="Times New Roman"/>
          <w:b/>
          <w:bCs/>
          <w:i/>
          <w:noProof/>
        </w:rPr>
        <w:t xml:space="preserve"> et al.</w:t>
      </w:r>
      <w:r>
        <w:rPr>
          <w:rFonts w:ascii="Times New Roman" w:hAnsi="Times New Roman" w:cs="Times New Roman"/>
          <w:b/>
          <w:bCs/>
          <w:noProof/>
        </w:rPr>
        <w:t>, 2016; Takada</w:t>
      </w:r>
      <w:r w:rsidRPr="00FB4232">
        <w:rPr>
          <w:rFonts w:ascii="Times New Roman" w:hAnsi="Times New Roman" w:cs="Times New Roman"/>
          <w:b/>
          <w:bCs/>
          <w:i/>
          <w:noProof/>
        </w:rPr>
        <w:t xml:space="preserve"> et al.</w:t>
      </w:r>
      <w:r>
        <w:rPr>
          <w:rFonts w:ascii="Times New Roman" w:hAnsi="Times New Roman" w:cs="Times New Roman"/>
          <w:b/>
          <w:bCs/>
          <w:noProof/>
        </w:rPr>
        <w:t>, 2021)</w:t>
      </w:r>
      <w:r>
        <w:rPr>
          <w:rFonts w:ascii="Times New Roman" w:hAnsi="Times New Roman" w:cs="Times New Roman"/>
        </w:rPr>
        <w:t xml:space="preserve">. The CTD motifs of Rel/RelA interact with the A-site where the uncharged tRNA is located, while the NTD faces away from the ribosome </w:t>
      </w:r>
      <w:r w:rsidRPr="00C7483B">
        <w:rPr>
          <w:rFonts w:ascii="Times New Roman" w:hAnsi="Times New Roman" w:cs="Times New Roman"/>
          <w:b/>
          <w:bCs/>
        </w:rPr>
        <w:fldChar w:fldCharType="begin">
          <w:fldData xml:space="preserve">PEVuZE5vdGU+PENpdGU+PEF1dGhvcj5BcmVuejwvQXV0aG9yPjxZZWFyPjIwMTY8L1llYXI+PElE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</w:fldData>
        </w:fldChar>
      </w:r>
      <w:r w:rsidRPr="00C7483B">
        <w:rPr>
          <w:rFonts w:ascii="Times New Roman" w:hAnsi="Times New Roman" w:cs="Times New Roman"/>
          <w:b/>
          <w:bCs/>
        </w:rPr>
        <w:instrText xml:space="preserve"> ADDIN EN.CITE </w:instrText>
      </w:r>
      <w:r w:rsidRPr="00C7483B">
        <w:rPr>
          <w:rFonts w:ascii="Times New Roman" w:hAnsi="Times New Roman" w:cs="Times New Roman"/>
          <w:b/>
          <w:bCs/>
        </w:rPr>
        <w:fldChar w:fldCharType="begin">
          <w:fldData xml:space="preserve">PEVuZE5vdGU+PENpdGU+PEF1dGhvcj5BcmVuejwvQXV0aG9yPjxZZWFyPjIwMTY8L1llYXI+PElE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</w:fldData>
        </w:fldChar>
      </w:r>
      <w:r w:rsidRPr="00C7483B">
        <w:rPr>
          <w:rFonts w:ascii="Times New Roman" w:hAnsi="Times New Roman" w:cs="Times New Roman"/>
          <w:b/>
          <w:bCs/>
        </w:rPr>
        <w:instrText xml:space="preserve"> ADDIN EN.CITE.DATA </w:instrText>
      </w:r>
      <w:r w:rsidRPr="00C7483B">
        <w:rPr>
          <w:rFonts w:ascii="Times New Roman" w:hAnsi="Times New Roman" w:cs="Times New Roman"/>
          <w:b/>
          <w:bCs/>
        </w:rPr>
      </w:r>
      <w:r w:rsidRPr="00C7483B">
        <w:rPr>
          <w:rFonts w:ascii="Times New Roman" w:hAnsi="Times New Roman" w:cs="Times New Roman"/>
          <w:b/>
          <w:bCs/>
        </w:rPr>
        <w:fldChar w:fldCharType="end"/>
      </w:r>
      <w:r w:rsidRPr="00C7483B">
        <w:rPr>
          <w:rFonts w:ascii="Times New Roman" w:hAnsi="Times New Roman" w:cs="Times New Roman"/>
          <w:b/>
          <w:bCs/>
        </w:rPr>
      </w:r>
      <w:r w:rsidRPr="00C7483B">
        <w:rPr>
          <w:rFonts w:ascii="Times New Roman" w:hAnsi="Times New Roman" w:cs="Times New Roman"/>
          <w:b/>
          <w:bCs/>
        </w:rPr>
        <w:fldChar w:fldCharType="separate"/>
      </w:r>
      <w:r w:rsidRPr="00C7483B">
        <w:rPr>
          <w:rFonts w:ascii="Times New Roman" w:hAnsi="Times New Roman" w:cs="Times New Roman"/>
          <w:b/>
          <w:bCs/>
          <w:noProof/>
        </w:rPr>
        <w:t>(Arenz</w:t>
      </w:r>
      <w:r w:rsidRPr="00C7483B">
        <w:rPr>
          <w:rFonts w:ascii="Times New Roman" w:hAnsi="Times New Roman" w:cs="Times New Roman"/>
          <w:b/>
          <w:bCs/>
          <w:i/>
          <w:noProof/>
        </w:rPr>
        <w:t xml:space="preserve"> et al.</w:t>
      </w:r>
      <w:r w:rsidRPr="00C7483B">
        <w:rPr>
          <w:rFonts w:ascii="Times New Roman" w:hAnsi="Times New Roman" w:cs="Times New Roman"/>
          <w:b/>
          <w:bCs/>
          <w:noProof/>
        </w:rPr>
        <w:t>, 2016; Brown</w:t>
      </w:r>
      <w:r w:rsidRPr="00C7483B">
        <w:rPr>
          <w:rFonts w:ascii="Times New Roman" w:hAnsi="Times New Roman" w:cs="Times New Roman"/>
          <w:b/>
          <w:bCs/>
          <w:i/>
          <w:noProof/>
        </w:rPr>
        <w:t xml:space="preserve"> et al.</w:t>
      </w:r>
      <w:r w:rsidRPr="00C7483B">
        <w:rPr>
          <w:rFonts w:ascii="Times New Roman" w:hAnsi="Times New Roman" w:cs="Times New Roman"/>
          <w:b/>
          <w:bCs/>
          <w:noProof/>
        </w:rPr>
        <w:t>, 2016; Loveland</w:t>
      </w:r>
      <w:r w:rsidRPr="00C7483B">
        <w:rPr>
          <w:rFonts w:ascii="Times New Roman" w:hAnsi="Times New Roman" w:cs="Times New Roman"/>
          <w:b/>
          <w:bCs/>
          <w:i/>
          <w:noProof/>
        </w:rPr>
        <w:t xml:space="preserve"> et al.</w:t>
      </w:r>
      <w:r w:rsidRPr="00C7483B">
        <w:rPr>
          <w:rFonts w:ascii="Times New Roman" w:hAnsi="Times New Roman" w:cs="Times New Roman"/>
          <w:b/>
          <w:bCs/>
          <w:noProof/>
        </w:rPr>
        <w:t>, 2016; Kudrin</w:t>
      </w:r>
      <w:r w:rsidRPr="00C7483B">
        <w:rPr>
          <w:rFonts w:ascii="Times New Roman" w:hAnsi="Times New Roman" w:cs="Times New Roman"/>
          <w:b/>
          <w:bCs/>
          <w:i/>
          <w:noProof/>
        </w:rPr>
        <w:t xml:space="preserve"> et al.</w:t>
      </w:r>
      <w:r w:rsidRPr="00C7483B">
        <w:rPr>
          <w:rFonts w:ascii="Times New Roman" w:hAnsi="Times New Roman" w:cs="Times New Roman"/>
          <w:b/>
          <w:bCs/>
          <w:noProof/>
        </w:rPr>
        <w:t>, 2018)</w:t>
      </w:r>
      <w:r w:rsidRPr="00C7483B">
        <w:rPr>
          <w:rFonts w:ascii="Times New Roman" w:hAnsi="Times New Roman" w:cs="Times New Roman"/>
          <w:b/>
          <w:bCs/>
        </w:rPr>
        <w:fldChar w:fldCharType="end"/>
      </w:r>
      <w:r>
        <w:rPr>
          <w:rFonts w:ascii="Times New Roman" w:hAnsi="Times New Roman" w:cs="Times New Roman"/>
        </w:rPr>
        <w:t>.</w:t>
      </w:r>
      <w:r w:rsidRPr="00C7483B">
        <w:rPr>
          <w:rFonts w:ascii="Times New Roman" w:hAnsi="Times New Roman" w:cs="Times New Roman"/>
          <w:b/>
          <w:bCs/>
        </w:rPr>
        <w:t xml:space="preserve"> </w:t>
      </w:r>
      <w:r>
        <w:rPr>
          <w:rFonts w:ascii="Times New Roman" w:hAnsi="Times New Roman" w:cs="Times New Roman"/>
        </w:rPr>
        <w:t xml:space="preserve">Furthermore, (p)ppGpp binding to Rel/RelA during amino acid limitation also stimulates further ppGpp production </w:t>
      </w:r>
      <w:r w:rsidRPr="00850155">
        <w:rPr>
          <w:rFonts w:ascii="Times New Roman" w:hAnsi="Times New Roman" w:cs="Times New Roman"/>
          <w:b/>
          <w:bCs/>
        </w:rPr>
        <w:fldChar w:fldCharType="begin"/>
      </w:r>
      <w:r w:rsidRPr="00850155">
        <w:rPr>
          <w:rFonts w:ascii="Times New Roman" w:hAnsi="Times New Roman" w:cs="Times New Roman"/>
          <w:b/>
          <w:bCs/>
        </w:rPr>
        <w:instrText xml:space="preserve"> ADDIN EN.CITE &lt;EndNote&gt;&lt;Cite&gt;&lt;Author&gt;Shyp&lt;/Author&gt;&lt;Year&gt;2012&lt;/Year&gt;&lt;IDText&gt;Positive allosteric feedback regulation of the stringent response enzyme RelA by its product&lt;/IDText&gt;&lt;DisplayText&gt;(Shyp&lt;style face="italic"&gt; et al.&lt;/style&gt;, 2012)&lt;/DisplayText&gt;&lt;record&gt;&lt;dates&gt;&lt;pub-dates&gt;&lt;date&gt;Sep&lt;/date&gt;&lt;/pub-dates&gt;&lt;year&gt;2012&lt;/year&gt;&lt;/dates&gt;&lt;urls&gt;&lt;related-urls&gt;&lt;url&gt;&amp;lt;Go to ISI&amp;gt;://WOS:000308564600017&lt;/url&gt;&lt;/related-urls&gt;&lt;/urls&gt;&lt;isbn&gt;1469-221X&lt;/isbn&gt;&lt;work-type&gt;Article&lt;/work-type&gt;&lt;titles&gt;&lt;title&gt;Positive allosteric feedback regulation of the stringent response enzyme RelA by its product&lt;/title&gt;&lt;secondary-title&gt;Embo Reports&lt;/secondary-title&gt;&lt;/titles&gt;&lt;pages&gt;835-839&lt;/pages&gt;&lt;number&gt;9&lt;/number&gt;&lt;contributors&gt;&lt;authors&gt;&lt;author&gt;Shyp, Viktoriya&lt;/author&gt;&lt;author&gt;Tankov, Stoyan&lt;/author&gt;&lt;author&gt;Ermakov, Andrey&lt;/author&gt;&lt;author&gt;Kudrin, Pavel&lt;/author&gt;&lt;author&gt;English, Brian P.&lt;/author&gt;&lt;author&gt;Ehrenberg, Mans&lt;/author&gt;&lt;author&gt;Tenson, Tanel&lt;/author&gt;&lt;author&gt;Elf, Johan&lt;/author&gt;&lt;author&gt;Hauryliuk, Vasili&lt;/author&gt;&lt;/authors&gt;&lt;/contributors&gt;&lt;added-date format="utc"&gt;1677872107&lt;/added-date&gt;&lt;ref-type name="Journal Article"&gt;17&lt;/ref-type&gt;&lt;rec-number&gt;681&lt;/rec-number&gt;&lt;last-updated-date format="utc"&gt;1677872107&lt;/last-updated-date&gt;&lt;accession-num&gt;WOS:000308564600017&lt;/accession-num&gt;&lt;electronic-resource-num&gt;10.1038/embor.2012.106&lt;/electronic-resource-num&gt;&lt;volume&gt;13&lt;/volume&gt;&lt;/record&gt;&lt;/Cite&gt;&lt;/EndNote&gt;</w:instrText>
      </w:r>
      <w:r w:rsidRPr="00850155">
        <w:rPr>
          <w:rFonts w:ascii="Times New Roman" w:hAnsi="Times New Roman" w:cs="Times New Roman"/>
          <w:b/>
          <w:bCs/>
        </w:rPr>
        <w:fldChar w:fldCharType="separate"/>
      </w:r>
      <w:r w:rsidRPr="00850155">
        <w:rPr>
          <w:rFonts w:ascii="Times New Roman" w:hAnsi="Times New Roman" w:cs="Times New Roman"/>
          <w:b/>
          <w:bCs/>
          <w:noProof/>
        </w:rPr>
        <w:t>(Shyp</w:t>
      </w:r>
      <w:r w:rsidRPr="00850155">
        <w:rPr>
          <w:rFonts w:ascii="Times New Roman" w:hAnsi="Times New Roman" w:cs="Times New Roman"/>
          <w:b/>
          <w:bCs/>
          <w:i/>
          <w:noProof/>
        </w:rPr>
        <w:t xml:space="preserve"> et al.</w:t>
      </w:r>
      <w:r w:rsidRPr="00850155">
        <w:rPr>
          <w:rFonts w:ascii="Times New Roman" w:hAnsi="Times New Roman" w:cs="Times New Roman"/>
          <w:b/>
          <w:bCs/>
          <w:noProof/>
        </w:rPr>
        <w:t>, 2012)</w:t>
      </w:r>
      <w:r w:rsidRPr="00850155">
        <w:rPr>
          <w:rFonts w:ascii="Times New Roman" w:hAnsi="Times New Roman" w:cs="Times New Roman"/>
          <w:b/>
          <w:bCs/>
        </w:rPr>
        <w:fldChar w:fldCharType="end"/>
      </w:r>
      <w:r>
        <w:rPr>
          <w:rFonts w:ascii="Times New Roman" w:hAnsi="Times New Roman" w:cs="Times New Roman"/>
        </w:rPr>
        <w:t xml:space="preserve">. In contrast, (p)ppGpp production by SpoT is not induced upon amino acid limitation. The holo-acyl-carrier protein (ACP) binds to SpoT, but not Rel/RelA, via the TGS domain to signal fatty acid starvation and has also been implicated in signalling phosphate starvation </w:t>
      </w:r>
      <w:r w:rsidRPr="00311329">
        <w:rPr>
          <w:rFonts w:ascii="Times New Roman" w:hAnsi="Times New Roman" w:cs="Times New Roman"/>
          <w:b/>
          <w:bCs/>
        </w:rPr>
        <w:fldChar w:fldCharType="begin">
          <w:fldData xml:space="preserve">PEVuZE5vdGU+PENpdGU+PEF1dGhvcj5CYXR0ZXN0aTwvQXV0aG9yPjxZZWFyPjIwMDY8L1llYXI+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</w:fldData>
        </w:fldChar>
      </w:r>
      <w:r w:rsidRPr="00311329">
        <w:rPr>
          <w:rFonts w:ascii="Times New Roman" w:hAnsi="Times New Roman" w:cs="Times New Roman"/>
          <w:b/>
          <w:bCs/>
        </w:rPr>
        <w:instrText xml:space="preserve"> ADDIN EN.CITE </w:instrText>
      </w:r>
      <w:r w:rsidRPr="00311329">
        <w:rPr>
          <w:rFonts w:ascii="Times New Roman" w:hAnsi="Times New Roman" w:cs="Times New Roman"/>
          <w:b/>
          <w:bCs/>
        </w:rPr>
        <w:fldChar w:fldCharType="begin">
          <w:fldData xml:space="preserve">PEVuZE5vdGU+PENpdGU+PEF1dGhvcj5CYXR0ZXN0aTwvQXV0aG9yPjxZZWFyPjIwMDY8L1llYXI+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</w:fldData>
        </w:fldChar>
      </w:r>
      <w:r w:rsidRPr="00311329">
        <w:rPr>
          <w:rFonts w:ascii="Times New Roman" w:hAnsi="Times New Roman" w:cs="Times New Roman"/>
          <w:b/>
          <w:bCs/>
        </w:rPr>
        <w:instrText xml:space="preserve"> ADDIN EN.CITE.DATA </w:instrText>
      </w:r>
      <w:r w:rsidRPr="00311329">
        <w:rPr>
          <w:rFonts w:ascii="Times New Roman" w:hAnsi="Times New Roman" w:cs="Times New Roman"/>
          <w:b/>
          <w:bCs/>
        </w:rPr>
      </w:r>
      <w:r w:rsidRPr="00311329">
        <w:rPr>
          <w:rFonts w:ascii="Times New Roman" w:hAnsi="Times New Roman" w:cs="Times New Roman"/>
          <w:b/>
          <w:bCs/>
        </w:rPr>
        <w:fldChar w:fldCharType="end"/>
      </w:r>
      <w:r w:rsidRPr="00311329">
        <w:rPr>
          <w:rFonts w:ascii="Times New Roman" w:hAnsi="Times New Roman" w:cs="Times New Roman"/>
          <w:b/>
          <w:bCs/>
        </w:rPr>
      </w:r>
      <w:r w:rsidRPr="00311329">
        <w:rPr>
          <w:rFonts w:ascii="Times New Roman" w:hAnsi="Times New Roman" w:cs="Times New Roman"/>
          <w:b/>
          <w:bCs/>
        </w:rPr>
        <w:fldChar w:fldCharType="separate"/>
      </w:r>
      <w:r w:rsidRPr="00311329">
        <w:rPr>
          <w:rFonts w:ascii="Times New Roman" w:hAnsi="Times New Roman" w:cs="Times New Roman"/>
          <w:b/>
          <w:bCs/>
          <w:noProof/>
        </w:rPr>
        <w:t>(Battesti and Bouveret, 2006; Germain</w:t>
      </w:r>
      <w:r w:rsidRPr="00311329">
        <w:rPr>
          <w:rFonts w:ascii="Times New Roman" w:hAnsi="Times New Roman" w:cs="Times New Roman"/>
          <w:b/>
          <w:bCs/>
          <w:i/>
          <w:noProof/>
        </w:rPr>
        <w:t xml:space="preserve"> et al.</w:t>
      </w:r>
      <w:r w:rsidRPr="00311329">
        <w:rPr>
          <w:rFonts w:ascii="Times New Roman" w:hAnsi="Times New Roman" w:cs="Times New Roman"/>
          <w:b/>
          <w:bCs/>
          <w:noProof/>
        </w:rPr>
        <w:t>, 2019)</w:t>
      </w:r>
      <w:r w:rsidRPr="00311329">
        <w:rPr>
          <w:rFonts w:ascii="Times New Roman" w:hAnsi="Times New Roman" w:cs="Times New Roman"/>
          <w:b/>
          <w:bCs/>
        </w:rPr>
        <w:fldChar w:fldCharType="end"/>
      </w:r>
      <w:r>
        <w:rPr>
          <w:rFonts w:ascii="Times New Roman" w:hAnsi="Times New Roman" w:cs="Times New Roman"/>
        </w:rPr>
        <w:t xml:space="preserve">. ACP is acidic, which is optimal for binding to SpoT as it has a basic isoelectric point in comparison to Rel/RelA and may explain why Rel/RelA does not respond to fatty acid starvation </w:t>
      </w:r>
      <w:r w:rsidRPr="00A969F3">
        <w:rPr>
          <w:rFonts w:ascii="Times New Roman" w:hAnsi="Times New Roman" w:cs="Times New Roman"/>
          <w:b/>
          <w:bCs/>
        </w:rPr>
        <w:fldChar w:fldCharType="begin"/>
      </w:r>
      <w:r w:rsidRPr="00A969F3">
        <w:rPr>
          <w:rFonts w:ascii="Times New Roman" w:hAnsi="Times New Roman" w:cs="Times New Roman"/>
          <w:b/>
          <w:bCs/>
        </w:rPr>
        <w:instrText xml:space="preserve"> ADDIN EN.CITE &lt;EndNote&gt;&lt;Cite&gt;&lt;Author&gt;Irving&lt;/Author&gt;&lt;Year&gt;2018&lt;/Year&gt;&lt;IDText&gt;Triggering the stringent response: signals responsible for activating (p) ppGpp synthesis in bacteria&lt;/IDText&gt;&lt;DisplayText&gt;(Irving and Corrigan, 2018)&lt;/DisplayText&gt;&lt;record&gt;&lt;dates&gt;&lt;pub-dates&gt;&lt;date&gt;Mar&lt;/date&gt;&lt;/pub-dates&gt;&lt;year&gt;2018&lt;/year&gt;&lt;/dates&gt;&lt;urls&gt;&lt;related-urls&gt;&lt;url&gt;&amp;lt;Go to ISI&amp;gt;://WOS:000429502100005&lt;/url&gt;&lt;/related-urls&gt;&lt;/urls&gt;&lt;isbn&gt;1350-0872&lt;/isbn&gt;&lt;work-type&gt;Review&lt;/work-type&gt;&lt;titles&gt;&lt;title&gt;Triggering the stringent response: signals responsible for activating (p) ppGpp synthesis in bacteria&lt;/title&gt;&lt;secondary-title&gt;Microbiology-Sgm&lt;/secondary-title&gt;&lt;/titles&gt;&lt;pages&gt;268-276&lt;/pages&gt;&lt;number&gt;3&lt;/number&gt;&lt;contributors&gt;&lt;authors&gt;&lt;author&gt;Irving, Sophie E.&lt;/author&gt;&lt;author&gt;Corrigan, Rebecca M.&lt;/author&gt;&lt;/authors&gt;&lt;/contributors&gt;&lt;added-date format="utc"&gt;1677876158&lt;/added-date&gt;&lt;ref-type name="Journal Article"&gt;17&lt;/ref-type&gt;&lt;rec-number&gt;683&lt;/rec-number&gt;&lt;last-updated-date format="utc"&gt;1677876158&lt;/last-updated-date&gt;&lt;accession-num&gt;WOS:000429502100005&lt;/accession-num&gt;&lt;electronic-resource-num&gt;10.1099/mic.0.000621&lt;/electronic-resource-num&gt;&lt;volume&gt;164&lt;/volume&gt;&lt;/record&gt;&lt;/Cite&gt;&lt;/EndNote&gt;</w:instrText>
      </w:r>
      <w:r w:rsidRPr="00A969F3">
        <w:rPr>
          <w:rFonts w:ascii="Times New Roman" w:hAnsi="Times New Roman" w:cs="Times New Roman"/>
          <w:b/>
          <w:bCs/>
        </w:rPr>
        <w:fldChar w:fldCharType="separate"/>
      </w:r>
      <w:r w:rsidRPr="00A969F3">
        <w:rPr>
          <w:rFonts w:ascii="Times New Roman" w:hAnsi="Times New Roman" w:cs="Times New Roman"/>
          <w:b/>
          <w:bCs/>
          <w:noProof/>
        </w:rPr>
        <w:t>(Irving and Corrigan, 2018)</w:t>
      </w:r>
      <w:r w:rsidRPr="00A969F3">
        <w:rPr>
          <w:rFonts w:ascii="Times New Roman" w:hAnsi="Times New Roman" w:cs="Times New Roman"/>
          <w:b/>
          <w:bCs/>
        </w:rPr>
        <w:fldChar w:fldCharType="end"/>
      </w:r>
      <w:r>
        <w:rPr>
          <w:rFonts w:ascii="Times New Roman" w:hAnsi="Times New Roman" w:cs="Times New Roman"/>
        </w:rPr>
        <w:t xml:space="preserve">. Furthermore, SpoT activity is also induced upon iron and carbon limitation </w:t>
      </w:r>
      <w:r w:rsidRPr="00311329">
        <w:rPr>
          <w:rFonts w:ascii="Times New Roman" w:hAnsi="Times New Roman" w:cs="Times New Roman"/>
          <w:b/>
          <w:bCs/>
        </w:rPr>
        <w:fldChar w:fldCharType="begin">
          <w:fldData xml:space="preserve">PEVuZE5vdGU+PENpdGU+PEF1dGhvcj5MZWU8L0F1dGhvcj48WWVhcj4yMDE4PC9ZZWFyPjxJRFRl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</w:fldData>
        </w:fldChar>
      </w:r>
      <w:r w:rsidRPr="00311329">
        <w:rPr>
          <w:rFonts w:ascii="Times New Roman" w:hAnsi="Times New Roman" w:cs="Times New Roman"/>
          <w:b/>
          <w:bCs/>
        </w:rPr>
        <w:instrText xml:space="preserve"> ADDIN EN.CITE </w:instrText>
      </w:r>
      <w:r w:rsidRPr="00311329">
        <w:rPr>
          <w:rFonts w:ascii="Times New Roman" w:hAnsi="Times New Roman" w:cs="Times New Roman"/>
          <w:b/>
          <w:bCs/>
        </w:rPr>
        <w:fldChar w:fldCharType="begin">
          <w:fldData xml:space="preserve">PEVuZE5vdGU+PENpdGU+PEF1dGhvcj5MZWU8L0F1dGhvcj48WWVhcj4yMDE4PC9ZZWFyPjxJRFRl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</w:fldData>
        </w:fldChar>
      </w:r>
      <w:r w:rsidRPr="00311329">
        <w:rPr>
          <w:rFonts w:ascii="Times New Roman" w:hAnsi="Times New Roman" w:cs="Times New Roman"/>
          <w:b/>
          <w:bCs/>
        </w:rPr>
        <w:instrText xml:space="preserve"> ADDIN EN.CITE.DATA </w:instrText>
      </w:r>
      <w:r w:rsidRPr="00311329">
        <w:rPr>
          <w:rFonts w:ascii="Times New Roman" w:hAnsi="Times New Roman" w:cs="Times New Roman"/>
          <w:b/>
          <w:bCs/>
        </w:rPr>
      </w:r>
      <w:r w:rsidRPr="00311329">
        <w:rPr>
          <w:rFonts w:ascii="Times New Roman" w:hAnsi="Times New Roman" w:cs="Times New Roman"/>
          <w:b/>
          <w:bCs/>
        </w:rPr>
        <w:fldChar w:fldCharType="end"/>
      </w:r>
      <w:r w:rsidRPr="00311329">
        <w:rPr>
          <w:rFonts w:ascii="Times New Roman" w:hAnsi="Times New Roman" w:cs="Times New Roman"/>
          <w:b/>
          <w:bCs/>
        </w:rPr>
      </w:r>
      <w:r w:rsidRPr="00311329">
        <w:rPr>
          <w:rFonts w:ascii="Times New Roman" w:hAnsi="Times New Roman" w:cs="Times New Roman"/>
          <w:b/>
          <w:bCs/>
        </w:rPr>
        <w:fldChar w:fldCharType="separate"/>
      </w:r>
      <w:r w:rsidRPr="00311329">
        <w:rPr>
          <w:rFonts w:ascii="Times New Roman" w:hAnsi="Times New Roman" w:cs="Times New Roman"/>
          <w:b/>
          <w:bCs/>
          <w:noProof/>
        </w:rPr>
        <w:t>(Lee, Park and Seok, 2018; Vinella</w:t>
      </w:r>
      <w:r w:rsidRPr="00311329">
        <w:rPr>
          <w:rFonts w:ascii="Times New Roman" w:hAnsi="Times New Roman" w:cs="Times New Roman"/>
          <w:b/>
          <w:bCs/>
          <w:i/>
          <w:noProof/>
        </w:rPr>
        <w:t xml:space="preserve"> et al.</w:t>
      </w:r>
      <w:r w:rsidRPr="00311329">
        <w:rPr>
          <w:rFonts w:ascii="Times New Roman" w:hAnsi="Times New Roman" w:cs="Times New Roman"/>
          <w:b/>
          <w:bCs/>
          <w:noProof/>
        </w:rPr>
        <w:t>, 2005)</w:t>
      </w:r>
      <w:r w:rsidRPr="00311329">
        <w:rPr>
          <w:rFonts w:ascii="Times New Roman" w:hAnsi="Times New Roman" w:cs="Times New Roman"/>
          <w:b/>
          <w:bCs/>
        </w:rPr>
        <w:fldChar w:fldCharType="end"/>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33564" w14:paraId="1958D60D" w14:textId="77777777" w:rsidTr="00A74445">
        <w:tc>
          <w:tcPr>
            <w:tcW w:w="9016" w:type="dxa"/>
          </w:tcPr>
          <w:p w14:paraId="5C3C88CC" w14:textId="77777777" w:rsidR="00033564" w:rsidRDefault="00033564" w:rsidP="00A74445">
            <w:pPr>
              <w:spacing w:line="360" w:lineRule="auto"/>
              <w:jc w:val="both"/>
              <w:rPr>
                <w:rFonts w:ascii="Times New Roman" w:hAnsi="Times New Roman" w:cs="Times New Roman"/>
                <w:color w:val="FF0000"/>
              </w:rPr>
            </w:pPr>
            <w:r>
              <w:rPr>
                <w:rFonts w:ascii="Times New Roman" w:hAnsi="Times New Roman" w:cs="Times New Roman"/>
                <w:noProof/>
                <w:color w:val="FF0000"/>
              </w:rPr>
              <w:drawing>
                <wp:anchor distT="0" distB="0" distL="114300" distR="114300" simplePos="0" relativeHeight="251660288" behindDoc="0" locked="0" layoutInCell="1" allowOverlap="1" wp14:anchorId="5EFC3BFB" wp14:editId="0D95F683">
                  <wp:simplePos x="0" y="0"/>
                  <wp:positionH relativeFrom="column">
                    <wp:posOffset>499745</wp:posOffset>
                  </wp:positionH>
                  <wp:positionV relativeFrom="paragraph">
                    <wp:posOffset>0</wp:posOffset>
                  </wp:positionV>
                  <wp:extent cx="4578350" cy="3265805"/>
                  <wp:effectExtent l="0" t="0" r="0" b="0"/>
                  <wp:wrapSquare wrapText="bothSides"/>
                  <wp:docPr id="164365646" name="Picture 16436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8350" cy="3265805"/>
                          </a:xfrm>
                          <a:prstGeom prst="rect">
                            <a:avLst/>
                          </a:prstGeom>
                          <a:noFill/>
                        </pic:spPr>
                      </pic:pic>
                    </a:graphicData>
                  </a:graphic>
                  <wp14:sizeRelH relativeFrom="page">
                    <wp14:pctWidth>0</wp14:pctWidth>
                  </wp14:sizeRelH>
                  <wp14:sizeRelV relativeFrom="page">
                    <wp14:pctHeight>0</wp14:pctHeight>
                  </wp14:sizeRelV>
                </wp:anchor>
              </w:drawing>
            </w:r>
          </w:p>
        </w:tc>
      </w:tr>
      <w:tr w:rsidR="00033564" w14:paraId="420DF29B" w14:textId="77777777" w:rsidTr="00A74445">
        <w:tc>
          <w:tcPr>
            <w:tcW w:w="9016" w:type="dxa"/>
          </w:tcPr>
          <w:p w14:paraId="00185F55" w14:textId="1BEEEB6D" w:rsidR="00033564" w:rsidRDefault="00033564" w:rsidP="00A74445">
            <w:pPr>
              <w:jc w:val="both"/>
              <w:rPr>
                <w:rFonts w:ascii="Times New Roman" w:hAnsi="Times New Roman" w:cs="Times New Roman"/>
                <w:color w:val="FF0000"/>
              </w:rPr>
            </w:pPr>
            <w:r w:rsidRPr="00F860A1">
              <w:rPr>
                <w:rFonts w:ascii="Times New Roman" w:hAnsi="Times New Roman" w:cs="Times New Roman"/>
                <w:b/>
                <w:bCs/>
                <w:color w:val="000000" w:themeColor="text1"/>
                <w:sz w:val="18"/>
                <w:szCs w:val="18"/>
              </w:rPr>
              <w:t>Figure 1.2.1.2. Structure of RelA bound to the ribosome</w:t>
            </w:r>
            <w:r>
              <w:rPr>
                <w:rFonts w:ascii="Times New Roman" w:hAnsi="Times New Roman" w:cs="Times New Roman"/>
                <w:b/>
                <w:bCs/>
                <w:color w:val="000000" w:themeColor="text1"/>
                <w:sz w:val="18"/>
                <w:szCs w:val="18"/>
              </w:rPr>
              <w:t xml:space="preserve"> </w:t>
            </w:r>
            <w:r>
              <w:rPr>
                <w:rFonts w:ascii="Times New Roman" w:hAnsi="Times New Roman" w:cs="Times New Roman"/>
                <w:b/>
                <w:bCs/>
                <w:color w:val="000000" w:themeColor="text1"/>
                <w:sz w:val="18"/>
                <w:szCs w:val="18"/>
              </w:rPr>
              <w:fldChar w:fldCharType="begin"/>
            </w:r>
            <w:r>
              <w:rPr>
                <w:rFonts w:ascii="Times New Roman" w:hAnsi="Times New Roman" w:cs="Times New Roman"/>
                <w:b/>
                <w:bCs/>
                <w:color w:val="000000" w:themeColor="text1"/>
                <w:sz w:val="18"/>
                <w:szCs w:val="18"/>
              </w:rPr>
              <w:instrText xml:space="preserve"> ADDIN EN.CITE &lt;EndNote&gt;&lt;Cite&gt;&lt;Author&gt;Irving&lt;/Author&gt;&lt;Year&gt;2021&lt;/Year&gt;&lt;IDText&gt;The stringent response and physiological roles of (pp)pGpp in bacteria&lt;/IDText&gt;&lt;DisplayText&gt;(Irving, Choudhury and Corrigan, 2021)&lt;/DisplayText&gt;&lt;record&gt;&lt;dates&gt;&lt;pub-dates&gt;&lt;date&gt;Apr&lt;/date&gt;&lt;/pub-dates&gt;&lt;year&gt;2021&lt;/year&gt;&lt;/dates&gt;&lt;urls&gt;&lt;related-urls&gt;&lt;url&gt;&amp;lt;Go to ISI&amp;gt;://WOS:000585814900001&lt;/url&gt;&lt;/related-urls&gt;&lt;/urls&gt;&lt;isbn&gt;1740-1526&lt;/isbn&gt;&lt;titles&gt;&lt;title&gt;The stringent response and physiological roles of (pp)pGpp in bacteria&lt;/title&gt;&lt;secondary-title&gt;Nature Reviews Microbiology&lt;/secondary-title&gt;&lt;/titles&gt;&lt;pages&gt;256-271&lt;/pages&gt;&lt;number&gt;4&lt;/number&gt;&lt;contributors&gt;&lt;authors&gt;&lt;author&gt;Irving, Sophie E.&lt;/author&gt;&lt;author&gt;Choudhury, Naznin R.&lt;/author&gt;&lt;author&gt;Corrigan, Rebecca M.&lt;/author&gt;&lt;/authors&gt;&lt;/contributors&gt;&lt;added-date format="utc"&gt;1663624283&lt;/added-date&gt;&lt;ref-type name="Journal Article"&gt;17&lt;/ref-type&gt;&lt;rec-number&gt;145&lt;/rec-number&gt;&lt;last-updated-date format="utc"&gt;1678058042&lt;/last-updated-date&gt;&lt;accession-num&gt;WOS:000585814900001&lt;/accession-num&gt;&lt;electronic-resource-num&gt;10.1038/s41579-020-00470-y&lt;/electronic-resource-num&gt;&lt;volume&gt;19&lt;/volume&gt;&lt;/record&gt;&lt;/Cite&gt;&lt;/EndNote&gt;</w:instrText>
            </w:r>
            <w:r>
              <w:rPr>
                <w:rFonts w:ascii="Times New Roman" w:hAnsi="Times New Roman" w:cs="Times New Roman"/>
                <w:b/>
                <w:bCs/>
                <w:color w:val="000000" w:themeColor="text1"/>
                <w:sz w:val="18"/>
                <w:szCs w:val="18"/>
              </w:rPr>
              <w:fldChar w:fldCharType="separate"/>
            </w:r>
            <w:r>
              <w:rPr>
                <w:rFonts w:ascii="Times New Roman" w:hAnsi="Times New Roman" w:cs="Times New Roman"/>
                <w:b/>
                <w:bCs/>
                <w:noProof/>
                <w:color w:val="000000" w:themeColor="text1"/>
                <w:sz w:val="18"/>
                <w:szCs w:val="18"/>
              </w:rPr>
              <w:t>(Irving, Choudhury and Corrigan, 2021)</w:t>
            </w:r>
            <w:r>
              <w:rPr>
                <w:rFonts w:ascii="Times New Roman" w:hAnsi="Times New Roman" w:cs="Times New Roman"/>
                <w:b/>
                <w:bCs/>
                <w:color w:val="000000" w:themeColor="text1"/>
                <w:sz w:val="18"/>
                <w:szCs w:val="18"/>
              </w:rPr>
              <w:fldChar w:fldCharType="end"/>
            </w:r>
            <w:r>
              <w:rPr>
                <w:rFonts w:ascii="Times New Roman" w:hAnsi="Times New Roman" w:cs="Times New Roman"/>
                <w:color w:val="000000" w:themeColor="text1"/>
                <w:sz w:val="18"/>
                <w:szCs w:val="18"/>
              </w:rPr>
              <w:t>.</w:t>
            </w:r>
            <w:r w:rsidRPr="00F860A1">
              <w:rPr>
                <w:rFonts w:ascii="Times New Roman" w:hAnsi="Times New Roman" w:cs="Times New Roman"/>
                <w:b/>
                <w:bCs/>
                <w:color w:val="000000" w:themeColor="text1"/>
                <w:sz w:val="18"/>
                <w:szCs w:val="18"/>
              </w:rPr>
              <w:t xml:space="preserve"> </w:t>
            </w:r>
            <w:r w:rsidRPr="00F860A1">
              <w:rPr>
                <w:rFonts w:ascii="Times New Roman" w:hAnsi="Times New Roman" w:cs="Times New Roman"/>
                <w:color w:val="000000" w:themeColor="text1"/>
                <w:sz w:val="18"/>
                <w:szCs w:val="18"/>
              </w:rPr>
              <w:t>RelA</w:t>
            </w:r>
            <w:r w:rsidRPr="00F860A1">
              <w:rPr>
                <w:rFonts w:ascii="Times New Roman" w:hAnsi="Times New Roman" w:cs="Times New Roman"/>
                <w:b/>
                <w:bCs/>
                <w:color w:val="000000" w:themeColor="text1"/>
                <w:sz w:val="18"/>
                <w:szCs w:val="18"/>
              </w:rPr>
              <w:t xml:space="preserve"> </w:t>
            </w:r>
            <w:r w:rsidRPr="00F860A1">
              <w:rPr>
                <w:rFonts w:ascii="Times New Roman" w:hAnsi="Times New Roman" w:cs="Times New Roman"/>
                <w:color w:val="000000" w:themeColor="text1"/>
                <w:sz w:val="18"/>
                <w:szCs w:val="18"/>
                <w:lang w:val="en-US"/>
              </w:rPr>
              <w:t xml:space="preserve">from </w:t>
            </w:r>
            <w:r w:rsidRPr="00F860A1">
              <w:rPr>
                <w:rFonts w:ascii="Times New Roman" w:hAnsi="Times New Roman" w:cs="Times New Roman"/>
                <w:i/>
                <w:iCs/>
                <w:color w:val="000000" w:themeColor="text1"/>
                <w:sz w:val="18"/>
                <w:szCs w:val="18"/>
                <w:lang w:val="en-US"/>
              </w:rPr>
              <w:t xml:space="preserve">E. coli </w:t>
            </w:r>
            <w:r w:rsidRPr="00F860A1">
              <w:rPr>
                <w:rFonts w:ascii="Times New Roman" w:hAnsi="Times New Roman" w:cs="Times New Roman"/>
                <w:color w:val="000000" w:themeColor="text1"/>
                <w:sz w:val="18"/>
                <w:szCs w:val="18"/>
                <w:lang w:val="en-US"/>
              </w:rPr>
              <w:t>(orange) bound to the ribosome (Protein Data Bank ID 5L3P). The A-site/RelA-bound (A/R)-tRNA is an uncharged tRNA that, when associated with the A site (</w:t>
            </w:r>
            <w:r w:rsidR="00ED22AC">
              <w:rPr>
                <w:rFonts w:ascii="Times New Roman" w:hAnsi="Times New Roman" w:cs="Times New Roman"/>
                <w:color w:val="000000" w:themeColor="text1"/>
                <w:sz w:val="18"/>
                <w:szCs w:val="18"/>
                <w:lang w:val="en-US"/>
              </w:rPr>
              <w:t xml:space="preserve">dark </w:t>
            </w:r>
            <w:r w:rsidRPr="00F860A1">
              <w:rPr>
                <w:rFonts w:ascii="Times New Roman" w:hAnsi="Times New Roman" w:cs="Times New Roman"/>
                <w:color w:val="000000" w:themeColor="text1"/>
                <w:sz w:val="18"/>
                <w:szCs w:val="18"/>
                <w:lang w:val="en-US"/>
              </w:rPr>
              <w:t xml:space="preserve">green) of the ribosome (50S subunit (blue) and 30S subunit (light green)) will stimulate (p)ppGpp synthesis by Rel/RelA. The peptidyl-tRNA is shown in the P site of the ribosome (grey). The motifs within the RelA CTD interact with the A site while the NTD extends outward of the ribosome. </w:t>
            </w:r>
          </w:p>
        </w:tc>
      </w:tr>
    </w:tbl>
    <w:p w14:paraId="2C20FD07" w14:textId="77777777" w:rsidR="00033564" w:rsidRPr="00EC74EE" w:rsidRDefault="00033564" w:rsidP="00033564">
      <w:pPr>
        <w:spacing w:line="360" w:lineRule="auto"/>
        <w:jc w:val="both"/>
        <w:rPr>
          <w:rFonts w:ascii="Times New Roman" w:hAnsi="Times New Roman" w:cs="Times New Roman"/>
          <w:color w:val="FF0000"/>
        </w:rPr>
      </w:pPr>
    </w:p>
    <w:p w14:paraId="0897B90F" w14:textId="77777777" w:rsidR="00033564" w:rsidRPr="00A669B7" w:rsidRDefault="00033564" w:rsidP="00033564">
      <w:pPr>
        <w:pStyle w:val="Heading4"/>
      </w:pPr>
      <w:r>
        <w:t>1.2.1.3. Short RSH - SAS</w:t>
      </w:r>
    </w:p>
    <w:p w14:paraId="3FA31AD0" w14:textId="77777777" w:rsidR="00033564" w:rsidRDefault="00033564" w:rsidP="00033564">
      <w:pPr>
        <w:spacing w:line="360" w:lineRule="auto"/>
        <w:jc w:val="both"/>
        <w:rPr>
          <w:rFonts w:ascii="Times New Roman" w:hAnsi="Times New Roman" w:cs="Times New Roman"/>
        </w:rPr>
      </w:pPr>
    </w:p>
    <w:p w14:paraId="6F487766" w14:textId="794AEF70" w:rsidR="00033564" w:rsidRPr="000E39A1" w:rsidRDefault="00033564" w:rsidP="00033564">
      <w:pPr>
        <w:spacing w:line="360" w:lineRule="auto"/>
        <w:jc w:val="both"/>
        <w:rPr>
          <w:rFonts w:ascii="Times New Roman" w:hAnsi="Times New Roman" w:cs="Times New Roman"/>
        </w:rPr>
      </w:pPr>
      <w:r w:rsidRPr="00FD391E">
        <w:rPr>
          <w:rFonts w:ascii="Times New Roman" w:hAnsi="Times New Roman" w:cs="Times New Roman"/>
        </w:rPr>
        <w:t xml:space="preserve">The SAS enzymes occur mainly within the Firmicutes </w:t>
      </w:r>
      <w:r>
        <w:rPr>
          <w:rFonts w:ascii="Times New Roman" w:hAnsi="Times New Roman" w:cs="Times New Roman"/>
        </w:rPr>
        <w:t>and the first two identified,</w:t>
      </w:r>
      <w:r w:rsidRPr="00810A5F">
        <w:rPr>
          <w:rFonts w:ascii="Times New Roman" w:hAnsi="Times New Roman" w:cs="Times New Roman"/>
        </w:rPr>
        <w:t xml:space="preserve"> </w:t>
      </w:r>
      <w:r>
        <w:rPr>
          <w:rFonts w:ascii="Times New Roman" w:hAnsi="Times New Roman" w:cs="Times New Roman"/>
        </w:rPr>
        <w:t xml:space="preserve">RelP and RelQ, were isolated from </w:t>
      </w:r>
      <w:r>
        <w:rPr>
          <w:rFonts w:ascii="Times New Roman" w:hAnsi="Times New Roman" w:cs="Times New Roman"/>
          <w:i/>
          <w:iCs/>
        </w:rPr>
        <w:t xml:space="preserve">Streptococcus mutans </w:t>
      </w:r>
      <w:r w:rsidRPr="00810A5F">
        <w:rPr>
          <w:rFonts w:ascii="Times New Roman" w:hAnsi="Times New Roman" w:cs="Times New Roman"/>
          <w:b/>
          <w:bCs/>
        </w:rPr>
        <w:fldChar w:fldCharType="begin"/>
      </w:r>
      <w:r w:rsidRPr="00810A5F">
        <w:rPr>
          <w:rFonts w:ascii="Times New Roman" w:hAnsi="Times New Roman" w:cs="Times New Roman"/>
          <w:b/>
          <w:bCs/>
        </w:rPr>
        <w:instrText xml:space="preserve"> ADDIN EN.CITE &lt;EndNote&gt;&lt;Cite&gt;&lt;Author&gt;Lemos&lt;/Author&gt;&lt;Year&gt;2007&lt;/Year&gt;&lt;IDText&gt;Three gene products govern (p)ppGpp production by Streptococcus mutans&lt;/IDText&gt;&lt;DisplayText&gt;(Lemos&lt;style face="italic"&gt; et al.&lt;/style&gt;, 2007)&lt;/DisplayText&gt;&lt;record&gt;&lt;dates&gt;&lt;pub-dates&gt;&lt;date&gt;Sep&lt;/date&gt;&lt;/pub-dates&gt;&lt;year&gt;2007&lt;/year&gt;&lt;/dates&gt;&lt;urls&gt;&lt;related-urls&gt;&lt;url&gt;&amp;lt;Go to ISI&amp;gt;://WOS:000249425600018&lt;/url&gt;&lt;/related-urls&gt;&lt;/urls&gt;&lt;isbn&gt;0950-382X&lt;/isbn&gt;&lt;work-type&gt;Article&lt;/work-type&gt;&lt;titles&gt;&lt;title&gt;Three gene products govern (p)ppGpp production by Streptococcus mutans&lt;/title&gt;&lt;secondary-title&gt;Molecular Microbiology&lt;/secondary-title&gt;&lt;/titles&gt;&lt;pages&gt;1568-1581&lt;/pages&gt;&lt;number&gt;6&lt;/number&gt;&lt;contributors&gt;&lt;authors&gt;&lt;author&gt;Lemos, Jose A.&lt;/author&gt;&lt;author&gt;Lin, Vanessa K.&lt;/author&gt;&lt;author&gt;Nascimento, Marcelle M.&lt;/author&gt;&lt;author&gt;Abranches, Jacqueline&lt;/author&gt;&lt;author&gt;Burne, Robert A.&lt;/author&gt;&lt;/authors&gt;&lt;/contributors&gt;&lt;added-date format="utc"&gt;1677883666&lt;/added-date&gt;&lt;ref-type name="Journal Article"&gt;17&lt;/ref-type&gt;&lt;rec-number&gt;688&lt;/rec-number&gt;&lt;last-updated-date format="utc"&gt;1677883666&lt;/last-updated-date&gt;&lt;accession-num&gt;WOS:000249425600018&lt;/accession-num&gt;&lt;electronic-resource-num&gt;10.1111/j.1365-2958.2007.05897.x&lt;/electronic-resource-num&gt;&lt;volume&gt;65&lt;/volume&gt;&lt;/record&gt;&lt;/Cite&gt;&lt;/EndNote&gt;</w:instrText>
      </w:r>
      <w:r w:rsidRPr="00810A5F">
        <w:rPr>
          <w:rFonts w:ascii="Times New Roman" w:hAnsi="Times New Roman" w:cs="Times New Roman"/>
          <w:b/>
          <w:bCs/>
        </w:rPr>
        <w:fldChar w:fldCharType="separate"/>
      </w:r>
      <w:r w:rsidRPr="00810A5F">
        <w:rPr>
          <w:rFonts w:ascii="Times New Roman" w:hAnsi="Times New Roman" w:cs="Times New Roman"/>
          <w:b/>
          <w:bCs/>
          <w:noProof/>
        </w:rPr>
        <w:t>(Lemos et al., 2007)</w:t>
      </w:r>
      <w:r w:rsidRPr="00810A5F">
        <w:rPr>
          <w:rFonts w:ascii="Times New Roman" w:hAnsi="Times New Roman" w:cs="Times New Roman"/>
          <w:b/>
          <w:bCs/>
        </w:rPr>
        <w:fldChar w:fldCharType="end"/>
      </w:r>
      <w:r>
        <w:rPr>
          <w:rFonts w:ascii="Times New Roman" w:hAnsi="Times New Roman" w:cs="Times New Roman"/>
        </w:rPr>
        <w:t xml:space="preserve">. Since then, RelP and RelQ have been identified in other organisms </w:t>
      </w:r>
      <w:r w:rsidRPr="00FD391E">
        <w:rPr>
          <w:rFonts w:ascii="Times New Roman" w:hAnsi="Times New Roman" w:cs="Times New Roman"/>
        </w:rPr>
        <w:t xml:space="preserve">such as </w:t>
      </w:r>
      <w:r w:rsidRPr="00FD391E">
        <w:rPr>
          <w:rFonts w:ascii="Times New Roman" w:hAnsi="Times New Roman" w:cs="Times New Roman"/>
          <w:i/>
          <w:iCs/>
        </w:rPr>
        <w:t>S. aureus</w:t>
      </w:r>
      <w:r>
        <w:rPr>
          <w:rFonts w:ascii="Times New Roman" w:hAnsi="Times New Roman" w:cs="Times New Roman"/>
          <w:i/>
          <w:iCs/>
        </w:rPr>
        <w:t xml:space="preserve"> </w:t>
      </w:r>
      <w:r>
        <w:rPr>
          <w:rFonts w:ascii="Times New Roman" w:hAnsi="Times New Roman" w:cs="Times New Roman"/>
        </w:rPr>
        <w:t xml:space="preserve">and </w:t>
      </w:r>
      <w:r>
        <w:rPr>
          <w:rFonts w:ascii="Times New Roman" w:hAnsi="Times New Roman" w:cs="Times New Roman"/>
          <w:i/>
          <w:iCs/>
        </w:rPr>
        <w:t>B. subtilis</w:t>
      </w:r>
      <w:r>
        <w:rPr>
          <w:rFonts w:ascii="Times New Roman" w:hAnsi="Times New Roman" w:cs="Times New Roman"/>
        </w:rPr>
        <w:t xml:space="preserve"> </w:t>
      </w:r>
      <w:r w:rsidRPr="00A969F3">
        <w:rPr>
          <w:rFonts w:ascii="Times New Roman" w:hAnsi="Times New Roman" w:cs="Times New Roman"/>
          <w:b/>
          <w:bCs/>
        </w:rPr>
        <w:fldChar w:fldCharType="begin"/>
      </w:r>
      <w:r w:rsidRPr="00A969F3">
        <w:rPr>
          <w:rFonts w:ascii="Times New Roman" w:hAnsi="Times New Roman" w:cs="Times New Roman"/>
          <w:b/>
          <w:bCs/>
        </w:rPr>
        <w:instrText xml:space="preserve"> ADDIN EN.CITE &lt;EndNote&gt;&lt;Cite&gt;&lt;Author&gt;Steinchen&lt;/Author&gt;&lt;Year&gt;2016&lt;/Year&gt;&lt;IDText&gt;The magic dance of the alarmones (p)ppGpp&lt;/IDText&gt;&lt;DisplayText&gt;(Steinchen and Bange, 2016)&lt;/DisplayText&gt;&lt;record&gt;&lt;dates&gt;&lt;pub-dates&gt;&lt;date&gt;Aug&lt;/date&gt;&lt;/pub-dates&gt;&lt;year&gt;2016&lt;/year&gt;&lt;/dates&gt;&lt;urls&gt;&lt;related-urls&gt;&lt;url&gt;&amp;lt;Go to ISI&amp;gt;://WOS:000382541900001&lt;/url&gt;&lt;/related-urls&gt;&lt;/urls&gt;&lt;isbn&gt;0950-382X&lt;/isbn&gt;&lt;titles&gt;&lt;title&gt;The magic dance of the alarmones (p)ppGpp&lt;/title&gt;&lt;secondary-title&gt;Molecular Microbiology&lt;/secondary-title&gt;&lt;/titles&gt;&lt;pages&gt;531-544&lt;/pages&gt;&lt;number&gt;4&lt;/number&gt;&lt;contributors&gt;&lt;authors&gt;&lt;author&gt;Steinchen, Wieland&lt;/author&gt;&lt;author&gt;Bange, Gert&lt;/author&gt;&lt;/authors&gt;&lt;/contributors&gt;&lt;added-date format="utc"&gt;1665355225&lt;/added-date&gt;&lt;ref-type name="Journal Article"&gt;17&lt;/ref-type&gt;&lt;rec-number&gt;171&lt;/rec-number&gt;&lt;last-updated-date format="utc"&gt;1665355282&lt;/last-updated-date&gt;&lt;accession-num&gt;WOS:000382541900001&lt;/accession-num&gt;&lt;electronic-resource-num&gt;10.1111/mmi.13412&lt;/electronic-resource-num&gt;&lt;volume&gt;101&lt;/volume&gt;&lt;/record&gt;&lt;/Cite&gt;&lt;/EndNote&gt;</w:instrText>
      </w:r>
      <w:r w:rsidRPr="00A969F3">
        <w:rPr>
          <w:rFonts w:ascii="Times New Roman" w:hAnsi="Times New Roman" w:cs="Times New Roman"/>
          <w:b/>
          <w:bCs/>
        </w:rPr>
        <w:fldChar w:fldCharType="separate"/>
      </w:r>
      <w:r w:rsidRPr="00A969F3">
        <w:rPr>
          <w:rFonts w:ascii="Times New Roman" w:hAnsi="Times New Roman" w:cs="Times New Roman"/>
          <w:b/>
          <w:bCs/>
          <w:noProof/>
        </w:rPr>
        <w:t>(Steinchen and Bange, 2016)</w:t>
      </w:r>
      <w:r w:rsidRPr="00A969F3">
        <w:rPr>
          <w:rFonts w:ascii="Times New Roman" w:hAnsi="Times New Roman" w:cs="Times New Roman"/>
          <w:b/>
          <w:bCs/>
        </w:rPr>
        <w:fldChar w:fldCharType="end"/>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as well as RelV from </w:t>
      </w:r>
      <w:r>
        <w:rPr>
          <w:rFonts w:ascii="Times New Roman" w:hAnsi="Times New Roman" w:cs="Times New Roman"/>
          <w:i/>
          <w:iCs/>
        </w:rPr>
        <w:t xml:space="preserve">Vibrio cholerae </w:t>
      </w:r>
      <w:r w:rsidRPr="00810A5F">
        <w:rPr>
          <w:rFonts w:ascii="Times New Roman" w:hAnsi="Times New Roman" w:cs="Times New Roman"/>
          <w:b/>
          <w:bCs/>
        </w:rPr>
        <w:fldChar w:fldCharType="begin"/>
      </w:r>
      <w:r w:rsidRPr="00810A5F">
        <w:rPr>
          <w:rFonts w:ascii="Times New Roman" w:hAnsi="Times New Roman" w:cs="Times New Roman"/>
          <w:b/>
          <w:bCs/>
        </w:rPr>
        <w:instrText xml:space="preserve"> ADDIN EN.CITE &lt;EndNote&gt;&lt;Cite&gt;&lt;Author&gt;Das&lt;/Author&gt;&lt;Year&gt;2009&lt;/Year&gt;&lt;IDText&gt;Stringent response in Vibrio cholerae: genetic analysis of spoT gene function and identification of a novel (p)ppGpp synthetase gene&lt;/IDText&gt;&lt;DisplayText&gt;(Das&lt;style face="italic"&gt; et al.&lt;/style&gt;, 2009)&lt;/DisplayText&gt;&lt;record&gt;&lt;dates&gt;&lt;pub-dates&gt;&lt;date&gt;Apr&lt;/date&gt;&lt;/pub-dates&gt;&lt;year&gt;2009&lt;/year&gt;&lt;/dates&gt;&lt;urls&gt;&lt;related-urls&gt;&lt;url&gt;&amp;lt;Go to ISI&amp;gt;://WOS:000265014500011&lt;/url&gt;&lt;/related-urls&gt;&lt;/urls&gt;&lt;isbn&gt;0950-382X&lt;/isbn&gt;&lt;work-type&gt;Article&lt;/work-type&gt;&lt;titles&gt;&lt;title&gt;Stringent response in Vibrio cholerae: genetic analysis of spoT gene function and identification of a novel (p)ppGpp synthetase gene&lt;/title&gt;&lt;secondary-title&gt;Molecular Microbiology&lt;/secondary-title&gt;&lt;/titles&gt;&lt;pages&gt;380-398&lt;/pages&gt;&lt;number&gt;2&lt;/number&gt;&lt;contributors&gt;&lt;authors&gt;&lt;author&gt;Das, Bhabatosh&lt;/author&gt;&lt;author&gt;Pal, Ritesh Ranjan&lt;/author&gt;&lt;author&gt;Bag, Satyabrata&lt;/author&gt;&lt;author&gt;Bhadra, Rupak K.&lt;/author&gt;&lt;/authors&gt;&lt;/contributors&gt;&lt;added-date format="utc"&gt;1677883970&lt;/added-date&gt;&lt;ref-type name="Journal Article"&gt;17&lt;/ref-type&gt;&lt;rec-number&gt;689&lt;/rec-number&gt;&lt;last-updated-date format="utc"&gt;1677883970&lt;/last-updated-date&gt;&lt;accession-num&gt;WOS:000265014500011&lt;/accession-num&gt;&lt;electronic-resource-num&gt;10.1111/j.1365-2958.2009.06653.x&lt;/electronic-resource-num&gt;&lt;volume&gt;72&lt;/volume&gt;&lt;/record&gt;&lt;/Cite&gt;&lt;/EndNote&gt;</w:instrText>
      </w:r>
      <w:r w:rsidRPr="00810A5F">
        <w:rPr>
          <w:rFonts w:ascii="Times New Roman" w:hAnsi="Times New Roman" w:cs="Times New Roman"/>
          <w:b/>
          <w:bCs/>
        </w:rPr>
        <w:fldChar w:fldCharType="separate"/>
      </w:r>
      <w:r w:rsidRPr="00810A5F">
        <w:rPr>
          <w:rFonts w:ascii="Times New Roman" w:hAnsi="Times New Roman" w:cs="Times New Roman"/>
          <w:b/>
          <w:bCs/>
          <w:noProof/>
        </w:rPr>
        <w:t>(Das et al., 2009)</w:t>
      </w:r>
      <w:r w:rsidRPr="00810A5F">
        <w:rPr>
          <w:rFonts w:ascii="Times New Roman" w:hAnsi="Times New Roman" w:cs="Times New Roman"/>
          <w:b/>
          <w:bCs/>
        </w:rPr>
        <w:fldChar w:fldCharType="end"/>
      </w:r>
      <w:r>
        <w:rPr>
          <w:rFonts w:ascii="Times New Roman" w:hAnsi="Times New Roman" w:cs="Times New Roman"/>
        </w:rPr>
        <w:t xml:space="preserve"> and RelS and RelZ that are present in the Actinobacteria </w:t>
      </w:r>
      <w:r w:rsidRPr="00954ABF">
        <w:rPr>
          <w:rFonts w:ascii="Times New Roman" w:hAnsi="Times New Roman" w:cs="Times New Roman"/>
          <w:b/>
          <w:bCs/>
        </w:rPr>
        <w:fldChar w:fldCharType="begin"/>
      </w:r>
      <w:r w:rsidRPr="00954ABF">
        <w:rPr>
          <w:rFonts w:ascii="Times New Roman" w:hAnsi="Times New Roman" w:cs="Times New Roman"/>
          <w:b/>
          <w:bCs/>
        </w:rPr>
        <w:instrText xml:space="preserve"> ADDIN EN.CITE &lt;EndNote&gt;&lt;Cite&gt;&lt;Author&gt;Ruwe&lt;/Author&gt;&lt;Year&gt;2017&lt;/Year&gt;&lt;IDText&gt;Identification and Functional Characterization of Small Alarmone Synthetases in Corynebacterium glutamicum&lt;/IDText&gt;&lt;DisplayText&gt;(Ruwe, Kalinowski and Persicke, 2017)&lt;/DisplayText&gt;&lt;record&gt;&lt;dates&gt;&lt;pub-dates&gt;&lt;date&gt;Aug 21&lt;/date&gt;&lt;/pub-dates&gt;&lt;year&gt;2017&lt;/year&gt;&lt;/dates&gt;&lt;urls&gt;&lt;related-urls&gt;&lt;url&gt;&amp;lt;Go to ISI&amp;gt;://WOS:000408027300001&lt;/url&gt;&lt;/related-urls&gt;&lt;/urls&gt;&lt;isbn&gt;1664-302X&lt;/isbn&gt;&lt;work-type&gt;Article&lt;/work-type&gt;&lt;titles&gt;&lt;title&gt;Identification and Functional Characterization of Small Alarmone Synthetases in Corynebacterium glutamicum&lt;/title&gt;&lt;secondary-title&gt;Frontiers in Microbiology&lt;/secondary-title&gt;&lt;/titles&gt;&lt;contributors&gt;&lt;authors&gt;&lt;author&gt;Ruwe, Matthias&lt;/author&gt;&lt;author&gt;Kalinowski, Joern&lt;/author&gt;&lt;author&gt;Persicke, Marcus&lt;/author&gt;&lt;/authors&gt;&lt;/contributors&gt;&lt;custom7&gt;1601&lt;/custom7&gt;&lt;added-date format="utc"&gt;1677885272&lt;/added-date&gt;&lt;ref-type name="Journal Article"&gt;17&lt;/ref-type&gt;&lt;rec-number&gt;690&lt;/rec-number&gt;&lt;last-updated-date format="utc"&gt;1677885272&lt;/last-updated-date&gt;&lt;accession-num&gt;WOS:000408027300001&lt;/accession-num&gt;&lt;electronic-resource-num&gt;10.3389/fmicb.2017.01601&lt;/electronic-resource-num&gt;&lt;volume&gt;8&lt;/volume&gt;&lt;/record&gt;&lt;/Cite&gt;&lt;/EndNote&gt;</w:instrText>
      </w:r>
      <w:r w:rsidRPr="00954ABF">
        <w:rPr>
          <w:rFonts w:ascii="Times New Roman" w:hAnsi="Times New Roman" w:cs="Times New Roman"/>
          <w:b/>
          <w:bCs/>
        </w:rPr>
        <w:fldChar w:fldCharType="separate"/>
      </w:r>
      <w:r w:rsidRPr="00954ABF">
        <w:rPr>
          <w:rFonts w:ascii="Times New Roman" w:hAnsi="Times New Roman" w:cs="Times New Roman"/>
          <w:b/>
          <w:bCs/>
          <w:noProof/>
        </w:rPr>
        <w:t>(Ruwe, Kalinowski and Persicke, 2017)</w:t>
      </w:r>
      <w:r w:rsidRPr="00954ABF">
        <w:rPr>
          <w:rFonts w:ascii="Times New Roman" w:hAnsi="Times New Roman" w:cs="Times New Roman"/>
          <w:b/>
          <w:bCs/>
        </w:rPr>
        <w:fldChar w:fldCharType="end"/>
      </w:r>
      <w:r>
        <w:rPr>
          <w:rFonts w:ascii="Times New Roman" w:hAnsi="Times New Roman" w:cs="Times New Roman"/>
        </w:rPr>
        <w:t xml:space="preserve">. Unlike the long RSH proteins, SAS enzymes are comprised of a single SYNTH domain and lack a CTD </w:t>
      </w:r>
      <w:r>
        <w:rPr>
          <w:rFonts w:ascii="Times New Roman" w:hAnsi="Times New Roman" w:cs="Times New Roman"/>
          <w:b/>
          <w:bCs/>
        </w:rPr>
        <w:t>(Fig. 1.2)</w:t>
      </w:r>
      <w:r>
        <w:rPr>
          <w:rFonts w:ascii="Times New Roman" w:hAnsi="Times New Roman" w:cs="Times New Roman"/>
        </w:rPr>
        <w:t xml:space="preserve">. Interestingly, RelZ from </w:t>
      </w:r>
      <w:r>
        <w:rPr>
          <w:rFonts w:ascii="Times New Roman" w:hAnsi="Times New Roman" w:cs="Times New Roman"/>
          <w:i/>
          <w:iCs/>
        </w:rPr>
        <w:t xml:space="preserve">Corynebacterium glutamicum </w:t>
      </w:r>
      <w:r>
        <w:rPr>
          <w:rFonts w:ascii="Times New Roman" w:hAnsi="Times New Roman" w:cs="Times New Roman"/>
        </w:rPr>
        <w:t xml:space="preserve">and </w:t>
      </w:r>
      <w:r>
        <w:rPr>
          <w:rFonts w:ascii="Times New Roman" w:hAnsi="Times New Roman" w:cs="Times New Roman"/>
          <w:i/>
          <w:iCs/>
        </w:rPr>
        <w:t xml:space="preserve">Mycobacterium smegmatis </w:t>
      </w:r>
      <w:r>
        <w:rPr>
          <w:rFonts w:ascii="Times New Roman" w:hAnsi="Times New Roman" w:cs="Times New Roman"/>
        </w:rPr>
        <w:t xml:space="preserve">is the only SAS containing an additional domain, the RNase HII domain involved in resolving R loops, thus conferring the ability to reverse DNA damage </w:t>
      </w:r>
      <w:r w:rsidRPr="002F41C1">
        <w:rPr>
          <w:rFonts w:ascii="Times New Roman" w:hAnsi="Times New Roman" w:cs="Times New Roman"/>
          <w:b/>
          <w:bCs/>
        </w:rPr>
        <w:fldChar w:fldCharType="begin">
          <w:fldData xml:space="preserve">PEVuZE5vdGU+PENpdGU+PEF1dGhvcj5NdXJkZXNod2FyPC9BdXRob3I+PFllYXI+MjAxMjwvWWVh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</w:fldData>
        </w:fldChar>
      </w:r>
      <w:r w:rsidRPr="002F41C1">
        <w:rPr>
          <w:rFonts w:ascii="Times New Roman" w:hAnsi="Times New Roman" w:cs="Times New Roman"/>
          <w:b/>
          <w:bCs/>
        </w:rPr>
        <w:instrText xml:space="preserve"> ADDIN EN.CITE </w:instrText>
      </w:r>
      <w:r w:rsidRPr="002F41C1">
        <w:rPr>
          <w:rFonts w:ascii="Times New Roman" w:hAnsi="Times New Roman" w:cs="Times New Roman"/>
          <w:b/>
          <w:bCs/>
        </w:rPr>
        <w:fldChar w:fldCharType="begin">
          <w:fldData xml:space="preserve">PEVuZE5vdGU+PENpdGU+PEF1dGhvcj5NdXJkZXNod2FyPC9BdXRob3I+PFllYXI+MjAxMjwvWWVh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</w:fldData>
        </w:fldChar>
      </w:r>
      <w:r w:rsidRPr="002F41C1">
        <w:rPr>
          <w:rFonts w:ascii="Times New Roman" w:hAnsi="Times New Roman" w:cs="Times New Roman"/>
          <w:b/>
          <w:bCs/>
        </w:rPr>
        <w:instrText xml:space="preserve"> ADDIN EN.CITE.DATA </w:instrText>
      </w:r>
      <w:r w:rsidRPr="002F41C1">
        <w:rPr>
          <w:rFonts w:ascii="Times New Roman" w:hAnsi="Times New Roman" w:cs="Times New Roman"/>
          <w:b/>
          <w:bCs/>
        </w:rPr>
      </w:r>
      <w:r w:rsidRPr="002F41C1">
        <w:rPr>
          <w:rFonts w:ascii="Times New Roman" w:hAnsi="Times New Roman" w:cs="Times New Roman"/>
          <w:b/>
          <w:bCs/>
        </w:rPr>
        <w:fldChar w:fldCharType="end"/>
      </w:r>
      <w:r w:rsidRPr="002F41C1">
        <w:rPr>
          <w:rFonts w:ascii="Times New Roman" w:hAnsi="Times New Roman" w:cs="Times New Roman"/>
          <w:b/>
          <w:bCs/>
        </w:rPr>
      </w:r>
      <w:r w:rsidRPr="002F41C1">
        <w:rPr>
          <w:rFonts w:ascii="Times New Roman" w:hAnsi="Times New Roman" w:cs="Times New Roman"/>
          <w:b/>
          <w:bCs/>
        </w:rPr>
        <w:fldChar w:fldCharType="separate"/>
      </w:r>
      <w:r w:rsidRPr="002F41C1">
        <w:rPr>
          <w:rFonts w:ascii="Times New Roman" w:hAnsi="Times New Roman" w:cs="Times New Roman"/>
          <w:b/>
          <w:bCs/>
          <w:noProof/>
        </w:rPr>
        <w:t>(Murdeshwar and Chatterji, 2012; Krishnan</w:t>
      </w:r>
      <w:r w:rsidRPr="002F41C1">
        <w:rPr>
          <w:rFonts w:ascii="Times New Roman" w:hAnsi="Times New Roman" w:cs="Times New Roman"/>
          <w:b/>
          <w:bCs/>
          <w:i/>
          <w:noProof/>
        </w:rPr>
        <w:t xml:space="preserve"> et al.</w:t>
      </w:r>
      <w:r w:rsidRPr="002F41C1">
        <w:rPr>
          <w:rFonts w:ascii="Times New Roman" w:hAnsi="Times New Roman" w:cs="Times New Roman"/>
          <w:b/>
          <w:bCs/>
          <w:noProof/>
        </w:rPr>
        <w:t>, 2016)</w:t>
      </w:r>
      <w:r w:rsidRPr="002F41C1">
        <w:rPr>
          <w:rFonts w:ascii="Times New Roman" w:hAnsi="Times New Roman" w:cs="Times New Roman"/>
          <w:b/>
          <w:bCs/>
        </w:rPr>
        <w:fldChar w:fldCharType="end"/>
      </w:r>
      <w:r>
        <w:rPr>
          <w:rFonts w:ascii="Times New Roman" w:hAnsi="Times New Roman" w:cs="Times New Roman"/>
        </w:rPr>
        <w:t xml:space="preserve">. RelP and RelQ share 50% sequence similarity </w:t>
      </w:r>
      <w:r w:rsidRPr="0040318E">
        <w:rPr>
          <w:rFonts w:ascii="Times New Roman" w:hAnsi="Times New Roman" w:cs="Times New Roman"/>
          <w:b/>
          <w:bCs/>
        </w:rPr>
        <w:fldChar w:fldCharType="begin"/>
      </w:r>
      <w:r w:rsidRPr="0040318E">
        <w:rPr>
          <w:rFonts w:ascii="Times New Roman" w:hAnsi="Times New Roman" w:cs="Times New Roman"/>
          <w:b/>
          <w:bCs/>
        </w:rPr>
        <w:instrText xml:space="preserve"> ADDIN EN.CITE &lt;EndNote&gt;&lt;Cite&gt;&lt;Author&gt;Steinchen&lt;/Author&gt;&lt;Year&gt;2018&lt;/Year&gt;&lt;IDText&gt;Structural and mechanistic divergence of the small (p)ppGpp synthetases RelP and RelQ&lt;/IDText&gt;&lt;DisplayText&gt;(Steinchen&lt;style face="italic"&gt; et al.&lt;/style&gt;, 2018)&lt;/DisplayText&gt;&lt;record&gt;&lt;dates&gt;&lt;pub-dates&gt;&lt;date&gt;Feb 1&lt;/date&gt;&lt;/pub-dates&gt;&lt;year&gt;2018&lt;/year&gt;&lt;/dates&gt;&lt;urls&gt;&lt;related-urls&gt;&lt;url&gt;&amp;lt;Go to ISI&amp;gt;://WOS:000423787500170&lt;/url&gt;&lt;/related-urls&gt;&lt;/urls&gt;&lt;isbn&gt;2045-2322&lt;/isbn&gt;&lt;work-type&gt;Article&lt;/work-type&gt;&lt;titles&gt;&lt;title&gt;Structural and mechanistic divergence of the small (p)ppGpp synthetases RelP and RelQ&lt;/title&gt;&lt;secondary-title&gt;Scientific Reports&lt;/secondary-title&gt;&lt;/titles&gt;&lt;contributors&gt;&lt;authors&gt;&lt;author&gt;Steinchen, Wieland&lt;/author&gt;&lt;author&gt;Vogt, Marian S.&lt;/author&gt;&lt;author&gt;Altegoer, Florian&lt;/author&gt;&lt;author&gt;Giammarinaro, Pietro I.&lt;/author&gt;&lt;author&gt;Horvatek, Petra&lt;/author&gt;&lt;author&gt;Wolz, Christiane&lt;/author&gt;&lt;author&gt;Bange, Gert&lt;/author&gt;&lt;/authors&gt;&lt;/contributors&gt;&lt;custom7&gt;2195&lt;/custom7&gt;&lt;added-date format="utc"&gt;1677883203&lt;/added-date&gt;&lt;ref-type name="Journal Article"&gt;17&lt;/ref-type&gt;&lt;rec-number&gt;687&lt;/rec-number&gt;&lt;last-updated-date format="utc"&gt;1677883203&lt;/last-updated-date&gt;&lt;accession-num&gt;WOS:000423787500170&lt;/accession-num&gt;&lt;electronic-resource-num&gt;10.1038/s41598-018-20634-4&lt;/electronic-resource-num&gt;&lt;volume&gt;8&lt;/volume&gt;&lt;/record&gt;&lt;/Cite&gt;&lt;/EndNote&gt;</w:instrText>
      </w:r>
      <w:r w:rsidRPr="0040318E">
        <w:rPr>
          <w:rFonts w:ascii="Times New Roman" w:hAnsi="Times New Roman" w:cs="Times New Roman"/>
          <w:b/>
          <w:bCs/>
        </w:rPr>
        <w:fldChar w:fldCharType="separate"/>
      </w:r>
      <w:r w:rsidRPr="0040318E">
        <w:rPr>
          <w:rFonts w:ascii="Times New Roman" w:hAnsi="Times New Roman" w:cs="Times New Roman"/>
          <w:b/>
          <w:bCs/>
          <w:noProof/>
        </w:rPr>
        <w:t>(Steinchen</w:t>
      </w:r>
      <w:r w:rsidRPr="0040318E">
        <w:rPr>
          <w:rFonts w:ascii="Times New Roman" w:hAnsi="Times New Roman" w:cs="Times New Roman"/>
          <w:b/>
          <w:bCs/>
          <w:i/>
          <w:noProof/>
        </w:rPr>
        <w:t xml:space="preserve"> et al.</w:t>
      </w:r>
      <w:r w:rsidRPr="0040318E">
        <w:rPr>
          <w:rFonts w:ascii="Times New Roman" w:hAnsi="Times New Roman" w:cs="Times New Roman"/>
          <w:b/>
          <w:bCs/>
          <w:noProof/>
        </w:rPr>
        <w:t>, 2018)</w:t>
      </w:r>
      <w:r w:rsidRPr="0040318E">
        <w:rPr>
          <w:rFonts w:ascii="Times New Roman" w:hAnsi="Times New Roman" w:cs="Times New Roman"/>
          <w:b/>
          <w:bCs/>
        </w:rPr>
        <w:fldChar w:fldCharType="end"/>
      </w:r>
      <w:r>
        <w:rPr>
          <w:rFonts w:ascii="Times New Roman" w:hAnsi="Times New Roman" w:cs="Times New Roman"/>
        </w:rPr>
        <w:t xml:space="preserve"> and are transcriptionally regulated as they are unable to sense stress via an accessory domain like Rel/RelA </w:t>
      </w:r>
      <w:r w:rsidRPr="00B20663">
        <w:rPr>
          <w:rFonts w:ascii="Times New Roman" w:hAnsi="Times New Roman" w:cs="Times New Roman"/>
          <w:b/>
          <w:bCs/>
        </w:rPr>
        <w:fldChar w:fldCharType="begin">
          <w:fldData xml:space="preserve">PEVuZE5vdGU+PENpdGU+PEF1dGhvcj5JcnZpbmc8L0F1dGhvcj48WWVhcj4yMDE4PC9ZZWFyPjxJ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PEVuZE5vdGU+PENpdGU+PEF1dGhvcj5JcnZpbmc8L0F1dGhvcj48WWVhcj4yMDE4PC9ZZWFyPjxJ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B20663">
        <w:rPr>
          <w:rFonts w:ascii="Times New Roman" w:hAnsi="Times New Roman" w:cs="Times New Roman"/>
          <w:b/>
          <w:bCs/>
        </w:rPr>
      </w:r>
      <w:r w:rsidRPr="00B20663">
        <w:rPr>
          <w:rFonts w:ascii="Times New Roman" w:hAnsi="Times New Roman" w:cs="Times New Roman"/>
          <w:b/>
          <w:bCs/>
        </w:rPr>
        <w:fldChar w:fldCharType="separate"/>
      </w:r>
      <w:r>
        <w:rPr>
          <w:rFonts w:ascii="Times New Roman" w:hAnsi="Times New Roman" w:cs="Times New Roman"/>
          <w:b/>
          <w:bCs/>
          <w:noProof/>
        </w:rPr>
        <w:t>(Irving and Corrigan, 2018; Irving, Choudhury and Corrigan, 2021)</w:t>
      </w:r>
      <w:r w:rsidRPr="00B20663">
        <w:rPr>
          <w:rFonts w:ascii="Times New Roman" w:hAnsi="Times New Roman" w:cs="Times New Roman"/>
          <w:b/>
          <w:bCs/>
        </w:rPr>
        <w:fldChar w:fldCharType="end"/>
      </w:r>
      <w:r>
        <w:rPr>
          <w:rFonts w:ascii="Times New Roman" w:hAnsi="Times New Roman" w:cs="Times New Roman"/>
        </w:rPr>
        <w:t xml:space="preserve">. </w:t>
      </w:r>
      <w:r w:rsidR="00ED22AC">
        <w:rPr>
          <w:rFonts w:ascii="Times New Roman" w:hAnsi="Times New Roman" w:cs="Times New Roman"/>
        </w:rPr>
        <w:t xml:space="preserve">Transcription of </w:t>
      </w:r>
      <w:r>
        <w:rPr>
          <w:rFonts w:ascii="Times New Roman" w:hAnsi="Times New Roman" w:cs="Times New Roman"/>
        </w:rPr>
        <w:t xml:space="preserve">RelP and RelQ is induced upon cell wall stress for example the exposure to cell wall-targeting antibiotics </w:t>
      </w:r>
      <w:r w:rsidRPr="0040318E">
        <w:rPr>
          <w:rFonts w:ascii="Times New Roman" w:hAnsi="Times New Roman" w:cs="Times New Roman"/>
          <w:b/>
          <w:bCs/>
        </w:rPr>
        <w:fldChar w:fldCharType="begin">
          <w:fldData xml:space="preserve">PEVuZE5vdGU+PENpdGU+PEF1dGhvcj5HZWlnZXI8L0F1dGhvcj48WWVhcj4yMDE0PC9ZZWFyPjxJ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PEVuZE5vdGU+PENpdGU+PEF1dGhvcj5HZWlnZXI8L0F1dGhvcj48WWVhcj4yMDE0PC9ZZWFyPjxJ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40318E">
        <w:rPr>
          <w:rFonts w:ascii="Times New Roman" w:hAnsi="Times New Roman" w:cs="Times New Roman"/>
          <w:b/>
          <w:bCs/>
        </w:rPr>
      </w:r>
      <w:r w:rsidRPr="0040318E">
        <w:rPr>
          <w:rFonts w:ascii="Times New Roman" w:hAnsi="Times New Roman" w:cs="Times New Roman"/>
          <w:b/>
          <w:bCs/>
        </w:rPr>
        <w:fldChar w:fldCharType="separate"/>
      </w:r>
      <w:r>
        <w:rPr>
          <w:rFonts w:ascii="Times New Roman" w:hAnsi="Times New Roman" w:cs="Times New Roman"/>
          <w:b/>
          <w:bCs/>
          <w:noProof/>
        </w:rPr>
        <w:t>(Geiger</w:t>
      </w:r>
      <w:r w:rsidRPr="0040318E">
        <w:rPr>
          <w:rFonts w:ascii="Times New Roman" w:hAnsi="Times New Roman" w:cs="Times New Roman"/>
          <w:b/>
          <w:bCs/>
          <w:i/>
          <w:noProof/>
        </w:rPr>
        <w:t xml:space="preserve"> et al.</w:t>
      </w:r>
      <w:r>
        <w:rPr>
          <w:rFonts w:ascii="Times New Roman" w:hAnsi="Times New Roman" w:cs="Times New Roman"/>
          <w:b/>
          <w:bCs/>
          <w:noProof/>
        </w:rPr>
        <w:t>, 2014; Abranches</w:t>
      </w:r>
      <w:r w:rsidRPr="0040318E">
        <w:rPr>
          <w:rFonts w:ascii="Times New Roman" w:hAnsi="Times New Roman" w:cs="Times New Roman"/>
          <w:b/>
          <w:bCs/>
          <w:i/>
          <w:noProof/>
        </w:rPr>
        <w:t xml:space="preserve"> et al.</w:t>
      </w:r>
      <w:r>
        <w:rPr>
          <w:rFonts w:ascii="Times New Roman" w:hAnsi="Times New Roman" w:cs="Times New Roman"/>
          <w:b/>
          <w:bCs/>
          <w:noProof/>
        </w:rPr>
        <w:t>, 2009)</w:t>
      </w:r>
      <w:r w:rsidRPr="0040318E">
        <w:rPr>
          <w:rFonts w:ascii="Times New Roman" w:hAnsi="Times New Roman" w:cs="Times New Roman"/>
          <w:b/>
          <w:bCs/>
        </w:rPr>
        <w:fldChar w:fldCharType="end"/>
      </w:r>
      <w:r>
        <w:rPr>
          <w:rFonts w:ascii="Times New Roman" w:hAnsi="Times New Roman" w:cs="Times New Roman"/>
        </w:rPr>
        <w:t xml:space="preserve">, but also ethanol shock and alkaline shock </w:t>
      </w:r>
      <w:r w:rsidRPr="00954ABF">
        <w:rPr>
          <w:rFonts w:ascii="Times New Roman" w:hAnsi="Times New Roman" w:cs="Times New Roman"/>
          <w:b/>
          <w:bCs/>
        </w:rPr>
        <w:fldChar w:fldCharType="begin">
          <w:fldData xml:space="preserve">PEVuZE5vdGU+PENpdGU+PEF1dGhvcj5QYW5kbzwvQXV0aG9yPjxZZWFyPjIwMTc8L1llYXI+PElE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</w:fldData>
        </w:fldChar>
      </w:r>
      <w:r w:rsidRPr="00954ABF">
        <w:rPr>
          <w:rFonts w:ascii="Times New Roman" w:hAnsi="Times New Roman" w:cs="Times New Roman"/>
          <w:b/>
          <w:bCs/>
        </w:rPr>
        <w:instrText xml:space="preserve"> ADDIN EN.CITE </w:instrText>
      </w:r>
      <w:r w:rsidRPr="00954ABF">
        <w:rPr>
          <w:rFonts w:ascii="Times New Roman" w:hAnsi="Times New Roman" w:cs="Times New Roman"/>
          <w:b/>
          <w:bCs/>
        </w:rPr>
        <w:fldChar w:fldCharType="begin">
          <w:fldData xml:space="preserve">PEVuZE5vdGU+PENpdGU+PEF1dGhvcj5QYW5kbzwvQXV0aG9yPjxZZWFyPjIwMTc8L1llYXI+PElE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</w:fldData>
        </w:fldChar>
      </w:r>
      <w:r w:rsidRPr="00954ABF">
        <w:rPr>
          <w:rFonts w:ascii="Times New Roman" w:hAnsi="Times New Roman" w:cs="Times New Roman"/>
          <w:b/>
          <w:bCs/>
        </w:rPr>
        <w:instrText xml:space="preserve"> ADDIN EN.CITE.DATA </w:instrText>
      </w:r>
      <w:r w:rsidRPr="00954ABF">
        <w:rPr>
          <w:rFonts w:ascii="Times New Roman" w:hAnsi="Times New Roman" w:cs="Times New Roman"/>
          <w:b/>
          <w:bCs/>
        </w:rPr>
      </w:r>
      <w:r w:rsidRPr="00954ABF">
        <w:rPr>
          <w:rFonts w:ascii="Times New Roman" w:hAnsi="Times New Roman" w:cs="Times New Roman"/>
          <w:b/>
          <w:bCs/>
        </w:rPr>
        <w:fldChar w:fldCharType="end"/>
      </w:r>
      <w:r w:rsidRPr="00954ABF">
        <w:rPr>
          <w:rFonts w:ascii="Times New Roman" w:hAnsi="Times New Roman" w:cs="Times New Roman"/>
          <w:b/>
          <w:bCs/>
        </w:rPr>
      </w:r>
      <w:r w:rsidRPr="00954ABF">
        <w:rPr>
          <w:rFonts w:ascii="Times New Roman" w:hAnsi="Times New Roman" w:cs="Times New Roman"/>
          <w:b/>
          <w:bCs/>
        </w:rPr>
        <w:fldChar w:fldCharType="separate"/>
      </w:r>
      <w:r w:rsidRPr="00954ABF">
        <w:rPr>
          <w:rFonts w:ascii="Times New Roman" w:hAnsi="Times New Roman" w:cs="Times New Roman"/>
          <w:b/>
          <w:bCs/>
          <w:noProof/>
        </w:rPr>
        <w:t>(Pando</w:t>
      </w:r>
      <w:r w:rsidRPr="00954ABF">
        <w:rPr>
          <w:rFonts w:ascii="Times New Roman" w:hAnsi="Times New Roman" w:cs="Times New Roman"/>
          <w:b/>
          <w:bCs/>
          <w:i/>
          <w:noProof/>
        </w:rPr>
        <w:t xml:space="preserve"> et al.</w:t>
      </w:r>
      <w:r w:rsidRPr="00954ABF">
        <w:rPr>
          <w:rFonts w:ascii="Times New Roman" w:hAnsi="Times New Roman" w:cs="Times New Roman"/>
          <w:b/>
          <w:bCs/>
          <w:noProof/>
        </w:rPr>
        <w:t>, 2017; Nanamiya</w:t>
      </w:r>
      <w:r w:rsidRPr="00954ABF">
        <w:rPr>
          <w:rFonts w:ascii="Times New Roman" w:hAnsi="Times New Roman" w:cs="Times New Roman"/>
          <w:b/>
          <w:bCs/>
          <w:i/>
          <w:noProof/>
        </w:rPr>
        <w:t xml:space="preserve"> et al.</w:t>
      </w:r>
      <w:r w:rsidRPr="00954ABF">
        <w:rPr>
          <w:rFonts w:ascii="Times New Roman" w:hAnsi="Times New Roman" w:cs="Times New Roman"/>
          <w:b/>
          <w:bCs/>
          <w:noProof/>
        </w:rPr>
        <w:t>, 2008)</w:t>
      </w:r>
      <w:r w:rsidRPr="00954ABF">
        <w:rPr>
          <w:rFonts w:ascii="Times New Roman" w:hAnsi="Times New Roman" w:cs="Times New Roman"/>
          <w:b/>
          <w:bCs/>
        </w:rPr>
        <w:fldChar w:fldCharType="end"/>
      </w:r>
      <w:r>
        <w:rPr>
          <w:rFonts w:ascii="Times New Roman" w:hAnsi="Times New Roman" w:cs="Times New Roman"/>
        </w:rPr>
        <w:t>. Moreover, RelP</w:t>
      </w:r>
      <w:r>
        <w:rPr>
          <w:rFonts w:ascii="Times New Roman" w:hAnsi="Times New Roman" w:cs="Times New Roman"/>
          <w:i/>
          <w:iCs/>
          <w:vertAlign w:val="subscript"/>
        </w:rPr>
        <w:t>Sau</w:t>
      </w:r>
      <w:r>
        <w:rPr>
          <w:rFonts w:ascii="Times New Roman" w:hAnsi="Times New Roman" w:cs="Times New Roman"/>
        </w:rPr>
        <w:t xml:space="preserve"> and RelQ</w:t>
      </w:r>
      <w:r>
        <w:rPr>
          <w:rFonts w:ascii="Times New Roman" w:hAnsi="Times New Roman" w:cs="Times New Roman"/>
          <w:i/>
          <w:iCs/>
          <w:vertAlign w:val="subscript"/>
        </w:rPr>
        <w:t>Sau</w:t>
      </w:r>
      <w:r>
        <w:rPr>
          <w:rFonts w:ascii="Times New Roman" w:hAnsi="Times New Roman" w:cs="Times New Roman"/>
        </w:rPr>
        <w:t xml:space="preserve"> are induced upon activation of the </w:t>
      </w:r>
      <w:bookmarkStart w:id="28" w:name="_Hlk128950033"/>
      <w:r w:rsidRPr="0074738B">
        <w:rPr>
          <w:rFonts w:ascii="Times New Roman" w:hAnsi="Times New Roman" w:cs="Times New Roman"/>
        </w:rPr>
        <w:t>vancomycin-resistance</w:t>
      </w:r>
      <w:r>
        <w:rPr>
          <w:rFonts w:ascii="Times New Roman" w:hAnsi="Times New Roman" w:cs="Times New Roman"/>
        </w:rPr>
        <w:t xml:space="preserve"> </w:t>
      </w:r>
      <w:r w:rsidRPr="0074738B">
        <w:rPr>
          <w:rFonts w:ascii="Times New Roman" w:hAnsi="Times New Roman" w:cs="Times New Roman"/>
        </w:rPr>
        <w:t>associated sensor/regulator</w:t>
      </w:r>
      <w:r>
        <w:rPr>
          <w:rFonts w:ascii="Times New Roman" w:hAnsi="Times New Roman" w:cs="Times New Roman"/>
        </w:rPr>
        <w:t xml:space="preserve"> </w:t>
      </w:r>
      <w:bookmarkEnd w:id="28"/>
      <w:r>
        <w:rPr>
          <w:rFonts w:ascii="Times New Roman" w:hAnsi="Times New Roman" w:cs="Times New Roman"/>
        </w:rPr>
        <w:t xml:space="preserve">(VraS/R) TCS that is </w:t>
      </w:r>
      <w:r w:rsidRPr="00843E36">
        <w:rPr>
          <w:rFonts w:ascii="Times New Roman" w:hAnsi="Times New Roman" w:cs="Times New Roman"/>
        </w:rPr>
        <w:t>involved in</w:t>
      </w:r>
      <w:r>
        <w:rPr>
          <w:rFonts w:ascii="Times New Roman" w:hAnsi="Times New Roman" w:cs="Times New Roman"/>
        </w:rPr>
        <w:t xml:space="preserve"> cell wall stress </w:t>
      </w:r>
      <w:r w:rsidRPr="00ED2CD9">
        <w:rPr>
          <w:rFonts w:ascii="Times New Roman" w:hAnsi="Times New Roman" w:cs="Times New Roman"/>
          <w:b/>
          <w:bCs/>
        </w:rPr>
        <w:fldChar w:fldCharType="begin"/>
      </w:r>
      <w:r w:rsidRPr="00ED2CD9">
        <w:rPr>
          <w:rFonts w:ascii="Times New Roman" w:hAnsi="Times New Roman" w:cs="Times New Roman"/>
          <w:b/>
          <w:bCs/>
        </w:rPr>
        <w:instrText xml:space="preserve"> ADDIN EN.CITE &lt;EndNote&gt;&lt;Cite&gt;&lt;Author&gt;Geiger&lt;/Author&gt;&lt;Year&gt;2014&lt;/Year&gt;&lt;IDText&gt;Two Small (p)ppGpp Synthases in Staphylococcus aureus Mediate Tolerance against Cell Envelope Stress Conditions&lt;/IDText&gt;&lt;DisplayText&gt;(Geiger&lt;style face="italic"&gt; et al.&lt;/style&gt;, 2014)&lt;/DisplayText&gt;&lt;record&gt;&lt;dates&gt;&lt;pub-dates&gt;&lt;date&gt;Feb&lt;/date&gt;&lt;/pub-dates&gt;&lt;year&gt;2014&lt;/year&gt;&lt;/dates&gt;&lt;urls&gt;&lt;related-urls&gt;&lt;/related-urls&gt;&lt;/urls&gt;&lt;isbn&gt;0021-9193&lt;/isbn&gt;&lt;titles&gt;&lt;title&gt;&lt;style font="default" size="100%"&gt;Two Small (p)ppGpp Synthases in &lt;/style&gt;&lt;style face="italic" font="default" size="100%"&gt;Staphylococcus aureus&lt;/style&gt;&lt;style font="default" size="100%"&gt; Mediate Tolerance against Cell Envelope Stress Conditions&lt;/style&gt;&lt;/title&gt;&lt;secondary-title&gt;Journal of Bacteriology&lt;/secondary-title&gt;&lt;/titles&gt;&lt;pages&gt;894-902&lt;/pages&gt;&lt;number&gt;4&lt;/number&gt;&lt;contributors&gt;&lt;authors&gt;&lt;author&gt;Geiger, Tobias&lt;/author&gt;&lt;author&gt;Kaestle, Benjamin&lt;/author&gt;&lt;author&gt;Gratani, Fabio Lino&lt;/author&gt;&lt;author&gt;Goerke, Christiane&lt;/author&gt;&lt;author&gt;Wolz, Christiane&lt;/author&gt;&lt;/authors&gt;&lt;/contributors&gt;&lt;added-date format="utc"&gt;1663612805&lt;/added-date&gt;&lt;ref-type name="Journal Article"&gt;17&lt;/ref-type&gt;&lt;rec-number&gt;67&lt;/rec-number&gt;&lt;last-updated-date format="utc"&gt;1675729945&lt;/last-updated-date&gt;&lt;accession-num&gt;WOS:000332626300017&lt;/accession-num&gt;&lt;electronic-resource-num&gt;10.1128/jb.01201-13&lt;/electronic-resource-num&gt;&lt;volume&gt;196&lt;/volume&gt;&lt;/record&gt;&lt;/Cite&gt;&lt;/EndNote&gt;</w:instrText>
      </w:r>
      <w:r w:rsidRPr="00ED2CD9">
        <w:rPr>
          <w:rFonts w:ascii="Times New Roman" w:hAnsi="Times New Roman" w:cs="Times New Roman"/>
          <w:b/>
          <w:bCs/>
        </w:rPr>
        <w:fldChar w:fldCharType="separate"/>
      </w:r>
      <w:r w:rsidRPr="00ED2CD9">
        <w:rPr>
          <w:rFonts w:ascii="Times New Roman" w:hAnsi="Times New Roman" w:cs="Times New Roman"/>
          <w:b/>
          <w:bCs/>
          <w:noProof/>
        </w:rPr>
        <w:t>(Geiger</w:t>
      </w:r>
      <w:r w:rsidRPr="00ED2CD9">
        <w:rPr>
          <w:rFonts w:ascii="Times New Roman" w:hAnsi="Times New Roman" w:cs="Times New Roman"/>
          <w:b/>
          <w:bCs/>
          <w:i/>
          <w:noProof/>
        </w:rPr>
        <w:t xml:space="preserve"> et al.</w:t>
      </w:r>
      <w:r w:rsidRPr="00ED2CD9">
        <w:rPr>
          <w:rFonts w:ascii="Times New Roman" w:hAnsi="Times New Roman" w:cs="Times New Roman"/>
          <w:b/>
          <w:bCs/>
          <w:noProof/>
        </w:rPr>
        <w:t>, 2014)</w:t>
      </w:r>
      <w:r w:rsidRPr="00ED2CD9">
        <w:rPr>
          <w:rFonts w:ascii="Times New Roman" w:hAnsi="Times New Roman" w:cs="Times New Roman"/>
          <w:b/>
          <w:bCs/>
        </w:rPr>
        <w:fldChar w:fldCharType="end"/>
      </w:r>
      <w:r>
        <w:rPr>
          <w:rFonts w:ascii="Times New Roman" w:hAnsi="Times New Roman" w:cs="Times New Roman"/>
        </w:rPr>
        <w:t>. Similar to RelA being positively regulated by ppGpp, RelQ</w:t>
      </w:r>
      <w:r>
        <w:rPr>
          <w:rFonts w:ascii="Times New Roman" w:hAnsi="Times New Roman" w:cs="Times New Roman"/>
          <w:i/>
          <w:iCs/>
          <w:vertAlign w:val="subscript"/>
        </w:rPr>
        <w:t>Bs</w:t>
      </w:r>
      <w:r>
        <w:rPr>
          <w:rFonts w:ascii="Times New Roman" w:hAnsi="Times New Roman" w:cs="Times New Roman"/>
          <w:i/>
          <w:iCs/>
        </w:rPr>
        <w:t xml:space="preserve"> </w:t>
      </w:r>
      <w:r>
        <w:rPr>
          <w:rFonts w:ascii="Times New Roman" w:hAnsi="Times New Roman" w:cs="Times New Roman"/>
        </w:rPr>
        <w:t xml:space="preserve">is regulated by pppGpp but not ppGpp </w:t>
      </w:r>
      <w:r w:rsidRPr="00CF106C">
        <w:rPr>
          <w:rFonts w:ascii="Times New Roman" w:hAnsi="Times New Roman" w:cs="Times New Roman"/>
          <w:b/>
          <w:bCs/>
        </w:rPr>
        <w:fldChar w:fldCharType="begin"/>
      </w:r>
      <w:r w:rsidRPr="00CF106C">
        <w:rPr>
          <w:rFonts w:ascii="Times New Roman" w:hAnsi="Times New Roman" w:cs="Times New Roman"/>
          <w:b/>
          <w:bCs/>
        </w:rPr>
        <w:instrText xml:space="preserve"> ADDIN EN.CITE &lt;EndNote&gt;&lt;Cite&gt;&lt;Author&gt;Steinchen&lt;/Author&gt;&lt;Year&gt;2018&lt;/Year&gt;&lt;IDText&gt;Structural and mechanistic divergence of the small (p)ppGpp synthetases RelP and RelQ&lt;/IDText&gt;&lt;DisplayText&gt;(Steinchen&lt;style face="italic"&gt; et al.&lt;/style&gt;, 2018)&lt;/DisplayText&gt;&lt;record&gt;&lt;dates&gt;&lt;pub-dates&gt;&lt;date&gt;Feb 1&lt;/date&gt;&lt;/pub-dates&gt;&lt;year&gt;2018&lt;/year&gt;&lt;/dates&gt;&lt;urls&gt;&lt;related-urls&gt;&lt;url&gt;&amp;lt;Go to ISI&amp;gt;://WOS:000423787500170&lt;/url&gt;&lt;/related-urls&gt;&lt;/urls&gt;&lt;isbn&gt;2045-2322&lt;/isbn&gt;&lt;work-type&gt;Article&lt;/work-type&gt;&lt;titles&gt;&lt;title&gt;Structural and mechanistic divergence of the small (p)ppGpp synthetases RelP and RelQ&lt;/title&gt;&lt;secondary-title&gt;Scientific Reports&lt;/secondary-title&gt;&lt;/titles&gt;&lt;contributors&gt;&lt;authors&gt;&lt;author&gt;Steinchen, Wieland&lt;/author&gt;&lt;author&gt;Vogt, Marian S.&lt;/author&gt;&lt;author&gt;Altegoer, Florian&lt;/author&gt;&lt;author&gt;Giammarinaro, Pietro I.&lt;/author&gt;&lt;author&gt;Horvatek, Petra&lt;/author&gt;&lt;author&gt;Wolz, Christiane&lt;/author&gt;&lt;author&gt;Bange, Gert&lt;/author&gt;&lt;/authors&gt;&lt;/contributors&gt;&lt;custom7&gt;2195&lt;/custom7&gt;&lt;added-date format="utc"&gt;1677883203&lt;/added-date&gt;&lt;ref-type name="Journal Article"&gt;17&lt;/ref-type&gt;&lt;rec-number&gt;687&lt;/rec-number&gt;&lt;last-updated-date format="utc"&gt;1677883203&lt;/last-updated-date&gt;&lt;accession-num&gt;WOS:000423787500170&lt;/accession-num&gt;&lt;electronic-resource-num&gt;10.1038/s41598-018-20634-4&lt;/electronic-resource-num&gt;&lt;volume&gt;8&lt;/volume&gt;&lt;/record&gt;&lt;/Cite&gt;&lt;/EndNote&gt;</w:instrText>
      </w:r>
      <w:r w:rsidRPr="00CF106C">
        <w:rPr>
          <w:rFonts w:ascii="Times New Roman" w:hAnsi="Times New Roman" w:cs="Times New Roman"/>
          <w:b/>
          <w:bCs/>
        </w:rPr>
        <w:fldChar w:fldCharType="separate"/>
      </w:r>
      <w:r w:rsidRPr="00CF106C">
        <w:rPr>
          <w:rFonts w:ascii="Times New Roman" w:hAnsi="Times New Roman" w:cs="Times New Roman"/>
          <w:b/>
          <w:bCs/>
          <w:noProof/>
        </w:rPr>
        <w:t>(Steinchen</w:t>
      </w:r>
      <w:r w:rsidRPr="00CF106C">
        <w:rPr>
          <w:rFonts w:ascii="Times New Roman" w:hAnsi="Times New Roman" w:cs="Times New Roman"/>
          <w:b/>
          <w:bCs/>
          <w:i/>
          <w:noProof/>
        </w:rPr>
        <w:t xml:space="preserve"> et al.</w:t>
      </w:r>
      <w:r w:rsidRPr="00CF106C">
        <w:rPr>
          <w:rFonts w:ascii="Times New Roman" w:hAnsi="Times New Roman" w:cs="Times New Roman"/>
          <w:b/>
          <w:bCs/>
          <w:noProof/>
        </w:rPr>
        <w:t>, 2018)</w:t>
      </w:r>
      <w:r w:rsidRPr="00CF106C">
        <w:rPr>
          <w:rFonts w:ascii="Times New Roman" w:hAnsi="Times New Roman" w:cs="Times New Roman"/>
          <w:b/>
          <w:bCs/>
        </w:rPr>
        <w:fldChar w:fldCharType="end"/>
      </w:r>
      <w:r>
        <w:rPr>
          <w:rFonts w:ascii="Times New Roman" w:hAnsi="Times New Roman" w:cs="Times New Roman"/>
        </w:rPr>
        <w:t xml:space="preserve">. Once expressed, RelP and RelQ form homotetramers, creating two allosteric pppGpp binding sites </w:t>
      </w:r>
      <w:r w:rsidRPr="00EF11D0">
        <w:rPr>
          <w:rFonts w:ascii="Times New Roman" w:hAnsi="Times New Roman" w:cs="Times New Roman"/>
          <w:b/>
          <w:bCs/>
        </w:rPr>
        <w:fldChar w:fldCharType="begin">
          <w:fldData xml:space="preserve">PEVuZE5vdGU+PENpdGU+PEF1dGhvcj5NYW5hdjwvQXV0aG9yPjxZZWFyPjIwMTg8L1llYXI+PElE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</w:fldData>
        </w:fldChar>
      </w:r>
      <w:r w:rsidRPr="00EF11D0">
        <w:rPr>
          <w:rFonts w:ascii="Times New Roman" w:hAnsi="Times New Roman" w:cs="Times New Roman"/>
          <w:b/>
          <w:bCs/>
        </w:rPr>
        <w:instrText xml:space="preserve"> ADDIN EN.CITE </w:instrText>
      </w:r>
      <w:r w:rsidRPr="00EF11D0">
        <w:rPr>
          <w:rFonts w:ascii="Times New Roman" w:hAnsi="Times New Roman" w:cs="Times New Roman"/>
          <w:b/>
          <w:bCs/>
        </w:rPr>
        <w:fldChar w:fldCharType="begin">
          <w:fldData xml:space="preserve">PEVuZE5vdGU+PENpdGU+PEF1dGhvcj5NYW5hdjwvQXV0aG9yPjxZZWFyPjIwMTg8L1llYXI+PElE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</w:fldData>
        </w:fldChar>
      </w:r>
      <w:r w:rsidRPr="00EF11D0">
        <w:rPr>
          <w:rFonts w:ascii="Times New Roman" w:hAnsi="Times New Roman" w:cs="Times New Roman"/>
          <w:b/>
          <w:bCs/>
        </w:rPr>
        <w:instrText xml:space="preserve"> ADDIN EN.CITE.DATA </w:instrText>
      </w:r>
      <w:r w:rsidRPr="00EF11D0">
        <w:rPr>
          <w:rFonts w:ascii="Times New Roman" w:hAnsi="Times New Roman" w:cs="Times New Roman"/>
          <w:b/>
          <w:bCs/>
        </w:rPr>
      </w:r>
      <w:r w:rsidRPr="00EF11D0">
        <w:rPr>
          <w:rFonts w:ascii="Times New Roman" w:hAnsi="Times New Roman" w:cs="Times New Roman"/>
          <w:b/>
          <w:bCs/>
        </w:rPr>
        <w:fldChar w:fldCharType="end"/>
      </w:r>
      <w:r w:rsidRPr="00EF11D0">
        <w:rPr>
          <w:rFonts w:ascii="Times New Roman" w:hAnsi="Times New Roman" w:cs="Times New Roman"/>
          <w:b/>
          <w:bCs/>
        </w:rPr>
      </w:r>
      <w:r w:rsidRPr="00EF11D0">
        <w:rPr>
          <w:rFonts w:ascii="Times New Roman" w:hAnsi="Times New Roman" w:cs="Times New Roman"/>
          <w:b/>
          <w:bCs/>
        </w:rPr>
        <w:fldChar w:fldCharType="separate"/>
      </w:r>
      <w:r w:rsidRPr="00EF11D0">
        <w:rPr>
          <w:rFonts w:ascii="Times New Roman" w:hAnsi="Times New Roman" w:cs="Times New Roman"/>
          <w:b/>
          <w:bCs/>
          <w:noProof/>
        </w:rPr>
        <w:t>(Manav</w:t>
      </w:r>
      <w:r w:rsidRPr="00EF11D0">
        <w:rPr>
          <w:rFonts w:ascii="Times New Roman" w:hAnsi="Times New Roman" w:cs="Times New Roman"/>
          <w:b/>
          <w:bCs/>
          <w:i/>
          <w:noProof/>
        </w:rPr>
        <w:t xml:space="preserve"> et al.</w:t>
      </w:r>
      <w:r w:rsidRPr="00EF11D0">
        <w:rPr>
          <w:rFonts w:ascii="Times New Roman" w:hAnsi="Times New Roman" w:cs="Times New Roman"/>
          <w:b/>
          <w:bCs/>
          <w:noProof/>
        </w:rPr>
        <w:t>, 2018; Steinchen</w:t>
      </w:r>
      <w:r w:rsidRPr="00EF11D0">
        <w:rPr>
          <w:rFonts w:ascii="Times New Roman" w:hAnsi="Times New Roman" w:cs="Times New Roman"/>
          <w:b/>
          <w:bCs/>
          <w:i/>
          <w:noProof/>
        </w:rPr>
        <w:t xml:space="preserve"> et al.</w:t>
      </w:r>
      <w:r w:rsidRPr="00EF11D0">
        <w:rPr>
          <w:rFonts w:ascii="Times New Roman" w:hAnsi="Times New Roman" w:cs="Times New Roman"/>
          <w:b/>
          <w:bCs/>
          <w:noProof/>
        </w:rPr>
        <w:t>, 2018)</w:t>
      </w:r>
      <w:r w:rsidRPr="00EF11D0">
        <w:rPr>
          <w:rFonts w:ascii="Times New Roman" w:hAnsi="Times New Roman" w:cs="Times New Roman"/>
          <w:b/>
          <w:bCs/>
        </w:rPr>
        <w:fldChar w:fldCharType="end"/>
      </w:r>
      <w:r>
        <w:rPr>
          <w:rFonts w:ascii="Times New Roman" w:hAnsi="Times New Roman" w:cs="Times New Roman"/>
        </w:rPr>
        <w:t xml:space="preserve">. Bioinformatic analyses have demonstrated that the SAS proteins have also been found in operons as toxin-antitoxin (TA) systems that deliver nucleotide second messengers to other bacteria as a mode of defence </w:t>
      </w:r>
      <w:r w:rsidRPr="000E39A1">
        <w:rPr>
          <w:rFonts w:ascii="Times New Roman" w:hAnsi="Times New Roman" w:cs="Times New Roman"/>
          <w:b/>
          <w:bCs/>
        </w:rPr>
        <w:fldChar w:fldCharType="begin"/>
      </w:r>
      <w:r w:rsidRPr="000E39A1">
        <w:rPr>
          <w:rFonts w:ascii="Times New Roman" w:hAnsi="Times New Roman" w:cs="Times New Roman"/>
          <w:b/>
          <w:bCs/>
        </w:rPr>
        <w:instrText xml:space="preserve"> ADDIN EN.CITE &lt;EndNote&gt;&lt;Cite&gt;&lt;Author&gt;Jimmy&lt;/Author&gt;&lt;Year&gt;2020&lt;/Year&gt;&lt;IDText&gt;A widespread toxin-antitoxin system exploiting growth control via alarmone signaling&lt;/IDText&gt;&lt;DisplayText&gt;(Jimmy&lt;style face="italic"&gt; et al.&lt;/style&gt;, 2020)&lt;/DisplayText&gt;&lt;record&gt;&lt;dates&gt;&lt;pub-dates&gt;&lt;date&gt;May 12&lt;/date&gt;&lt;/pub-dates&gt;&lt;year&gt;2020&lt;/year&gt;&lt;/dates&gt;&lt;urls&gt;&lt;related-urls&gt;&lt;url&gt;&amp;lt;Go to ISI&amp;gt;://WOS:000532837500052&lt;/url&gt;&lt;/related-urls&gt;&lt;/urls&gt;&lt;isbn&gt;0027-8424&lt;/isbn&gt;&lt;work-type&gt;Article&lt;/work-type&gt;&lt;titles&gt;&lt;title&gt;A widespread toxin-antitoxin system exploiting growth control via alarmone signaling&lt;/title&gt;&lt;secondary-title&gt;Proceedings of the National Academy of Sciences of the United States of America&lt;/secondary-title&gt;&lt;/titles&gt;&lt;pages&gt;10500-10510&lt;/pages&gt;&lt;number&gt;19&lt;/number&gt;&lt;contributors&gt;&lt;authors&gt;&lt;author&gt;Jimmy, Steffi&lt;/author&gt;&lt;author&gt;Saha, Chayan Kumar&lt;/author&gt;&lt;author&gt;Kurata, Tatsuaki&lt;/author&gt;&lt;author&gt;Stavropoulos, Constantine&lt;/author&gt;&lt;author&gt;Oliveira, Sofia Raquel Alves&lt;/author&gt;&lt;author&gt;Koh, Alan&lt;/author&gt;&lt;author&gt;Cepauskas, Albinas&lt;/author&gt;&lt;author&gt;Takada, Hiraku&lt;/author&gt;&lt;author&gt;Rejman, Dominik&lt;/author&gt;&lt;author&gt;Tenson, Tanel&lt;/author&gt;&lt;author&gt;Strahl, Henrik&lt;/author&gt;&lt;author&gt;Garcia-Pino, Abel&lt;/author&gt;&lt;author&gt;Hauryliuk, Vasili&lt;/author&gt;&lt;author&gt;Atkinson, Gemma C.&lt;/author&gt;&lt;/authors&gt;&lt;/contributors&gt;&lt;added-date format="utc"&gt;1677889953&lt;/added-date&gt;&lt;ref-type name="Journal Article"&gt;17&lt;/ref-type&gt;&lt;rec-number&gt;693&lt;/rec-number&gt;&lt;last-updated-date format="utc"&gt;1677889953&lt;/last-updated-date&gt;&lt;accession-num&gt;WOS:000532837500052&lt;/accession-num&gt;&lt;electronic-resource-num&gt;10.1073/pnas.1916617117&lt;/electronic-resource-num&gt;&lt;volume&gt;117&lt;/volume&gt;&lt;/record&gt;&lt;/Cite&gt;&lt;/EndNote&gt;</w:instrText>
      </w:r>
      <w:r w:rsidRPr="000E39A1">
        <w:rPr>
          <w:rFonts w:ascii="Times New Roman" w:hAnsi="Times New Roman" w:cs="Times New Roman"/>
          <w:b/>
          <w:bCs/>
        </w:rPr>
        <w:fldChar w:fldCharType="separate"/>
      </w:r>
      <w:r w:rsidRPr="000E39A1">
        <w:rPr>
          <w:rFonts w:ascii="Times New Roman" w:hAnsi="Times New Roman" w:cs="Times New Roman"/>
          <w:b/>
          <w:bCs/>
          <w:noProof/>
        </w:rPr>
        <w:t>(Jimmy</w:t>
      </w:r>
      <w:r w:rsidRPr="000E39A1">
        <w:rPr>
          <w:rFonts w:ascii="Times New Roman" w:hAnsi="Times New Roman" w:cs="Times New Roman"/>
          <w:b/>
          <w:bCs/>
          <w:i/>
          <w:noProof/>
        </w:rPr>
        <w:t xml:space="preserve"> et al.</w:t>
      </w:r>
      <w:r w:rsidRPr="000E39A1">
        <w:rPr>
          <w:rFonts w:ascii="Times New Roman" w:hAnsi="Times New Roman" w:cs="Times New Roman"/>
          <w:b/>
          <w:bCs/>
          <w:noProof/>
        </w:rPr>
        <w:t>, 2020)</w:t>
      </w:r>
      <w:r w:rsidRPr="000E39A1">
        <w:rPr>
          <w:rFonts w:ascii="Times New Roman" w:hAnsi="Times New Roman" w:cs="Times New Roman"/>
          <w:b/>
          <w:bCs/>
        </w:rPr>
        <w:fldChar w:fldCharType="end"/>
      </w:r>
      <w:r>
        <w:rPr>
          <w:rFonts w:ascii="Times New Roman" w:hAnsi="Times New Roman" w:cs="Times New Roman"/>
        </w:rPr>
        <w:t xml:space="preserve">. Tas1, an SAS from </w:t>
      </w:r>
      <w:r>
        <w:rPr>
          <w:rFonts w:ascii="Times New Roman" w:hAnsi="Times New Roman" w:cs="Times New Roman"/>
          <w:i/>
          <w:iCs/>
        </w:rPr>
        <w:t>Pseudomonas aeruginosa</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produces the hyperphosphorylated adenosine ppApp that is delivered to recipient cells, depleting them of ATP and resulting in cell death </w:t>
      </w:r>
      <w:r w:rsidRPr="000E39A1">
        <w:rPr>
          <w:rFonts w:ascii="Times New Roman" w:hAnsi="Times New Roman" w:cs="Times New Roman"/>
          <w:b/>
          <w:bCs/>
        </w:rPr>
        <w:fldChar w:fldCharType="begin"/>
      </w:r>
      <w:r w:rsidRPr="000E39A1">
        <w:rPr>
          <w:rFonts w:ascii="Times New Roman" w:hAnsi="Times New Roman" w:cs="Times New Roman"/>
          <w:b/>
          <w:bCs/>
        </w:rPr>
        <w:instrText xml:space="preserve"> ADDIN EN.CITE &lt;EndNote&gt;&lt;Cite&gt;&lt;Author&gt;Ahmad&lt;/Author&gt;&lt;Year&gt;2019&lt;/Year&gt;&lt;IDText&gt;An interbacterial toxin inhibits target cell growth by synthesizing (p)ppApp&lt;/IDText&gt;&lt;DisplayText&gt;(Ahmad&lt;style face="italic"&gt; et al.&lt;/style&gt;, 2019)&lt;/DisplayText&gt;&lt;record&gt;&lt;dates&gt;&lt;pub-dates&gt;&lt;date&gt;Nov 28&lt;/date&gt;&lt;/pub-dates&gt;&lt;year&gt;2019&lt;/year&gt;&lt;/dates&gt;&lt;urls&gt;&lt;related-urls&gt;&lt;url&gt;&amp;lt;Go to ISI&amp;gt;://WOS:000500036800061&lt;/url&gt;&lt;/related-urls&gt;&lt;/urls&gt;&lt;isbn&gt;0028-0836&lt;/isbn&gt;&lt;work-type&gt;Article&lt;/work-type&gt;&lt;titles&gt;&lt;title&gt;An interbacterial toxin inhibits target cell growth by synthesizing (p)ppApp&lt;/title&gt;&lt;secondary-title&gt;Nature&lt;/secondary-title&gt;&lt;/titles&gt;&lt;pages&gt;674-+&lt;/pages&gt;&lt;number&gt;7784&lt;/number&gt;&lt;contributors&gt;&lt;authors&gt;&lt;author&gt;Ahmad, Shehryar&lt;/author&gt;&lt;author&gt;Wang, Boyuan&lt;/author&gt;&lt;author&gt;Walker, Matthew D.&lt;/author&gt;&lt;author&gt;Tran, Hiu-Ki R.&lt;/author&gt;&lt;author&gt;Stogios, Peter J.&lt;/author&gt;&lt;author&gt;Savchenko, Alexei&lt;/author&gt;&lt;author&gt;Grant, Robert A.&lt;/author&gt;&lt;author&gt;McArthur, Andrew G.&lt;/author&gt;&lt;author&gt;Laub, Michael T.&lt;/author&gt;&lt;author&gt;Whitney, John C.&lt;/author&gt;&lt;/authors&gt;&lt;/contributors&gt;&lt;added-date format="utc"&gt;1677890230&lt;/added-date&gt;&lt;ref-type name="Journal Article"&gt;17&lt;/ref-type&gt;&lt;rec-number&gt;694&lt;/rec-number&gt;&lt;last-updated-date format="utc"&gt;1677890230&lt;/last-updated-date&gt;&lt;accession-num&gt;WOS:000500036800061&lt;/accession-num&gt;&lt;electronic-resource-num&gt;10.1038/s41586-019-1735-9&lt;/electronic-resource-num&gt;&lt;volume&gt;575&lt;/volume&gt;&lt;/record&gt;&lt;/Cite&gt;&lt;/EndNote&gt;</w:instrText>
      </w:r>
      <w:r w:rsidRPr="000E39A1">
        <w:rPr>
          <w:rFonts w:ascii="Times New Roman" w:hAnsi="Times New Roman" w:cs="Times New Roman"/>
          <w:b/>
          <w:bCs/>
        </w:rPr>
        <w:fldChar w:fldCharType="separate"/>
      </w:r>
      <w:r w:rsidRPr="000E39A1">
        <w:rPr>
          <w:rFonts w:ascii="Times New Roman" w:hAnsi="Times New Roman" w:cs="Times New Roman"/>
          <w:b/>
          <w:bCs/>
          <w:noProof/>
        </w:rPr>
        <w:t>(Ahmad</w:t>
      </w:r>
      <w:r w:rsidRPr="000E39A1">
        <w:rPr>
          <w:rFonts w:ascii="Times New Roman" w:hAnsi="Times New Roman" w:cs="Times New Roman"/>
          <w:b/>
          <w:bCs/>
          <w:i/>
          <w:noProof/>
        </w:rPr>
        <w:t xml:space="preserve"> et al.</w:t>
      </w:r>
      <w:r w:rsidRPr="000E39A1">
        <w:rPr>
          <w:rFonts w:ascii="Times New Roman" w:hAnsi="Times New Roman" w:cs="Times New Roman"/>
          <w:b/>
          <w:bCs/>
          <w:noProof/>
        </w:rPr>
        <w:t>, 2019)</w:t>
      </w:r>
      <w:r w:rsidRPr="000E39A1">
        <w:rPr>
          <w:rFonts w:ascii="Times New Roman" w:hAnsi="Times New Roman" w:cs="Times New Roman"/>
          <w:b/>
          <w:bCs/>
        </w:rPr>
        <w:fldChar w:fldCharType="end"/>
      </w:r>
      <w:r>
        <w:rPr>
          <w:rFonts w:ascii="Times New Roman" w:hAnsi="Times New Roman" w:cs="Times New Roman"/>
        </w:rPr>
        <w:t xml:space="preserve">. </w:t>
      </w:r>
    </w:p>
    <w:p w14:paraId="4A197C17" w14:textId="77777777" w:rsidR="00033564" w:rsidRDefault="00033564" w:rsidP="00033564">
      <w:pPr>
        <w:pStyle w:val="Heading4"/>
      </w:pPr>
      <w:r>
        <w:t>1.2.1.4. Short RSH – SAH</w:t>
      </w:r>
    </w:p>
    <w:p w14:paraId="4EBA57E5" w14:textId="77777777" w:rsidR="00033564" w:rsidRPr="000E39A1" w:rsidRDefault="00033564" w:rsidP="00033564"/>
    <w:p w14:paraId="5DCAC85A" w14:textId="78C34C23" w:rsidR="00033564" w:rsidRDefault="00033564" w:rsidP="00033564">
      <w:pPr>
        <w:spacing w:line="360" w:lineRule="auto"/>
        <w:jc w:val="both"/>
        <w:rPr>
          <w:rFonts w:ascii="Times New Roman" w:hAnsi="Times New Roman" w:cs="Times New Roman"/>
        </w:rPr>
      </w:pPr>
      <w:r w:rsidRPr="004C4D5F">
        <w:rPr>
          <w:rFonts w:ascii="Times New Roman" w:hAnsi="Times New Roman" w:cs="Times New Roman"/>
        </w:rPr>
        <w:t>In comparison to SAS proteins, SAH proteins consist of a hydrolase domain</w:t>
      </w:r>
      <w:r>
        <w:rPr>
          <w:rFonts w:ascii="Times New Roman" w:hAnsi="Times New Roman" w:cs="Times New Roman"/>
        </w:rPr>
        <w:t xml:space="preserve"> </w:t>
      </w:r>
      <w:r>
        <w:rPr>
          <w:rFonts w:ascii="Times New Roman" w:hAnsi="Times New Roman" w:cs="Times New Roman"/>
          <w:b/>
          <w:bCs/>
        </w:rPr>
        <w:t>(Fig. 1.2)</w:t>
      </w:r>
      <w:r w:rsidRPr="004C4D5F">
        <w:rPr>
          <w:rFonts w:ascii="Times New Roman" w:hAnsi="Times New Roman" w:cs="Times New Roman"/>
        </w:rPr>
        <w:t xml:space="preserve">. </w:t>
      </w:r>
      <w:r>
        <w:rPr>
          <w:rFonts w:ascii="Times New Roman" w:hAnsi="Times New Roman" w:cs="Times New Roman"/>
        </w:rPr>
        <w:t xml:space="preserve">One </w:t>
      </w:r>
      <w:r w:rsidRPr="004C4D5F">
        <w:rPr>
          <w:rFonts w:ascii="Times New Roman" w:hAnsi="Times New Roman" w:cs="Times New Roman"/>
        </w:rPr>
        <w:t>SAH ha</w:t>
      </w:r>
      <w:r>
        <w:rPr>
          <w:rFonts w:ascii="Times New Roman" w:hAnsi="Times New Roman" w:cs="Times New Roman"/>
        </w:rPr>
        <w:t xml:space="preserve">s </w:t>
      </w:r>
      <w:r w:rsidRPr="004C4D5F">
        <w:rPr>
          <w:rFonts w:ascii="Times New Roman" w:hAnsi="Times New Roman" w:cs="Times New Roman"/>
        </w:rPr>
        <w:t>been identified, a metazoan SpoT homologue (M</w:t>
      </w:r>
      <w:r>
        <w:rPr>
          <w:rFonts w:ascii="Times New Roman" w:hAnsi="Times New Roman" w:cs="Times New Roman"/>
        </w:rPr>
        <w:t>ESH</w:t>
      </w:r>
      <w:r w:rsidRPr="004C4D5F">
        <w:rPr>
          <w:rFonts w:ascii="Times New Roman" w:hAnsi="Times New Roman" w:cs="Times New Roman"/>
        </w:rPr>
        <w:t xml:space="preserve">1) in eukaryotes such as humans and </w:t>
      </w:r>
      <w:r w:rsidRPr="004C4D5F">
        <w:rPr>
          <w:rFonts w:ascii="Times New Roman" w:hAnsi="Times New Roman" w:cs="Times New Roman"/>
          <w:i/>
          <w:iCs/>
        </w:rPr>
        <w:t>Drosophila melanogaster</w:t>
      </w:r>
      <w:r w:rsidRPr="004C4D5F">
        <w:rPr>
          <w:rFonts w:ascii="Times New Roman" w:hAnsi="Times New Roman" w:cs="Times New Roman"/>
        </w:rPr>
        <w:t xml:space="preserve"> </w:t>
      </w:r>
      <w:r>
        <w:rPr>
          <w:rFonts w:ascii="Times New Roman" w:hAnsi="Times New Roman" w:cs="Times New Roman"/>
        </w:rPr>
        <w:t xml:space="preserve">with MESH1-deficient </w:t>
      </w:r>
      <w:r>
        <w:rPr>
          <w:rFonts w:ascii="Times New Roman" w:hAnsi="Times New Roman" w:cs="Times New Roman"/>
          <w:i/>
          <w:iCs/>
        </w:rPr>
        <w:t>D. melanogaster</w:t>
      </w:r>
      <w:r>
        <w:rPr>
          <w:rFonts w:ascii="Times New Roman" w:hAnsi="Times New Roman" w:cs="Times New Roman"/>
        </w:rPr>
        <w:t xml:space="preserve"> displaying growth defects </w:t>
      </w:r>
      <w:r w:rsidRPr="004C4D5F">
        <w:rPr>
          <w:rFonts w:ascii="Times New Roman" w:hAnsi="Times New Roman" w:cs="Times New Roman"/>
          <w:b/>
          <w:bCs/>
        </w:rPr>
        <w:fldChar w:fldCharType="begin"/>
      </w:r>
      <w:r w:rsidRPr="004C4D5F">
        <w:rPr>
          <w:rFonts w:ascii="Times New Roman" w:hAnsi="Times New Roman" w:cs="Times New Roman"/>
          <w:b/>
          <w:bCs/>
        </w:rPr>
        <w:instrText xml:space="preserve"> ADDIN EN.CITE &lt;EndNote&gt;&lt;Cite&gt;&lt;Author&gt;Sun&lt;/Author&gt;&lt;Year&gt;2010&lt;/Year&gt;&lt;IDText&gt;A metazoan ortholog of SpoT hydrolyzes ppGpp and functions in starvation responses&lt;/IDText&gt;&lt;DisplayText&gt;(Sun&lt;style face="italic"&gt; et al.&lt;/style&gt;, 2010)&lt;/DisplayText&gt;&lt;record&gt;&lt;dates&gt;&lt;pub-dates&gt;&lt;date&gt;Oct&lt;/date&gt;&lt;/pub-dates&gt;&lt;year&gt;2010&lt;/year&gt;&lt;/dates&gt;&lt;urls&gt;&lt;related-urls&gt;&lt;url&gt;&amp;lt;Go to ISI&amp;gt;://WOS:000282563600007&lt;/url&gt;&lt;/related-urls&gt;&lt;/urls&gt;&lt;isbn&gt;1545-9993&lt;/isbn&gt;&lt;titles&gt;&lt;title&gt;A metazoan ortholog of SpoT hydrolyzes ppGpp and functions in starvation responses&lt;/title&gt;&lt;secondary-title&gt;Nature Structural &amp;amp; Molecular Biology&lt;/secondary-title&gt;&lt;/titles&gt;&lt;pages&gt;1188-+&lt;/pages&gt;&lt;number&gt;10&lt;/number&gt;&lt;contributors&gt;&lt;authors&gt;&lt;author&gt;Sun, Dawei&lt;/author&gt;&lt;author&gt;Lee, Gina&lt;/author&gt;&lt;author&gt;Lee, Jun Hee&lt;/author&gt;&lt;author&gt;Kim, Hye-Yeon&lt;/author&gt;&lt;author&gt;Rhee, Hyun-Woo&lt;/author&gt;&lt;author&gt;Park, Seung-Yeol&lt;/author&gt;&lt;author&gt;Kim, Kyung-Jin&lt;/author&gt;&lt;author&gt;Kim, Yongsung&lt;/author&gt;&lt;author&gt;Kim, Bo Yeon&lt;/author&gt;&lt;author&gt;Hong, Jong-In&lt;/author&gt;&lt;author&gt;Park, Chankyu&lt;/author&gt;&lt;author&gt;Choy, Hyon E.&lt;/author&gt;&lt;author&gt;Kim, Jung Hoe&lt;/author&gt;&lt;author&gt;Jeon, Young Ho&lt;/author&gt;&lt;author&gt;Chung, Jongkyeong&lt;/author&gt;&lt;/authors&gt;&lt;/contributors&gt;&lt;added-date format="utc"&gt;1663626201&lt;/added-date&gt;&lt;ref-type name="Journal Article"&gt;17&lt;/ref-type&gt;&lt;rec-number&gt;159&lt;/rec-number&gt;&lt;last-updated-date format="utc"&gt;1664027853&lt;/last-updated-date&gt;&lt;accession-num&gt;WOS:000282563600007&lt;/accession-num&gt;&lt;electronic-resource-num&gt;10.1038/nsmb.1906&lt;/electronic-resource-num&gt;&lt;volume&gt;17&lt;/volume&gt;&lt;/record&gt;&lt;/Cite&gt;&lt;/EndNote&gt;</w:instrText>
      </w:r>
      <w:r w:rsidRPr="004C4D5F">
        <w:rPr>
          <w:rFonts w:ascii="Times New Roman" w:hAnsi="Times New Roman" w:cs="Times New Roman"/>
          <w:b/>
          <w:bCs/>
        </w:rPr>
        <w:fldChar w:fldCharType="separate"/>
      </w:r>
      <w:r w:rsidRPr="004C4D5F">
        <w:rPr>
          <w:rFonts w:ascii="Times New Roman" w:hAnsi="Times New Roman" w:cs="Times New Roman"/>
          <w:b/>
          <w:bCs/>
          <w:noProof/>
        </w:rPr>
        <w:t>(Sun</w:t>
      </w:r>
      <w:r w:rsidRPr="004C4D5F">
        <w:rPr>
          <w:rFonts w:ascii="Times New Roman" w:hAnsi="Times New Roman" w:cs="Times New Roman"/>
          <w:b/>
          <w:bCs/>
          <w:i/>
          <w:noProof/>
        </w:rPr>
        <w:t xml:space="preserve"> et al.</w:t>
      </w:r>
      <w:r w:rsidRPr="004C4D5F">
        <w:rPr>
          <w:rFonts w:ascii="Times New Roman" w:hAnsi="Times New Roman" w:cs="Times New Roman"/>
          <w:b/>
          <w:bCs/>
          <w:noProof/>
        </w:rPr>
        <w:t>, 2010)</w:t>
      </w:r>
      <w:r w:rsidRPr="004C4D5F">
        <w:rPr>
          <w:rFonts w:ascii="Times New Roman" w:hAnsi="Times New Roman" w:cs="Times New Roman"/>
          <w:b/>
          <w:bCs/>
        </w:rPr>
        <w:fldChar w:fldCharType="end"/>
      </w:r>
      <w:r w:rsidRPr="004C4D5F">
        <w:rPr>
          <w:rFonts w:ascii="Times New Roman" w:hAnsi="Times New Roman" w:cs="Times New Roman"/>
        </w:rPr>
        <w:t>. M</w:t>
      </w:r>
      <w:r>
        <w:rPr>
          <w:rFonts w:ascii="Times New Roman" w:hAnsi="Times New Roman" w:cs="Times New Roman"/>
        </w:rPr>
        <w:t>ESH</w:t>
      </w:r>
      <w:r w:rsidRPr="004C4D5F">
        <w:rPr>
          <w:rFonts w:ascii="Times New Roman" w:hAnsi="Times New Roman" w:cs="Times New Roman"/>
        </w:rPr>
        <w:t xml:space="preserve">1 </w:t>
      </w:r>
      <w:r>
        <w:rPr>
          <w:rFonts w:ascii="Times New Roman" w:hAnsi="Times New Roman" w:cs="Times New Roman"/>
        </w:rPr>
        <w:t xml:space="preserve">was </w:t>
      </w:r>
      <w:r w:rsidRPr="004C4D5F">
        <w:rPr>
          <w:rFonts w:ascii="Times New Roman" w:hAnsi="Times New Roman" w:cs="Times New Roman"/>
        </w:rPr>
        <w:t xml:space="preserve">also found </w:t>
      </w:r>
      <w:r w:rsidR="00ED22AC">
        <w:rPr>
          <w:rFonts w:ascii="Times New Roman" w:hAnsi="Times New Roman" w:cs="Times New Roman"/>
        </w:rPr>
        <w:t xml:space="preserve">in </w:t>
      </w:r>
      <w:r w:rsidRPr="004C4D5F">
        <w:rPr>
          <w:rFonts w:ascii="Times New Roman" w:hAnsi="Times New Roman" w:cs="Times New Roman"/>
        </w:rPr>
        <w:t xml:space="preserve">plant chloroplasts, but alongside </w:t>
      </w:r>
      <w:r>
        <w:rPr>
          <w:rFonts w:ascii="Times New Roman" w:hAnsi="Times New Roman" w:cs="Times New Roman"/>
        </w:rPr>
        <w:t xml:space="preserve">a </w:t>
      </w:r>
      <w:r w:rsidRPr="004C4D5F">
        <w:rPr>
          <w:rFonts w:ascii="Times New Roman" w:hAnsi="Times New Roman" w:cs="Times New Roman"/>
        </w:rPr>
        <w:t xml:space="preserve">long RSH </w:t>
      </w:r>
      <w:r w:rsidRPr="004C4D5F">
        <w:rPr>
          <w:rFonts w:ascii="Times New Roman" w:hAnsi="Times New Roman" w:cs="Times New Roman"/>
          <w:b/>
          <w:bCs/>
        </w:rPr>
        <w:fldChar w:fldCharType="begin"/>
      </w:r>
      <w:r w:rsidRPr="004C4D5F">
        <w:rPr>
          <w:rFonts w:ascii="Times New Roman" w:hAnsi="Times New Roman" w:cs="Times New Roman"/>
          <w:b/>
          <w:bCs/>
        </w:rPr>
        <w:instrText xml:space="preserve"> ADDIN EN.CITE &lt;EndNote&gt;&lt;Cite&gt;&lt;Author&gt;Tozawa&lt;/Author&gt;&lt;Year&gt;2011&lt;/Year&gt;&lt;IDText&gt;Signalling by the global regulatory molecule ppGpp in bacteria and chloroplasts of land plants&lt;/IDText&gt;&lt;DisplayText&gt;(Tozawa and Nomura, 2011)&lt;/DisplayText&gt;&lt;record&gt;&lt;dates&gt;&lt;pub-dates&gt;&lt;date&gt;Sep&lt;/date&gt;&lt;/pub-dates&gt;&lt;year&gt;2011&lt;/year&gt;&lt;/dates&gt;&lt;urls&gt;&lt;related-urls&gt;&lt;url&gt;&amp;lt;Go to ISI&amp;gt;://WOS:000293564300001&lt;/url&gt;&lt;/related-urls&gt;&lt;/urls&gt;&lt;isbn&gt;1435-8603&lt;/isbn&gt;&lt;titles&gt;&lt;title&gt;Signalling by the global regulatory molecule ppGpp in bacteria and chloroplasts of land plants&lt;/title&gt;&lt;secondary-title&gt;Plant Biology&lt;/secondary-title&gt;&lt;/titles&gt;&lt;pages&gt;699-709&lt;/pages&gt;&lt;number&gt;5&lt;/number&gt;&lt;contributors&gt;&lt;authors&gt;&lt;author&gt;Tozawa, Y.&lt;/author&gt;&lt;author&gt;Nomura, Y.&lt;/author&gt;&lt;/authors&gt;&lt;/contributors&gt;&lt;added-date format="utc"&gt;1663621981&lt;/added-date&gt;&lt;ref-type name="Journal Article"&gt;17&lt;/ref-type&gt;&lt;rec-number&gt;111&lt;/rec-number&gt;&lt;last-updated-date format="utc"&gt;1663624413&lt;/last-updated-date&gt;&lt;accession-num&gt;WOS:000293564300001&lt;/accession-num&gt;&lt;electronic-resource-num&gt;10.1111/j.1438-8677.2011.00484.x&lt;/electronic-resource-num&gt;&lt;volume&gt;13&lt;/volume&gt;&lt;/record&gt;&lt;/Cite&gt;&lt;/EndNote&gt;</w:instrText>
      </w:r>
      <w:r w:rsidRPr="004C4D5F">
        <w:rPr>
          <w:rFonts w:ascii="Times New Roman" w:hAnsi="Times New Roman" w:cs="Times New Roman"/>
          <w:b/>
          <w:bCs/>
        </w:rPr>
        <w:fldChar w:fldCharType="separate"/>
      </w:r>
      <w:r w:rsidRPr="004C4D5F">
        <w:rPr>
          <w:rFonts w:ascii="Times New Roman" w:hAnsi="Times New Roman" w:cs="Times New Roman"/>
          <w:b/>
          <w:bCs/>
          <w:noProof/>
        </w:rPr>
        <w:t>(Tozawa and Nomura, 2011)</w:t>
      </w:r>
      <w:r w:rsidRPr="004C4D5F">
        <w:rPr>
          <w:rFonts w:ascii="Times New Roman" w:hAnsi="Times New Roman" w:cs="Times New Roman"/>
          <w:b/>
          <w:bCs/>
        </w:rPr>
        <w:fldChar w:fldCharType="end"/>
      </w:r>
      <w:r>
        <w:rPr>
          <w:rFonts w:ascii="Times New Roman" w:hAnsi="Times New Roman" w:cs="Times New Roman"/>
        </w:rPr>
        <w:t>. H</w:t>
      </w:r>
      <w:r w:rsidRPr="004C4D5F">
        <w:rPr>
          <w:rFonts w:ascii="Times New Roman" w:hAnsi="Times New Roman" w:cs="Times New Roman"/>
        </w:rPr>
        <w:t xml:space="preserve">umans and </w:t>
      </w:r>
      <w:r w:rsidRPr="004C4D5F">
        <w:rPr>
          <w:rFonts w:ascii="Times New Roman" w:hAnsi="Times New Roman" w:cs="Times New Roman"/>
          <w:i/>
          <w:iCs/>
        </w:rPr>
        <w:t xml:space="preserve">D. melanogaster </w:t>
      </w:r>
      <w:r w:rsidRPr="004C4D5F">
        <w:rPr>
          <w:rFonts w:ascii="Times New Roman" w:hAnsi="Times New Roman" w:cs="Times New Roman"/>
        </w:rPr>
        <w:t>are not known to possess enzymes with a SYNTH domain</w:t>
      </w:r>
      <w:r>
        <w:rPr>
          <w:rFonts w:ascii="Times New Roman" w:hAnsi="Times New Roman" w:cs="Times New Roman"/>
        </w:rPr>
        <w:t xml:space="preserve"> </w:t>
      </w:r>
      <w:r w:rsidRPr="004C4D5F">
        <w:rPr>
          <w:rFonts w:ascii="Times New Roman" w:hAnsi="Times New Roman" w:cs="Times New Roman"/>
          <w:b/>
          <w:bCs/>
        </w:rPr>
        <w:fldChar w:fldCharType="begin"/>
      </w:r>
      <w:r w:rsidRPr="004C4D5F">
        <w:rPr>
          <w:rFonts w:ascii="Times New Roman" w:hAnsi="Times New Roman" w:cs="Times New Roman"/>
          <w:b/>
          <w:bCs/>
        </w:rPr>
        <w:instrText xml:space="preserve"> ADDIN EN.CITE &lt;EndNote&gt;&lt;Cite&gt;&lt;Author&gt;Sun&lt;/Author&gt;&lt;Year&gt;2010&lt;/Year&gt;&lt;IDText&gt;A metazoan ortholog of SpoT hydrolyzes ppGpp and functions in starvation responses&lt;/IDText&gt;&lt;DisplayText&gt;(Sun&lt;style face="italic"&gt; et al.&lt;/style&gt;, 2010)&lt;/DisplayText&gt;&lt;record&gt;&lt;dates&gt;&lt;pub-dates&gt;&lt;date&gt;Oct&lt;/date&gt;&lt;/pub-dates&gt;&lt;year&gt;2010&lt;/year&gt;&lt;/dates&gt;&lt;urls&gt;&lt;related-urls&gt;&lt;url&gt;&amp;lt;Go to ISI&amp;gt;://WOS:000282563600007&lt;/url&gt;&lt;/related-urls&gt;&lt;/urls&gt;&lt;isbn&gt;1545-9993&lt;/isbn&gt;&lt;titles&gt;&lt;title&gt;A metazoan ortholog of SpoT hydrolyzes ppGpp and functions in starvation responses&lt;/title&gt;&lt;secondary-title&gt;Nature Structural &amp;amp; Molecular Biology&lt;/secondary-title&gt;&lt;/titles&gt;&lt;pages&gt;1188-+&lt;/pages&gt;&lt;number&gt;10&lt;/number&gt;&lt;contributors&gt;&lt;authors&gt;&lt;author&gt;Sun, Dawei&lt;/author&gt;&lt;author&gt;Lee, Gina&lt;/author&gt;&lt;author&gt;Lee, Jun Hee&lt;/author&gt;&lt;author&gt;Kim, Hye-Yeon&lt;/author&gt;&lt;author&gt;Rhee, Hyun-Woo&lt;/author&gt;&lt;author&gt;Park, Seung-Yeol&lt;/author&gt;&lt;author&gt;Kim, Kyung-Jin&lt;/author&gt;&lt;author&gt;Kim, Yongsung&lt;/author&gt;&lt;author&gt;Kim, Bo Yeon&lt;/author&gt;&lt;author&gt;Hong, Jong-In&lt;/author&gt;&lt;author&gt;Park, Chankyu&lt;/author&gt;&lt;author&gt;Choy, Hyon E.&lt;/author&gt;&lt;author&gt;Kim, Jung Hoe&lt;/author&gt;&lt;author&gt;Jeon, Young Ho&lt;/author&gt;&lt;author&gt;Chung, Jongkyeong&lt;/author&gt;&lt;/authors&gt;&lt;/contributors&gt;&lt;added-date format="utc"&gt;1663626201&lt;/added-date&gt;&lt;ref-type name="Journal Article"&gt;17&lt;/ref-type&gt;&lt;rec-number&gt;159&lt;/rec-number&gt;&lt;last-updated-date format="utc"&gt;1664027853&lt;/last-updated-date&gt;&lt;accession-num&gt;WOS:000282563600007&lt;/accession-num&gt;&lt;electronic-resource-num&gt;10.1038/nsmb.1906&lt;/electronic-resource-num&gt;&lt;volume&gt;17&lt;/volume&gt;&lt;/record&gt;&lt;/Cite&gt;&lt;/EndNote&gt;</w:instrText>
      </w:r>
      <w:r w:rsidRPr="004C4D5F">
        <w:rPr>
          <w:rFonts w:ascii="Times New Roman" w:hAnsi="Times New Roman" w:cs="Times New Roman"/>
          <w:b/>
          <w:bCs/>
        </w:rPr>
        <w:fldChar w:fldCharType="separate"/>
      </w:r>
      <w:r w:rsidRPr="004C4D5F">
        <w:rPr>
          <w:rFonts w:ascii="Times New Roman" w:hAnsi="Times New Roman" w:cs="Times New Roman"/>
          <w:b/>
          <w:bCs/>
          <w:noProof/>
        </w:rPr>
        <w:t>(Sun</w:t>
      </w:r>
      <w:r w:rsidRPr="004C4D5F">
        <w:rPr>
          <w:rFonts w:ascii="Times New Roman" w:hAnsi="Times New Roman" w:cs="Times New Roman"/>
          <w:b/>
          <w:bCs/>
          <w:i/>
          <w:noProof/>
        </w:rPr>
        <w:t xml:space="preserve"> et al.</w:t>
      </w:r>
      <w:r w:rsidRPr="004C4D5F">
        <w:rPr>
          <w:rFonts w:ascii="Times New Roman" w:hAnsi="Times New Roman" w:cs="Times New Roman"/>
          <w:b/>
          <w:bCs/>
          <w:noProof/>
        </w:rPr>
        <w:t>, 2010)</w:t>
      </w:r>
      <w:r w:rsidRPr="004C4D5F">
        <w:rPr>
          <w:rFonts w:ascii="Times New Roman" w:hAnsi="Times New Roman" w:cs="Times New Roman"/>
          <w:b/>
          <w:bCs/>
        </w:rPr>
        <w:fldChar w:fldCharType="end"/>
      </w:r>
      <w:r>
        <w:rPr>
          <w:rFonts w:ascii="Times New Roman" w:hAnsi="Times New Roman" w:cs="Times New Roman"/>
        </w:rPr>
        <w:t xml:space="preserve"> and thus </w:t>
      </w:r>
      <w:r w:rsidRPr="004C4D5F">
        <w:rPr>
          <w:rFonts w:ascii="Times New Roman" w:hAnsi="Times New Roman" w:cs="Times New Roman"/>
        </w:rPr>
        <w:t xml:space="preserve">the function of </w:t>
      </w:r>
      <w:r>
        <w:rPr>
          <w:rFonts w:ascii="Times New Roman" w:hAnsi="Times New Roman" w:cs="Times New Roman"/>
        </w:rPr>
        <w:t xml:space="preserve">MESH1 in these species </w:t>
      </w:r>
      <w:r w:rsidRPr="004C4D5F">
        <w:rPr>
          <w:rFonts w:ascii="Times New Roman" w:hAnsi="Times New Roman" w:cs="Times New Roman"/>
        </w:rPr>
        <w:t xml:space="preserve">in relation to (p)ppGpp is unknown. </w:t>
      </w:r>
      <w:r>
        <w:rPr>
          <w:rFonts w:ascii="Times New Roman" w:hAnsi="Times New Roman" w:cs="Times New Roman"/>
        </w:rPr>
        <w:t>However, human MESH1 has been recently identified as an NADPH phosphatase and was involved in regulating iron accumulation-mediated programmed cell death (ferroptosis</w:t>
      </w:r>
      <w:r w:rsidRPr="002F03CF">
        <w:rPr>
          <w:rFonts w:ascii="Times New Roman" w:hAnsi="Times New Roman" w:cs="Times New Roman"/>
          <w:b/>
          <w:bCs/>
        </w:rPr>
        <w:t xml:space="preserve">) </w:t>
      </w:r>
      <w:r w:rsidRPr="002F03CF">
        <w:rPr>
          <w:rFonts w:ascii="Times New Roman" w:hAnsi="Times New Roman" w:cs="Times New Roman"/>
          <w:b/>
          <w:bCs/>
        </w:rPr>
        <w:fldChar w:fldCharType="begin"/>
      </w:r>
      <w:r w:rsidRPr="002F03CF">
        <w:rPr>
          <w:rFonts w:ascii="Times New Roman" w:hAnsi="Times New Roman" w:cs="Times New Roman"/>
          <w:b/>
          <w:bCs/>
        </w:rPr>
        <w:instrText xml:space="preserve"> ADDIN EN.CITE &lt;EndNote&gt;&lt;Cite&gt;&lt;Author&gt;Ding&lt;/Author&gt;&lt;Year&gt;2020&lt;/Year&gt;&lt;IDText&gt;MESH1 is a cytosolic NADPH phosphatase that regulates ferroptosis&lt;/IDText&gt;&lt;DisplayText&gt;(Ding&lt;style face="italic"&gt; et al.&lt;/style&gt;, 2020)&lt;/DisplayText&gt;&lt;record&gt;&lt;dates&gt;&lt;pub-dates&gt;&lt;date&gt;Mar&lt;/date&gt;&lt;/pub-dates&gt;&lt;year&gt;2020&lt;/year&gt;&lt;/dates&gt;&lt;urls&gt;&lt;related-urls&gt;&lt;url&gt;&amp;lt;Go to ISI&amp;gt;://WOS:000524741800011&lt;/url&gt;&lt;/related-urls&gt;&lt;/urls&gt;&lt;work-type&gt;Article&lt;/work-type&gt;&lt;titles&gt;&lt;title&gt;MESH1 is a cytosolic NADPH phosphatase that regulates ferroptosis&lt;/title&gt;&lt;secondary-title&gt;Nature Metabolism&lt;/secondary-title&gt;&lt;/titles&gt;&lt;pages&gt;270-+&lt;/pages&gt;&lt;number&gt;3&lt;/number&gt;&lt;contributors&gt;&lt;authors&gt;&lt;author&gt;Ding, Chien-Kuang Cornelia&lt;/author&gt;&lt;author&gt;Rose, Joshua&lt;/author&gt;&lt;author&gt;Sun, Tianai&lt;/author&gt;&lt;author&gt;Wu, Jianli&lt;/author&gt;&lt;author&gt;Chen, Po-Han&lt;/author&gt;&lt;author&gt;Lin, Chao-Chieh&lt;/author&gt;&lt;author&gt;Yang, Wen-Hsuan&lt;/author&gt;&lt;author&gt;Chen, Kai-Yuan&lt;/author&gt;&lt;author&gt;Lee, Hana&lt;/author&gt;&lt;author&gt;Xu, Emily&lt;/author&gt;&lt;author&gt;Tian, Sarah&lt;/author&gt;&lt;author&gt;Akinwuntan, Jadesola&lt;/author&gt;&lt;author&gt;Zhao, Jinshi&lt;/author&gt;&lt;author&gt;Guan, Ziqiang&lt;/author&gt;&lt;author&gt;Zhou, Pei&lt;/author&gt;&lt;author&gt;Chi, Jen-Tsan&lt;/author&gt;&lt;/authors&gt;&lt;/contributors&gt;&lt;added-date format="utc"&gt;1677891132&lt;/added-date&gt;&lt;ref-type name="Journal Article"&gt;17&lt;/ref-type&gt;&lt;rec-number&gt;696&lt;/rec-number&gt;&lt;last-updated-date format="utc"&gt;1677891132&lt;/last-updated-date&gt;&lt;accession-num&gt;WOS:000524741800011&lt;/accession-num&gt;&lt;electronic-resource-num&gt;10.1038/s42255-020-0181-1&lt;/electronic-resource-num&gt;&lt;volume&gt;2&lt;/volume&gt;&lt;/record&gt;&lt;/Cite&gt;&lt;/EndNote&gt;</w:instrText>
      </w:r>
      <w:r w:rsidRPr="002F03CF">
        <w:rPr>
          <w:rFonts w:ascii="Times New Roman" w:hAnsi="Times New Roman" w:cs="Times New Roman"/>
          <w:b/>
          <w:bCs/>
        </w:rPr>
        <w:fldChar w:fldCharType="separate"/>
      </w:r>
      <w:r w:rsidRPr="002F03CF">
        <w:rPr>
          <w:rFonts w:ascii="Times New Roman" w:hAnsi="Times New Roman" w:cs="Times New Roman"/>
          <w:b/>
          <w:bCs/>
          <w:noProof/>
        </w:rPr>
        <w:t>(Ding</w:t>
      </w:r>
      <w:r w:rsidRPr="002F03CF">
        <w:rPr>
          <w:rFonts w:ascii="Times New Roman" w:hAnsi="Times New Roman" w:cs="Times New Roman"/>
          <w:b/>
          <w:bCs/>
          <w:i/>
          <w:noProof/>
        </w:rPr>
        <w:t xml:space="preserve"> et al.</w:t>
      </w:r>
      <w:r w:rsidRPr="002F03CF">
        <w:rPr>
          <w:rFonts w:ascii="Times New Roman" w:hAnsi="Times New Roman" w:cs="Times New Roman"/>
          <w:b/>
          <w:bCs/>
          <w:noProof/>
        </w:rPr>
        <w:t>, 2020)</w:t>
      </w:r>
      <w:r w:rsidRPr="002F03CF">
        <w:rPr>
          <w:rFonts w:ascii="Times New Roman" w:hAnsi="Times New Roman" w:cs="Times New Roman"/>
          <w:b/>
          <w:bCs/>
        </w:rPr>
        <w:fldChar w:fldCharType="end"/>
      </w:r>
      <w:r>
        <w:rPr>
          <w:rFonts w:ascii="Times New Roman" w:hAnsi="Times New Roman" w:cs="Times New Roman"/>
        </w:rPr>
        <w:t>. This suggests that MESH1 may have a broad substrate specificity</w:t>
      </w:r>
      <w:r w:rsidRPr="003004CC">
        <w:rPr>
          <w:rFonts w:ascii="Times New Roman" w:hAnsi="Times New Roman" w:cs="Times New Roman"/>
          <w:b/>
          <w:bCs/>
        </w:rPr>
        <w:t xml:space="preserve"> </w:t>
      </w:r>
      <w:r w:rsidRPr="003004CC">
        <w:rPr>
          <w:rFonts w:ascii="Times New Roman" w:hAnsi="Times New Roman" w:cs="Times New Roman"/>
          <w:b/>
          <w:bCs/>
        </w:rPr>
        <w:fldChar w:fldCharType="begin"/>
      </w:r>
      <w:r w:rsidRPr="003004CC">
        <w:rPr>
          <w:rFonts w:ascii="Times New Roman" w:hAnsi="Times New Roman" w:cs="Times New Roman"/>
          <w:b/>
          <w:bCs/>
        </w:rPr>
        <w:instrText xml:space="preserve"> ADDIN EN.CITE &lt;EndNote&gt;&lt;Cite&gt;&lt;Author&gt;Irving&lt;/Author&gt;&lt;Year&gt;2021&lt;/Year&gt;&lt;IDText&gt;The stringent response and physiological roles of (pp)pGpp in bacteria&lt;/IDText&gt;&lt;DisplayText&gt;(Irving, Choudhury and Corrigan, 2021)&lt;/DisplayText&gt;&lt;record&gt;&lt;dates&gt;&lt;pub-dates&gt;&lt;date&gt;Apr&lt;/date&gt;&lt;/pub-dates&gt;&lt;year&gt;2021&lt;/year&gt;&lt;/dates&gt;&lt;urls&gt;&lt;related-urls&gt;&lt;url&gt;&amp;lt;Go to ISI&amp;gt;://WOS:000585814900001&lt;/url&gt;&lt;/related-urls&gt;&lt;/urls&gt;&lt;isbn&gt;1740-1526&lt;/isbn&gt;&lt;titles&gt;&lt;title&gt;The stringent response and physiological roles of (pp)pGpp in bacteria&lt;/title&gt;&lt;secondary-title&gt;Nature Reviews Microbiology&lt;/secondary-title&gt;&lt;/titles&gt;&lt;pages&gt;256-271&lt;/pages&gt;&lt;number&gt;4&lt;/number&gt;&lt;contributors&gt;&lt;authors&gt;&lt;author&gt;Irving, Sophie E.&lt;/author&gt;&lt;author&gt;Choudhury, Naznin R.&lt;/author&gt;&lt;author&gt;Corrigan, Rebecca M.&lt;/author&gt;&lt;/authors&gt;&lt;/contributors&gt;&lt;added-date format="utc"&gt;1663624283&lt;/added-date&gt;&lt;ref-type name="Journal Article"&gt;17&lt;/ref-type&gt;&lt;rec-number&gt;145&lt;/rec-number&gt;&lt;last-updated-date format="utc"&gt;1663624413&lt;/last-updated-date&gt;&lt;accession-num&gt;WOS:000585814900001&lt;/accession-num&gt;&lt;electronic-resource-num&gt;10.1038/s41579-020-00470-y&lt;/electronic-resource-num&gt;&lt;volume&gt;19&lt;/volume&gt;&lt;/record&gt;&lt;/Cite&gt;&lt;/EndNote&gt;</w:instrText>
      </w:r>
      <w:r w:rsidRPr="003004CC">
        <w:rPr>
          <w:rFonts w:ascii="Times New Roman" w:hAnsi="Times New Roman" w:cs="Times New Roman"/>
          <w:b/>
          <w:bCs/>
        </w:rPr>
        <w:fldChar w:fldCharType="separate"/>
      </w:r>
      <w:r w:rsidRPr="003004CC">
        <w:rPr>
          <w:rFonts w:ascii="Times New Roman" w:hAnsi="Times New Roman" w:cs="Times New Roman"/>
          <w:b/>
          <w:bCs/>
          <w:noProof/>
        </w:rPr>
        <w:t>(Irving, Choudhury and Corrigan, 2021)</w:t>
      </w:r>
      <w:r w:rsidRPr="003004CC">
        <w:rPr>
          <w:rFonts w:ascii="Times New Roman" w:hAnsi="Times New Roman" w:cs="Times New Roman"/>
          <w:b/>
          <w:bCs/>
        </w:rPr>
        <w:fldChar w:fldCharType="end"/>
      </w:r>
      <w:r>
        <w:rPr>
          <w:rFonts w:ascii="Times New Roman" w:hAnsi="Times New Roman" w:cs="Times New Roman"/>
        </w:rPr>
        <w:t xml:space="preserve">. While seven subgroups of possible SAH have been identified by bioinformatic analyses </w:t>
      </w:r>
      <w:r w:rsidRPr="003004CC">
        <w:rPr>
          <w:rFonts w:ascii="Times New Roman" w:hAnsi="Times New Roman" w:cs="Times New Roman"/>
          <w:b/>
          <w:bCs/>
        </w:rPr>
        <w:fldChar w:fldCharType="begin"/>
      </w:r>
      <w:r w:rsidRPr="003004CC">
        <w:rPr>
          <w:rFonts w:ascii="Times New Roman" w:hAnsi="Times New Roman" w:cs="Times New Roman"/>
          <w:b/>
          <w:bCs/>
        </w:rPr>
        <w:instrText xml:space="preserve"> ADDIN EN.CITE &lt;EndNote&gt;&lt;Cite&gt;&lt;Author&gt;Atkinson&lt;/Author&gt;&lt;Year&gt;2011&lt;/Year&gt;&lt;IDText&gt;The RelA/SpoT Homolog (RSH) Superfamily: Distribution and Functional Evolution of ppGpp Synthetases and Hydrolases across the Tree of Life&lt;/IDText&gt;&lt;DisplayText&gt;(Atkinson, Tenson and Hauryliuk, 2011)&lt;/DisplayText&gt;&lt;record&gt;&lt;dates&gt;&lt;pub-dates&gt;&lt;date&gt;Aug&lt;/date&gt;&lt;/pub-dates&gt;&lt;year&gt;2011&lt;/year&gt;&lt;/dates&gt;&lt;urls&gt;&lt;related-urls&gt;&lt;url&gt;&amp;lt;Go to ISI&amp;gt;://WOS:000293774300036&lt;/url&gt;&lt;/related-urls&gt;&lt;/urls&gt;&lt;isbn&gt;1932-6203&lt;/isbn&gt;&lt;titles&gt;&lt;title&gt;The RelA/SpoT Homolog (RSH) Superfamily: Distribution and Functional Evolution of ppGpp Synthetases and Hydrolases across the Tree of Life&lt;/title&gt;&lt;secondary-title&gt;Plos One&lt;/secondary-title&gt;&lt;/titles&gt;&lt;number&gt;8&lt;/number&gt;&lt;contributors&gt;&lt;authors&gt;&lt;author&gt;Atkinson, G. C.&lt;/author&gt;&lt;author&gt;Tenson, T.&lt;/author&gt;&lt;author&gt;Hauryliuk, V.&lt;/author&gt;&lt;/authors&gt;&lt;/contributors&gt;&lt;custom7&gt;e23479&lt;/custom7&gt;&lt;added-date format="utc"&gt;1677781575&lt;/added-date&gt;&lt;ref-type name="Journal Article"&gt;17&lt;/ref-type&gt;&lt;rec-number&gt;659&lt;/rec-number&gt;&lt;last-updated-date format="utc"&gt;1677781575&lt;/last-updated-date&gt;&lt;accession-num&gt;WOS:000293774300036&lt;/accession-num&gt;&lt;electronic-resource-num&gt;10.1371/journal.pone.0023479&lt;/electronic-resource-num&gt;&lt;volume&gt;6&lt;/volume&gt;&lt;/record&gt;&lt;/Cite&gt;&lt;/EndNote&gt;</w:instrText>
      </w:r>
      <w:r w:rsidRPr="003004CC">
        <w:rPr>
          <w:rFonts w:ascii="Times New Roman" w:hAnsi="Times New Roman" w:cs="Times New Roman"/>
          <w:b/>
          <w:bCs/>
        </w:rPr>
        <w:fldChar w:fldCharType="separate"/>
      </w:r>
      <w:r w:rsidRPr="003004CC">
        <w:rPr>
          <w:rFonts w:ascii="Times New Roman" w:hAnsi="Times New Roman" w:cs="Times New Roman"/>
          <w:b/>
          <w:bCs/>
          <w:noProof/>
        </w:rPr>
        <w:t>(Atkinson, Tenson and Hauryliuk, 2011)</w:t>
      </w:r>
      <w:r w:rsidRPr="003004CC">
        <w:rPr>
          <w:rFonts w:ascii="Times New Roman" w:hAnsi="Times New Roman" w:cs="Times New Roman"/>
          <w:b/>
          <w:bCs/>
        </w:rPr>
        <w:fldChar w:fldCharType="end"/>
      </w:r>
      <w:r>
        <w:rPr>
          <w:rFonts w:ascii="Times New Roman" w:hAnsi="Times New Roman" w:cs="Times New Roman"/>
        </w:rPr>
        <w:t xml:space="preserve">, an SAH has been characterised in </w:t>
      </w:r>
      <w:r>
        <w:rPr>
          <w:rFonts w:ascii="Times New Roman" w:hAnsi="Times New Roman" w:cs="Times New Roman"/>
          <w:i/>
          <w:iCs/>
        </w:rPr>
        <w:t>C. glutamicum</w:t>
      </w:r>
      <w:r>
        <w:rPr>
          <w:rFonts w:ascii="Times New Roman" w:hAnsi="Times New Roman" w:cs="Times New Roman"/>
        </w:rPr>
        <w:t>, named RelH</w:t>
      </w:r>
      <w:r>
        <w:rPr>
          <w:rFonts w:ascii="Times New Roman" w:hAnsi="Times New Roman" w:cs="Times New Roman"/>
          <w:i/>
          <w:iCs/>
        </w:rPr>
        <w:t xml:space="preserve"> </w:t>
      </w:r>
      <w:r w:rsidRPr="004C4D5F">
        <w:rPr>
          <w:rFonts w:ascii="Times New Roman" w:hAnsi="Times New Roman" w:cs="Times New Roman"/>
          <w:b/>
          <w:bCs/>
        </w:rPr>
        <w:fldChar w:fldCharType="begin"/>
      </w:r>
      <w:r w:rsidRPr="004C4D5F">
        <w:rPr>
          <w:rFonts w:ascii="Times New Roman" w:hAnsi="Times New Roman" w:cs="Times New Roman"/>
          <w:b/>
          <w:bCs/>
        </w:rPr>
        <w:instrText xml:space="preserve"> ADDIN EN.CITE &lt;EndNote&gt;&lt;Cite&gt;&lt;Author&gt;Ruwe&lt;/Author&gt;&lt;Year&gt;2018&lt;/Year&gt;&lt;IDText&gt;Functional Characterization of a Small Alarmone Hydrolase in Corynebacterium glutamicum&lt;/IDText&gt;&lt;DisplayText&gt;(Ruwe&lt;style face="italic"&gt; et al.&lt;/style&gt;, 2018)&lt;/DisplayText&gt;&lt;record&gt;&lt;dates&gt;&lt;pub-dates&gt;&lt;date&gt;May 9&lt;/date&gt;&lt;/pub-dates&gt;&lt;year&gt;2018&lt;/year&gt;&lt;/dates&gt;&lt;urls&gt;&lt;related-urls&gt;&lt;url&gt;&amp;lt;Go to ISI&amp;gt;://WOS:000431765800001&lt;/url&gt;&lt;/related-urls&gt;&lt;/urls&gt;&lt;isbn&gt;1664-302X&lt;/isbn&gt;&lt;work-type&gt;Article&lt;/work-type&gt;&lt;titles&gt;&lt;title&gt;Functional Characterization of a Small Alarmone Hydrolase in Corynebacterium glutamicum&lt;/title&gt;&lt;secondary-title&gt;Frontiers in Microbiology&lt;/secondary-title&gt;&lt;/titles&gt;&lt;contributors&gt;&lt;authors&gt;&lt;author&gt;Ruwe, Matthias&lt;/author&gt;&lt;author&gt;Rueckert, Christian&lt;/author&gt;&lt;author&gt;Kalinowski, Joern&lt;/author&gt;&lt;author&gt;Persicke, Marcus&lt;/author&gt;&lt;/authors&gt;&lt;/contributors&gt;&lt;custom7&gt;916&lt;/custom7&gt;&lt;added-date format="utc"&gt;1677890679&lt;/added-date&gt;&lt;ref-type name="Journal Article"&gt;17&lt;/ref-type&gt;&lt;rec-number&gt;695&lt;/rec-number&gt;&lt;last-updated-date format="utc"&gt;1677890679&lt;/last-updated-date&gt;&lt;accession-num&gt;WOS:000431765800001&lt;/accession-num&gt;&lt;electronic-resource-num&gt;10.3389/fmicb.2018.00916&lt;/electronic-resource-num&gt;&lt;volume&gt;9&lt;/volume&gt;&lt;/record&gt;&lt;/Cite&gt;&lt;/EndNote&gt;</w:instrText>
      </w:r>
      <w:r w:rsidRPr="004C4D5F">
        <w:rPr>
          <w:rFonts w:ascii="Times New Roman" w:hAnsi="Times New Roman" w:cs="Times New Roman"/>
          <w:b/>
          <w:bCs/>
        </w:rPr>
        <w:fldChar w:fldCharType="separate"/>
      </w:r>
      <w:r w:rsidRPr="004C4D5F">
        <w:rPr>
          <w:rFonts w:ascii="Times New Roman" w:hAnsi="Times New Roman" w:cs="Times New Roman"/>
          <w:b/>
          <w:bCs/>
          <w:noProof/>
        </w:rPr>
        <w:t>(Ruwe et al., 2018)</w:t>
      </w:r>
      <w:r w:rsidRPr="004C4D5F">
        <w:rPr>
          <w:rFonts w:ascii="Times New Roman" w:hAnsi="Times New Roman" w:cs="Times New Roman"/>
          <w:b/>
          <w:bCs/>
        </w:rPr>
        <w:fldChar w:fldCharType="end"/>
      </w:r>
      <w:r>
        <w:rPr>
          <w:rFonts w:ascii="Times New Roman" w:hAnsi="Times New Roman" w:cs="Times New Roman"/>
        </w:rPr>
        <w:t xml:space="preserve">. Deletion of this gene did not cause major growth defects, and since other </w:t>
      </w:r>
      <w:r>
        <w:rPr>
          <w:rFonts w:ascii="Times New Roman" w:hAnsi="Times New Roman" w:cs="Times New Roman"/>
          <w:i/>
          <w:iCs/>
        </w:rPr>
        <w:t xml:space="preserve">Corynebacterium </w:t>
      </w:r>
      <w:r>
        <w:rPr>
          <w:rFonts w:ascii="Times New Roman" w:hAnsi="Times New Roman" w:cs="Times New Roman"/>
        </w:rPr>
        <w:t xml:space="preserve">species do not encode for the RelH protein, this suggests that it is not essential and may only be required under certain conditions </w:t>
      </w:r>
      <w:r w:rsidRPr="00F81201">
        <w:rPr>
          <w:rFonts w:ascii="Times New Roman" w:hAnsi="Times New Roman" w:cs="Times New Roman"/>
          <w:b/>
          <w:bCs/>
        </w:rPr>
        <w:fldChar w:fldCharType="begin"/>
      </w:r>
      <w:r w:rsidRPr="00F81201">
        <w:rPr>
          <w:rFonts w:ascii="Times New Roman" w:hAnsi="Times New Roman" w:cs="Times New Roman"/>
          <w:b/>
          <w:bCs/>
        </w:rPr>
        <w:instrText xml:space="preserve"> ADDIN EN.CITE &lt;EndNote&gt;&lt;Cite&gt;&lt;Author&gt;Ruwe&lt;/Author&gt;&lt;Year&gt;2018&lt;/Year&gt;&lt;IDText&gt;Functional Characterization of a Small Alarmone Hydrolase in Corynebacterium glutamicum&lt;/IDText&gt;&lt;DisplayText&gt;(Ruwe&lt;style face="italic"&gt; et al.&lt;/style&gt;, 2018)&lt;/DisplayText&gt;&lt;record&gt;&lt;dates&gt;&lt;pub-dates&gt;&lt;date&gt;May 9&lt;/date&gt;&lt;/pub-dates&gt;&lt;year&gt;2018&lt;/year&gt;&lt;/dates&gt;&lt;urls&gt;&lt;related-urls&gt;&lt;url&gt;&amp;lt;Go to ISI&amp;gt;://WOS:000431765800001&lt;/url&gt;&lt;/related-urls&gt;&lt;/urls&gt;&lt;isbn&gt;1664-302X&lt;/isbn&gt;&lt;work-type&gt;Article&lt;/work-type&gt;&lt;titles&gt;&lt;title&gt;Functional Characterization of a Small Alarmone Hydrolase in Corynebacterium glutamicum&lt;/title&gt;&lt;secondary-title&gt;Frontiers in Microbiology&lt;/secondary-title&gt;&lt;/titles&gt;&lt;contributors&gt;&lt;authors&gt;&lt;author&gt;Ruwe, Matthias&lt;/author&gt;&lt;author&gt;Rueckert, Christian&lt;/author&gt;&lt;author&gt;Kalinowski, Joern&lt;/author&gt;&lt;author&gt;Persicke, Marcus&lt;/author&gt;&lt;/authors&gt;&lt;/contributors&gt;&lt;custom7&gt;916&lt;/custom7&gt;&lt;added-date format="utc"&gt;1677890679&lt;/added-date&gt;&lt;ref-type name="Journal Article"&gt;17&lt;/ref-type&gt;&lt;rec-number&gt;695&lt;/rec-number&gt;&lt;last-updated-date format="utc"&gt;1677890679&lt;/last-updated-date&gt;&lt;accession-num&gt;WOS:000431765800001&lt;/accession-num&gt;&lt;electronic-resource-num&gt;10.3389/fmicb.2018.00916&lt;/electronic-resource-num&gt;&lt;volume&gt;9&lt;/volume&gt;&lt;/record&gt;&lt;/Cite&gt;&lt;/EndNote&gt;</w:instrText>
      </w:r>
      <w:r w:rsidRPr="00F81201">
        <w:rPr>
          <w:rFonts w:ascii="Times New Roman" w:hAnsi="Times New Roman" w:cs="Times New Roman"/>
          <w:b/>
          <w:bCs/>
        </w:rPr>
        <w:fldChar w:fldCharType="separate"/>
      </w:r>
      <w:r w:rsidRPr="00F81201">
        <w:rPr>
          <w:rFonts w:ascii="Times New Roman" w:hAnsi="Times New Roman" w:cs="Times New Roman"/>
          <w:b/>
          <w:bCs/>
          <w:noProof/>
        </w:rPr>
        <w:t>(Ruwe</w:t>
      </w:r>
      <w:r w:rsidRPr="00F81201">
        <w:rPr>
          <w:rFonts w:ascii="Times New Roman" w:hAnsi="Times New Roman" w:cs="Times New Roman"/>
          <w:b/>
          <w:bCs/>
          <w:i/>
          <w:noProof/>
        </w:rPr>
        <w:t xml:space="preserve"> et al.</w:t>
      </w:r>
      <w:r w:rsidRPr="00F81201">
        <w:rPr>
          <w:rFonts w:ascii="Times New Roman" w:hAnsi="Times New Roman" w:cs="Times New Roman"/>
          <w:b/>
          <w:bCs/>
          <w:noProof/>
        </w:rPr>
        <w:t>, 2018)</w:t>
      </w:r>
      <w:r w:rsidRPr="00F81201">
        <w:rPr>
          <w:rFonts w:ascii="Times New Roman" w:hAnsi="Times New Roman" w:cs="Times New Roman"/>
          <w:b/>
          <w:bCs/>
        </w:rPr>
        <w:fldChar w:fldCharType="end"/>
      </w:r>
      <w:r>
        <w:rPr>
          <w:rFonts w:ascii="Times New Roman" w:hAnsi="Times New Roman" w:cs="Times New Roman"/>
        </w:rPr>
        <w:t>.</w:t>
      </w:r>
    </w:p>
    <w:p w14:paraId="47750E92" w14:textId="77777777" w:rsidR="00033564" w:rsidRDefault="00033564" w:rsidP="00033564">
      <w:pPr>
        <w:pStyle w:val="Heading4"/>
      </w:pPr>
      <w:r w:rsidRPr="00BE4973">
        <w:t>1.2.1.</w:t>
      </w:r>
      <w:r>
        <w:t>5</w:t>
      </w:r>
      <w:r w:rsidRPr="00BE4973">
        <w:t xml:space="preserve">. Other enzymes involved in (p)ppGpp metabolism </w:t>
      </w:r>
    </w:p>
    <w:p w14:paraId="70BCC3C3" w14:textId="77777777" w:rsidR="00033564" w:rsidRDefault="00033564" w:rsidP="00033564"/>
    <w:p w14:paraId="14AF100C" w14:textId="77777777" w:rsidR="00033564" w:rsidRPr="00D666C8" w:rsidRDefault="00033564" w:rsidP="00033564">
      <w:pPr>
        <w:spacing w:line="360" w:lineRule="auto"/>
        <w:jc w:val="both"/>
        <w:rPr>
          <w:rFonts w:ascii="Times New Roman" w:hAnsi="Times New Roman" w:cs="Times New Roman"/>
        </w:rPr>
      </w:pPr>
      <w:r w:rsidRPr="00476C9F">
        <w:rPr>
          <w:rFonts w:ascii="Times New Roman" w:hAnsi="Times New Roman" w:cs="Times New Roman"/>
        </w:rPr>
        <w:t>In</w:t>
      </w:r>
      <w:r>
        <w:rPr>
          <w:rFonts w:ascii="Times New Roman" w:hAnsi="Times New Roman" w:cs="Times New Roman"/>
        </w:rPr>
        <w:t xml:space="preserve"> addition to the long and short RSH enzymes, other enzymes are capable of (p)ppGpp turnover. In </w:t>
      </w:r>
      <w:r>
        <w:rPr>
          <w:rFonts w:ascii="Times New Roman" w:hAnsi="Times New Roman" w:cs="Times New Roman"/>
          <w:i/>
          <w:iCs/>
        </w:rPr>
        <w:t xml:space="preserve">E. coli </w:t>
      </w:r>
      <w:bookmarkStart w:id="29" w:name="_Hlk129059750"/>
      <w:r>
        <w:rPr>
          <w:rFonts w:ascii="Times New Roman" w:hAnsi="Times New Roman" w:cs="Times New Roman"/>
        </w:rPr>
        <w:t>g</w:t>
      </w:r>
      <w:r w:rsidRPr="00476C9F">
        <w:rPr>
          <w:rFonts w:ascii="Times New Roman" w:hAnsi="Times New Roman" w:cs="Times New Roman"/>
        </w:rPr>
        <w:t>uanosine pentaphosphate phosphohydrolase</w:t>
      </w:r>
      <w:bookmarkEnd w:id="29"/>
      <w:r>
        <w:rPr>
          <w:rFonts w:ascii="Times New Roman" w:hAnsi="Times New Roman" w:cs="Times New Roman"/>
        </w:rPr>
        <w:t xml:space="preserve"> (GppA) hydrolyses the 5’ </w:t>
      </w:r>
      <w:r w:rsidRPr="00685EF5">
        <w:rPr>
          <w:rFonts w:ascii="Times New Roman" w:hAnsi="Times New Roman" w:cs="Times New Roman"/>
        </w:rPr>
        <w:t>γ</w:t>
      </w:r>
      <w:r>
        <w:rPr>
          <w:rFonts w:ascii="Times New Roman" w:hAnsi="Times New Roman" w:cs="Times New Roman"/>
        </w:rPr>
        <w:t xml:space="preserve">-phosphate of pppGpp thereby producing ppGpp </w:t>
      </w:r>
      <w:r w:rsidRPr="006D1967">
        <w:rPr>
          <w:rFonts w:ascii="Times New Roman" w:hAnsi="Times New Roman" w:cs="Times New Roman"/>
          <w:b/>
          <w:bCs/>
        </w:rPr>
        <w:fldChar w:fldCharType="begin"/>
      </w:r>
      <w:r w:rsidRPr="006D1967">
        <w:rPr>
          <w:rFonts w:ascii="Times New Roman" w:hAnsi="Times New Roman" w:cs="Times New Roman"/>
          <w:b/>
          <w:bCs/>
        </w:rPr>
        <w:instrText xml:space="preserve"> ADDIN EN.CITE &lt;EndNote&gt;&lt;Cite&gt;&lt;Author&gt;Keasling&lt;/Author&gt;&lt;Year&gt;1993&lt;/Year&gt;&lt;IDText&gt;GUANOSINE PENTAPHOSPHATE PHOSPHOHYDROLASE OF ESCHERICHIA-COLI IS A LONG-CHAIN EXOPOLYPHOSPHATASE&lt;/IDText&gt;&lt;DisplayText&gt;(Keasling, Bertsch and Kornberg, 1993)&lt;/DisplayText&gt;&lt;record&gt;&lt;dates&gt;&lt;pub-dates&gt;&lt;date&gt;Aug&lt;/date&gt;&lt;/pub-dates&gt;&lt;year&gt;1993&lt;/year&gt;&lt;/dates&gt;&lt;urls&gt;&lt;related-urls&gt;&lt;url&gt;&amp;lt;Go to ISI&amp;gt;://WOS:A1993LQ33500029&lt;/url&gt;&lt;/related-urls&gt;&lt;/urls&gt;&lt;isbn&gt;0027-8424&lt;/isbn&gt;&lt;titles&gt;&lt;title&gt;GUANOSINE PENTAPHOSPHATE PHOSPHOHYDROLASE OF ESCHERICHIA-COLI IS A LONG-CHAIN EXOPOLYPHOSPHATASE&lt;/title&gt;&lt;secondary-title&gt;Proceedings of the National Academy of Sciences of the United States of America&lt;/secondary-title&gt;&lt;/titles&gt;&lt;pages&gt;7029-7033&lt;/pages&gt;&lt;number&gt;15&lt;/number&gt;&lt;contributors&gt;&lt;authors&gt;&lt;author&gt;Keasling, J. D.&lt;/author&gt;&lt;author&gt;Bertsch, L.&lt;/author&gt;&lt;author&gt;Kornberg, A.&lt;/author&gt;&lt;/authors&gt;&lt;/contributors&gt;&lt;added-date format="utc"&gt;1678165717&lt;/added-date&gt;&lt;ref-type name="Journal Article"&gt;17&lt;/ref-type&gt;&lt;rec-number&gt;734&lt;/rec-number&gt;&lt;last-updated-date format="utc"&gt;1678165717&lt;/last-updated-date&gt;&lt;accession-num&gt;WOS:A1993LQ33500029&lt;/accession-num&gt;&lt;electronic-resource-num&gt;10.1073/pnas.90.15.7029&lt;/electronic-resource-num&gt;&lt;volume&gt;90&lt;/volume&gt;&lt;/record&gt;&lt;/Cite&gt;&lt;/EndNote&gt;</w:instrText>
      </w:r>
      <w:r w:rsidRPr="006D1967">
        <w:rPr>
          <w:rFonts w:ascii="Times New Roman" w:hAnsi="Times New Roman" w:cs="Times New Roman"/>
          <w:b/>
          <w:bCs/>
        </w:rPr>
        <w:fldChar w:fldCharType="separate"/>
      </w:r>
      <w:r w:rsidRPr="006D1967">
        <w:rPr>
          <w:rFonts w:ascii="Times New Roman" w:hAnsi="Times New Roman" w:cs="Times New Roman"/>
          <w:b/>
          <w:bCs/>
          <w:noProof/>
        </w:rPr>
        <w:t>(Keasling, Bertsch and Kornberg, 1993)</w:t>
      </w:r>
      <w:r w:rsidRPr="006D1967">
        <w:rPr>
          <w:rFonts w:ascii="Times New Roman" w:hAnsi="Times New Roman" w:cs="Times New Roman"/>
          <w:b/>
          <w:bCs/>
        </w:rPr>
        <w:fldChar w:fldCharType="end"/>
      </w:r>
      <w:r>
        <w:rPr>
          <w:rFonts w:ascii="Times New Roman" w:hAnsi="Times New Roman" w:cs="Times New Roman"/>
        </w:rPr>
        <w:t xml:space="preserve">. As ppGpp is more potent of an effector in </w:t>
      </w:r>
      <w:r>
        <w:rPr>
          <w:rFonts w:ascii="Times New Roman" w:hAnsi="Times New Roman" w:cs="Times New Roman"/>
          <w:i/>
          <w:iCs/>
        </w:rPr>
        <w:t xml:space="preserve">E. coli </w:t>
      </w:r>
      <w:r>
        <w:rPr>
          <w:rFonts w:ascii="Times New Roman" w:hAnsi="Times New Roman" w:cs="Times New Roman"/>
        </w:rPr>
        <w:t xml:space="preserve">in comparison to pppGpp </w:t>
      </w:r>
      <w:r w:rsidRPr="00685EF5">
        <w:rPr>
          <w:rFonts w:ascii="Times New Roman" w:hAnsi="Times New Roman" w:cs="Times New Roman"/>
          <w:b/>
          <w:bCs/>
        </w:rPr>
        <w:fldChar w:fldCharType="begin"/>
      </w:r>
      <w:r w:rsidRPr="00685EF5">
        <w:rPr>
          <w:rFonts w:ascii="Times New Roman" w:hAnsi="Times New Roman" w:cs="Times New Roman"/>
          <w:b/>
          <w:bCs/>
        </w:rPr>
        <w:instrText xml:space="preserve"> ADDIN EN.CITE &lt;EndNote&gt;&lt;Cite&gt;&lt;Author&gt;Mechold&lt;/Author&gt;&lt;Year&gt;2013&lt;/Year&gt;&lt;IDText&gt;Differential regulation by ppGpp versus pppGpp in Escherichia coli&lt;/IDText&gt;&lt;DisplayText&gt;(Mechold&lt;style face="italic"&gt; et al.&lt;/style&gt;, 2013)&lt;/DisplayText&gt;&lt;record&gt;&lt;dates&gt;&lt;pub-dates&gt;&lt;date&gt;Jul&lt;/date&gt;&lt;/pub-dates&gt;&lt;year&gt;2013&lt;/year&gt;&lt;/dates&gt;&lt;urls&gt;&lt;related-urls&gt;&lt;url&gt;&amp;lt;Go to ISI&amp;gt;://WOS:000321057100026&lt;/url&gt;&lt;/related-urls&gt;&lt;/urls&gt;&lt;isbn&gt;0305-1048&lt;/isbn&gt;&lt;work-type&gt;Article&lt;/work-type&gt;&lt;titles&gt;&lt;title&gt;Differential regulation by ppGpp versus pppGpp in Escherichia coli&lt;/title&gt;&lt;secondary-title&gt;Nucleic Acids Research&lt;/secondary-title&gt;&lt;/titles&gt;&lt;pages&gt;6175-6189&lt;/pages&gt;&lt;number&gt;12&lt;/number&gt;&lt;contributors&gt;&lt;authors&gt;&lt;author&gt;Mechold, Undine&lt;/author&gt;&lt;author&gt;Potrykus, Katarzyna&lt;/author&gt;&lt;author&gt;Murphy, Helen&lt;/author&gt;&lt;author&gt;Murakami, Katsuhiko S.&lt;/author&gt;&lt;author&gt;Cashel, Michael&lt;/author&gt;&lt;/authors&gt;&lt;/contributors&gt;&lt;added-date format="utc"&gt;1677906235&lt;/added-date&gt;&lt;ref-type name="Journal Article"&gt;17&lt;/ref-type&gt;&lt;rec-number&gt;699&lt;/rec-number&gt;&lt;last-updated-date format="utc"&gt;1678058042&lt;/last-updated-date&gt;&lt;accession-num&gt;WOS:000321057100026&lt;/accession-num&gt;&lt;electronic-resource-num&gt;10.1093/nar/gkt302&lt;/electronic-resource-num&gt;&lt;volume&gt;41&lt;/volume&gt;&lt;/record&gt;&lt;/Cite&gt;&lt;/EndNote&gt;</w:instrText>
      </w:r>
      <w:r w:rsidRPr="00685EF5">
        <w:rPr>
          <w:rFonts w:ascii="Times New Roman" w:hAnsi="Times New Roman" w:cs="Times New Roman"/>
          <w:b/>
          <w:bCs/>
        </w:rPr>
        <w:fldChar w:fldCharType="separate"/>
      </w:r>
      <w:r w:rsidRPr="00685EF5">
        <w:rPr>
          <w:rFonts w:ascii="Times New Roman" w:hAnsi="Times New Roman" w:cs="Times New Roman"/>
          <w:b/>
          <w:bCs/>
          <w:noProof/>
        </w:rPr>
        <w:t>(Mechold</w:t>
      </w:r>
      <w:r w:rsidRPr="00685EF5">
        <w:rPr>
          <w:rFonts w:ascii="Times New Roman" w:hAnsi="Times New Roman" w:cs="Times New Roman"/>
          <w:b/>
          <w:bCs/>
          <w:i/>
          <w:noProof/>
        </w:rPr>
        <w:t xml:space="preserve"> et al.</w:t>
      </w:r>
      <w:r w:rsidRPr="00685EF5">
        <w:rPr>
          <w:rFonts w:ascii="Times New Roman" w:hAnsi="Times New Roman" w:cs="Times New Roman"/>
          <w:b/>
          <w:bCs/>
          <w:noProof/>
        </w:rPr>
        <w:t>, 2013)</w:t>
      </w:r>
      <w:r w:rsidRPr="00685EF5">
        <w:rPr>
          <w:rFonts w:ascii="Times New Roman" w:hAnsi="Times New Roman" w:cs="Times New Roman"/>
          <w:b/>
          <w:bCs/>
        </w:rPr>
        <w:fldChar w:fldCharType="end"/>
      </w:r>
      <w:r>
        <w:rPr>
          <w:rFonts w:ascii="Times New Roman" w:hAnsi="Times New Roman" w:cs="Times New Roman"/>
        </w:rPr>
        <w:t xml:space="preserve">, the activity of GppA must therefore allow higher cellular concentrations of ppGpp. Indeed, the pppGpp/ppGpp ratio increases in GppA-deficient bacteria </w:t>
      </w:r>
      <w:r w:rsidRPr="00685EF5">
        <w:rPr>
          <w:rFonts w:ascii="Times New Roman" w:hAnsi="Times New Roman" w:cs="Times New Roman"/>
          <w:b/>
          <w:bCs/>
        </w:rPr>
        <w:fldChar w:fldCharType="begin"/>
      </w:r>
      <w:r w:rsidRPr="00685EF5">
        <w:rPr>
          <w:rFonts w:ascii="Times New Roman" w:hAnsi="Times New Roman" w:cs="Times New Roman"/>
          <w:b/>
          <w:bCs/>
        </w:rPr>
        <w:instrText xml:space="preserve"> ADDIN EN.CITE &lt;EndNote&gt;&lt;Cite&gt;&lt;Author&gt;Mechold&lt;/Author&gt;&lt;Year&gt;2013&lt;/Year&gt;&lt;IDText&gt;Differential regulation by ppGpp versus pppGpp in Escherichia coli&lt;/IDText&gt;&lt;DisplayText&gt;(Mechold&lt;style face="italic"&gt; et al.&lt;/style&gt;, 2013)&lt;/DisplayText&gt;&lt;record&gt;&lt;dates&gt;&lt;pub-dates&gt;&lt;date&gt;Jul&lt;/date&gt;&lt;/pub-dates&gt;&lt;year&gt;2013&lt;/year&gt;&lt;/dates&gt;&lt;urls&gt;&lt;related-urls&gt;&lt;url&gt;&amp;lt;Go to ISI&amp;gt;://WOS:000321057100026&lt;/url&gt;&lt;/related-urls&gt;&lt;/urls&gt;&lt;isbn&gt;0305-1048&lt;/isbn&gt;&lt;work-type&gt;Article&lt;/work-type&gt;&lt;titles&gt;&lt;title&gt;Differential regulation by ppGpp versus pppGpp in Escherichia coli&lt;/title&gt;&lt;secondary-title&gt;Nucleic Acids Research&lt;/secondary-title&gt;&lt;/titles&gt;&lt;pages&gt;6175-6189&lt;/pages&gt;&lt;number&gt;12&lt;/number&gt;&lt;contributors&gt;&lt;authors&gt;&lt;author&gt;Mechold, Undine&lt;/author&gt;&lt;author&gt;Potrykus, Katarzyna&lt;/author&gt;&lt;author&gt;Murphy, Helen&lt;/author&gt;&lt;author&gt;Murakami, Katsuhiko S.&lt;/author&gt;&lt;author&gt;Cashel, Michael&lt;/author&gt;&lt;/authors&gt;&lt;/contributors&gt;&lt;added-date format="utc"&gt;1677906235&lt;/added-date&gt;&lt;ref-type name="Journal Article"&gt;17&lt;/ref-type&gt;&lt;rec-number&gt;699&lt;/rec-number&gt;&lt;last-updated-date format="utc"&gt;1678058042&lt;/last-updated-date&gt;&lt;accession-num&gt;WOS:000321057100026&lt;/accession-num&gt;&lt;electronic-resource-num&gt;10.1093/nar/gkt302&lt;/electronic-resource-num&gt;&lt;volume&gt;41&lt;/volume&gt;&lt;/record&gt;&lt;/Cite&gt;&lt;/EndNote&gt;</w:instrText>
      </w:r>
      <w:r w:rsidRPr="00685EF5">
        <w:rPr>
          <w:rFonts w:ascii="Times New Roman" w:hAnsi="Times New Roman" w:cs="Times New Roman"/>
          <w:b/>
          <w:bCs/>
        </w:rPr>
        <w:fldChar w:fldCharType="separate"/>
      </w:r>
      <w:r w:rsidRPr="00685EF5">
        <w:rPr>
          <w:rFonts w:ascii="Times New Roman" w:hAnsi="Times New Roman" w:cs="Times New Roman"/>
          <w:b/>
          <w:bCs/>
          <w:noProof/>
        </w:rPr>
        <w:t>(Mechold</w:t>
      </w:r>
      <w:r w:rsidRPr="00685EF5">
        <w:rPr>
          <w:rFonts w:ascii="Times New Roman" w:hAnsi="Times New Roman" w:cs="Times New Roman"/>
          <w:b/>
          <w:bCs/>
          <w:i/>
          <w:noProof/>
        </w:rPr>
        <w:t xml:space="preserve"> et al.</w:t>
      </w:r>
      <w:r w:rsidRPr="00685EF5">
        <w:rPr>
          <w:rFonts w:ascii="Times New Roman" w:hAnsi="Times New Roman" w:cs="Times New Roman"/>
          <w:b/>
          <w:bCs/>
          <w:noProof/>
        </w:rPr>
        <w:t>, 2013)</w:t>
      </w:r>
      <w:r w:rsidRPr="00685EF5">
        <w:rPr>
          <w:rFonts w:ascii="Times New Roman" w:hAnsi="Times New Roman" w:cs="Times New Roman"/>
          <w:b/>
          <w:bCs/>
        </w:rPr>
        <w:fldChar w:fldCharType="end"/>
      </w:r>
      <w:r>
        <w:rPr>
          <w:rFonts w:ascii="Times New Roman" w:hAnsi="Times New Roman" w:cs="Times New Roman"/>
        </w:rPr>
        <w:t xml:space="preserve">. Furthermore, in </w:t>
      </w:r>
      <w:r>
        <w:rPr>
          <w:rFonts w:ascii="Times New Roman" w:hAnsi="Times New Roman" w:cs="Times New Roman"/>
          <w:i/>
          <w:iCs/>
        </w:rPr>
        <w:t xml:space="preserve">B. subtilis </w:t>
      </w:r>
      <w:r>
        <w:rPr>
          <w:rFonts w:ascii="Times New Roman" w:hAnsi="Times New Roman" w:cs="Times New Roman"/>
        </w:rPr>
        <w:t xml:space="preserve">and </w:t>
      </w:r>
      <w:r>
        <w:rPr>
          <w:rFonts w:ascii="Times New Roman" w:hAnsi="Times New Roman" w:cs="Times New Roman"/>
          <w:i/>
          <w:iCs/>
        </w:rPr>
        <w:t>Bacillus anthracis</w:t>
      </w:r>
      <w:r>
        <w:rPr>
          <w:rFonts w:ascii="Times New Roman" w:hAnsi="Times New Roman" w:cs="Times New Roman"/>
        </w:rPr>
        <w:t xml:space="preserve"> the </w:t>
      </w:r>
      <w:bookmarkStart w:id="30" w:name="_Hlk129059683"/>
      <w:r w:rsidRPr="00685EF5">
        <w:rPr>
          <w:rFonts w:ascii="Times New Roman" w:hAnsi="Times New Roman" w:cs="Times New Roman"/>
        </w:rPr>
        <w:t>nucleoside diphosphate linked moiety X</w:t>
      </w:r>
      <w:bookmarkEnd w:id="30"/>
      <w:r>
        <w:rPr>
          <w:rFonts w:ascii="Times New Roman" w:hAnsi="Times New Roman" w:cs="Times New Roman"/>
        </w:rPr>
        <w:t xml:space="preserve"> (NuDix) hydrolase, named NahA, can further metabolise both pppGpp and ppGpp </w:t>
      </w:r>
      <w:r w:rsidRPr="00BD36F6">
        <w:rPr>
          <w:rFonts w:ascii="Times New Roman" w:hAnsi="Times New Roman" w:cs="Times New Roman"/>
          <w:b/>
          <w:bCs/>
        </w:rPr>
        <w:fldChar w:fldCharType="begin"/>
      </w:r>
      <w:r w:rsidRPr="00BD36F6">
        <w:rPr>
          <w:rFonts w:ascii="Times New Roman" w:hAnsi="Times New Roman" w:cs="Times New Roman"/>
          <w:b/>
          <w:bCs/>
        </w:rPr>
        <w:instrText xml:space="preserve"> ADDIN EN.CITE &lt;EndNote&gt;&lt;Cite&gt;&lt;Author&gt;Yang&lt;/Author&gt;&lt;Year&gt;2021&lt;/Year&gt;&lt;IDText&gt;The nucleotide pGpp acts as a third alarmone in Bacillus, with functions distinct from those of (p)ppGpp (vol 11, 5388, 2020)&lt;/IDText&gt;&lt;DisplayText&gt;(Yang&lt;style face="italic"&gt; et al.&lt;/style&gt;, 2021)&lt;/DisplayText&gt;&lt;record&gt;&lt;dates&gt;&lt;pub-dates&gt;&lt;date&gt;Jun&lt;/date&gt;&lt;/pub-dates&gt;&lt;year&gt;2021&lt;/year&gt;&lt;/dates&gt;&lt;urls&gt;&lt;related-urls&gt;&lt;url&gt;&amp;lt;Go to ISI&amp;gt;://WOS:000664857100001&lt;/url&gt;&lt;/related-urls&gt;&lt;/urls&gt;&lt;isbn&gt;2041-1723&lt;/isbn&gt;&lt;titles&gt;&lt;title&gt;The nucleotide pGpp acts as a third alarmone in Bacillus, with functions distinct from those of (p)ppGpp (vol 11, 5388, 2020)&lt;/title&gt;&lt;secondary-title&gt;Nature Communications&lt;/secondary-title&gt;&lt;/titles&gt;&lt;number&gt;1&lt;/number&gt;&lt;contributors&gt;&lt;authors&gt;&lt;author&gt;Yang, J.&lt;/author&gt;&lt;author&gt;Anderson, B. W.&lt;/author&gt;&lt;author&gt;Turdiev, A.&lt;/author&gt;&lt;author&gt;Turdiev, H.&lt;/author&gt;&lt;author&gt;Stevenson, D. M.&lt;/author&gt;&lt;author&gt;Amador-Noguez, D.&lt;/author&gt;&lt;author&gt;Lee, V. T.&lt;/author&gt;&lt;author&gt;Wang, J. D.&lt;/author&gt;&lt;/authors&gt;&lt;/contributors&gt;&lt;custom7&gt;3857&lt;/custom7&gt;&lt;added-date format="utc"&gt;1677783726&lt;/added-date&gt;&lt;ref-type name="Journal Article"&gt;17&lt;/ref-type&gt;&lt;rec-number&gt;663&lt;/rec-number&gt;&lt;last-updated-date format="utc"&gt;1678058042&lt;/last-updated-date&gt;&lt;accession-num&gt;WOS:000664857100001&lt;/accession-num&gt;&lt;electronic-resource-num&gt;10.1038/s41467-021-24209-2&lt;/electronic-resource-num&gt;&lt;volume&gt;12&lt;/volume&gt;&lt;/record&gt;&lt;/Cite&gt;&lt;/EndNote&gt;</w:instrText>
      </w:r>
      <w:r w:rsidRPr="00BD36F6">
        <w:rPr>
          <w:rFonts w:ascii="Times New Roman" w:hAnsi="Times New Roman" w:cs="Times New Roman"/>
          <w:b/>
          <w:bCs/>
        </w:rPr>
        <w:fldChar w:fldCharType="separate"/>
      </w:r>
      <w:r w:rsidRPr="00BD36F6">
        <w:rPr>
          <w:rFonts w:ascii="Times New Roman" w:hAnsi="Times New Roman" w:cs="Times New Roman"/>
          <w:b/>
          <w:bCs/>
          <w:noProof/>
        </w:rPr>
        <w:t>(Yang</w:t>
      </w:r>
      <w:r w:rsidRPr="00BD36F6">
        <w:rPr>
          <w:rFonts w:ascii="Times New Roman" w:hAnsi="Times New Roman" w:cs="Times New Roman"/>
          <w:b/>
          <w:bCs/>
          <w:i/>
          <w:noProof/>
        </w:rPr>
        <w:t xml:space="preserve"> et al.</w:t>
      </w:r>
      <w:r w:rsidRPr="00BD36F6">
        <w:rPr>
          <w:rFonts w:ascii="Times New Roman" w:hAnsi="Times New Roman" w:cs="Times New Roman"/>
          <w:b/>
          <w:bCs/>
          <w:noProof/>
        </w:rPr>
        <w:t>, 2021)</w:t>
      </w:r>
      <w:r w:rsidRPr="00BD36F6">
        <w:rPr>
          <w:rFonts w:ascii="Times New Roman" w:hAnsi="Times New Roman" w:cs="Times New Roman"/>
          <w:b/>
          <w:bCs/>
        </w:rPr>
        <w:fldChar w:fldCharType="end"/>
      </w:r>
      <w:r>
        <w:rPr>
          <w:rFonts w:ascii="Times New Roman" w:hAnsi="Times New Roman" w:cs="Times New Roman"/>
        </w:rPr>
        <w:t xml:space="preserve">. Here, NahA was found to hydrolyse between the 5’ </w:t>
      </w:r>
      <w:r w:rsidRPr="00FD408F">
        <w:rPr>
          <w:rFonts w:ascii="Times New Roman" w:hAnsi="Times New Roman" w:cs="Times New Roman"/>
        </w:rPr>
        <w:t xml:space="preserve">α- and </w:t>
      </w:r>
      <w:r>
        <w:rPr>
          <w:rFonts w:ascii="Times New Roman" w:hAnsi="Times New Roman" w:cs="Times New Roman"/>
        </w:rPr>
        <w:t xml:space="preserve">β-phosphates of pppGpp and ppGpp, producing pGpp. The </w:t>
      </w:r>
      <w:r>
        <w:rPr>
          <w:rFonts w:ascii="Times New Roman" w:hAnsi="Times New Roman" w:cs="Times New Roman"/>
          <w:i/>
          <w:iCs/>
        </w:rPr>
        <w:t>nahA</w:t>
      </w:r>
      <w:r>
        <w:rPr>
          <w:rFonts w:ascii="Times New Roman" w:hAnsi="Times New Roman" w:cs="Times New Roman"/>
        </w:rPr>
        <w:t xml:space="preserve"> mutant recovered from nutrient limitation much slower than WT, which was attributed to the increase in (p)ppGpp. pGpp was found to interact with enzymes in the purine biosynthetic pathway, but not the ribosome-associated GTPases that are known to bind to (p)ppGpp </w:t>
      </w:r>
      <w:r w:rsidRPr="00D666C8">
        <w:rPr>
          <w:rFonts w:ascii="Times New Roman" w:hAnsi="Times New Roman" w:cs="Times New Roman"/>
          <w:b/>
          <w:bCs/>
        </w:rPr>
        <w:fldChar w:fldCharType="begin"/>
      </w:r>
      <w:r w:rsidRPr="00D666C8">
        <w:rPr>
          <w:rFonts w:ascii="Times New Roman" w:hAnsi="Times New Roman" w:cs="Times New Roman"/>
          <w:b/>
          <w:bCs/>
        </w:rPr>
        <w:instrText xml:space="preserve"> ADDIN EN.CITE &lt;EndNote&gt;&lt;Cite&gt;&lt;Author&gt;Yang&lt;/Author&gt;&lt;Year&gt;2021&lt;/Year&gt;&lt;IDText&gt;The nucleotide pGpp acts as a third alarmone in Bacillus, with functions distinct from those of (p)ppGpp (vol 11, 5388, 2020)&lt;/IDText&gt;&lt;DisplayText&gt;(Yang&lt;style face="italic"&gt; et al.&lt;/style&gt;, 2021)&lt;/DisplayText&gt;&lt;record&gt;&lt;dates&gt;&lt;pub-dates&gt;&lt;date&gt;Jun&lt;/date&gt;&lt;/pub-dates&gt;&lt;year&gt;2021&lt;/year&gt;&lt;/dates&gt;&lt;urls&gt;&lt;related-urls&gt;&lt;url&gt;&amp;lt;Go to ISI&amp;gt;://WOS:000664857100001&lt;/url&gt;&lt;/related-urls&gt;&lt;/urls&gt;&lt;isbn&gt;2041-1723&lt;/isbn&gt;&lt;titles&gt;&lt;title&gt;The nucleotide pGpp acts as a third alarmone in Bacillus, with functions distinct from those of (p)ppGpp (vol 11, 5388, 2020)&lt;/title&gt;&lt;secondary-title&gt;Nature Communications&lt;/secondary-title&gt;&lt;/titles&gt;&lt;number&gt;1&lt;/number&gt;&lt;contributors&gt;&lt;authors&gt;&lt;author&gt;Yang, J.&lt;/author&gt;&lt;author&gt;Anderson, B. W.&lt;/author&gt;&lt;author&gt;Turdiev, A.&lt;/author&gt;&lt;author&gt;Turdiev, H.&lt;/author&gt;&lt;author&gt;Stevenson, D. M.&lt;/author&gt;&lt;author&gt;Amador-Noguez, D.&lt;/author&gt;&lt;author&gt;Lee, V. T.&lt;/author&gt;&lt;author&gt;Wang, J. D.&lt;/author&gt;&lt;/authors&gt;&lt;/contributors&gt;&lt;custom7&gt;3857&lt;/custom7&gt;&lt;added-date format="utc"&gt;1677783726&lt;/added-date&gt;&lt;ref-type name="Journal Article"&gt;17&lt;/ref-type&gt;&lt;rec-number&gt;663&lt;/rec-number&gt;&lt;last-updated-date format="utc"&gt;1678058042&lt;/last-updated-date&gt;&lt;accession-num&gt;WOS:000664857100001&lt;/accession-num&gt;&lt;electronic-resource-num&gt;10.1038/s41467-021-24209-2&lt;/electronic-resource-num&gt;&lt;volume&gt;12&lt;/volume&gt;&lt;/record&gt;&lt;/Cite&gt;&lt;/EndNote&gt;</w:instrText>
      </w:r>
      <w:r w:rsidRPr="00D666C8">
        <w:rPr>
          <w:rFonts w:ascii="Times New Roman" w:hAnsi="Times New Roman" w:cs="Times New Roman"/>
          <w:b/>
          <w:bCs/>
        </w:rPr>
        <w:fldChar w:fldCharType="separate"/>
      </w:r>
      <w:r w:rsidRPr="00D666C8">
        <w:rPr>
          <w:rFonts w:ascii="Times New Roman" w:hAnsi="Times New Roman" w:cs="Times New Roman"/>
          <w:b/>
          <w:bCs/>
          <w:noProof/>
        </w:rPr>
        <w:t>(Yang</w:t>
      </w:r>
      <w:r w:rsidRPr="00D666C8">
        <w:rPr>
          <w:rFonts w:ascii="Times New Roman" w:hAnsi="Times New Roman" w:cs="Times New Roman"/>
          <w:b/>
          <w:bCs/>
          <w:i/>
          <w:noProof/>
        </w:rPr>
        <w:t xml:space="preserve"> et al.</w:t>
      </w:r>
      <w:r w:rsidRPr="00D666C8">
        <w:rPr>
          <w:rFonts w:ascii="Times New Roman" w:hAnsi="Times New Roman" w:cs="Times New Roman"/>
          <w:b/>
          <w:bCs/>
          <w:noProof/>
        </w:rPr>
        <w:t>, 2021)</w:t>
      </w:r>
      <w:r w:rsidRPr="00D666C8">
        <w:rPr>
          <w:rFonts w:ascii="Times New Roman" w:hAnsi="Times New Roman" w:cs="Times New Roman"/>
          <w:b/>
          <w:bCs/>
        </w:rPr>
        <w:fldChar w:fldCharType="end"/>
      </w:r>
      <w:r>
        <w:rPr>
          <w:rFonts w:ascii="Times New Roman" w:hAnsi="Times New Roman" w:cs="Times New Roman"/>
        </w:rPr>
        <w:t xml:space="preserve">. NuDix hydrolases exist in other organisms: </w:t>
      </w:r>
      <w:r>
        <w:rPr>
          <w:rFonts w:ascii="Times New Roman" w:hAnsi="Times New Roman" w:cs="Times New Roman"/>
          <w:i/>
          <w:iCs/>
        </w:rPr>
        <w:t>E.coli</w:t>
      </w:r>
      <w:r>
        <w:rPr>
          <w:rFonts w:ascii="Times New Roman" w:hAnsi="Times New Roman" w:cs="Times New Roman"/>
        </w:rPr>
        <w:t xml:space="preserve"> encodes for </w:t>
      </w:r>
      <w:r w:rsidRPr="00D666C8">
        <w:rPr>
          <w:rFonts w:ascii="Times New Roman" w:hAnsi="Times New Roman" w:cs="Times New Roman"/>
        </w:rPr>
        <w:t>MutT, NudG and RppH</w:t>
      </w:r>
      <w:r>
        <w:rPr>
          <w:rFonts w:ascii="Times New Roman" w:hAnsi="Times New Roman" w:cs="Times New Roman"/>
        </w:rPr>
        <w:t xml:space="preserve"> </w:t>
      </w:r>
      <w:r w:rsidRPr="00D666C8">
        <w:rPr>
          <w:rFonts w:ascii="Times New Roman" w:hAnsi="Times New Roman" w:cs="Times New Roman"/>
          <w:b/>
          <w:bCs/>
        </w:rPr>
        <w:fldChar w:fldCharType="begin">
          <w:fldData xml:space="preserve">PEVuZE5vdGU+PENpdGU+PEF1dGhvcj5aaGFuZzwvQXV0aG9yPjxZZWFyPjIwMTg8L1llYXI+PElE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PEVuZE5vdGU+PENpdGU+PEF1dGhvcj5aaGFuZzwvQXV0aG9yPjxZZWFyPjIwMTg8L1llYXI+PElE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D666C8">
        <w:rPr>
          <w:rFonts w:ascii="Times New Roman" w:hAnsi="Times New Roman" w:cs="Times New Roman"/>
          <w:b/>
          <w:bCs/>
        </w:rPr>
      </w:r>
      <w:r w:rsidRPr="00D666C8">
        <w:rPr>
          <w:rFonts w:ascii="Times New Roman" w:hAnsi="Times New Roman" w:cs="Times New Roman"/>
          <w:b/>
          <w:bCs/>
        </w:rPr>
        <w:fldChar w:fldCharType="separate"/>
      </w:r>
      <w:r>
        <w:rPr>
          <w:rFonts w:ascii="Times New Roman" w:hAnsi="Times New Roman" w:cs="Times New Roman"/>
          <w:b/>
          <w:bCs/>
          <w:noProof/>
        </w:rPr>
        <w:t>(Zhang</w:t>
      </w:r>
      <w:r w:rsidRPr="007017A0">
        <w:rPr>
          <w:rFonts w:ascii="Times New Roman" w:hAnsi="Times New Roman" w:cs="Times New Roman"/>
          <w:b/>
          <w:bCs/>
          <w:i/>
          <w:noProof/>
        </w:rPr>
        <w:t xml:space="preserve"> et al.</w:t>
      </w:r>
      <w:r>
        <w:rPr>
          <w:rFonts w:ascii="Times New Roman" w:hAnsi="Times New Roman" w:cs="Times New Roman"/>
          <w:b/>
          <w:bCs/>
          <w:noProof/>
        </w:rPr>
        <w:t>, 2018a; Gao</w:t>
      </w:r>
      <w:r w:rsidRPr="007017A0">
        <w:rPr>
          <w:rFonts w:ascii="Times New Roman" w:hAnsi="Times New Roman" w:cs="Times New Roman"/>
          <w:b/>
          <w:bCs/>
          <w:i/>
          <w:noProof/>
        </w:rPr>
        <w:t xml:space="preserve"> et al.</w:t>
      </w:r>
      <w:r>
        <w:rPr>
          <w:rFonts w:ascii="Times New Roman" w:hAnsi="Times New Roman" w:cs="Times New Roman"/>
          <w:b/>
          <w:bCs/>
          <w:noProof/>
        </w:rPr>
        <w:t>, 2020)</w:t>
      </w:r>
      <w:r w:rsidRPr="00D666C8">
        <w:rPr>
          <w:rFonts w:ascii="Times New Roman" w:hAnsi="Times New Roman" w:cs="Times New Roman"/>
          <w:b/>
          <w:bCs/>
        </w:rPr>
        <w:fldChar w:fldCharType="end"/>
      </w:r>
      <w:r>
        <w:rPr>
          <w:rFonts w:ascii="Times New Roman" w:hAnsi="Times New Roman" w:cs="Times New Roman"/>
        </w:rPr>
        <w:t xml:space="preserve"> and </w:t>
      </w:r>
      <w:r>
        <w:rPr>
          <w:rFonts w:ascii="Times New Roman" w:hAnsi="Times New Roman" w:cs="Times New Roman"/>
          <w:i/>
          <w:iCs/>
        </w:rPr>
        <w:t xml:space="preserve">Thermus thermophilus </w:t>
      </w:r>
      <w:r>
        <w:rPr>
          <w:rFonts w:ascii="Times New Roman" w:hAnsi="Times New Roman" w:cs="Times New Roman"/>
        </w:rPr>
        <w:t xml:space="preserve">encodes for Ndx8, which hydrolyses (p)ppGpp to pGp </w:t>
      </w:r>
      <w:r w:rsidRPr="00FF6C80">
        <w:rPr>
          <w:rFonts w:ascii="Times New Roman" w:hAnsi="Times New Roman" w:cs="Times New Roman"/>
          <w:b/>
          <w:bCs/>
        </w:rPr>
        <w:fldChar w:fldCharType="begin"/>
      </w:r>
      <w:r w:rsidRPr="00FF6C80">
        <w:rPr>
          <w:rFonts w:ascii="Times New Roman" w:hAnsi="Times New Roman" w:cs="Times New Roman"/>
          <w:b/>
          <w:bCs/>
        </w:rPr>
        <w:instrText xml:space="preserve"> ADDIN EN.CITE &lt;EndNote&gt;&lt;Cite&gt;&lt;Author&gt;Ooga&lt;/Author&gt;&lt;Year&gt;2009&lt;/Year&gt;&lt;IDText&gt;Degradation of ppGpp by Nudix Pyrophosphatase Modulates the Transition of Growth Phase in the Bacterium Thermus thermophilus&lt;/IDText&gt;&lt;DisplayText&gt;(Ooga&lt;style face="italic"&gt; et al.&lt;/style&gt;, 2009)&lt;/DisplayText&gt;&lt;record&gt;&lt;dates&gt;&lt;pub-dates&gt;&lt;date&gt;Jun&lt;/date&gt;&lt;/pub-dates&gt;&lt;year&gt;2009&lt;/year&gt;&lt;/dates&gt;&lt;urls&gt;&lt;related-urls&gt;&lt;url&gt;&amp;lt;Go to ISI&amp;gt;://WOS:000266501000023&lt;/url&gt;&lt;/related-urls&gt;&lt;/urls&gt;&lt;titles&gt;&lt;title&gt;Degradation of ppGpp by Nudix Pyrophosphatase Modulates the Transition of Growth Phase in the Bacterium Thermus thermophilus&lt;/title&gt;&lt;secondary-title&gt;Journal of Biological Chemistry&lt;/secondary-title&gt;&lt;/titles&gt;&lt;pages&gt;15549-15556&lt;/pages&gt;&lt;number&gt;23&lt;/number&gt;&lt;contributors&gt;&lt;authors&gt;&lt;author&gt;Ooga, T.&lt;/author&gt;&lt;author&gt;Ohashi, Y.&lt;/author&gt;&lt;author&gt;Kuramitsu, S.&lt;/author&gt;&lt;author&gt;Koyama, Y.&lt;/author&gt;&lt;author&gt;Tomita, M.&lt;/author&gt;&lt;author&gt;Soga, T.&lt;/author&gt;&lt;author&gt;Masui, R.&lt;/author&gt;&lt;/authors&gt;&lt;/contributors&gt;&lt;added-date format="utc"&gt;1678169682&lt;/added-date&gt;&lt;ref-type name="Journal Article"&gt;17&lt;/ref-type&gt;&lt;rec-number&gt;737&lt;/rec-number&gt;&lt;last-updated-date format="utc"&gt;1678169682&lt;/last-updated-date&gt;&lt;accession-num&gt;WOS:000266501000023&lt;/accession-num&gt;&lt;electronic-resource-num&gt;10.1074/jbc.M900582200&lt;/electronic-resource-num&gt;&lt;volume&gt;284&lt;/volume&gt;&lt;/record&gt;&lt;/Cite&gt;&lt;/EndNote&gt;</w:instrText>
      </w:r>
      <w:r w:rsidRPr="00FF6C80">
        <w:rPr>
          <w:rFonts w:ascii="Times New Roman" w:hAnsi="Times New Roman" w:cs="Times New Roman"/>
          <w:b/>
          <w:bCs/>
        </w:rPr>
        <w:fldChar w:fldCharType="separate"/>
      </w:r>
      <w:r w:rsidRPr="00FF6C80">
        <w:rPr>
          <w:rFonts w:ascii="Times New Roman" w:hAnsi="Times New Roman" w:cs="Times New Roman"/>
          <w:b/>
          <w:bCs/>
          <w:noProof/>
        </w:rPr>
        <w:t>(Ooga</w:t>
      </w:r>
      <w:r w:rsidRPr="00FF6C80">
        <w:rPr>
          <w:rFonts w:ascii="Times New Roman" w:hAnsi="Times New Roman" w:cs="Times New Roman"/>
          <w:b/>
          <w:bCs/>
          <w:i/>
          <w:noProof/>
        </w:rPr>
        <w:t xml:space="preserve"> et al.</w:t>
      </w:r>
      <w:r w:rsidRPr="00FF6C80">
        <w:rPr>
          <w:rFonts w:ascii="Times New Roman" w:hAnsi="Times New Roman" w:cs="Times New Roman"/>
          <w:b/>
          <w:bCs/>
          <w:noProof/>
        </w:rPr>
        <w:t>, 2009)</w:t>
      </w:r>
      <w:r w:rsidRPr="00FF6C80">
        <w:rPr>
          <w:rFonts w:ascii="Times New Roman" w:hAnsi="Times New Roman" w:cs="Times New Roman"/>
          <w:b/>
          <w:bCs/>
        </w:rPr>
        <w:fldChar w:fldCharType="end"/>
      </w:r>
      <w:r>
        <w:rPr>
          <w:rFonts w:ascii="Times New Roman" w:hAnsi="Times New Roman" w:cs="Times New Roman"/>
        </w:rPr>
        <w:t xml:space="preserve">. </w:t>
      </w:r>
    </w:p>
    <w:p w14:paraId="1B0747BF" w14:textId="77777777" w:rsidR="00033564" w:rsidRDefault="00033564" w:rsidP="00033564">
      <w:pPr>
        <w:pStyle w:val="Heading3"/>
      </w:pPr>
      <w:bookmarkStart w:id="31" w:name="_Toc142043572"/>
      <w:r>
        <w:t>1.2.2. Physiological processes targeted by (p)ppGpp</w:t>
      </w:r>
      <w:bookmarkEnd w:id="31"/>
    </w:p>
    <w:p w14:paraId="01582463" w14:textId="77777777" w:rsidR="00033564" w:rsidRDefault="00033564" w:rsidP="00033564"/>
    <w:p w14:paraId="2D788DB5" w14:textId="77777777" w:rsidR="00033564" w:rsidRDefault="00033564" w:rsidP="00033564">
      <w:pPr>
        <w:spacing w:line="360" w:lineRule="auto"/>
        <w:jc w:val="both"/>
        <w:rPr>
          <w:rFonts w:ascii="Times New Roman" w:hAnsi="Times New Roman" w:cs="Times New Roman"/>
        </w:rPr>
      </w:pPr>
      <w:r>
        <w:rPr>
          <w:rFonts w:ascii="Times New Roman" w:hAnsi="Times New Roman" w:cs="Times New Roman"/>
        </w:rPr>
        <w:t xml:space="preserve">(p)ppGpp functions as a signalling molecule to </w:t>
      </w:r>
      <w:r w:rsidRPr="002541E9">
        <w:rPr>
          <w:rFonts w:ascii="Times New Roman" w:hAnsi="Times New Roman" w:cs="Times New Roman"/>
        </w:rPr>
        <w:t xml:space="preserve">reprogram the transcriptional and translational machinery in order to make extensive </w:t>
      </w:r>
      <w:r>
        <w:rPr>
          <w:rFonts w:ascii="Times New Roman" w:hAnsi="Times New Roman" w:cs="Times New Roman"/>
        </w:rPr>
        <w:t xml:space="preserve">metabolic </w:t>
      </w:r>
      <w:r w:rsidRPr="002541E9">
        <w:rPr>
          <w:rFonts w:ascii="Times New Roman" w:hAnsi="Times New Roman" w:cs="Times New Roman"/>
        </w:rPr>
        <w:t>changes that are pro-survival</w:t>
      </w:r>
      <w:r>
        <w:rPr>
          <w:rFonts w:ascii="Times New Roman" w:hAnsi="Times New Roman" w:cs="Times New Roman"/>
        </w:rPr>
        <w:t xml:space="preserve"> under nutrient limitation</w:t>
      </w:r>
      <w:r w:rsidRPr="002541E9">
        <w:rPr>
          <w:rFonts w:ascii="Times New Roman" w:hAnsi="Times New Roman" w:cs="Times New Roman"/>
        </w:rPr>
        <w:t>.</w:t>
      </w:r>
      <w:r>
        <w:rPr>
          <w:rFonts w:ascii="Times New Roman" w:hAnsi="Times New Roman" w:cs="Times New Roman"/>
        </w:rPr>
        <w:t xml:space="preserve"> </w:t>
      </w:r>
      <w:r w:rsidRPr="002541E9">
        <w:rPr>
          <w:rFonts w:ascii="Times New Roman" w:hAnsi="Times New Roman" w:cs="Times New Roman"/>
        </w:rPr>
        <w:t>Upregulated genes include those for the synthesis and transport of amino aci</w:t>
      </w:r>
      <w:r>
        <w:rPr>
          <w:rFonts w:ascii="Times New Roman" w:hAnsi="Times New Roman" w:cs="Times New Roman"/>
        </w:rPr>
        <w:t xml:space="preserve">ds </w:t>
      </w:r>
      <w:r w:rsidRPr="007C452B">
        <w:rPr>
          <w:rFonts w:ascii="Times New Roman" w:hAnsi="Times New Roman" w:cs="Times New Roman"/>
          <w:b/>
          <w:bCs/>
        </w:rPr>
        <w:fldChar w:fldCharType="begin"/>
      </w:r>
      <w:r w:rsidRPr="007C452B">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format="utc"&gt;1675729925&lt;/last-updated-date&gt;&lt;accession-num&gt;DRCI:DATA2013076003393588&lt;/accession-num&gt;&lt;volume&gt;1&lt;/volume&gt;&lt;/record&gt;&lt;/Cite&gt;&lt;/EndNote&gt;</w:instrText>
      </w:r>
      <w:r w:rsidRPr="007C452B">
        <w:rPr>
          <w:rFonts w:ascii="Times New Roman" w:hAnsi="Times New Roman" w:cs="Times New Roman"/>
          <w:b/>
          <w:bCs/>
        </w:rPr>
        <w:fldChar w:fldCharType="separate"/>
      </w:r>
      <w:r w:rsidRPr="007C452B">
        <w:rPr>
          <w:rFonts w:ascii="Times New Roman" w:hAnsi="Times New Roman" w:cs="Times New Roman"/>
          <w:b/>
          <w:bCs/>
          <w:noProof/>
        </w:rPr>
        <w:t>(Geiger</w:t>
      </w:r>
      <w:r w:rsidRPr="007C452B">
        <w:rPr>
          <w:rFonts w:ascii="Times New Roman" w:hAnsi="Times New Roman" w:cs="Times New Roman"/>
          <w:b/>
          <w:bCs/>
          <w:i/>
          <w:noProof/>
        </w:rPr>
        <w:t xml:space="preserve"> et al.</w:t>
      </w:r>
      <w:r w:rsidRPr="007C452B">
        <w:rPr>
          <w:rFonts w:ascii="Times New Roman" w:hAnsi="Times New Roman" w:cs="Times New Roman"/>
          <w:b/>
          <w:bCs/>
          <w:noProof/>
        </w:rPr>
        <w:t>, 2012)</w:t>
      </w:r>
      <w:r w:rsidRPr="007C452B">
        <w:rPr>
          <w:rFonts w:ascii="Times New Roman" w:hAnsi="Times New Roman" w:cs="Times New Roman"/>
          <w:b/>
          <w:bCs/>
        </w:rPr>
        <w:fldChar w:fldCharType="end"/>
      </w:r>
      <w:r w:rsidRPr="002541E9">
        <w:rPr>
          <w:rFonts w:ascii="Times New Roman" w:hAnsi="Times New Roman" w:cs="Times New Roman"/>
        </w:rPr>
        <w:t>. The downregulated genes include those involved in transcription, translation, DNA replication and other metabolic processes</w:t>
      </w:r>
      <w:r>
        <w:rPr>
          <w:rFonts w:ascii="Times New Roman" w:hAnsi="Times New Roman" w:cs="Times New Roman"/>
        </w:rPr>
        <w:t xml:space="preserve"> </w:t>
      </w:r>
      <w:r w:rsidRPr="007C452B">
        <w:rPr>
          <w:rFonts w:ascii="Times New Roman" w:hAnsi="Times New Roman" w:cs="Times New Roman"/>
          <w:b/>
          <w:bCs/>
        </w:rPr>
        <w:fldChar w:fldCharType="begin"/>
      </w:r>
      <w:r w:rsidRPr="007C452B">
        <w:rPr>
          <w:rFonts w:ascii="Times New Roman" w:hAnsi="Times New Roman" w:cs="Times New Roman"/>
          <w:b/>
          <w:bCs/>
        </w:rPr>
        <w:instrText xml:space="preserve"> ADDIN EN.CITE &lt;EndNote&gt;&lt;Cite&gt;&lt;Author&gt;Sanchez-Vazquez&lt;/Author&gt;&lt;Year&gt;2019&lt;/Year&gt;&lt;IDText&gt;Genome-wide effects on Escherichia coli transcription from ppGpp binding to its two sites on RNA polymerase&lt;/IDText&gt;&lt;DisplayText&gt;(Sanchez-Vazquez&lt;style face="italic"&gt; et al.&lt;/style&gt;, 2019)&lt;/DisplayText&gt;&lt;record&gt;&lt;dates&gt;&lt;pub-dates&gt;&lt;date&gt;Apr 23&lt;/date&gt;&lt;/pub-dates&gt;&lt;year&gt;2019&lt;/year&gt;&lt;/dates&gt;&lt;urls&gt;&lt;related-urls&gt;&lt;url&gt;&amp;lt;Go to ISI&amp;gt;://WOS:000465363700040&lt;/url&gt;&lt;/related-urls&gt;&lt;/urls&gt;&lt;isbn&gt;0027-8424&lt;/isbn&gt;&lt;work-type&gt;Article&lt;/work-type&gt;&lt;titles&gt;&lt;title&gt;Genome-wide effects on Escherichia coli transcription from ppGpp binding to its two sites on RNA polymerase&lt;/title&gt;&lt;secondary-title&gt;Proceedings of the National Academy of Sciences of the United States of America&lt;/secondary-title&gt;&lt;/titles&gt;&lt;pages&gt;8310-8319&lt;/pages&gt;&lt;number&gt;17&lt;/number&gt;&lt;contributors&gt;&lt;authors&gt;&lt;author&gt;Sanchez-Vazquez, Patricia&lt;/author&gt;&lt;author&gt;Dewey, Colin N.&lt;/author&gt;&lt;author&gt;Kitten, Nicole&lt;/author&gt;&lt;author&gt;Ross, Wilma&lt;/author&gt;&lt;author&gt;Gourse, Richard L.&lt;/author&gt;&lt;/authors&gt;&lt;/contributors&gt;&lt;added-date format="utc"&gt;1677894353&lt;/added-date&gt;&lt;ref-type name="Journal Article"&gt;17&lt;/ref-type&gt;&lt;rec-number&gt;697&lt;/rec-number&gt;&lt;last-updated-date format="utc"&gt;1677894353&lt;/last-updated-date&gt;&lt;accession-num&gt;WOS:000465363700040&lt;/accession-num&gt;&lt;electronic-resource-num&gt;10.1073/pnas.1819682116&lt;/electronic-resource-num&gt;&lt;volume&gt;116&lt;/volume&gt;&lt;/record&gt;&lt;/Cite&gt;&lt;/EndNote&gt;</w:instrText>
      </w:r>
      <w:r w:rsidRPr="007C452B">
        <w:rPr>
          <w:rFonts w:ascii="Times New Roman" w:hAnsi="Times New Roman" w:cs="Times New Roman"/>
          <w:b/>
          <w:bCs/>
        </w:rPr>
        <w:fldChar w:fldCharType="separate"/>
      </w:r>
      <w:r w:rsidRPr="007C452B">
        <w:rPr>
          <w:rFonts w:ascii="Times New Roman" w:hAnsi="Times New Roman" w:cs="Times New Roman"/>
          <w:b/>
          <w:bCs/>
          <w:noProof/>
        </w:rPr>
        <w:t>(Sanchez-Vazquez</w:t>
      </w:r>
      <w:r w:rsidRPr="007C452B">
        <w:rPr>
          <w:rFonts w:ascii="Times New Roman" w:hAnsi="Times New Roman" w:cs="Times New Roman"/>
          <w:b/>
          <w:bCs/>
          <w:i/>
          <w:noProof/>
        </w:rPr>
        <w:t xml:space="preserve"> et al.</w:t>
      </w:r>
      <w:r w:rsidRPr="007C452B">
        <w:rPr>
          <w:rFonts w:ascii="Times New Roman" w:hAnsi="Times New Roman" w:cs="Times New Roman"/>
          <w:b/>
          <w:bCs/>
          <w:noProof/>
        </w:rPr>
        <w:t>, 2019)</w:t>
      </w:r>
      <w:r w:rsidRPr="007C452B">
        <w:rPr>
          <w:rFonts w:ascii="Times New Roman" w:hAnsi="Times New Roman" w:cs="Times New Roman"/>
          <w:b/>
          <w:bCs/>
        </w:rPr>
        <w:fldChar w:fldCharType="end"/>
      </w:r>
      <w:r w:rsidRPr="002541E9">
        <w:rPr>
          <w:rFonts w:ascii="Times New Roman" w:hAnsi="Times New Roman" w:cs="Times New Roman"/>
        </w:rPr>
        <w:t xml:space="preserve">. This is done in order to initiate growth arrest, during </w:t>
      </w:r>
      <w:r>
        <w:rPr>
          <w:rFonts w:ascii="Times New Roman" w:hAnsi="Times New Roman" w:cs="Times New Roman"/>
        </w:rPr>
        <w:t xml:space="preserve">which </w:t>
      </w:r>
      <w:r w:rsidRPr="002541E9">
        <w:rPr>
          <w:rFonts w:ascii="Times New Roman" w:hAnsi="Times New Roman" w:cs="Times New Roman"/>
        </w:rPr>
        <w:t>time bacteria can be</w:t>
      </w:r>
      <w:r>
        <w:rPr>
          <w:rFonts w:ascii="Times New Roman" w:hAnsi="Times New Roman" w:cs="Times New Roman"/>
        </w:rPr>
        <w:t>come</w:t>
      </w:r>
      <w:r w:rsidRPr="002541E9">
        <w:rPr>
          <w:rFonts w:ascii="Times New Roman" w:hAnsi="Times New Roman" w:cs="Times New Roman"/>
        </w:rPr>
        <w:t xml:space="preserve"> tolerant to antibiotic treatment. </w:t>
      </w:r>
      <w:r>
        <w:rPr>
          <w:rFonts w:ascii="Times New Roman" w:hAnsi="Times New Roman" w:cs="Times New Roman"/>
        </w:rPr>
        <w:t xml:space="preserve">The ability of (p)ppGpp to bind multiple effector proteins from a variety of metabolic pathways is owed to the conformational flexibility of (p)ppGpp </w:t>
      </w:r>
      <w:r w:rsidRPr="006106CB">
        <w:rPr>
          <w:rFonts w:ascii="Times New Roman" w:hAnsi="Times New Roman" w:cs="Times New Roman"/>
          <w:b/>
          <w:bCs/>
        </w:rPr>
        <w:fldChar w:fldCharType="begin"/>
      </w:r>
      <w:r w:rsidRPr="006106CB">
        <w:rPr>
          <w:rFonts w:ascii="Times New Roman" w:hAnsi="Times New Roman" w:cs="Times New Roman"/>
          <w:b/>
          <w:bCs/>
        </w:rPr>
        <w:instrText xml:space="preserve"> ADDIN EN.CITE &lt;EndNote&gt;&lt;Cite&gt;&lt;Author&gt;Steinchen&lt;/Author&gt;&lt;Year&gt;2016&lt;/Year&gt;&lt;IDText&gt;The magic dance of the alarmones (p)ppGpp&lt;/IDText&gt;&lt;DisplayText&gt;(Steinchen and Bange, 2016)&lt;/DisplayText&gt;&lt;record&gt;&lt;dates&gt;&lt;pub-dates&gt;&lt;date&gt;Aug&lt;/date&gt;&lt;/pub-dates&gt;&lt;year&gt;2016&lt;/year&gt;&lt;/dates&gt;&lt;urls&gt;&lt;related-urls&gt;&lt;url&gt;&amp;lt;Go to ISI&amp;gt;://WOS:000382541900001&lt;/url&gt;&lt;/related-urls&gt;&lt;/urls&gt;&lt;isbn&gt;0950-382X&lt;/isbn&gt;&lt;titles&gt;&lt;title&gt;The magic dance of the alarmones (p)ppGpp&lt;/title&gt;&lt;secondary-title&gt;Molecular Microbiology&lt;/secondary-title&gt;&lt;/titles&gt;&lt;pages&gt;531-544&lt;/pages&gt;&lt;number&gt;4&lt;/number&gt;&lt;contributors&gt;&lt;authors&gt;&lt;author&gt;Steinchen, Wieland&lt;/author&gt;&lt;author&gt;Bange, Gert&lt;/author&gt;&lt;/authors&gt;&lt;/contributors&gt;&lt;added-date format="utc"&gt;1665355225&lt;/added-date&gt;&lt;ref-type name="Journal Article"&gt;17&lt;/ref-type&gt;&lt;rec-number&gt;171&lt;/rec-number&gt;&lt;last-updated-date format="utc"&gt;1665355282&lt;/last-updated-date&gt;&lt;accession-num&gt;WOS:000382541900001&lt;/accession-num&gt;&lt;electronic-resource-num&gt;10.1111/mmi.13412&lt;/electronic-resource-num&gt;&lt;volume&gt;101&lt;/volume&gt;&lt;/record&gt;&lt;/Cite&gt;&lt;/EndNote&gt;</w:instrText>
      </w:r>
      <w:r w:rsidRPr="006106CB">
        <w:rPr>
          <w:rFonts w:ascii="Times New Roman" w:hAnsi="Times New Roman" w:cs="Times New Roman"/>
          <w:b/>
          <w:bCs/>
        </w:rPr>
        <w:fldChar w:fldCharType="separate"/>
      </w:r>
      <w:r w:rsidRPr="006106CB">
        <w:rPr>
          <w:rFonts w:ascii="Times New Roman" w:hAnsi="Times New Roman" w:cs="Times New Roman"/>
          <w:b/>
          <w:bCs/>
          <w:noProof/>
        </w:rPr>
        <w:t>(Steinchen and Bange, 2016)</w:t>
      </w:r>
      <w:r w:rsidRPr="006106CB">
        <w:rPr>
          <w:rFonts w:ascii="Times New Roman" w:hAnsi="Times New Roman" w:cs="Times New Roman"/>
          <w:b/>
          <w:bCs/>
        </w:rPr>
        <w:fldChar w:fldCharType="end"/>
      </w:r>
      <w:r>
        <w:rPr>
          <w:rFonts w:ascii="Times New Roman" w:hAnsi="Times New Roman" w:cs="Times New Roman"/>
        </w:rPr>
        <w:t>.</w:t>
      </w:r>
    </w:p>
    <w:p w14:paraId="04E124E3" w14:textId="77777777" w:rsidR="00033564" w:rsidRDefault="00033564" w:rsidP="00033564">
      <w:pPr>
        <w:pStyle w:val="Heading4"/>
      </w:pPr>
      <w:r>
        <w:t>1.2.2.1. Transcription</w:t>
      </w:r>
    </w:p>
    <w:p w14:paraId="4C50C60F" w14:textId="77777777" w:rsidR="00033564" w:rsidRDefault="00033564" w:rsidP="00033564">
      <w:pPr>
        <w:spacing w:line="360" w:lineRule="auto"/>
        <w:jc w:val="both"/>
        <w:rPr>
          <w:rFonts w:ascii="Times New Roman" w:hAnsi="Times New Roman" w:cs="Times New Roman"/>
        </w:rPr>
      </w:pPr>
    </w:p>
    <w:p w14:paraId="51CB0860" w14:textId="77777777" w:rsidR="00033564" w:rsidRDefault="00033564" w:rsidP="00033564">
      <w:pPr>
        <w:spacing w:line="360" w:lineRule="auto"/>
        <w:jc w:val="both"/>
        <w:rPr>
          <w:rFonts w:ascii="Times New Roman" w:hAnsi="Times New Roman" w:cs="Times New Roman"/>
        </w:rPr>
      </w:pPr>
      <w:r>
        <w:rPr>
          <w:rFonts w:ascii="Times New Roman" w:hAnsi="Times New Roman" w:cs="Times New Roman"/>
        </w:rPr>
        <w:t xml:space="preserve">In </w:t>
      </w:r>
      <w:r>
        <w:rPr>
          <w:rFonts w:ascii="Times New Roman" w:hAnsi="Times New Roman" w:cs="Times New Roman"/>
          <w:i/>
          <w:iCs/>
        </w:rPr>
        <w:t>E. coli</w:t>
      </w:r>
      <w:r>
        <w:rPr>
          <w:rFonts w:ascii="Times New Roman" w:hAnsi="Times New Roman" w:cs="Times New Roman"/>
        </w:rPr>
        <w:t xml:space="preserve">, the transcription of approximately 750 genes was been altered as a consequence of (p)ppGpp accumulation </w:t>
      </w:r>
      <w:r w:rsidRPr="00A63478">
        <w:rPr>
          <w:rFonts w:ascii="Times New Roman" w:hAnsi="Times New Roman" w:cs="Times New Roman"/>
          <w:b/>
          <w:bCs/>
        </w:rPr>
        <w:fldChar w:fldCharType="begin"/>
      </w:r>
      <w:r w:rsidRPr="00A63478">
        <w:rPr>
          <w:rFonts w:ascii="Times New Roman" w:hAnsi="Times New Roman" w:cs="Times New Roman"/>
          <w:b/>
          <w:bCs/>
        </w:rPr>
        <w:instrText xml:space="preserve"> ADDIN EN.CITE &lt;EndNote&gt;&lt;Cite&gt;&lt;Author&gt;Sanchez-Vazquez&lt;/Author&gt;&lt;Year&gt;2019&lt;/Year&gt;&lt;IDText&gt;Genome-wide effects on Escherichia coli transcription from ppGpp binding to its two sites on RNA polymerase&lt;/IDText&gt;&lt;DisplayText&gt;(Sanchez-Vazquez&lt;style face="italic"&gt; et al.&lt;/style&gt;, 2019)&lt;/DisplayText&gt;&lt;record&gt;&lt;dates&gt;&lt;pub-dates&gt;&lt;date&gt;Apr 23&lt;/date&gt;&lt;/pub-dates&gt;&lt;year&gt;2019&lt;/year&gt;&lt;/dates&gt;&lt;urls&gt;&lt;related-urls&gt;&lt;url&gt;&amp;lt;Go to ISI&amp;gt;://WOS:000465363700040&lt;/url&gt;&lt;/related-urls&gt;&lt;/urls&gt;&lt;isbn&gt;0027-8424&lt;/isbn&gt;&lt;work-type&gt;Article&lt;/work-type&gt;&lt;titles&gt;&lt;title&gt;Genome-wide effects on Escherichia coli transcription from ppGpp binding to its two sites on RNA polymerase&lt;/title&gt;&lt;secondary-title&gt;Proceedings of the National Academy of Sciences of the United States of America&lt;/secondary-title&gt;&lt;/titles&gt;&lt;pages&gt;8310-8319&lt;/pages&gt;&lt;number&gt;17&lt;/number&gt;&lt;contributors&gt;&lt;authors&gt;&lt;author&gt;Sanchez-Vazquez, Patricia&lt;/author&gt;&lt;author&gt;Dewey, Colin N.&lt;/author&gt;&lt;author&gt;Kitten, Nicole&lt;/author&gt;&lt;author&gt;Ross, Wilma&lt;/author&gt;&lt;author&gt;Gourse, Richard L.&lt;/author&gt;&lt;/authors&gt;&lt;/contributors&gt;&lt;added-date format="utc"&gt;1677894353&lt;/added-date&gt;&lt;ref-type name="Journal Article"&gt;17&lt;/ref-type&gt;&lt;rec-number&gt;697&lt;/rec-number&gt;&lt;last-updated-date format="utc"&gt;1677894353&lt;/last-updated-date&gt;&lt;accession-num&gt;WOS:000465363700040&lt;/accession-num&gt;&lt;electronic-resource-num&gt;10.1073/pnas.1819682116&lt;/electronic-resource-num&gt;&lt;volume&gt;116&lt;/volume&gt;&lt;/record&gt;&lt;/Cite&gt;&lt;/EndNote&gt;</w:instrText>
      </w:r>
      <w:r w:rsidRPr="00A63478">
        <w:rPr>
          <w:rFonts w:ascii="Times New Roman" w:hAnsi="Times New Roman" w:cs="Times New Roman"/>
          <w:b/>
          <w:bCs/>
        </w:rPr>
        <w:fldChar w:fldCharType="separate"/>
      </w:r>
      <w:r w:rsidRPr="00A63478">
        <w:rPr>
          <w:rFonts w:ascii="Times New Roman" w:hAnsi="Times New Roman" w:cs="Times New Roman"/>
          <w:b/>
          <w:bCs/>
          <w:noProof/>
        </w:rPr>
        <w:t>(Sanchez-Vazquez</w:t>
      </w:r>
      <w:r w:rsidRPr="00A63478">
        <w:rPr>
          <w:rFonts w:ascii="Times New Roman" w:hAnsi="Times New Roman" w:cs="Times New Roman"/>
          <w:b/>
          <w:bCs/>
          <w:i/>
          <w:noProof/>
        </w:rPr>
        <w:t xml:space="preserve"> et al.</w:t>
      </w:r>
      <w:r w:rsidRPr="00A63478">
        <w:rPr>
          <w:rFonts w:ascii="Times New Roman" w:hAnsi="Times New Roman" w:cs="Times New Roman"/>
          <w:b/>
          <w:bCs/>
          <w:noProof/>
        </w:rPr>
        <w:t>, 2019)</w:t>
      </w:r>
      <w:r w:rsidRPr="00A63478">
        <w:rPr>
          <w:rFonts w:ascii="Times New Roman" w:hAnsi="Times New Roman" w:cs="Times New Roman"/>
          <w:b/>
          <w:bCs/>
        </w:rPr>
        <w:fldChar w:fldCharType="end"/>
      </w:r>
      <w:r>
        <w:rPr>
          <w:rFonts w:ascii="Times New Roman" w:hAnsi="Times New Roman" w:cs="Times New Roman"/>
        </w:rPr>
        <w:t xml:space="preserve">. This is due to the interaction of (p)ppGpp with the </w:t>
      </w:r>
      <w:r w:rsidRPr="002541E9">
        <w:rPr>
          <w:rFonts w:ascii="Times New Roman" w:hAnsi="Times New Roman" w:cs="Times New Roman"/>
        </w:rPr>
        <w:t>RNA polymerase (RNAP)</w:t>
      </w:r>
      <w:r>
        <w:rPr>
          <w:rFonts w:ascii="Times New Roman" w:hAnsi="Times New Roman" w:cs="Times New Roman"/>
        </w:rPr>
        <w:t>, a well-known target of (p)ppGpp,</w:t>
      </w:r>
      <w:r w:rsidRPr="009B2966">
        <w:rPr>
          <w:rFonts w:ascii="Times New Roman" w:hAnsi="Times New Roman" w:cs="Times New Roman"/>
        </w:rPr>
        <w:t xml:space="preserve"> </w:t>
      </w:r>
      <w:r>
        <w:rPr>
          <w:rFonts w:ascii="Times New Roman" w:hAnsi="Times New Roman" w:cs="Times New Roman"/>
        </w:rPr>
        <w:t xml:space="preserve">with ppGpp more potent at altering metabolic processes than pppGpp </w:t>
      </w:r>
      <w:r w:rsidRPr="002F669A">
        <w:rPr>
          <w:rFonts w:ascii="Times New Roman" w:hAnsi="Times New Roman" w:cs="Times New Roman"/>
          <w:b/>
          <w:bCs/>
        </w:rPr>
        <w:fldChar w:fldCharType="begin"/>
      </w:r>
      <w:r w:rsidRPr="002F669A">
        <w:rPr>
          <w:rFonts w:ascii="Times New Roman" w:hAnsi="Times New Roman" w:cs="Times New Roman"/>
          <w:b/>
          <w:bCs/>
        </w:rPr>
        <w:instrText xml:space="preserve"> ADDIN EN.CITE &lt;EndNote&gt;&lt;Cite&gt;&lt;Author&gt;Mechold&lt;/Author&gt;&lt;Year&gt;2013&lt;/Year&gt;&lt;IDText&gt;Differential regulation by ppGpp versus pppGpp in Escherichia coli&lt;/IDText&gt;&lt;DisplayText&gt;(Mechold&lt;style face="italic"&gt; et al.&lt;/style&gt;, 2013)&lt;/DisplayText&gt;&lt;record&gt;&lt;dates&gt;&lt;pub-dates&gt;&lt;date&gt;Jul&lt;/date&gt;&lt;/pub-dates&gt;&lt;year&gt;2013&lt;/year&gt;&lt;/dates&gt;&lt;urls&gt;&lt;related-urls&gt;&lt;url&gt;&amp;lt;Go to ISI&amp;gt;://WOS:000321057100026&lt;/url&gt;&lt;/related-urls&gt;&lt;/urls&gt;&lt;isbn&gt;0305-1048&lt;/isbn&gt;&lt;work-type&gt;Article&lt;/work-type&gt;&lt;titles&gt;&lt;title&gt;Differential regulation by ppGpp versus pppGpp in Escherichia coli&lt;/title&gt;&lt;secondary-title&gt;Nucleic Acids Research&lt;/secondary-title&gt;&lt;/titles&gt;&lt;pages&gt;6175-6189&lt;/pages&gt;&lt;number&gt;12&lt;/number&gt;&lt;contributors&gt;&lt;authors&gt;&lt;author&gt;Mechold, Undine&lt;/author&gt;&lt;author&gt;Potrykus, Katarzyna&lt;/author&gt;&lt;author&gt;Murphy, Helen&lt;/author&gt;&lt;author&gt;Murakami, Katsuhiko S.&lt;/author&gt;&lt;author&gt;Cashel, Michael&lt;/author&gt;&lt;/authors&gt;&lt;/contributors&gt;&lt;added-date format="utc"&gt;1677906235&lt;/added-date&gt;&lt;ref-type name="Journal Article"&gt;17&lt;/ref-type&gt;&lt;rec-number&gt;699&lt;/rec-number&gt;&lt;last-updated-date format="utc"&gt;1677906235&lt;/last-updated-date&gt;&lt;accession-num&gt;WOS:000321057100026&lt;/accession-num&gt;&lt;electronic-resource-num&gt;10.1093/nar/gkt302&lt;/electronic-resource-num&gt;&lt;volume&gt;41&lt;/volume&gt;&lt;/record&gt;&lt;/Cite&gt;&lt;/EndNote&gt;</w:instrText>
      </w:r>
      <w:r w:rsidRPr="002F669A">
        <w:rPr>
          <w:rFonts w:ascii="Times New Roman" w:hAnsi="Times New Roman" w:cs="Times New Roman"/>
          <w:b/>
          <w:bCs/>
        </w:rPr>
        <w:fldChar w:fldCharType="separate"/>
      </w:r>
      <w:r w:rsidRPr="002F669A">
        <w:rPr>
          <w:rFonts w:ascii="Times New Roman" w:hAnsi="Times New Roman" w:cs="Times New Roman"/>
          <w:b/>
          <w:bCs/>
          <w:noProof/>
        </w:rPr>
        <w:t>(Mechold</w:t>
      </w:r>
      <w:r w:rsidRPr="002F669A">
        <w:rPr>
          <w:rFonts w:ascii="Times New Roman" w:hAnsi="Times New Roman" w:cs="Times New Roman"/>
          <w:b/>
          <w:bCs/>
          <w:i/>
          <w:noProof/>
        </w:rPr>
        <w:t xml:space="preserve"> et al.</w:t>
      </w:r>
      <w:r w:rsidRPr="002F669A">
        <w:rPr>
          <w:rFonts w:ascii="Times New Roman" w:hAnsi="Times New Roman" w:cs="Times New Roman"/>
          <w:b/>
          <w:bCs/>
          <w:noProof/>
        </w:rPr>
        <w:t>, 2013)</w:t>
      </w:r>
      <w:r w:rsidRPr="002F669A">
        <w:rPr>
          <w:rFonts w:ascii="Times New Roman" w:hAnsi="Times New Roman" w:cs="Times New Roman"/>
          <w:b/>
          <w:bCs/>
        </w:rPr>
        <w:fldChar w:fldCharType="end"/>
      </w:r>
      <w:r>
        <w:rPr>
          <w:rFonts w:ascii="Times New Roman" w:hAnsi="Times New Roman" w:cs="Times New Roman"/>
        </w:rPr>
        <w:t xml:space="preserve">. </w:t>
      </w:r>
      <w:r w:rsidRPr="002541E9">
        <w:rPr>
          <w:rFonts w:ascii="Times New Roman" w:hAnsi="Times New Roman" w:cs="Times New Roman"/>
        </w:rPr>
        <w:t>During logarithmic growth, sigma factor σ</w:t>
      </w:r>
      <w:r w:rsidRPr="002541E9">
        <w:rPr>
          <w:rFonts w:ascii="Times New Roman" w:hAnsi="Times New Roman" w:cs="Times New Roman"/>
          <w:vertAlign w:val="subscript"/>
        </w:rPr>
        <w:t xml:space="preserve">70 </w:t>
      </w:r>
      <w:r w:rsidRPr="002541E9">
        <w:rPr>
          <w:rFonts w:ascii="Times New Roman" w:hAnsi="Times New Roman" w:cs="Times New Roman"/>
        </w:rPr>
        <w:t xml:space="preserve">binds to RNAP and promotes the transcription of genes </w:t>
      </w:r>
      <w:r>
        <w:rPr>
          <w:rFonts w:ascii="Times New Roman" w:hAnsi="Times New Roman" w:cs="Times New Roman"/>
        </w:rPr>
        <w:t xml:space="preserve">required for </w:t>
      </w:r>
      <w:r w:rsidRPr="002541E9">
        <w:rPr>
          <w:rFonts w:ascii="Times New Roman" w:hAnsi="Times New Roman" w:cs="Times New Roman"/>
        </w:rPr>
        <w:t>cellular growth</w:t>
      </w:r>
      <w:r>
        <w:rPr>
          <w:rFonts w:ascii="Times New Roman" w:hAnsi="Times New Roman" w:cs="Times New Roman"/>
        </w:rPr>
        <w:t xml:space="preserve"> </w:t>
      </w:r>
      <w:r w:rsidRPr="00713980">
        <w:rPr>
          <w:rFonts w:ascii="Times New Roman" w:hAnsi="Times New Roman" w:cs="Times New Roman"/>
          <w:b/>
          <w:bCs/>
        </w:rPr>
        <w:fldChar w:fldCharType="begin"/>
      </w:r>
      <w:r w:rsidRPr="00713980">
        <w:rPr>
          <w:rFonts w:ascii="Times New Roman" w:hAnsi="Times New Roman" w:cs="Times New Roman"/>
          <w:b/>
          <w:bCs/>
        </w:rPr>
        <w:instrText xml:space="preserve"> ADDIN EN.CITE &lt;EndNote&gt;&lt;Cite&gt;&lt;Author&gt;Dalebroux&lt;/Author&gt;&lt;Year&gt;2012&lt;/Year&gt;&lt;IDText&gt;ppGpp: magic beyond RNA polymerase&lt;/IDText&gt;&lt;DisplayText&gt;(Dalebroux and Swanson, 2012; Österberg, del Peso-Santos and Shingler, 2011)&lt;/DisplayText&gt;&lt;record&gt;&lt;dates&gt;&lt;pub-dates&gt;&lt;date&gt;Mar&lt;/date&gt;&lt;/pub-dates&gt;&lt;year&gt;2012&lt;/year&gt;&lt;/dates&gt;&lt;urls&gt;&lt;related-urls&gt;&lt;url&gt;&amp;lt;Go to ISI&amp;gt;://WOS:000300620100012&lt;/url&gt;&lt;/related-urls&gt;&lt;/urls&gt;&lt;isbn&gt;1740-1526&lt;/isbn&gt;&lt;titles&gt;&lt;title&gt;ppGpp: magic beyond RNA polymerase&lt;/title&gt;&lt;secondary-title&gt;Nature Reviews Microbiology&lt;/secondary-title&gt;&lt;/titles&gt;&lt;pages&gt;203-212&lt;/pages&gt;&lt;number&gt;3&lt;/number&gt;&lt;contributors&gt;&lt;authors&gt;&lt;author&gt;Dalebroux, Zachary D.&lt;/author&gt;&lt;author&gt;Swanson, Michele S.&lt;/author&gt;&lt;/authors&gt;&lt;/contributors&gt;&lt;added-date format="utc"&gt;1663613672&lt;/added-date&gt;&lt;ref-type name="Journal Article"&gt;17&lt;/ref-type&gt;&lt;rec-number&gt;77&lt;/rec-number&gt;&lt;last-updated-date format="utc"&gt;1663624413&lt;/last-updated-date&gt;&lt;accession-num&gt;WOS:000300620100012&lt;/accession-num&gt;&lt;electronic-resource-num&gt;10.1038/nrmicro2720&lt;/electronic-resource-num&gt;&lt;volume&gt;10&lt;/volume&gt;&lt;/record&gt;&lt;/Cite&gt;&lt;Cite&gt;&lt;Author&gt;Österberg&lt;/Author&gt;&lt;Year&gt;2011&lt;/Year&gt;&lt;IDText&gt;Regulation of Alternative Sigma Factor Use&lt;/IDText&gt;&lt;record&gt;&lt;dates&gt;&lt;pub-dates&gt;&lt;date&gt;2011&lt;/date&gt;&lt;/pub-dates&gt;&lt;year&gt;2011&lt;/year&gt;&lt;/dates&gt;&lt;urls&gt;&lt;related-urls&gt;&lt;/related-urls&gt;&lt;/urls&gt;&lt;isbn&gt;0066-4227&lt;/isbn&gt;&lt;titles&gt;&lt;title&gt;Regulation of Alternative Sigma Factor Use&lt;/title&gt;&lt;secondary-title&gt;Annual Review of Microbiology, Vol 65&lt;/secondary-title&gt;&lt;/titles&gt;&lt;pages&gt;37-55&lt;/pages&gt;&lt;contributors&gt;&lt;authors&gt;&lt;author&gt;Österberg, Sofia&lt;/author&gt;&lt;author&gt;del Peso-Santos, Teresa&lt;/author&gt;&lt;author&gt;Shingler, Victoria&lt;/author&gt;&lt;/authors&gt;&lt;/contributors&gt;&lt;added-date format="utc"&gt;1663623456&lt;/added-date&gt;&lt;ref-type name="Journal Article"&gt;17&lt;/ref-type&gt;&lt;rec-number&gt;119&lt;/rec-number&gt;&lt;last-updated-date format="utc"&gt;1677904667&lt;/last-updated-date&gt;&lt;accession-num&gt;WOS:000299463800004&lt;/accession-num&gt;&lt;electronic-resource-num&gt;10.1146/annurev.micro.112408.134219&lt;/electronic-resource-num&gt;&lt;volume&gt;65&lt;/volume&gt;&lt;/record&gt;&lt;/Cite&gt;&lt;/EndNote&gt;</w:instrText>
      </w:r>
      <w:r w:rsidRPr="00713980">
        <w:rPr>
          <w:rFonts w:ascii="Times New Roman" w:hAnsi="Times New Roman" w:cs="Times New Roman"/>
          <w:b/>
          <w:bCs/>
        </w:rPr>
        <w:fldChar w:fldCharType="separate"/>
      </w:r>
      <w:r w:rsidRPr="00713980">
        <w:rPr>
          <w:rFonts w:ascii="Times New Roman" w:hAnsi="Times New Roman" w:cs="Times New Roman"/>
          <w:b/>
          <w:bCs/>
          <w:noProof/>
        </w:rPr>
        <w:t>(Dalebroux and Swanson, 2012; Österberg, del Peso-Santos and Shingler, 2011)</w:t>
      </w:r>
      <w:r w:rsidRPr="00713980">
        <w:rPr>
          <w:rFonts w:ascii="Times New Roman" w:hAnsi="Times New Roman" w:cs="Times New Roman"/>
          <w:b/>
          <w:bCs/>
        </w:rPr>
        <w:fldChar w:fldCharType="end"/>
      </w:r>
      <w:r w:rsidRPr="002541E9">
        <w:rPr>
          <w:rFonts w:ascii="Times New Roman" w:hAnsi="Times New Roman" w:cs="Times New Roman"/>
        </w:rPr>
        <w:t>.</w:t>
      </w:r>
      <w:r>
        <w:rPr>
          <w:rFonts w:ascii="Times New Roman" w:hAnsi="Times New Roman" w:cs="Times New Roman"/>
        </w:rPr>
        <w:t xml:space="preserve"> Upon induction of</w:t>
      </w:r>
      <w:r w:rsidRPr="002541E9">
        <w:rPr>
          <w:rFonts w:ascii="Times New Roman" w:hAnsi="Times New Roman" w:cs="Times New Roman"/>
        </w:rPr>
        <w:t xml:space="preserve"> the </w:t>
      </w:r>
      <w:r>
        <w:rPr>
          <w:rFonts w:ascii="Times New Roman" w:hAnsi="Times New Roman" w:cs="Times New Roman"/>
        </w:rPr>
        <w:t>stringent response</w:t>
      </w:r>
      <w:r w:rsidRPr="002541E9">
        <w:rPr>
          <w:rFonts w:ascii="Times New Roman" w:hAnsi="Times New Roman" w:cs="Times New Roman"/>
        </w:rPr>
        <w:t>, (p)ppGpp and cofactor DnaK suppressor (DksA) directly bind to RNAP and prevent its binding to σ</w:t>
      </w:r>
      <w:r w:rsidRPr="002541E9">
        <w:rPr>
          <w:rFonts w:ascii="Times New Roman" w:hAnsi="Times New Roman" w:cs="Times New Roman"/>
          <w:vertAlign w:val="subscript"/>
        </w:rPr>
        <w:t>70</w:t>
      </w:r>
      <w:r w:rsidRPr="002541E9">
        <w:rPr>
          <w:rFonts w:ascii="Times New Roman" w:hAnsi="Times New Roman" w:cs="Times New Roman"/>
        </w:rPr>
        <w:t>-dependent promoters</w:t>
      </w:r>
      <w:r>
        <w:rPr>
          <w:rFonts w:ascii="Times New Roman" w:hAnsi="Times New Roman" w:cs="Times New Roman"/>
        </w:rPr>
        <w:t xml:space="preserve"> </w:t>
      </w:r>
      <w:r w:rsidRPr="00A70B93">
        <w:rPr>
          <w:rFonts w:ascii="Times New Roman" w:hAnsi="Times New Roman" w:cs="Times New Roman"/>
          <w:b/>
          <w:bCs/>
        </w:rPr>
        <w:fldChar w:fldCharType="begin">
          <w:fldData xml:space="preserve">PEVuZE5vdGU+PENpdGU+PEF1dGhvcj7DlnN0ZXJiZXJnPC9BdXRob3I+PFllYXI+MjAxMTwvWWVh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=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PEVuZE5vdGU+PENpdGU+PEF1dGhvcj7DlnN0ZXJiZXJnPC9BdXRob3I+PFllYXI+MjAxMTwvWWVh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=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A70B93">
        <w:rPr>
          <w:rFonts w:ascii="Times New Roman" w:hAnsi="Times New Roman" w:cs="Times New Roman"/>
          <w:b/>
          <w:bCs/>
        </w:rPr>
      </w:r>
      <w:r w:rsidRPr="00A70B93">
        <w:rPr>
          <w:rFonts w:ascii="Times New Roman" w:hAnsi="Times New Roman" w:cs="Times New Roman"/>
          <w:b/>
          <w:bCs/>
        </w:rPr>
        <w:fldChar w:fldCharType="separate"/>
      </w:r>
      <w:r>
        <w:rPr>
          <w:rFonts w:ascii="Times New Roman" w:hAnsi="Times New Roman" w:cs="Times New Roman"/>
          <w:b/>
          <w:bCs/>
          <w:noProof/>
        </w:rPr>
        <w:t>(Österberg, del Peso-Santos and Shingler, 2011; Paul</w:t>
      </w:r>
      <w:r w:rsidRPr="00DA4614">
        <w:rPr>
          <w:rFonts w:ascii="Times New Roman" w:hAnsi="Times New Roman" w:cs="Times New Roman"/>
          <w:b/>
          <w:bCs/>
          <w:i/>
          <w:noProof/>
        </w:rPr>
        <w:t xml:space="preserve"> et al.</w:t>
      </w:r>
      <w:r>
        <w:rPr>
          <w:rFonts w:ascii="Times New Roman" w:hAnsi="Times New Roman" w:cs="Times New Roman"/>
          <w:b/>
          <w:bCs/>
          <w:noProof/>
        </w:rPr>
        <w:t>, 2004)</w:t>
      </w:r>
      <w:r w:rsidRPr="00A70B93">
        <w:rPr>
          <w:rFonts w:ascii="Times New Roman" w:hAnsi="Times New Roman" w:cs="Times New Roman"/>
          <w:b/>
          <w:bCs/>
        </w:rPr>
        <w:fldChar w:fldCharType="end"/>
      </w:r>
      <w:r>
        <w:rPr>
          <w:rFonts w:ascii="Times New Roman" w:hAnsi="Times New Roman" w:cs="Times New Roman"/>
          <w:b/>
          <w:bCs/>
        </w:rPr>
        <w:t xml:space="preserve"> (Fig. 1.2.2.1)</w:t>
      </w:r>
      <w:r w:rsidRPr="002541E9">
        <w:rPr>
          <w:rFonts w:ascii="Times New Roman" w:hAnsi="Times New Roman" w:cs="Times New Roman"/>
        </w:rPr>
        <w:t>.</w:t>
      </w:r>
      <w:r>
        <w:rPr>
          <w:rFonts w:ascii="Times New Roman" w:hAnsi="Times New Roman" w:cs="Times New Roman"/>
        </w:rPr>
        <w:t xml:space="preserve"> (p)ppGpp binds at two sites on RNAP: site one is present between the </w:t>
      </w:r>
      <w:r w:rsidRPr="00DA4614">
        <w:rPr>
          <w:rFonts w:ascii="Times New Roman" w:hAnsi="Times New Roman" w:cs="Times New Roman"/>
        </w:rPr>
        <w:t>β and ω subunits of RNAP and site two</w:t>
      </w:r>
      <w:r>
        <w:rPr>
          <w:rFonts w:ascii="Times New Roman" w:hAnsi="Times New Roman" w:cs="Times New Roman"/>
        </w:rPr>
        <w:t xml:space="preserve"> occurs at the interface between DksA and RNAP </w:t>
      </w:r>
      <w:r w:rsidRPr="007669AD">
        <w:rPr>
          <w:rFonts w:ascii="Times New Roman" w:hAnsi="Times New Roman" w:cs="Times New Roman"/>
          <w:b/>
          <w:bCs/>
        </w:rPr>
        <w:fldChar w:fldCharType="begin">
          <w:fldData xml:space="preserve">PEVuZE5vdGU+PENpdGU+PEF1dGhvcj5Sb3NzPC9BdXRob3I+PFllYXI+MjAxMzwvWWVhcj48SURU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</w:fldData>
        </w:fldChar>
      </w:r>
      <w:r w:rsidRPr="007669AD">
        <w:rPr>
          <w:rFonts w:ascii="Times New Roman" w:hAnsi="Times New Roman" w:cs="Times New Roman"/>
          <w:b/>
          <w:bCs/>
        </w:rPr>
        <w:instrText xml:space="preserve"> ADDIN EN.CITE </w:instrText>
      </w:r>
      <w:r w:rsidRPr="007669AD">
        <w:rPr>
          <w:rFonts w:ascii="Times New Roman" w:hAnsi="Times New Roman" w:cs="Times New Roman"/>
          <w:b/>
          <w:bCs/>
        </w:rPr>
        <w:fldChar w:fldCharType="begin">
          <w:fldData xml:space="preserve">PEVuZE5vdGU+PENpdGU+PEF1dGhvcj5Sb3NzPC9BdXRob3I+PFllYXI+MjAxMzwvWWVhcj48SURU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</w:fldData>
        </w:fldChar>
      </w:r>
      <w:r w:rsidRPr="007669AD">
        <w:rPr>
          <w:rFonts w:ascii="Times New Roman" w:hAnsi="Times New Roman" w:cs="Times New Roman"/>
          <w:b/>
          <w:bCs/>
        </w:rPr>
        <w:instrText xml:space="preserve"> ADDIN EN.CITE.DATA </w:instrText>
      </w:r>
      <w:r w:rsidRPr="007669AD">
        <w:rPr>
          <w:rFonts w:ascii="Times New Roman" w:hAnsi="Times New Roman" w:cs="Times New Roman"/>
          <w:b/>
          <w:bCs/>
        </w:rPr>
      </w:r>
      <w:r w:rsidRPr="007669AD">
        <w:rPr>
          <w:rFonts w:ascii="Times New Roman" w:hAnsi="Times New Roman" w:cs="Times New Roman"/>
          <w:b/>
          <w:bCs/>
        </w:rPr>
        <w:fldChar w:fldCharType="end"/>
      </w:r>
      <w:r w:rsidRPr="007669AD">
        <w:rPr>
          <w:rFonts w:ascii="Times New Roman" w:hAnsi="Times New Roman" w:cs="Times New Roman"/>
          <w:b/>
          <w:bCs/>
        </w:rPr>
      </w:r>
      <w:r w:rsidRPr="007669AD">
        <w:rPr>
          <w:rFonts w:ascii="Times New Roman" w:hAnsi="Times New Roman" w:cs="Times New Roman"/>
          <w:b/>
          <w:bCs/>
        </w:rPr>
        <w:fldChar w:fldCharType="separate"/>
      </w:r>
      <w:r w:rsidRPr="007669AD">
        <w:rPr>
          <w:rFonts w:ascii="Times New Roman" w:hAnsi="Times New Roman" w:cs="Times New Roman"/>
          <w:b/>
          <w:bCs/>
          <w:noProof/>
        </w:rPr>
        <w:t>(Ross</w:t>
      </w:r>
      <w:r w:rsidRPr="007669AD">
        <w:rPr>
          <w:rFonts w:ascii="Times New Roman" w:hAnsi="Times New Roman" w:cs="Times New Roman"/>
          <w:b/>
          <w:bCs/>
          <w:i/>
          <w:noProof/>
        </w:rPr>
        <w:t xml:space="preserve"> et al.</w:t>
      </w:r>
      <w:r w:rsidRPr="007669AD">
        <w:rPr>
          <w:rFonts w:ascii="Times New Roman" w:hAnsi="Times New Roman" w:cs="Times New Roman"/>
          <w:b/>
          <w:bCs/>
          <w:noProof/>
        </w:rPr>
        <w:t>, 2013; Ross</w:t>
      </w:r>
      <w:r w:rsidRPr="007669AD">
        <w:rPr>
          <w:rFonts w:ascii="Times New Roman" w:hAnsi="Times New Roman" w:cs="Times New Roman"/>
          <w:b/>
          <w:bCs/>
          <w:i/>
          <w:noProof/>
        </w:rPr>
        <w:t xml:space="preserve"> et al.</w:t>
      </w:r>
      <w:r w:rsidRPr="007669AD">
        <w:rPr>
          <w:rFonts w:ascii="Times New Roman" w:hAnsi="Times New Roman" w:cs="Times New Roman"/>
          <w:b/>
          <w:bCs/>
          <w:noProof/>
        </w:rPr>
        <w:t>, 2016)</w:t>
      </w:r>
      <w:r w:rsidRPr="007669AD">
        <w:rPr>
          <w:rFonts w:ascii="Times New Roman" w:hAnsi="Times New Roman" w:cs="Times New Roman"/>
          <w:b/>
          <w:bCs/>
        </w:rPr>
        <w:fldChar w:fldCharType="end"/>
      </w:r>
      <w:r>
        <w:rPr>
          <w:rFonts w:ascii="Times New Roman" w:hAnsi="Times New Roman" w:cs="Times New Roman"/>
        </w:rPr>
        <w:t xml:space="preserve">. The </w:t>
      </w:r>
      <w:r w:rsidRPr="002541E9">
        <w:rPr>
          <w:rFonts w:ascii="Times New Roman" w:hAnsi="Times New Roman" w:cs="Times New Roman"/>
        </w:rPr>
        <w:t>N-terminal MAR (methionine, alanine, arginine)</w:t>
      </w:r>
      <w:r>
        <w:rPr>
          <w:rFonts w:ascii="Times New Roman" w:hAnsi="Times New Roman" w:cs="Times New Roman"/>
        </w:rPr>
        <w:t xml:space="preserve"> </w:t>
      </w:r>
      <w:r w:rsidRPr="002541E9">
        <w:rPr>
          <w:rFonts w:ascii="Times New Roman" w:hAnsi="Times New Roman" w:cs="Times New Roman"/>
        </w:rPr>
        <w:t xml:space="preserve">motif </w:t>
      </w:r>
      <w:r>
        <w:rPr>
          <w:rFonts w:ascii="Times New Roman" w:hAnsi="Times New Roman" w:cs="Times New Roman"/>
        </w:rPr>
        <w:t xml:space="preserve">located at site one is involved in the recognition and binding of (p)ppGpp and is present in Proteobacteria but not Firmicutes </w:t>
      </w:r>
      <w:r w:rsidRPr="009B2966">
        <w:rPr>
          <w:rFonts w:ascii="Times New Roman" w:hAnsi="Times New Roman" w:cs="Times New Roman"/>
          <w:b/>
          <w:bCs/>
        </w:rPr>
        <w:fldChar w:fldCharType="begin"/>
      </w:r>
      <w:r w:rsidRPr="009B2966">
        <w:rPr>
          <w:rFonts w:ascii="Times New Roman" w:hAnsi="Times New Roman" w:cs="Times New Roman"/>
          <w:b/>
          <w:bCs/>
        </w:rPr>
        <w:instrText xml:space="preserve"> ADDIN EN.CITE &lt;EndNote&gt;&lt;Cite&gt;&lt;Author&gt;Hauryliuk&lt;/Author&gt;&lt;Year&gt;2015&lt;/Year&gt;&lt;IDText&gt;Recent functional insights into the role of (p)ppGpp in bacterial physiology&lt;/IDText&gt;&lt;DisplayText&gt;(Hauryliuk&lt;style face="italic"&gt; et al.&lt;/style&gt;, 2015)&lt;/DisplayText&gt;&lt;record&gt;&lt;dates&gt;&lt;pub-dates&gt;&lt;date&gt;May&lt;/date&gt;&lt;/pub-dates&gt;&lt;year&gt;2015&lt;/year&gt;&lt;/dates&gt;&lt;urls&gt;&lt;related-urls&gt;&lt;url&gt;&amp;lt;Go to ISI&amp;gt;://WOS:000353062500010&lt;/url&gt;&lt;/related-urls&gt;&lt;/urls&gt;&lt;isbn&gt;1740-1526&lt;/isbn&gt;&lt;titles&gt;&lt;title&gt;Recent functional insights into the role of (p)ppGpp in bacterial physiology&lt;/title&gt;&lt;secondary-title&gt;Nature Reviews Microbiology&lt;/secondary-title&gt;&lt;/titles&gt;&lt;pages&gt;298-309&lt;/pages&gt;&lt;number&gt;5&lt;/number&gt;&lt;contributors&gt;&lt;authors&gt;&lt;author&gt;Hauryliuk, Vasili&lt;/author&gt;&lt;author&gt;Atkinson, Gemma C.&lt;/author&gt;&lt;author&gt;Murakami, Katsuhiko S.&lt;/author&gt;&lt;author&gt;Tenson, Tanel&lt;/author&gt;&lt;author&gt;Gerdes, Kenn&lt;/author&gt;&lt;/authors&gt;&lt;/contributors&gt;&lt;added-date format="utc"&gt;1663622048&lt;/added-date&gt;&lt;ref-type name="Journal Article"&gt;17&lt;/ref-type&gt;&lt;rec-number&gt;114&lt;/rec-number&gt;&lt;last-updated-date format="utc"&gt;1663624413&lt;/last-updated-date&gt;&lt;accession-num&gt;WOS:000353062500010&lt;/accession-num&gt;&lt;electronic-resource-num&gt;10.1038/nrmicro3448&lt;/electronic-resource-num&gt;&lt;volume&gt;13&lt;/volume&gt;&lt;/record&gt;&lt;/Cite&gt;&lt;/EndNote&gt;</w:instrText>
      </w:r>
      <w:r w:rsidRPr="009B2966">
        <w:rPr>
          <w:rFonts w:ascii="Times New Roman" w:hAnsi="Times New Roman" w:cs="Times New Roman"/>
          <w:b/>
          <w:bCs/>
        </w:rPr>
        <w:fldChar w:fldCharType="separate"/>
      </w:r>
      <w:r w:rsidRPr="009B2966">
        <w:rPr>
          <w:rFonts w:ascii="Times New Roman" w:hAnsi="Times New Roman" w:cs="Times New Roman"/>
          <w:b/>
          <w:bCs/>
          <w:noProof/>
        </w:rPr>
        <w:t>(Hauryliuk</w:t>
      </w:r>
      <w:r w:rsidRPr="009B2966">
        <w:rPr>
          <w:rFonts w:ascii="Times New Roman" w:hAnsi="Times New Roman" w:cs="Times New Roman"/>
          <w:b/>
          <w:bCs/>
          <w:i/>
          <w:noProof/>
        </w:rPr>
        <w:t xml:space="preserve"> et al.</w:t>
      </w:r>
      <w:r w:rsidRPr="009B2966">
        <w:rPr>
          <w:rFonts w:ascii="Times New Roman" w:hAnsi="Times New Roman" w:cs="Times New Roman"/>
          <w:b/>
          <w:bCs/>
          <w:noProof/>
        </w:rPr>
        <w:t>, 2015)</w:t>
      </w:r>
      <w:r w:rsidRPr="009B2966">
        <w:rPr>
          <w:rFonts w:ascii="Times New Roman" w:hAnsi="Times New Roman" w:cs="Times New Roman"/>
          <w:b/>
          <w:bCs/>
        </w:rPr>
        <w:fldChar w:fldCharType="end"/>
      </w:r>
      <w:r>
        <w:rPr>
          <w:rFonts w:ascii="Times New Roman" w:hAnsi="Times New Roman" w:cs="Times New Roman"/>
        </w:rPr>
        <w:t xml:space="preserve">. The </w:t>
      </w:r>
      <w:r w:rsidRPr="002541E9">
        <w:rPr>
          <w:rFonts w:ascii="Times New Roman" w:hAnsi="Times New Roman" w:cs="Times New Roman"/>
        </w:rPr>
        <w:t>outcome</w:t>
      </w:r>
      <w:r>
        <w:rPr>
          <w:rFonts w:ascii="Times New Roman" w:hAnsi="Times New Roman" w:cs="Times New Roman"/>
        </w:rPr>
        <w:t xml:space="preserve"> of (p)ppGpp-mediated RNAP inhibition</w:t>
      </w:r>
      <w:r w:rsidRPr="002541E9">
        <w:rPr>
          <w:rFonts w:ascii="Times New Roman" w:hAnsi="Times New Roman" w:cs="Times New Roman"/>
        </w:rPr>
        <w:t xml:space="preserve"> is the reduction in ribosomal RNA</w:t>
      </w:r>
      <w:r>
        <w:rPr>
          <w:rFonts w:ascii="Times New Roman" w:hAnsi="Times New Roman" w:cs="Times New Roman"/>
        </w:rPr>
        <w:t xml:space="preserve"> </w:t>
      </w:r>
      <w:r w:rsidRPr="002541E9">
        <w:rPr>
          <w:rFonts w:ascii="Times New Roman" w:hAnsi="Times New Roman" w:cs="Times New Roman"/>
        </w:rPr>
        <w:t xml:space="preserve">(rRNA) transcription by modulation of </w:t>
      </w:r>
      <w:r>
        <w:rPr>
          <w:rFonts w:ascii="Times New Roman" w:hAnsi="Times New Roman" w:cs="Times New Roman"/>
        </w:rPr>
        <w:t xml:space="preserve">activity of </w:t>
      </w:r>
      <w:r w:rsidRPr="002541E9">
        <w:rPr>
          <w:rFonts w:ascii="Times New Roman" w:hAnsi="Times New Roman" w:cs="Times New Roman"/>
        </w:rPr>
        <w:t xml:space="preserve">the </w:t>
      </w:r>
      <w:r w:rsidRPr="002541E9">
        <w:rPr>
          <w:rFonts w:ascii="Times New Roman" w:hAnsi="Times New Roman" w:cs="Times New Roman"/>
          <w:i/>
          <w:iCs/>
        </w:rPr>
        <w:t xml:space="preserve">rrn </w:t>
      </w:r>
      <w:r w:rsidRPr="002541E9">
        <w:rPr>
          <w:rFonts w:ascii="Times New Roman" w:hAnsi="Times New Roman" w:cs="Times New Roman"/>
        </w:rPr>
        <w:t>promoters</w:t>
      </w:r>
      <w:r>
        <w:rPr>
          <w:rFonts w:ascii="Times New Roman" w:hAnsi="Times New Roman" w:cs="Times New Roman"/>
        </w:rPr>
        <w:t>, ultimately resulting in decreased translation due to a decrease in the production of functional ribosomes</w:t>
      </w:r>
      <w:r w:rsidRPr="002541E9">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33564" w14:paraId="13D07775" w14:textId="77777777" w:rsidTr="00A74445">
        <w:tc>
          <w:tcPr>
            <w:tcW w:w="9016" w:type="dxa"/>
          </w:tcPr>
          <w:p w14:paraId="750D21A4" w14:textId="77777777" w:rsidR="00033564" w:rsidRDefault="00033564" w:rsidP="00A74445">
            <w:pPr>
              <w:spacing w:line="360" w:lineRule="auto"/>
              <w:jc w:val="both"/>
              <w:rPr>
                <w:rFonts w:ascii="Times New Roman" w:hAnsi="Times New Roman" w:cs="Times New Roman"/>
                <w:color w:val="FF0000"/>
              </w:rPr>
            </w:pPr>
            <w:r>
              <w:rPr>
                <w:rFonts w:ascii="Times New Roman" w:hAnsi="Times New Roman" w:cs="Times New Roman"/>
                <w:noProof/>
                <w:color w:val="FF0000"/>
              </w:rPr>
              <w:drawing>
                <wp:inline distT="0" distB="0" distL="0" distR="0" wp14:anchorId="4D1EA966" wp14:editId="2C559588">
                  <wp:extent cx="5417032" cy="80945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5627" cy="8107432"/>
                          </a:xfrm>
                          <a:prstGeom prst="rect">
                            <a:avLst/>
                          </a:prstGeom>
                          <a:noFill/>
                        </pic:spPr>
                      </pic:pic>
                    </a:graphicData>
                  </a:graphic>
                </wp:inline>
              </w:drawing>
            </w:r>
          </w:p>
        </w:tc>
      </w:tr>
      <w:tr w:rsidR="00033564" w14:paraId="33BCF2BC" w14:textId="77777777" w:rsidTr="00A74445">
        <w:tc>
          <w:tcPr>
            <w:tcW w:w="9016" w:type="dxa"/>
          </w:tcPr>
          <w:p w14:paraId="3F83861E" w14:textId="0F94940D" w:rsidR="00033564" w:rsidRPr="004635AB" w:rsidRDefault="00033564" w:rsidP="00A74445">
            <w:pPr>
              <w:jc w:val="both"/>
              <w:rPr>
                <w:rFonts w:ascii="Times New Roman" w:hAnsi="Times New Roman" w:cs="Times New Roman"/>
                <w:sz w:val="18"/>
                <w:szCs w:val="18"/>
              </w:rPr>
            </w:pPr>
            <w:r w:rsidRPr="004635AB">
              <w:rPr>
                <w:rFonts w:ascii="Times New Roman" w:hAnsi="Times New Roman" w:cs="Times New Roman"/>
                <w:b/>
                <w:bCs/>
                <w:sz w:val="18"/>
                <w:szCs w:val="18"/>
              </w:rPr>
              <w:t xml:space="preserve">Figure 1.2.2.1. The effects of (p)ppGpp on bacterial transcription. a) </w:t>
            </w:r>
            <w:r w:rsidRPr="004635AB">
              <w:rPr>
                <w:rFonts w:ascii="Times New Roman" w:hAnsi="Times New Roman" w:cs="Times New Roman"/>
                <w:sz w:val="18"/>
                <w:szCs w:val="18"/>
              </w:rPr>
              <w:t>In Proteobacteria, the effect of (p)ppGpp on transcription occurs through interaction with RNAP – the binding of DksA, (p)ppGpp and σ</w:t>
            </w:r>
            <w:r w:rsidRPr="004635AB">
              <w:rPr>
                <w:rFonts w:ascii="Times New Roman" w:hAnsi="Times New Roman" w:cs="Times New Roman"/>
                <w:sz w:val="18"/>
                <w:szCs w:val="18"/>
                <w:vertAlign w:val="subscript"/>
              </w:rPr>
              <w:t xml:space="preserve">70 </w:t>
            </w:r>
            <w:r w:rsidRPr="004635AB">
              <w:rPr>
                <w:rFonts w:ascii="Times New Roman" w:hAnsi="Times New Roman" w:cs="Times New Roman"/>
                <w:sz w:val="18"/>
                <w:szCs w:val="18"/>
              </w:rPr>
              <w:t>prevents transcription with a major effect being the downregulation of ribosomal RNA (</w:t>
            </w:r>
            <w:r w:rsidRPr="004635AB">
              <w:rPr>
                <w:rFonts w:ascii="Times New Roman" w:hAnsi="Times New Roman" w:cs="Times New Roman"/>
                <w:i/>
                <w:iCs/>
                <w:sz w:val="18"/>
                <w:szCs w:val="18"/>
              </w:rPr>
              <w:t>rrn</w:t>
            </w:r>
            <w:r w:rsidRPr="004635AB">
              <w:rPr>
                <w:rFonts w:ascii="Times New Roman" w:hAnsi="Times New Roman" w:cs="Times New Roman"/>
                <w:sz w:val="18"/>
                <w:szCs w:val="18"/>
              </w:rPr>
              <w:t xml:space="preserve">) promoters. </w:t>
            </w:r>
            <w:r w:rsidRPr="004635AB">
              <w:rPr>
                <w:rFonts w:ascii="Times New Roman" w:hAnsi="Times New Roman" w:cs="Times New Roman"/>
                <w:b/>
                <w:bCs/>
                <w:sz w:val="18"/>
                <w:szCs w:val="18"/>
              </w:rPr>
              <w:t xml:space="preserve">bi) </w:t>
            </w:r>
            <w:r w:rsidRPr="004635AB">
              <w:rPr>
                <w:rFonts w:ascii="Times New Roman" w:hAnsi="Times New Roman" w:cs="Times New Roman"/>
                <w:sz w:val="18"/>
                <w:szCs w:val="18"/>
              </w:rPr>
              <w:t>In contrast</w:t>
            </w:r>
            <w:r w:rsidR="00ED22AC">
              <w:rPr>
                <w:rFonts w:ascii="Times New Roman" w:hAnsi="Times New Roman" w:cs="Times New Roman"/>
                <w:sz w:val="18"/>
                <w:szCs w:val="18"/>
              </w:rPr>
              <w:t xml:space="preserve"> in firmicutes</w:t>
            </w:r>
            <w:r w:rsidRPr="004635AB">
              <w:rPr>
                <w:rFonts w:ascii="Times New Roman" w:hAnsi="Times New Roman" w:cs="Times New Roman"/>
                <w:sz w:val="18"/>
                <w:szCs w:val="18"/>
              </w:rPr>
              <w:t xml:space="preserve">, (p)ppGpp targets the GTP-synthesising enzymes in order decrease GTP levels which results in downregulation of the </w:t>
            </w:r>
            <w:r w:rsidRPr="004635AB">
              <w:rPr>
                <w:rFonts w:ascii="Times New Roman" w:hAnsi="Times New Roman" w:cs="Times New Roman"/>
                <w:i/>
                <w:iCs/>
                <w:sz w:val="18"/>
                <w:szCs w:val="18"/>
              </w:rPr>
              <w:t>rrn</w:t>
            </w:r>
            <w:r w:rsidRPr="004635AB">
              <w:rPr>
                <w:rFonts w:ascii="Times New Roman" w:hAnsi="Times New Roman" w:cs="Times New Roman"/>
                <w:sz w:val="18"/>
                <w:szCs w:val="18"/>
              </w:rPr>
              <w:t xml:space="preserve"> promoters and leads to the upregulation of genes involved in adapting to stress. This is done in two ways, as described in </w:t>
            </w:r>
            <w:r w:rsidRPr="0081437E">
              <w:rPr>
                <w:rFonts w:ascii="Times New Roman" w:hAnsi="Times New Roman" w:cs="Times New Roman"/>
                <w:b/>
                <w:bCs/>
                <w:sz w:val="18"/>
                <w:szCs w:val="18"/>
              </w:rPr>
              <w:t>bii)</w:t>
            </w:r>
            <w:r w:rsidRPr="004635AB">
              <w:rPr>
                <w:rFonts w:ascii="Times New Roman" w:hAnsi="Times New Roman" w:cs="Times New Roman"/>
                <w:sz w:val="18"/>
                <w:szCs w:val="18"/>
              </w:rPr>
              <w:t xml:space="preserve"> and </w:t>
            </w:r>
            <w:r w:rsidRPr="0081437E">
              <w:rPr>
                <w:rFonts w:ascii="Times New Roman" w:hAnsi="Times New Roman" w:cs="Times New Roman"/>
                <w:b/>
                <w:bCs/>
                <w:sz w:val="18"/>
                <w:szCs w:val="18"/>
              </w:rPr>
              <w:t>biii)</w:t>
            </w:r>
            <w:r w:rsidRPr="004635AB">
              <w:rPr>
                <w:rFonts w:ascii="Times New Roman" w:hAnsi="Times New Roman" w:cs="Times New Roman"/>
                <w:sz w:val="18"/>
                <w:szCs w:val="18"/>
              </w:rPr>
              <w:t xml:space="preserve">. </w:t>
            </w:r>
            <w:r w:rsidRPr="004635AB">
              <w:rPr>
                <w:rFonts w:ascii="Times New Roman" w:hAnsi="Times New Roman" w:cs="Times New Roman"/>
                <w:b/>
                <w:bCs/>
                <w:sz w:val="18"/>
                <w:szCs w:val="18"/>
              </w:rPr>
              <w:t>bii)</w:t>
            </w:r>
            <w:r w:rsidRPr="004635AB">
              <w:rPr>
                <w:rFonts w:ascii="Times New Roman" w:hAnsi="Times New Roman" w:cs="Times New Roman"/>
                <w:sz w:val="18"/>
                <w:szCs w:val="18"/>
              </w:rPr>
              <w:t xml:space="preserve"> (p)ppGpp inhibit</w:t>
            </w:r>
            <w:r w:rsidR="00ED22AC">
              <w:rPr>
                <w:rFonts w:ascii="Times New Roman" w:hAnsi="Times New Roman" w:cs="Times New Roman"/>
                <w:sz w:val="18"/>
                <w:szCs w:val="18"/>
              </w:rPr>
              <w:t>a</w:t>
            </w:r>
            <w:r w:rsidRPr="004635AB">
              <w:rPr>
                <w:rFonts w:ascii="Times New Roman" w:hAnsi="Times New Roman" w:cs="Times New Roman"/>
                <w:sz w:val="18"/>
                <w:szCs w:val="18"/>
              </w:rPr>
              <w:t xml:space="preserve"> the GTP-synthesising enzymes that contribute to the </w:t>
            </w:r>
            <w:r w:rsidRPr="004635AB">
              <w:rPr>
                <w:rFonts w:ascii="Times New Roman" w:hAnsi="Times New Roman" w:cs="Times New Roman"/>
                <w:i/>
                <w:iCs/>
                <w:sz w:val="18"/>
                <w:szCs w:val="18"/>
              </w:rPr>
              <w:t>de novo</w:t>
            </w:r>
            <w:r w:rsidRPr="004635AB">
              <w:rPr>
                <w:rFonts w:ascii="Times New Roman" w:hAnsi="Times New Roman" w:cs="Times New Roman"/>
                <w:sz w:val="18"/>
                <w:szCs w:val="18"/>
              </w:rPr>
              <w:t xml:space="preserve"> and salvage purine biosynthetic pathways. </w:t>
            </w:r>
            <w:r w:rsidRPr="004635AB">
              <w:rPr>
                <w:rFonts w:ascii="Times New Roman" w:hAnsi="Times New Roman" w:cs="Times New Roman"/>
                <w:i/>
                <w:iCs/>
                <w:sz w:val="18"/>
                <w:szCs w:val="18"/>
              </w:rPr>
              <w:t>De novo</w:t>
            </w:r>
            <w:r w:rsidRPr="004635AB">
              <w:rPr>
                <w:rFonts w:ascii="Times New Roman" w:hAnsi="Times New Roman" w:cs="Times New Roman"/>
                <w:sz w:val="18"/>
                <w:szCs w:val="18"/>
              </w:rPr>
              <w:t xml:space="preserve"> GTP synthesis starts with phosphoribosyl pyrophosphate (PRPP) which is converted to 5-phosphoribosylamine (PRA) by PurF</w:t>
            </w:r>
            <w:r w:rsidR="00ED22AC">
              <w:rPr>
                <w:rFonts w:ascii="Times New Roman" w:hAnsi="Times New Roman" w:cs="Times New Roman"/>
                <w:sz w:val="18"/>
                <w:szCs w:val="18"/>
              </w:rPr>
              <w:t xml:space="preserve"> and this</w:t>
            </w:r>
            <w:r w:rsidRPr="004635AB">
              <w:rPr>
                <w:rFonts w:ascii="Times New Roman" w:hAnsi="Times New Roman" w:cs="Times New Roman"/>
                <w:sz w:val="18"/>
                <w:szCs w:val="18"/>
              </w:rPr>
              <w:t xml:space="preserve"> is converted to inosine 5’-phosphate (IMP). IMP dehydrogenase (GuaB) converts IMP to xanthosine 5’-phosphate (XMP) and GMP synthase (GuaA) converts XMP to GMP. GMP is converted to GDP by guanylate kinase (Gmk) and GDP is converted to GTP by nucleoside diphosphate kinase (Ndk). In contrast, the salvage pathway starts with nucleotides such as guanine. Guanine (GUA) and hypoxanthine (HPX) are similar in structure and therefore are both substrates of the enzyme HprT, which converts them to IMP and GMP respectively. These products can then be further metabolised in the </w:t>
            </w:r>
            <w:r w:rsidRPr="004635AB">
              <w:rPr>
                <w:rFonts w:ascii="Times New Roman" w:hAnsi="Times New Roman" w:cs="Times New Roman"/>
                <w:i/>
                <w:iCs/>
                <w:sz w:val="18"/>
                <w:szCs w:val="18"/>
              </w:rPr>
              <w:t>de novo</w:t>
            </w:r>
            <w:r w:rsidRPr="004635AB">
              <w:rPr>
                <w:rFonts w:ascii="Times New Roman" w:hAnsi="Times New Roman" w:cs="Times New Roman"/>
                <w:sz w:val="18"/>
                <w:szCs w:val="18"/>
              </w:rPr>
              <w:t xml:space="preserve"> pathway. (p)ppGpp is represented by a yellow star. Enzymes are highlighted in blue. </w:t>
            </w:r>
            <w:r w:rsidRPr="004635AB">
              <w:rPr>
                <w:rFonts w:ascii="Times New Roman" w:hAnsi="Times New Roman" w:cs="Times New Roman"/>
                <w:b/>
                <w:bCs/>
                <w:sz w:val="18"/>
                <w:szCs w:val="18"/>
              </w:rPr>
              <w:t xml:space="preserve">biii) </w:t>
            </w:r>
            <w:r w:rsidRPr="004635AB">
              <w:rPr>
                <w:rFonts w:ascii="Times New Roman" w:hAnsi="Times New Roman" w:cs="Times New Roman"/>
                <w:sz w:val="18"/>
                <w:szCs w:val="18"/>
              </w:rPr>
              <w:t>Under nutrient-rich conditions, CodY is associated with DNA with GTP and BCAA as cofactors. Cellular GTP pools are high</w:t>
            </w:r>
            <w:r w:rsidR="000D765B">
              <w:rPr>
                <w:rFonts w:ascii="Times New Roman" w:hAnsi="Times New Roman" w:cs="Times New Roman"/>
                <w:sz w:val="18"/>
                <w:szCs w:val="18"/>
              </w:rPr>
              <w:t>,</w:t>
            </w:r>
            <w:r w:rsidRPr="004635AB">
              <w:rPr>
                <w:rFonts w:ascii="Times New Roman" w:hAnsi="Times New Roman" w:cs="Times New Roman"/>
                <w:sz w:val="18"/>
                <w:szCs w:val="18"/>
              </w:rPr>
              <w:t xml:space="preserve"> and genes repressed by CodY are not being expressed. However, under nutrient limitation, the accumulation of (p)ppGpp decreases the GTP pool thus reducing the GTP available to act as a cofactor for CodY. CodY repression is then relieved, allowing the expression of genes involved in adapting to stress including amino acid biosynthetic genes and also genes related to virulence.</w:t>
            </w:r>
          </w:p>
        </w:tc>
      </w:tr>
    </w:tbl>
    <w:p w14:paraId="72B8D4DC" w14:textId="77777777" w:rsidR="00033564" w:rsidRDefault="00033564" w:rsidP="00033564">
      <w:pPr>
        <w:spacing w:line="360" w:lineRule="auto"/>
        <w:jc w:val="both"/>
        <w:rPr>
          <w:rFonts w:ascii="Times New Roman" w:hAnsi="Times New Roman" w:cs="Times New Roman"/>
          <w:color w:val="FF0000"/>
        </w:rPr>
      </w:pPr>
    </w:p>
    <w:p w14:paraId="37CAEF76" w14:textId="296D855A" w:rsidR="00033564" w:rsidRPr="00DA1BD0" w:rsidRDefault="00033564" w:rsidP="00033564">
      <w:pPr>
        <w:spacing w:line="360" w:lineRule="auto"/>
        <w:jc w:val="both"/>
        <w:rPr>
          <w:rFonts w:ascii="Times New Roman" w:hAnsi="Times New Roman" w:cs="Times New Roman"/>
        </w:rPr>
      </w:pPr>
      <w:r>
        <w:rPr>
          <w:rFonts w:ascii="Times New Roman" w:hAnsi="Times New Roman" w:cs="Times New Roman"/>
        </w:rPr>
        <w:tab/>
      </w:r>
      <w:r w:rsidRPr="002541E9">
        <w:rPr>
          <w:rFonts w:ascii="Times New Roman" w:hAnsi="Times New Roman" w:cs="Times New Roman"/>
        </w:rPr>
        <w:t>In contrast, (p)ppGpp does not bind</w:t>
      </w:r>
      <w:r>
        <w:rPr>
          <w:rFonts w:ascii="Times New Roman" w:hAnsi="Times New Roman" w:cs="Times New Roman"/>
        </w:rPr>
        <w:t xml:space="preserve"> to</w:t>
      </w:r>
      <w:r w:rsidRPr="002541E9">
        <w:rPr>
          <w:rFonts w:ascii="Times New Roman" w:hAnsi="Times New Roman" w:cs="Times New Roman"/>
        </w:rPr>
        <w:t xml:space="preserve"> RNAP in </w:t>
      </w:r>
      <w:r>
        <w:rPr>
          <w:rFonts w:ascii="Times New Roman" w:hAnsi="Times New Roman" w:cs="Times New Roman"/>
        </w:rPr>
        <w:t>the F</w:t>
      </w:r>
      <w:r w:rsidRPr="002541E9">
        <w:rPr>
          <w:rFonts w:ascii="Times New Roman" w:hAnsi="Times New Roman" w:cs="Times New Roman"/>
        </w:rPr>
        <w:t>irmicutes</w:t>
      </w:r>
      <w:r>
        <w:rPr>
          <w:rFonts w:ascii="Times New Roman" w:hAnsi="Times New Roman" w:cs="Times New Roman"/>
        </w:rPr>
        <w:t>,</w:t>
      </w:r>
      <w:r w:rsidRPr="002541E9">
        <w:rPr>
          <w:rFonts w:ascii="Times New Roman" w:hAnsi="Times New Roman" w:cs="Times New Roman"/>
        </w:rPr>
        <w:t xml:space="preserve"> </w:t>
      </w:r>
      <w:r>
        <w:rPr>
          <w:rFonts w:ascii="Times New Roman" w:hAnsi="Times New Roman" w:cs="Times New Roman"/>
        </w:rPr>
        <w:t>likely due to the</w:t>
      </w:r>
      <w:r w:rsidRPr="002541E9">
        <w:rPr>
          <w:rFonts w:ascii="Times New Roman" w:hAnsi="Times New Roman" w:cs="Times New Roman"/>
        </w:rPr>
        <w:t xml:space="preserve"> RNAP ω-subunit lack</w:t>
      </w:r>
      <w:r>
        <w:rPr>
          <w:rFonts w:ascii="Times New Roman" w:hAnsi="Times New Roman" w:cs="Times New Roman"/>
        </w:rPr>
        <w:t>ing</w:t>
      </w:r>
      <w:r w:rsidRPr="002541E9">
        <w:rPr>
          <w:rFonts w:ascii="Times New Roman" w:hAnsi="Times New Roman" w:cs="Times New Roman"/>
        </w:rPr>
        <w:t xml:space="preserve"> </w:t>
      </w:r>
      <w:r>
        <w:rPr>
          <w:rFonts w:ascii="Times New Roman" w:hAnsi="Times New Roman" w:cs="Times New Roman"/>
        </w:rPr>
        <w:t xml:space="preserve">the MAR motif </w:t>
      </w:r>
      <w:r w:rsidRPr="00A1399E">
        <w:rPr>
          <w:rFonts w:ascii="Times New Roman" w:hAnsi="Times New Roman" w:cs="Times New Roman"/>
          <w:b/>
          <w:bCs/>
        </w:rPr>
        <w:fldChar w:fldCharType="begin"/>
      </w:r>
      <w:r w:rsidRPr="00A1399E">
        <w:rPr>
          <w:rFonts w:ascii="Times New Roman" w:hAnsi="Times New Roman" w:cs="Times New Roman"/>
          <w:b/>
          <w:bCs/>
        </w:rPr>
        <w:instrText xml:space="preserve"> ADDIN EN.CITE &lt;EndNote&gt;&lt;Cite&gt;&lt;Author&gt;Hauryliuk&lt;/Author&gt;&lt;Year&gt;2015&lt;/Year&gt;&lt;IDText&gt;Recent functional insights into the role of (p)ppGpp in bacterial physiology&lt;/IDText&gt;&lt;DisplayText&gt;(Hauryliuk&lt;style face="italic"&gt; et al.&lt;/style&gt;, 2015)&lt;/DisplayText&gt;&lt;record&gt;&lt;dates&gt;&lt;pub-dates&gt;&lt;date&gt;May&lt;/date&gt;&lt;/pub-dates&gt;&lt;year&gt;2015&lt;/year&gt;&lt;/dates&gt;&lt;urls&gt;&lt;related-urls&gt;&lt;url&gt;&amp;lt;Go to ISI&amp;gt;://WOS:000353062500010&lt;/url&gt;&lt;/related-urls&gt;&lt;/urls&gt;&lt;isbn&gt;1740-1526&lt;/isbn&gt;&lt;titles&gt;&lt;title&gt;Recent functional insights into the role of (p)ppGpp in bacterial physiology&lt;/title&gt;&lt;secondary-title&gt;Nature Reviews Microbiology&lt;/secondary-title&gt;&lt;/titles&gt;&lt;pages&gt;298-309&lt;/pages&gt;&lt;number&gt;5&lt;/number&gt;&lt;contributors&gt;&lt;authors&gt;&lt;author&gt;Hauryliuk, Vasili&lt;/author&gt;&lt;author&gt;Atkinson, Gemma C.&lt;/author&gt;&lt;author&gt;Murakami, Katsuhiko S.&lt;/author&gt;&lt;author&gt;Tenson, Tanel&lt;/author&gt;&lt;author&gt;Gerdes, Kenn&lt;/author&gt;&lt;/authors&gt;&lt;/contributors&gt;&lt;added-date format="utc"&gt;1663622048&lt;/added-date&gt;&lt;ref-type name="Journal Article"&gt;17&lt;/ref-type&gt;&lt;rec-number&gt;114&lt;/rec-number&gt;&lt;last-updated-date format="utc"&gt;1663624413&lt;/last-updated-date&gt;&lt;accession-num&gt;WOS:000353062500010&lt;/accession-num&gt;&lt;electronic-resource-num&gt;10.1038/nrmicro3448&lt;/electronic-resource-num&gt;&lt;volume&gt;13&lt;/volume&gt;&lt;/record&gt;&lt;/Cite&gt;&lt;/EndNote&gt;</w:instrText>
      </w:r>
      <w:r w:rsidRPr="00A1399E">
        <w:rPr>
          <w:rFonts w:ascii="Times New Roman" w:hAnsi="Times New Roman" w:cs="Times New Roman"/>
          <w:b/>
          <w:bCs/>
        </w:rPr>
        <w:fldChar w:fldCharType="separate"/>
      </w:r>
      <w:r w:rsidRPr="00A1399E">
        <w:rPr>
          <w:rFonts w:ascii="Times New Roman" w:hAnsi="Times New Roman" w:cs="Times New Roman"/>
          <w:b/>
          <w:bCs/>
          <w:noProof/>
        </w:rPr>
        <w:t>(Hauryliuk</w:t>
      </w:r>
      <w:r w:rsidRPr="00A1399E">
        <w:rPr>
          <w:rFonts w:ascii="Times New Roman" w:hAnsi="Times New Roman" w:cs="Times New Roman"/>
          <w:b/>
          <w:bCs/>
          <w:i/>
          <w:noProof/>
        </w:rPr>
        <w:t xml:space="preserve"> et al.</w:t>
      </w:r>
      <w:r w:rsidRPr="00A1399E">
        <w:rPr>
          <w:rFonts w:ascii="Times New Roman" w:hAnsi="Times New Roman" w:cs="Times New Roman"/>
          <w:b/>
          <w:bCs/>
          <w:noProof/>
        </w:rPr>
        <w:t>, 2015)</w:t>
      </w:r>
      <w:r w:rsidRPr="00A1399E">
        <w:rPr>
          <w:rFonts w:ascii="Times New Roman" w:hAnsi="Times New Roman" w:cs="Times New Roman"/>
          <w:b/>
          <w:bCs/>
        </w:rPr>
        <w:fldChar w:fldCharType="end"/>
      </w:r>
      <w:r>
        <w:rPr>
          <w:rFonts w:ascii="Times New Roman" w:hAnsi="Times New Roman" w:cs="Times New Roman"/>
        </w:rPr>
        <w:t>. Additionally, the Firmicutes do not encode for a homolog of DksA. Thus, changes to transcription upon induction of the stringent response are indirectly mediated by RNAP</w:t>
      </w:r>
      <w:r w:rsidRPr="002541E9">
        <w:rPr>
          <w:rFonts w:ascii="Times New Roman" w:hAnsi="Times New Roman" w:cs="Times New Roman"/>
        </w:rPr>
        <w:t>. Instead,</w:t>
      </w:r>
      <w:r>
        <w:rPr>
          <w:rFonts w:ascii="Times New Roman" w:hAnsi="Times New Roman" w:cs="Times New Roman"/>
        </w:rPr>
        <w:t xml:space="preserve"> a decrease in the cellular GTP pool is responsible: GTP is consumed as a substrate of (pp)pGpp production and </w:t>
      </w:r>
      <w:r w:rsidRPr="002541E9">
        <w:rPr>
          <w:rFonts w:ascii="Times New Roman" w:hAnsi="Times New Roman" w:cs="Times New Roman"/>
        </w:rPr>
        <w:t xml:space="preserve">(pp)pGpp </w:t>
      </w:r>
      <w:r>
        <w:rPr>
          <w:rFonts w:ascii="Times New Roman" w:hAnsi="Times New Roman" w:cs="Times New Roman"/>
        </w:rPr>
        <w:t>interacts with</w:t>
      </w:r>
      <w:r w:rsidRPr="002541E9">
        <w:rPr>
          <w:rFonts w:ascii="Times New Roman" w:hAnsi="Times New Roman" w:cs="Times New Roman"/>
        </w:rPr>
        <w:t xml:space="preserve"> and inhibits enzymes involved in GTP synthesis</w:t>
      </w:r>
      <w:r>
        <w:rPr>
          <w:rFonts w:ascii="Times New Roman" w:hAnsi="Times New Roman" w:cs="Times New Roman"/>
        </w:rPr>
        <w:t xml:space="preserve"> </w:t>
      </w:r>
      <w:r w:rsidRPr="00D16360">
        <w:rPr>
          <w:rFonts w:ascii="Times New Roman" w:hAnsi="Times New Roman" w:cs="Times New Roman"/>
          <w:b/>
          <w:bCs/>
        </w:rPr>
        <w:fldChar w:fldCharType="begin">
          <w:fldData xml:space="preserve">PEVuZE5vdGU+PENpdGU+PEF1dGhvcj5LcmllbDwvQXV0aG9yPjxZZWFyPjIwMTI8L1llYXI+PElE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==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PEVuZE5vdGU+PENpdGU+PEF1dGhvcj5LcmllbDwvQXV0aG9yPjxZZWFyPjIwMTI8L1llYXI+PElE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==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D16360">
        <w:rPr>
          <w:rFonts w:ascii="Times New Roman" w:hAnsi="Times New Roman" w:cs="Times New Roman"/>
          <w:b/>
          <w:bCs/>
        </w:rPr>
      </w:r>
      <w:r w:rsidRPr="00D16360">
        <w:rPr>
          <w:rFonts w:ascii="Times New Roman" w:hAnsi="Times New Roman" w:cs="Times New Roman"/>
          <w:b/>
          <w:bCs/>
        </w:rPr>
        <w:fldChar w:fldCharType="separate"/>
      </w:r>
      <w:r>
        <w:rPr>
          <w:rFonts w:ascii="Times New Roman" w:hAnsi="Times New Roman" w:cs="Times New Roman"/>
          <w:b/>
          <w:bCs/>
          <w:noProof/>
        </w:rPr>
        <w:t>(Kriel</w:t>
      </w:r>
      <w:r w:rsidRPr="00D16360">
        <w:rPr>
          <w:rFonts w:ascii="Times New Roman" w:hAnsi="Times New Roman" w:cs="Times New Roman"/>
          <w:b/>
          <w:bCs/>
          <w:i/>
          <w:noProof/>
        </w:rPr>
        <w:t xml:space="preserve"> et al.</w:t>
      </w:r>
      <w:r>
        <w:rPr>
          <w:rFonts w:ascii="Times New Roman" w:hAnsi="Times New Roman" w:cs="Times New Roman"/>
          <w:b/>
          <w:bCs/>
          <w:noProof/>
        </w:rPr>
        <w:t>, 2012; Corrigan</w:t>
      </w:r>
      <w:r w:rsidRPr="00D16360">
        <w:rPr>
          <w:rFonts w:ascii="Times New Roman" w:hAnsi="Times New Roman" w:cs="Times New Roman"/>
          <w:b/>
          <w:bCs/>
          <w:i/>
          <w:noProof/>
        </w:rPr>
        <w:t xml:space="preserve"> et al.</w:t>
      </w:r>
      <w:r>
        <w:rPr>
          <w:rFonts w:ascii="Times New Roman" w:hAnsi="Times New Roman" w:cs="Times New Roman"/>
          <w:b/>
          <w:bCs/>
          <w:noProof/>
        </w:rPr>
        <w:t>, 2016)</w:t>
      </w:r>
      <w:r w:rsidRPr="00D16360">
        <w:rPr>
          <w:rFonts w:ascii="Times New Roman" w:hAnsi="Times New Roman" w:cs="Times New Roman"/>
          <w:b/>
          <w:bCs/>
        </w:rPr>
        <w:fldChar w:fldCharType="end"/>
      </w:r>
      <w:r>
        <w:rPr>
          <w:rFonts w:ascii="Times New Roman" w:hAnsi="Times New Roman" w:cs="Times New Roman"/>
          <w:b/>
          <w:bCs/>
        </w:rPr>
        <w:t xml:space="preserve"> (Fig. 1.2.2.1)</w:t>
      </w:r>
      <w:r w:rsidRPr="002541E9">
        <w:rPr>
          <w:rFonts w:ascii="Times New Roman" w:hAnsi="Times New Roman" w:cs="Times New Roman"/>
        </w:rPr>
        <w:t>.</w:t>
      </w:r>
      <w:r>
        <w:rPr>
          <w:rFonts w:ascii="Times New Roman" w:hAnsi="Times New Roman" w:cs="Times New Roman"/>
        </w:rPr>
        <w:t xml:space="preserve"> Enzymes of the </w:t>
      </w:r>
      <w:r>
        <w:rPr>
          <w:rFonts w:ascii="Times New Roman" w:hAnsi="Times New Roman" w:cs="Times New Roman"/>
          <w:i/>
          <w:iCs/>
        </w:rPr>
        <w:t>de novo</w:t>
      </w:r>
      <w:r>
        <w:rPr>
          <w:rFonts w:ascii="Times New Roman" w:hAnsi="Times New Roman" w:cs="Times New Roman"/>
        </w:rPr>
        <w:t xml:space="preserve"> and salvage purine biosynthetic pathways are inhibited by (pp)pGpp, including</w:t>
      </w:r>
      <w:r w:rsidRPr="00D309DA">
        <w:t xml:space="preserve"> </w:t>
      </w:r>
      <w:bookmarkStart w:id="32" w:name="_Hlk128871174"/>
      <w:r w:rsidRPr="00D309DA">
        <w:rPr>
          <w:rFonts w:ascii="Times New Roman" w:hAnsi="Times New Roman" w:cs="Times New Roman"/>
        </w:rPr>
        <w:t>inosine monophosphate (IMP)</w:t>
      </w:r>
      <w:r>
        <w:rPr>
          <w:rFonts w:ascii="Times New Roman" w:hAnsi="Times New Roman" w:cs="Times New Roman"/>
        </w:rPr>
        <w:t>,</w:t>
      </w:r>
      <w:r w:rsidRPr="00D309DA">
        <w:rPr>
          <w:rFonts w:ascii="Times New Roman" w:hAnsi="Times New Roman" w:cs="Times New Roman"/>
        </w:rPr>
        <w:t xml:space="preserve"> amidophosphoribosyl transferase </w:t>
      </w:r>
      <w:bookmarkEnd w:id="32"/>
      <w:r>
        <w:rPr>
          <w:rFonts w:ascii="Times New Roman" w:hAnsi="Times New Roman" w:cs="Times New Roman"/>
        </w:rPr>
        <w:t>(</w:t>
      </w:r>
      <w:r w:rsidRPr="00D309DA">
        <w:rPr>
          <w:rFonts w:ascii="Times New Roman" w:hAnsi="Times New Roman" w:cs="Times New Roman"/>
        </w:rPr>
        <w:t>PurF</w:t>
      </w:r>
      <w:r>
        <w:rPr>
          <w:rFonts w:ascii="Times New Roman" w:hAnsi="Times New Roman" w:cs="Times New Roman"/>
        </w:rPr>
        <w:t>)</w:t>
      </w:r>
      <w:r w:rsidRPr="00D309DA">
        <w:rPr>
          <w:rFonts w:ascii="Times New Roman" w:hAnsi="Times New Roman" w:cs="Times New Roman"/>
        </w:rPr>
        <w:t>,</w:t>
      </w:r>
      <w:r>
        <w:rPr>
          <w:rFonts w:ascii="Times New Roman" w:hAnsi="Times New Roman" w:cs="Times New Roman"/>
        </w:rPr>
        <w:t xml:space="preserve"> </w:t>
      </w:r>
      <w:r w:rsidRPr="00D309DA">
        <w:rPr>
          <w:rFonts w:ascii="Times New Roman" w:hAnsi="Times New Roman" w:cs="Times New Roman"/>
        </w:rPr>
        <w:t>hypoxanthine phosphoribosyltransferase (HprT) and the guanylate kinase (Gmk)</w:t>
      </w:r>
      <w:r>
        <w:t xml:space="preserve"> </w:t>
      </w:r>
      <w:r w:rsidRPr="00F12333">
        <w:rPr>
          <w:rFonts w:ascii="Times New Roman" w:hAnsi="Times New Roman" w:cs="Times New Roman"/>
          <w:b/>
          <w:bCs/>
        </w:rPr>
        <w:fldChar w:fldCharType="begin">
          <w:fldData xml:space="preserve">PEVuZE5vdGU+PENpdGU+PEF1dGhvcj5Ib2Noc3RhZHQtT3plcjwvQXV0aG9yPjxZZWFyPjE5NzI8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</w:fldData>
        </w:fldChar>
      </w:r>
      <w:r w:rsidRPr="00F12333">
        <w:rPr>
          <w:rFonts w:ascii="Times New Roman" w:hAnsi="Times New Roman" w:cs="Times New Roman"/>
          <w:b/>
          <w:bCs/>
        </w:rPr>
        <w:instrText xml:space="preserve"> ADDIN EN.CITE </w:instrText>
      </w:r>
      <w:r w:rsidRPr="00F12333">
        <w:rPr>
          <w:rFonts w:ascii="Times New Roman" w:hAnsi="Times New Roman" w:cs="Times New Roman"/>
          <w:b/>
          <w:bCs/>
        </w:rPr>
        <w:fldChar w:fldCharType="begin">
          <w:fldData xml:space="preserve">PEVuZE5vdGU+PENpdGU+PEF1dGhvcj5Ib2Noc3RhZHQtT3plcjwvQXV0aG9yPjxZZWFyPjE5NzI8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</w:fldData>
        </w:fldChar>
      </w:r>
      <w:r w:rsidRPr="00F12333">
        <w:rPr>
          <w:rFonts w:ascii="Times New Roman" w:hAnsi="Times New Roman" w:cs="Times New Roman"/>
          <w:b/>
          <w:bCs/>
        </w:rPr>
        <w:instrText xml:space="preserve"> ADDIN EN.CITE.DATA </w:instrText>
      </w:r>
      <w:r w:rsidRPr="00F12333">
        <w:rPr>
          <w:rFonts w:ascii="Times New Roman" w:hAnsi="Times New Roman" w:cs="Times New Roman"/>
          <w:b/>
          <w:bCs/>
        </w:rPr>
      </w:r>
      <w:r w:rsidRPr="00F12333">
        <w:rPr>
          <w:rFonts w:ascii="Times New Roman" w:hAnsi="Times New Roman" w:cs="Times New Roman"/>
          <w:b/>
          <w:bCs/>
        </w:rPr>
        <w:fldChar w:fldCharType="end"/>
      </w:r>
      <w:r w:rsidRPr="00F12333">
        <w:rPr>
          <w:rFonts w:ascii="Times New Roman" w:hAnsi="Times New Roman" w:cs="Times New Roman"/>
          <w:b/>
          <w:bCs/>
        </w:rPr>
      </w:r>
      <w:r w:rsidRPr="00F12333">
        <w:rPr>
          <w:rFonts w:ascii="Times New Roman" w:hAnsi="Times New Roman" w:cs="Times New Roman"/>
          <w:b/>
          <w:bCs/>
        </w:rPr>
        <w:fldChar w:fldCharType="separate"/>
      </w:r>
      <w:r w:rsidRPr="00F12333">
        <w:rPr>
          <w:rFonts w:ascii="Times New Roman" w:hAnsi="Times New Roman" w:cs="Times New Roman"/>
          <w:b/>
          <w:bCs/>
          <w:noProof/>
        </w:rPr>
        <w:t>(Hochstadt-Ozer and Cashel, 1972; Anderson</w:t>
      </w:r>
      <w:r w:rsidRPr="00F12333">
        <w:rPr>
          <w:rFonts w:ascii="Times New Roman" w:hAnsi="Times New Roman" w:cs="Times New Roman"/>
          <w:b/>
          <w:bCs/>
          <w:i/>
          <w:noProof/>
        </w:rPr>
        <w:t xml:space="preserve"> et al.</w:t>
      </w:r>
      <w:r w:rsidRPr="00F12333">
        <w:rPr>
          <w:rFonts w:ascii="Times New Roman" w:hAnsi="Times New Roman" w:cs="Times New Roman"/>
          <w:b/>
          <w:bCs/>
          <w:noProof/>
        </w:rPr>
        <w:t>, 2020; Kriel</w:t>
      </w:r>
      <w:r w:rsidRPr="00F12333">
        <w:rPr>
          <w:rFonts w:ascii="Times New Roman" w:hAnsi="Times New Roman" w:cs="Times New Roman"/>
          <w:b/>
          <w:bCs/>
          <w:i/>
          <w:noProof/>
        </w:rPr>
        <w:t xml:space="preserve"> et al.</w:t>
      </w:r>
      <w:r w:rsidRPr="00F12333">
        <w:rPr>
          <w:rFonts w:ascii="Times New Roman" w:hAnsi="Times New Roman" w:cs="Times New Roman"/>
          <w:b/>
          <w:bCs/>
          <w:noProof/>
        </w:rPr>
        <w:t>, 2012)</w:t>
      </w:r>
      <w:r w:rsidRPr="00F12333">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resulting in a decrease in GTP production </w:t>
      </w:r>
      <w:r>
        <w:rPr>
          <w:rFonts w:ascii="Times New Roman" w:hAnsi="Times New Roman" w:cs="Times New Roman"/>
          <w:b/>
          <w:bCs/>
        </w:rPr>
        <w:t>(Fig. 1.2.2.1)</w:t>
      </w:r>
      <w:r>
        <w:rPr>
          <w:rFonts w:ascii="Times New Roman" w:hAnsi="Times New Roman" w:cs="Times New Roman"/>
        </w:rPr>
        <w:t xml:space="preserve">. Regulation of purine synthesis in order to alter cellular GTP levels seems to be exclusive to the Firmicutes despite the ability of (p)ppGpp produced by </w:t>
      </w:r>
      <w:r>
        <w:rPr>
          <w:rFonts w:ascii="Times New Roman" w:hAnsi="Times New Roman" w:cs="Times New Roman"/>
          <w:i/>
          <w:iCs/>
        </w:rPr>
        <w:t xml:space="preserve">E. coli </w:t>
      </w:r>
      <w:r>
        <w:rPr>
          <w:rFonts w:ascii="Times New Roman" w:hAnsi="Times New Roman" w:cs="Times New Roman"/>
        </w:rPr>
        <w:t xml:space="preserve">to bind PurF </w:t>
      </w:r>
      <w:r w:rsidRPr="00D669D2">
        <w:rPr>
          <w:rFonts w:ascii="Times New Roman" w:hAnsi="Times New Roman" w:cs="Times New Roman"/>
          <w:b/>
          <w:bCs/>
        </w:rPr>
        <w:fldChar w:fldCharType="begin"/>
      </w:r>
      <w:r w:rsidRPr="00D669D2">
        <w:rPr>
          <w:rFonts w:ascii="Times New Roman" w:hAnsi="Times New Roman" w:cs="Times New Roman"/>
          <w:b/>
          <w:bCs/>
        </w:rPr>
        <w:instrText xml:space="preserve"> ADDIN EN.CITE &lt;EndNote&gt;&lt;Cite&gt;&lt;Author&gt;Wang&lt;/Author&gt;&lt;Year&gt;2019&lt;/Year&gt;&lt;IDText&gt;Affinity-based capture and identification of protein effectors of the growth regulator ppGpp (vol 15, pg 141, 2019)&lt;/IDText&gt;&lt;DisplayText&gt;(Wang&lt;style face="italic"&gt; et al.&lt;/style&gt;, 2019)&lt;/DisplayText&gt;&lt;record&gt;&lt;dates&gt;&lt;pub-dates&gt;&lt;date&gt;Jul&lt;/date&gt;&lt;/pub-dates&gt;&lt;year&gt;2019&lt;/year&gt;&lt;/dates&gt;&lt;urls&gt;&lt;related-urls&gt;&lt;url&gt;&amp;lt;Go to ISI&amp;gt;://WOS:000472625600020&lt;/url&gt;&lt;/related-urls&gt;&lt;/urls&gt;&lt;isbn&gt;1552-4450&lt;/isbn&gt;&lt;titles&gt;&lt;title&gt;Affinity-based capture and identification of protein effectors of the growth regulator ppGpp (vol 15, pg 141, 2019)&lt;/title&gt;&lt;secondary-title&gt;Nature Chemical Biology&lt;/secondary-title&gt;&lt;/titles&gt;&lt;pages&gt;756-756&lt;/pages&gt;&lt;number&gt;7&lt;/number&gt;&lt;contributors&gt;&lt;authors&gt;&lt;author&gt;Wang, B. Y.&lt;/author&gt;&lt;author&gt;Dai, P.&lt;/author&gt;&lt;author&gt;Ding, D.&lt;/author&gt;&lt;author&gt;Del Rosario, A.&lt;/author&gt;&lt;author&gt;Grant, R. A.&lt;/author&gt;&lt;author&gt;Pentelute, B. L.&lt;/author&gt;&lt;author&gt;Laub, M. T.&lt;/author&gt;&lt;/authors&gt;&lt;/contributors&gt;&lt;added-date format="utc"&gt;1677988618&lt;/added-date&gt;&lt;ref-type name="Journal Article"&gt;17&lt;/ref-type&gt;&lt;rec-number&gt;708&lt;/rec-number&gt;&lt;last-updated-date format="utc"&gt;1677988618&lt;/last-updated-date&gt;&lt;accession-num&gt;WOS:000472625600020&lt;/accession-num&gt;&lt;electronic-resource-num&gt;10.1038/s41589-019-0296-4&lt;/electronic-resource-num&gt;&lt;volume&gt;15&lt;/volume&gt;&lt;/record&gt;&lt;/Cite&gt;&lt;/EndNote&gt;</w:instrText>
      </w:r>
      <w:r w:rsidRPr="00D669D2">
        <w:rPr>
          <w:rFonts w:ascii="Times New Roman" w:hAnsi="Times New Roman" w:cs="Times New Roman"/>
          <w:b/>
          <w:bCs/>
        </w:rPr>
        <w:fldChar w:fldCharType="separate"/>
      </w:r>
      <w:r w:rsidRPr="00D669D2">
        <w:rPr>
          <w:rFonts w:ascii="Times New Roman" w:hAnsi="Times New Roman" w:cs="Times New Roman"/>
          <w:b/>
          <w:bCs/>
          <w:noProof/>
        </w:rPr>
        <w:t>(Wang</w:t>
      </w:r>
      <w:r w:rsidRPr="00D669D2">
        <w:rPr>
          <w:rFonts w:ascii="Times New Roman" w:hAnsi="Times New Roman" w:cs="Times New Roman"/>
          <w:b/>
          <w:bCs/>
          <w:i/>
          <w:noProof/>
        </w:rPr>
        <w:t xml:space="preserve"> et al.</w:t>
      </w:r>
      <w:r w:rsidRPr="00D669D2">
        <w:rPr>
          <w:rFonts w:ascii="Times New Roman" w:hAnsi="Times New Roman" w:cs="Times New Roman"/>
          <w:b/>
          <w:bCs/>
          <w:noProof/>
        </w:rPr>
        <w:t>, 2019)</w:t>
      </w:r>
      <w:r w:rsidRPr="00D669D2">
        <w:rPr>
          <w:rFonts w:ascii="Times New Roman" w:hAnsi="Times New Roman" w:cs="Times New Roman"/>
          <w:b/>
          <w:bCs/>
        </w:rPr>
        <w:fldChar w:fldCharType="end"/>
      </w:r>
      <w:r>
        <w:rPr>
          <w:rFonts w:ascii="Times New Roman" w:hAnsi="Times New Roman" w:cs="Times New Roman"/>
        </w:rPr>
        <w:t>. Consequently, transcription within the Firmicutes is decreased as m</w:t>
      </w:r>
      <w:r w:rsidRPr="002541E9">
        <w:rPr>
          <w:rFonts w:ascii="Times New Roman" w:hAnsi="Times New Roman" w:cs="Times New Roman"/>
        </w:rPr>
        <w:t>any genes</w:t>
      </w:r>
      <w:r>
        <w:rPr>
          <w:rFonts w:ascii="Times New Roman" w:hAnsi="Times New Roman" w:cs="Times New Roman"/>
        </w:rPr>
        <w:t>,</w:t>
      </w:r>
      <w:r w:rsidRPr="002541E9">
        <w:rPr>
          <w:rFonts w:ascii="Times New Roman" w:hAnsi="Times New Roman" w:cs="Times New Roman"/>
        </w:rPr>
        <w:t xml:space="preserve"> including the </w:t>
      </w:r>
      <w:r w:rsidRPr="002541E9">
        <w:rPr>
          <w:rFonts w:ascii="Times New Roman" w:hAnsi="Times New Roman" w:cs="Times New Roman"/>
          <w:i/>
          <w:iCs/>
        </w:rPr>
        <w:t xml:space="preserve">rrn </w:t>
      </w:r>
      <w:r w:rsidRPr="002541E9">
        <w:rPr>
          <w:rFonts w:ascii="Times New Roman" w:hAnsi="Times New Roman" w:cs="Times New Roman"/>
        </w:rPr>
        <w:t>operon</w:t>
      </w:r>
      <w:r>
        <w:rPr>
          <w:rFonts w:ascii="Times New Roman" w:hAnsi="Times New Roman" w:cs="Times New Roman"/>
        </w:rPr>
        <w:t>s,</w:t>
      </w:r>
      <w:r w:rsidRPr="002541E9">
        <w:rPr>
          <w:rFonts w:ascii="Times New Roman" w:hAnsi="Times New Roman" w:cs="Times New Roman"/>
        </w:rPr>
        <w:t xml:space="preserve"> require GTP as an initiating nucleotide</w:t>
      </w:r>
      <w:r>
        <w:rPr>
          <w:rFonts w:ascii="Times New Roman" w:hAnsi="Times New Roman" w:cs="Times New Roman"/>
        </w:rPr>
        <w:t xml:space="preserve"> (iNTP),</w:t>
      </w:r>
      <w:r w:rsidRPr="002541E9">
        <w:rPr>
          <w:rFonts w:ascii="Times New Roman" w:hAnsi="Times New Roman" w:cs="Times New Roman"/>
        </w:rPr>
        <w:t xml:space="preserve"> therefore reduction of cellular GTP pools</w:t>
      </w:r>
      <w:r>
        <w:rPr>
          <w:rFonts w:ascii="Times New Roman" w:hAnsi="Times New Roman" w:cs="Times New Roman"/>
        </w:rPr>
        <w:t xml:space="preserve"> </w:t>
      </w:r>
      <w:r w:rsidRPr="000609AC">
        <w:rPr>
          <w:rFonts w:ascii="Times New Roman" w:hAnsi="Times New Roman" w:cs="Times New Roman"/>
        </w:rPr>
        <w:t xml:space="preserve">decreases the transcription of </w:t>
      </w:r>
      <w:r>
        <w:rPr>
          <w:rFonts w:ascii="Times New Roman" w:hAnsi="Times New Roman" w:cs="Times New Roman"/>
        </w:rPr>
        <w:t>these genes</w:t>
      </w:r>
      <w:r w:rsidRPr="000609AC">
        <w:rPr>
          <w:rFonts w:ascii="Times New Roman" w:hAnsi="Times New Roman" w:cs="Times New Roman"/>
        </w:rPr>
        <w:t xml:space="preserve"> </w:t>
      </w:r>
      <w:r w:rsidRPr="000609AC">
        <w:rPr>
          <w:rFonts w:ascii="Times New Roman" w:hAnsi="Times New Roman" w:cs="Times New Roman"/>
          <w:b/>
          <w:bCs/>
        </w:rPr>
        <w:fldChar w:fldCharType="begin">
          <w:fldData xml:space="preserve">PEVuZE5vdGU+PENpdGU+PEF1dGhvcj5LcsOhc27DvTwvQXV0aG9yPjxZZWFyPjIwMDQ8L1llYXI+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PEVuZE5vdGU+PENpdGU+PEF1dGhvcj5LcsOhc27DvTwvQXV0aG9yPjxZZWFyPjIwMDQ8L1llYXI+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0609AC">
        <w:rPr>
          <w:rFonts w:ascii="Times New Roman" w:hAnsi="Times New Roman" w:cs="Times New Roman"/>
          <w:b/>
          <w:bCs/>
        </w:rPr>
      </w:r>
      <w:r w:rsidRPr="000609AC">
        <w:rPr>
          <w:rFonts w:ascii="Times New Roman" w:hAnsi="Times New Roman" w:cs="Times New Roman"/>
          <w:b/>
          <w:bCs/>
        </w:rPr>
        <w:fldChar w:fldCharType="separate"/>
      </w:r>
      <w:r>
        <w:rPr>
          <w:rFonts w:ascii="Times New Roman" w:hAnsi="Times New Roman" w:cs="Times New Roman"/>
          <w:b/>
          <w:bCs/>
          <w:noProof/>
        </w:rPr>
        <w:t>(Krásný and Gourse, 2004; Krásný</w:t>
      </w:r>
      <w:r w:rsidRPr="00B476F9">
        <w:rPr>
          <w:rFonts w:ascii="Times New Roman" w:hAnsi="Times New Roman" w:cs="Times New Roman"/>
          <w:b/>
          <w:bCs/>
          <w:i/>
          <w:noProof/>
        </w:rPr>
        <w:t xml:space="preserve"> et al.</w:t>
      </w:r>
      <w:r>
        <w:rPr>
          <w:rFonts w:ascii="Times New Roman" w:hAnsi="Times New Roman" w:cs="Times New Roman"/>
          <w:b/>
          <w:bCs/>
          <w:noProof/>
        </w:rPr>
        <w:t>, 2008)</w:t>
      </w:r>
      <w:r w:rsidRPr="000609AC">
        <w:rPr>
          <w:rFonts w:ascii="Times New Roman" w:hAnsi="Times New Roman" w:cs="Times New Roman"/>
          <w:b/>
          <w:bCs/>
        </w:rPr>
        <w:fldChar w:fldCharType="end"/>
      </w:r>
      <w:r>
        <w:rPr>
          <w:rFonts w:ascii="Times New Roman" w:hAnsi="Times New Roman" w:cs="Times New Roman"/>
        </w:rPr>
        <w:t xml:space="preserve"> while resulting in a concomitant increase in transcription of genes with ATP as the iNTP </w:t>
      </w:r>
      <w:r w:rsidRPr="000520CF">
        <w:rPr>
          <w:rFonts w:ascii="Times New Roman" w:hAnsi="Times New Roman" w:cs="Times New Roman"/>
          <w:b/>
          <w:bCs/>
        </w:rPr>
        <w:fldChar w:fldCharType="begin">
          <w:fldData xml:space="preserve">PEVuZE5vdGU+PENpdGU+PEF1dGhvcj5LcsOhc27DvTwvQXV0aG9yPjxZZWFyPjIwMDQ8L1llYXI+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</w:fldData>
        </w:fldChar>
      </w:r>
      <w:r w:rsidRPr="000520CF">
        <w:rPr>
          <w:rFonts w:ascii="Times New Roman" w:hAnsi="Times New Roman" w:cs="Times New Roman"/>
          <w:b/>
          <w:bCs/>
        </w:rPr>
        <w:instrText xml:space="preserve"> ADDIN EN.CITE </w:instrText>
      </w:r>
      <w:r w:rsidRPr="000520CF">
        <w:rPr>
          <w:rFonts w:ascii="Times New Roman" w:hAnsi="Times New Roman" w:cs="Times New Roman"/>
          <w:b/>
          <w:bCs/>
        </w:rPr>
        <w:fldChar w:fldCharType="begin">
          <w:fldData xml:space="preserve">PEVuZE5vdGU+PENpdGU+PEF1dGhvcj5LcsOhc27DvTwvQXV0aG9yPjxZZWFyPjIwMDQ8L1llYXI+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</w:fldData>
        </w:fldChar>
      </w:r>
      <w:r w:rsidRPr="000520CF">
        <w:rPr>
          <w:rFonts w:ascii="Times New Roman" w:hAnsi="Times New Roman" w:cs="Times New Roman"/>
          <w:b/>
          <w:bCs/>
        </w:rPr>
        <w:instrText xml:space="preserve"> ADDIN EN.CITE.DATA </w:instrText>
      </w:r>
      <w:r w:rsidRPr="000520CF">
        <w:rPr>
          <w:rFonts w:ascii="Times New Roman" w:hAnsi="Times New Roman" w:cs="Times New Roman"/>
          <w:b/>
          <w:bCs/>
        </w:rPr>
      </w:r>
      <w:r w:rsidRPr="000520CF">
        <w:rPr>
          <w:rFonts w:ascii="Times New Roman" w:hAnsi="Times New Roman" w:cs="Times New Roman"/>
          <w:b/>
          <w:bCs/>
        </w:rPr>
        <w:fldChar w:fldCharType="end"/>
      </w:r>
      <w:r w:rsidRPr="000520CF">
        <w:rPr>
          <w:rFonts w:ascii="Times New Roman" w:hAnsi="Times New Roman" w:cs="Times New Roman"/>
          <w:b/>
          <w:bCs/>
        </w:rPr>
      </w:r>
      <w:r w:rsidRPr="000520CF">
        <w:rPr>
          <w:rFonts w:ascii="Times New Roman" w:hAnsi="Times New Roman" w:cs="Times New Roman"/>
          <w:b/>
          <w:bCs/>
        </w:rPr>
        <w:fldChar w:fldCharType="separate"/>
      </w:r>
      <w:r w:rsidRPr="000520CF">
        <w:rPr>
          <w:rFonts w:ascii="Times New Roman" w:hAnsi="Times New Roman" w:cs="Times New Roman"/>
          <w:b/>
          <w:bCs/>
          <w:noProof/>
        </w:rPr>
        <w:t>(Krásný and Gourse, 2004; Krásný</w:t>
      </w:r>
      <w:r w:rsidRPr="000520CF">
        <w:rPr>
          <w:rFonts w:ascii="Times New Roman" w:hAnsi="Times New Roman" w:cs="Times New Roman"/>
          <w:b/>
          <w:bCs/>
          <w:i/>
          <w:noProof/>
        </w:rPr>
        <w:t xml:space="preserve"> et al.</w:t>
      </w:r>
      <w:r w:rsidRPr="000520CF">
        <w:rPr>
          <w:rFonts w:ascii="Times New Roman" w:hAnsi="Times New Roman" w:cs="Times New Roman"/>
          <w:b/>
          <w:bCs/>
          <w:noProof/>
        </w:rPr>
        <w:t>, 2008)</w:t>
      </w:r>
      <w:r w:rsidRPr="000520CF">
        <w:rPr>
          <w:rFonts w:ascii="Times New Roman" w:hAnsi="Times New Roman" w:cs="Times New Roman"/>
          <w:b/>
          <w:bCs/>
        </w:rPr>
        <w:fldChar w:fldCharType="end"/>
      </w:r>
      <w:r>
        <w:rPr>
          <w:rFonts w:ascii="Times New Roman" w:hAnsi="Times New Roman" w:cs="Times New Roman"/>
        </w:rPr>
        <w:t>. Furthermore,</w:t>
      </w:r>
      <w:r w:rsidRPr="001245C7">
        <w:rPr>
          <w:rFonts w:ascii="Times New Roman" w:hAnsi="Times New Roman" w:cs="Times New Roman"/>
        </w:rPr>
        <w:t xml:space="preserve"> </w:t>
      </w:r>
      <w:r w:rsidRPr="002541E9">
        <w:rPr>
          <w:rFonts w:ascii="Times New Roman" w:hAnsi="Times New Roman" w:cs="Times New Roman"/>
        </w:rPr>
        <w:t>a global metabolic regulator and repressive transcription factor</w:t>
      </w:r>
      <w:r>
        <w:rPr>
          <w:rFonts w:ascii="Times New Roman" w:hAnsi="Times New Roman" w:cs="Times New Roman"/>
        </w:rPr>
        <w:t xml:space="preserve"> CodY represses the transcription of genes involved in amino acid biosynthesis and virulence genes. GTP and branched-chain amino acids (BCAA) are cofactors that mediate CodY repression </w:t>
      </w:r>
      <w:r w:rsidRPr="00165B11">
        <w:rPr>
          <w:rFonts w:ascii="Times New Roman" w:hAnsi="Times New Roman" w:cs="Times New Roman"/>
          <w:b/>
          <w:bCs/>
        </w:rPr>
        <w:fldChar w:fldCharType="begin">
          <w:fldData xml:space="preserve">PEVuZE5vdGU+PENpdGU+PEF1dGhvcj5Qb2hsPC9BdXRob3I+PFllYXI+MjAwOTwvWWVhcj48SURU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PEVuZE5vdGU+PENpdGU+PEF1dGhvcj5Qb2hsPC9BdXRob3I+PFllYXI+MjAwOTwvWWVhcj48SURU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165B11">
        <w:rPr>
          <w:rFonts w:ascii="Times New Roman" w:hAnsi="Times New Roman" w:cs="Times New Roman"/>
          <w:b/>
          <w:bCs/>
        </w:rPr>
      </w:r>
      <w:r w:rsidRPr="00165B11">
        <w:rPr>
          <w:rFonts w:ascii="Times New Roman" w:hAnsi="Times New Roman" w:cs="Times New Roman"/>
          <w:b/>
          <w:bCs/>
        </w:rPr>
        <w:fldChar w:fldCharType="separate"/>
      </w:r>
      <w:r>
        <w:rPr>
          <w:rFonts w:ascii="Times New Roman" w:hAnsi="Times New Roman" w:cs="Times New Roman"/>
          <w:b/>
          <w:bCs/>
          <w:noProof/>
        </w:rPr>
        <w:t>(Pohl</w:t>
      </w:r>
      <w:r w:rsidRPr="00382EBA">
        <w:rPr>
          <w:rFonts w:ascii="Times New Roman" w:hAnsi="Times New Roman" w:cs="Times New Roman"/>
          <w:b/>
          <w:bCs/>
          <w:i/>
          <w:noProof/>
        </w:rPr>
        <w:t xml:space="preserve"> et al.</w:t>
      </w:r>
      <w:r>
        <w:rPr>
          <w:rFonts w:ascii="Times New Roman" w:hAnsi="Times New Roman" w:cs="Times New Roman"/>
          <w:b/>
          <w:bCs/>
          <w:noProof/>
        </w:rPr>
        <w:t>, 2009; Sonenshein, 2005; Majerczyk</w:t>
      </w:r>
      <w:r w:rsidRPr="00382EBA">
        <w:rPr>
          <w:rFonts w:ascii="Times New Roman" w:hAnsi="Times New Roman" w:cs="Times New Roman"/>
          <w:b/>
          <w:bCs/>
          <w:i/>
          <w:noProof/>
        </w:rPr>
        <w:t xml:space="preserve"> et al.</w:t>
      </w:r>
      <w:r>
        <w:rPr>
          <w:rFonts w:ascii="Times New Roman" w:hAnsi="Times New Roman" w:cs="Times New Roman"/>
          <w:b/>
          <w:bCs/>
          <w:noProof/>
        </w:rPr>
        <w:t>, 2008)</w:t>
      </w:r>
      <w:r w:rsidRPr="00165B11">
        <w:rPr>
          <w:rFonts w:ascii="Times New Roman" w:hAnsi="Times New Roman" w:cs="Times New Roman"/>
          <w:b/>
          <w:bCs/>
        </w:rPr>
        <w:fldChar w:fldCharType="end"/>
      </w:r>
      <w:r>
        <w:rPr>
          <w:rFonts w:ascii="Times New Roman" w:hAnsi="Times New Roman" w:cs="Times New Roman"/>
          <w:b/>
          <w:bCs/>
        </w:rPr>
        <w:t xml:space="preserve"> (Fig. 1.2.2.1)</w:t>
      </w:r>
      <w:r>
        <w:rPr>
          <w:rFonts w:ascii="Times New Roman" w:hAnsi="Times New Roman" w:cs="Times New Roman"/>
        </w:rPr>
        <w:t>.</w:t>
      </w:r>
      <w:r w:rsidRPr="002541E9">
        <w:rPr>
          <w:rFonts w:ascii="Times New Roman" w:hAnsi="Times New Roman" w:cs="Times New Roman"/>
        </w:rPr>
        <w:t xml:space="preserve"> </w:t>
      </w:r>
      <w:r>
        <w:rPr>
          <w:rFonts w:ascii="Times New Roman" w:hAnsi="Times New Roman" w:cs="Times New Roman"/>
        </w:rPr>
        <w:t xml:space="preserve">CodY </w:t>
      </w:r>
      <w:r w:rsidRPr="00675850">
        <w:rPr>
          <w:rFonts w:ascii="Times New Roman" w:hAnsi="Times New Roman" w:cs="Times New Roman"/>
        </w:rPr>
        <w:t>functions by competing with RNAP or a transcription</w:t>
      </w:r>
      <w:r w:rsidR="00ED22AC">
        <w:rPr>
          <w:rFonts w:ascii="Times New Roman" w:hAnsi="Times New Roman" w:cs="Times New Roman"/>
        </w:rPr>
        <w:t>al</w:t>
      </w:r>
      <w:r w:rsidRPr="00675850">
        <w:rPr>
          <w:rFonts w:ascii="Times New Roman" w:hAnsi="Times New Roman" w:cs="Times New Roman"/>
        </w:rPr>
        <w:t xml:space="preserve"> activator for binding to a promoter</w:t>
      </w:r>
      <w:r>
        <w:rPr>
          <w:rFonts w:ascii="Times New Roman" w:hAnsi="Times New Roman" w:cs="Times New Roman"/>
        </w:rPr>
        <w:t xml:space="preserve"> </w:t>
      </w:r>
      <w:r w:rsidRPr="002E7032">
        <w:rPr>
          <w:rFonts w:ascii="Times New Roman" w:hAnsi="Times New Roman" w:cs="Times New Roman"/>
          <w:b/>
          <w:bCs/>
        </w:rPr>
        <w:fldChar w:fldCharType="begin"/>
      </w:r>
      <w:r w:rsidRPr="002E7032">
        <w:rPr>
          <w:rFonts w:ascii="Times New Roman" w:hAnsi="Times New Roman" w:cs="Times New Roman"/>
          <w:b/>
          <w:bCs/>
        </w:rPr>
        <w:instrText xml:space="preserve"> ADDIN EN.CITE &lt;EndNote&gt;&lt;Cite&gt;&lt;Author&gt;Belitsky&lt;/Author&gt;&lt;Year&gt;2011&lt;/Year&gt;&lt;IDText&gt;Indirect Repression by Bacillus subtilis CodY via Displacement of the Activator of the Proline Utilization Operon&lt;/IDText&gt;&lt;DisplayText&gt;(Belitsky, 2011)&lt;/DisplayText&gt;&lt;record&gt;&lt;dates&gt;&lt;pub-dates&gt;&lt;date&gt;Oct&lt;/date&gt;&lt;/pub-dates&gt;&lt;year&gt;2011&lt;/year&gt;&lt;/dates&gt;&lt;urls&gt;&lt;related-urls&gt;&lt;url&gt;&amp;lt;Go to ISI&amp;gt;://WOS:000296404100004&lt;/url&gt;&lt;/related-urls&gt;&lt;/urls&gt;&lt;isbn&gt;0022-2836&lt;/isbn&gt;&lt;titles&gt;&lt;title&gt;Indirect Repression by Bacillus subtilis CodY via Displacement of the Activator of the Proline Utilization Operon&lt;/title&gt;&lt;secondary-title&gt;Journal of Molecular Biology&lt;/secondary-title&gt;&lt;/titles&gt;&lt;pages&gt;321-336&lt;/pages&gt;&lt;number&gt;2&lt;/number&gt;&lt;contributors&gt;&lt;authors&gt;&lt;author&gt;Belitsky, B. R.&lt;/author&gt;&lt;/authors&gt;&lt;/contributors&gt;&lt;added-date format="utc"&gt;1678402875&lt;/added-date&gt;&lt;ref-type name="Journal Article"&gt;17&lt;/ref-type&gt;&lt;rec-number&gt;771&lt;/rec-number&gt;&lt;last-updated-date format="utc"&gt;1678402875&lt;/last-updated-date&gt;&lt;accession-num&gt;WOS:000296404100004&lt;/accession-num&gt;&lt;electronic-resource-num&gt;10.1016/j.jmb.2011.08.003&lt;/electronic-resource-num&gt;&lt;volume&gt;413&lt;/volume&gt;&lt;/record&gt;&lt;/Cite&gt;&lt;/EndNote&gt;</w:instrText>
      </w:r>
      <w:r w:rsidRPr="002E7032">
        <w:rPr>
          <w:rFonts w:ascii="Times New Roman" w:hAnsi="Times New Roman" w:cs="Times New Roman"/>
          <w:b/>
          <w:bCs/>
        </w:rPr>
        <w:fldChar w:fldCharType="separate"/>
      </w:r>
      <w:r w:rsidRPr="002E7032">
        <w:rPr>
          <w:rFonts w:ascii="Times New Roman" w:hAnsi="Times New Roman" w:cs="Times New Roman"/>
          <w:b/>
          <w:bCs/>
          <w:noProof/>
        </w:rPr>
        <w:t>(Belitsky, 2011)</w:t>
      </w:r>
      <w:r w:rsidRPr="002E7032">
        <w:rPr>
          <w:rFonts w:ascii="Times New Roman" w:hAnsi="Times New Roman" w:cs="Times New Roman"/>
          <w:b/>
          <w:bCs/>
        </w:rPr>
        <w:fldChar w:fldCharType="end"/>
      </w:r>
      <w:r>
        <w:rPr>
          <w:rFonts w:ascii="Times New Roman" w:hAnsi="Times New Roman" w:cs="Times New Roman"/>
        </w:rPr>
        <w:t>.</w:t>
      </w:r>
      <w:r>
        <w:rPr>
          <w:rFonts w:ascii="Times New Roman" w:hAnsi="Times New Roman" w:cs="Times New Roman"/>
          <w:b/>
          <w:bCs/>
        </w:rPr>
        <w:t xml:space="preserve">  </w:t>
      </w:r>
      <w:r w:rsidRPr="002541E9">
        <w:rPr>
          <w:rFonts w:ascii="Times New Roman" w:hAnsi="Times New Roman" w:cs="Times New Roman"/>
        </w:rPr>
        <w:t xml:space="preserve">Many genes controlled by CodY are involved in flagellar production, sporulation and virulence </w:t>
      </w:r>
      <w:r>
        <w:rPr>
          <w:rFonts w:ascii="Times New Roman" w:hAnsi="Times New Roman" w:cs="Times New Roman"/>
        </w:rPr>
        <w:t>and</w:t>
      </w:r>
      <w:r w:rsidRPr="002541E9">
        <w:rPr>
          <w:rFonts w:ascii="Times New Roman" w:hAnsi="Times New Roman" w:cs="Times New Roman"/>
        </w:rPr>
        <w:t xml:space="preserve"> </w:t>
      </w:r>
      <w:r>
        <w:rPr>
          <w:rFonts w:ascii="Times New Roman" w:hAnsi="Times New Roman" w:cs="Times New Roman"/>
        </w:rPr>
        <w:t xml:space="preserve">the virulence regulator </w:t>
      </w:r>
      <w:r>
        <w:rPr>
          <w:rFonts w:ascii="Times New Roman" w:hAnsi="Times New Roman" w:cs="Times New Roman"/>
          <w:i/>
          <w:iCs/>
        </w:rPr>
        <w:t xml:space="preserve">agr </w:t>
      </w:r>
      <w:r>
        <w:rPr>
          <w:rFonts w:ascii="Times New Roman" w:hAnsi="Times New Roman" w:cs="Times New Roman"/>
        </w:rPr>
        <w:t xml:space="preserve">is under the control of CodY </w:t>
      </w:r>
      <w:r w:rsidRPr="001245C7">
        <w:rPr>
          <w:rFonts w:ascii="Times New Roman" w:hAnsi="Times New Roman" w:cs="Times New Roman"/>
          <w:b/>
          <w:bCs/>
        </w:rPr>
        <w:fldChar w:fldCharType="begin">
          <w:fldData xml:space="preserve">PEVuZE5vdGU+PENpdGU+PEF1dGhvcj5Tb25lbnNoZWluPC9BdXRob3I+PFllYXI+MjAwNTwvWWVh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</w:fldData>
        </w:fldChar>
      </w:r>
      <w:r w:rsidRPr="001245C7">
        <w:rPr>
          <w:rFonts w:ascii="Times New Roman" w:hAnsi="Times New Roman" w:cs="Times New Roman"/>
          <w:b/>
          <w:bCs/>
        </w:rPr>
        <w:instrText xml:space="preserve"> ADDIN EN.CITE </w:instrText>
      </w:r>
      <w:r w:rsidRPr="001245C7">
        <w:rPr>
          <w:rFonts w:ascii="Times New Roman" w:hAnsi="Times New Roman" w:cs="Times New Roman"/>
          <w:b/>
          <w:bCs/>
        </w:rPr>
        <w:fldChar w:fldCharType="begin">
          <w:fldData xml:space="preserve">PEVuZE5vdGU+PENpdGU+PEF1dGhvcj5Tb25lbnNoZWluPC9BdXRob3I+PFllYXI+MjAwNTwvWWVh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</w:fldData>
        </w:fldChar>
      </w:r>
      <w:r w:rsidRPr="001245C7">
        <w:rPr>
          <w:rFonts w:ascii="Times New Roman" w:hAnsi="Times New Roman" w:cs="Times New Roman"/>
          <w:b/>
          <w:bCs/>
        </w:rPr>
        <w:instrText xml:space="preserve"> ADDIN EN.CITE.DATA </w:instrText>
      </w:r>
      <w:r w:rsidRPr="001245C7">
        <w:rPr>
          <w:rFonts w:ascii="Times New Roman" w:hAnsi="Times New Roman" w:cs="Times New Roman"/>
          <w:b/>
          <w:bCs/>
        </w:rPr>
      </w:r>
      <w:r w:rsidRPr="001245C7">
        <w:rPr>
          <w:rFonts w:ascii="Times New Roman" w:hAnsi="Times New Roman" w:cs="Times New Roman"/>
          <w:b/>
          <w:bCs/>
        </w:rPr>
        <w:fldChar w:fldCharType="end"/>
      </w:r>
      <w:r w:rsidRPr="001245C7">
        <w:rPr>
          <w:rFonts w:ascii="Times New Roman" w:hAnsi="Times New Roman" w:cs="Times New Roman"/>
          <w:b/>
          <w:bCs/>
        </w:rPr>
      </w:r>
      <w:r w:rsidRPr="001245C7">
        <w:rPr>
          <w:rFonts w:ascii="Times New Roman" w:hAnsi="Times New Roman" w:cs="Times New Roman"/>
          <w:b/>
          <w:bCs/>
        </w:rPr>
        <w:fldChar w:fldCharType="separate"/>
      </w:r>
      <w:r w:rsidRPr="001245C7">
        <w:rPr>
          <w:rFonts w:ascii="Times New Roman" w:hAnsi="Times New Roman" w:cs="Times New Roman"/>
          <w:b/>
          <w:bCs/>
          <w:noProof/>
        </w:rPr>
        <w:t>(Sonenshein, 2005; Majerczyk</w:t>
      </w:r>
      <w:r w:rsidRPr="001245C7">
        <w:rPr>
          <w:rFonts w:ascii="Times New Roman" w:hAnsi="Times New Roman" w:cs="Times New Roman"/>
          <w:b/>
          <w:bCs/>
          <w:i/>
          <w:noProof/>
        </w:rPr>
        <w:t xml:space="preserve"> et al.</w:t>
      </w:r>
      <w:r w:rsidRPr="001245C7">
        <w:rPr>
          <w:rFonts w:ascii="Times New Roman" w:hAnsi="Times New Roman" w:cs="Times New Roman"/>
          <w:b/>
          <w:bCs/>
          <w:noProof/>
        </w:rPr>
        <w:t>, 2008)</w:t>
      </w:r>
      <w:r w:rsidRPr="001245C7">
        <w:rPr>
          <w:rFonts w:ascii="Times New Roman" w:hAnsi="Times New Roman" w:cs="Times New Roman"/>
          <w:b/>
          <w:bCs/>
        </w:rPr>
        <w:fldChar w:fldCharType="end"/>
      </w:r>
      <w:r>
        <w:rPr>
          <w:rFonts w:ascii="Times New Roman" w:hAnsi="Times New Roman" w:cs="Times New Roman"/>
        </w:rPr>
        <w:t xml:space="preserve">. Cellular (p)ppGpp accumulation and concurrent GTP reduction results in CodY derepression, thus allowing the expression of genes necessary for stress adaptation </w:t>
      </w:r>
      <w:r w:rsidRPr="00382EBA">
        <w:rPr>
          <w:rFonts w:ascii="Times New Roman" w:hAnsi="Times New Roman" w:cs="Times New Roman"/>
          <w:b/>
          <w:bCs/>
        </w:rPr>
        <w:fldChar w:fldCharType="begin"/>
      </w:r>
      <w:r w:rsidRPr="00382EBA">
        <w:rPr>
          <w:rFonts w:ascii="Times New Roman" w:hAnsi="Times New Roman" w:cs="Times New Roman"/>
          <w:b/>
          <w:bCs/>
        </w:rPr>
        <w:instrText xml:space="preserve"> ADDIN EN.CITE &lt;EndNote&gt;&lt;Cite&gt;&lt;Author&gt;Sonenshein&lt;/Author&gt;&lt;Year&gt;2005&lt;/Year&gt;&lt;IDText&gt;CodY, a global regulator of stationary phase and virulence in Gram-positive bacteria&lt;/IDText&gt;&lt;DisplayText&gt;(Sonenshein, 2005)&lt;/DisplayText&gt;&lt;record&gt;&lt;dates&gt;&lt;pub-dates&gt;&lt;date&gt;Apr&lt;/date&gt;&lt;/pub-dates&gt;&lt;year&gt;2005&lt;/year&gt;&lt;/dates&gt;&lt;urls&gt;&lt;related-urls&gt;&lt;url&gt;&amp;lt;Go to ISI&amp;gt;://WOS:000228607500015&lt;/url&gt;&lt;/related-urls&gt;&lt;/urls&gt;&lt;isbn&gt;1369-5274&lt;/isbn&gt;&lt;titles&gt;&lt;title&gt;CodY, a global regulator of stationary phase and virulence in Gram-positive bacteria&lt;/title&gt;&lt;secondary-title&gt;Current Opinion in Microbiology&lt;/secondary-title&gt;&lt;/titles&gt;&lt;pages&gt;203-207&lt;/pages&gt;&lt;number&gt;2&lt;/number&gt;&lt;contributors&gt;&lt;authors&gt;&lt;author&gt;Sonenshein, A. L.&lt;/author&gt;&lt;/authors&gt;&lt;/contributors&gt;&lt;added-date format="utc"&gt;1663623524&lt;/added-date&gt;&lt;ref-type name="Journal Article"&gt;17&lt;/ref-type&gt;&lt;rec-number&gt;123&lt;/rec-number&gt;&lt;last-updated-date format="utc"&gt;1663624413&lt;/last-updated-date&gt;&lt;accession-num&gt;WOS:000228607500015&lt;/accession-num&gt;&lt;electronic-resource-num&gt;10.1016/j.mib.2005.01.001&lt;/electronic-resource-num&gt;&lt;volume&gt;8&lt;/volume&gt;&lt;/record&gt;&lt;/Cite&gt;&lt;/EndNote&gt;</w:instrText>
      </w:r>
      <w:r w:rsidRPr="00382EBA">
        <w:rPr>
          <w:rFonts w:ascii="Times New Roman" w:hAnsi="Times New Roman" w:cs="Times New Roman"/>
          <w:b/>
          <w:bCs/>
        </w:rPr>
        <w:fldChar w:fldCharType="separate"/>
      </w:r>
      <w:r w:rsidRPr="00382EBA">
        <w:rPr>
          <w:rFonts w:ascii="Times New Roman" w:hAnsi="Times New Roman" w:cs="Times New Roman"/>
          <w:b/>
          <w:bCs/>
          <w:noProof/>
        </w:rPr>
        <w:t>(Sonenshein, 2005)</w:t>
      </w:r>
      <w:r w:rsidRPr="00382EBA">
        <w:rPr>
          <w:rFonts w:ascii="Times New Roman" w:hAnsi="Times New Roman" w:cs="Times New Roman"/>
          <w:b/>
          <w:bCs/>
        </w:rPr>
        <w:fldChar w:fldCharType="end"/>
      </w:r>
      <w:r>
        <w:rPr>
          <w:rFonts w:ascii="Times New Roman" w:hAnsi="Times New Roman" w:cs="Times New Roman"/>
        </w:rPr>
        <w:t xml:space="preserve">. Analysis of the </w:t>
      </w:r>
      <w:r>
        <w:rPr>
          <w:rFonts w:ascii="Times New Roman" w:hAnsi="Times New Roman" w:cs="Times New Roman"/>
          <w:i/>
          <w:iCs/>
        </w:rPr>
        <w:t xml:space="preserve">S. aureus </w:t>
      </w:r>
      <w:r>
        <w:rPr>
          <w:rFonts w:ascii="Times New Roman" w:hAnsi="Times New Roman" w:cs="Times New Roman"/>
        </w:rPr>
        <w:t xml:space="preserve">transcriptome </w:t>
      </w:r>
      <w:r w:rsidRPr="006F0240">
        <w:rPr>
          <w:rFonts w:ascii="Times New Roman" w:hAnsi="Times New Roman" w:cs="Times New Roman"/>
        </w:rPr>
        <w:t>upon</w:t>
      </w:r>
      <w:r>
        <w:rPr>
          <w:rFonts w:ascii="Times New Roman" w:hAnsi="Times New Roman" w:cs="Times New Roman"/>
        </w:rPr>
        <w:t xml:space="preserve"> amino acid starvation revealed that 143 genes were upregulated due to CodY derepression, demonstrating that CodY has a significant role in gene regulation during the stringent response </w:t>
      </w:r>
      <w:r w:rsidRPr="00D309DA">
        <w:rPr>
          <w:rFonts w:ascii="Times New Roman" w:hAnsi="Times New Roman" w:cs="Times New Roman"/>
          <w:b/>
          <w:bCs/>
        </w:rPr>
        <w:fldChar w:fldCharType="begin"/>
      </w:r>
      <w:r w:rsidRPr="00D309DA">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format="utc"&gt;1675729925&lt;/last-updated-date&gt;&lt;accession-num&gt;DRCI:DATA2013076003393588&lt;/accession-num&gt;&lt;volume&gt;1&lt;/volume&gt;&lt;/record&gt;&lt;/Cite&gt;&lt;/EndNote&gt;</w:instrText>
      </w:r>
      <w:r w:rsidRPr="00D309DA">
        <w:rPr>
          <w:rFonts w:ascii="Times New Roman" w:hAnsi="Times New Roman" w:cs="Times New Roman"/>
          <w:b/>
          <w:bCs/>
        </w:rPr>
        <w:fldChar w:fldCharType="separate"/>
      </w:r>
      <w:r w:rsidRPr="00D309DA">
        <w:rPr>
          <w:rFonts w:ascii="Times New Roman" w:hAnsi="Times New Roman" w:cs="Times New Roman"/>
          <w:b/>
          <w:bCs/>
          <w:noProof/>
        </w:rPr>
        <w:t>(Geiger</w:t>
      </w:r>
      <w:r w:rsidRPr="00D309DA">
        <w:rPr>
          <w:rFonts w:ascii="Times New Roman" w:hAnsi="Times New Roman" w:cs="Times New Roman"/>
          <w:b/>
          <w:bCs/>
          <w:i/>
          <w:noProof/>
        </w:rPr>
        <w:t xml:space="preserve"> et al.</w:t>
      </w:r>
      <w:r w:rsidRPr="00D309DA">
        <w:rPr>
          <w:rFonts w:ascii="Times New Roman" w:hAnsi="Times New Roman" w:cs="Times New Roman"/>
          <w:b/>
          <w:bCs/>
          <w:noProof/>
        </w:rPr>
        <w:t>, 2012)</w:t>
      </w:r>
      <w:r w:rsidRPr="00D309DA">
        <w:rPr>
          <w:rFonts w:ascii="Times New Roman" w:hAnsi="Times New Roman" w:cs="Times New Roman"/>
          <w:b/>
          <w:bCs/>
        </w:rPr>
        <w:fldChar w:fldCharType="end"/>
      </w:r>
      <w:r>
        <w:rPr>
          <w:rFonts w:ascii="Times New Roman" w:hAnsi="Times New Roman" w:cs="Times New Roman"/>
        </w:rPr>
        <w:t xml:space="preserve">. However, 161 genes were downregulated independently of CodY </w:t>
      </w:r>
      <w:r w:rsidRPr="00D309DA">
        <w:rPr>
          <w:rFonts w:ascii="Times New Roman" w:hAnsi="Times New Roman" w:cs="Times New Roman"/>
          <w:b/>
          <w:bCs/>
        </w:rPr>
        <w:fldChar w:fldCharType="begin"/>
      </w:r>
      <w:r w:rsidRPr="00D309DA">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format="utc"&gt;1675729925&lt;/last-updated-date&gt;&lt;accession-num&gt;DRCI:DATA2013076003393588&lt;/accession-num&gt;&lt;volume&gt;1&lt;/volume&gt;&lt;/record&gt;&lt;/Cite&gt;&lt;/EndNote&gt;</w:instrText>
      </w:r>
      <w:r w:rsidRPr="00D309DA">
        <w:rPr>
          <w:rFonts w:ascii="Times New Roman" w:hAnsi="Times New Roman" w:cs="Times New Roman"/>
          <w:b/>
          <w:bCs/>
        </w:rPr>
        <w:fldChar w:fldCharType="separate"/>
      </w:r>
      <w:r w:rsidRPr="00D309DA">
        <w:rPr>
          <w:rFonts w:ascii="Times New Roman" w:hAnsi="Times New Roman" w:cs="Times New Roman"/>
          <w:b/>
          <w:bCs/>
          <w:noProof/>
        </w:rPr>
        <w:t>(Geiger</w:t>
      </w:r>
      <w:r w:rsidRPr="00D309DA">
        <w:rPr>
          <w:rFonts w:ascii="Times New Roman" w:hAnsi="Times New Roman" w:cs="Times New Roman"/>
          <w:b/>
          <w:bCs/>
          <w:i/>
          <w:noProof/>
        </w:rPr>
        <w:t xml:space="preserve"> et al.</w:t>
      </w:r>
      <w:r w:rsidRPr="00D309DA">
        <w:rPr>
          <w:rFonts w:ascii="Times New Roman" w:hAnsi="Times New Roman" w:cs="Times New Roman"/>
          <w:b/>
          <w:bCs/>
          <w:noProof/>
        </w:rPr>
        <w:t>, 2012)</w:t>
      </w:r>
      <w:r w:rsidRPr="00D309DA">
        <w:rPr>
          <w:rFonts w:ascii="Times New Roman" w:hAnsi="Times New Roman" w:cs="Times New Roman"/>
          <w:b/>
          <w:bCs/>
        </w:rPr>
        <w:fldChar w:fldCharType="end"/>
      </w:r>
      <w:r>
        <w:rPr>
          <w:rFonts w:ascii="Times New Roman" w:hAnsi="Times New Roman" w:cs="Times New Roman"/>
        </w:rPr>
        <w:t xml:space="preserve">, suggesting that CodY does not have a role in gene downregulation during the stringent response. (p)ppGpp-regulated genes found to be upregulated independently of CodY include </w:t>
      </w:r>
      <w:r w:rsidRPr="006501FD">
        <w:rPr>
          <w:rFonts w:ascii="Times New Roman" w:hAnsi="Times New Roman" w:cs="Times New Roman"/>
          <w:i/>
          <w:iCs/>
        </w:rPr>
        <w:t>ftnA</w:t>
      </w:r>
      <w:r>
        <w:rPr>
          <w:rFonts w:ascii="Times New Roman" w:hAnsi="Times New Roman" w:cs="Times New Roman"/>
        </w:rPr>
        <w:t xml:space="preserve"> and </w:t>
      </w:r>
      <w:r w:rsidRPr="006501FD">
        <w:rPr>
          <w:rFonts w:ascii="Times New Roman" w:hAnsi="Times New Roman" w:cs="Times New Roman"/>
          <w:i/>
          <w:iCs/>
        </w:rPr>
        <w:t>dps</w:t>
      </w:r>
      <w:r>
        <w:rPr>
          <w:rFonts w:ascii="Times New Roman" w:hAnsi="Times New Roman" w:cs="Times New Roman"/>
        </w:rPr>
        <w:t xml:space="preserve"> encoding for iron storage proteins, </w:t>
      </w:r>
      <w:r>
        <w:rPr>
          <w:rFonts w:ascii="Times New Roman" w:hAnsi="Times New Roman" w:cs="Times New Roman"/>
          <w:i/>
          <w:iCs/>
        </w:rPr>
        <w:t xml:space="preserve">katA </w:t>
      </w:r>
      <w:r>
        <w:rPr>
          <w:rFonts w:ascii="Times New Roman" w:hAnsi="Times New Roman" w:cs="Times New Roman"/>
        </w:rPr>
        <w:t xml:space="preserve">and </w:t>
      </w:r>
      <w:r>
        <w:rPr>
          <w:rFonts w:ascii="Times New Roman" w:hAnsi="Times New Roman" w:cs="Times New Roman"/>
          <w:i/>
          <w:iCs/>
        </w:rPr>
        <w:t xml:space="preserve">sodA </w:t>
      </w:r>
      <w:r>
        <w:rPr>
          <w:rFonts w:ascii="Times New Roman" w:hAnsi="Times New Roman" w:cs="Times New Roman"/>
        </w:rPr>
        <w:t xml:space="preserve">encoding for catalase and superoxide dismutase A and the </w:t>
      </w:r>
      <w:r w:rsidRPr="006501FD">
        <w:rPr>
          <w:rFonts w:ascii="Times New Roman" w:hAnsi="Times New Roman" w:cs="Times New Roman"/>
          <w:i/>
          <w:iCs/>
        </w:rPr>
        <w:t xml:space="preserve">psmα1–4 and psmß1-2 </w:t>
      </w:r>
      <w:r w:rsidRPr="006501FD">
        <w:rPr>
          <w:rFonts w:ascii="Times New Roman" w:hAnsi="Times New Roman" w:cs="Times New Roman"/>
        </w:rPr>
        <w:t xml:space="preserve">operons </w:t>
      </w:r>
      <w:r>
        <w:rPr>
          <w:rFonts w:ascii="Times New Roman" w:hAnsi="Times New Roman" w:cs="Times New Roman"/>
        </w:rPr>
        <w:t xml:space="preserve">encoding for the PSMs </w:t>
      </w:r>
      <w:r w:rsidRPr="00121BB1">
        <w:rPr>
          <w:rFonts w:ascii="Times New Roman" w:hAnsi="Times New Roman" w:cs="Times New Roman"/>
          <w:b/>
          <w:bCs/>
        </w:rPr>
        <w:fldChar w:fldCharType="begin"/>
      </w:r>
      <w:r w:rsidRPr="00121BB1">
        <w:rPr>
          <w:rFonts w:ascii="Times New Roman" w:hAnsi="Times New Roman" w:cs="Times New Roman"/>
          <w:b/>
          <w:bCs/>
        </w:rPr>
        <w:instrText xml:space="preserve"> ADDIN EN.CITE &lt;EndNote&gt;&lt;Cite&gt;&lt;Author&gt;Horvatek&lt;/Author&gt;&lt;Year&gt;2020&lt;/Year&gt;&lt;IDText&gt;Inducible expression of (pp)pGpp synthetases in Staphylococcus aureus is associated with activation of stress response genes&lt;/IDText&gt;&lt;DisplayText&gt;(Horvatek&lt;style face="italic"&gt; et al.&lt;/style&gt;, 2020)&lt;/DisplayText&gt;&lt;record&gt;&lt;dates&gt;&lt;pub-dates&gt;&lt;date&gt;Dec&lt;/date&gt;&lt;/pub-dates&gt;&lt;year&gt;2020&lt;/year&gt;&lt;/dates&gt;&lt;urls&gt;&lt;related-urls&gt;&lt;url&gt;&amp;lt;Go to ISI&amp;gt;://WOS:000605323700002&lt;/url&gt;&lt;/related-urls&gt;&lt;/urls&gt;&lt;isbn&gt;1553-7404&lt;/isbn&gt;&lt;work-type&gt;Article&lt;/work-type&gt;&lt;titles&gt;&lt;title&gt;Inducible expression of (pp)pGpp synthetases in Staphylococcus aureus is associated with activation of stress response genes&lt;/title&gt;&lt;secondary-title&gt;Plos Genetics&lt;/secondary-title&gt;&lt;/titles&gt;&lt;number&gt;12&lt;/number&gt;&lt;contributors&gt;&lt;authors&gt;&lt;author&gt;Horvatek, Petra&lt;/author&gt;&lt;author&gt;Salzer, Andrea&lt;/author&gt;&lt;author&gt;Hanna, Andrew Magdy Fekry&lt;/author&gt;&lt;author&gt;Gratani, Fabio Lino&lt;/author&gt;&lt;author&gt;Keinhoerster, Daniela&lt;/author&gt;&lt;author&gt;Korn, Natalya&lt;/author&gt;&lt;author&gt;Borisova, Marina&lt;/author&gt;&lt;author&gt;Mayer, Christoph&lt;/author&gt;&lt;author&gt;Rejman, Dominik&lt;/author&gt;&lt;author&gt;Maeder, Ulrike&lt;/author&gt;&lt;author&gt;Wolz, Christiane&lt;/author&gt;&lt;/authors&gt;&lt;/contributors&gt;&lt;custom7&gt;e1009282&lt;/custom7&gt;&lt;added-date format="utc"&gt;1674489920&lt;/added-date&gt;&lt;ref-type name="Journal Article"&gt;17&lt;/ref-type&gt;&lt;rec-number&gt;243&lt;/rec-number&gt;&lt;last-updated-date format="utc"&gt;1678058042&lt;/last-updated-date&gt;&lt;accession-num&gt;WOS:000605323700002&lt;/accession-num&gt;&lt;electronic-resource-num&gt;10.1371/journal.pgen.1009282&lt;/electronic-resource-num&gt;&lt;volume&gt;16&lt;/volume&gt;&lt;/record&gt;&lt;/Cite&gt;&lt;/EndNote&gt;</w:instrText>
      </w:r>
      <w:r w:rsidRPr="00121BB1">
        <w:rPr>
          <w:rFonts w:ascii="Times New Roman" w:hAnsi="Times New Roman" w:cs="Times New Roman"/>
          <w:b/>
          <w:bCs/>
        </w:rPr>
        <w:fldChar w:fldCharType="separate"/>
      </w:r>
      <w:r w:rsidRPr="00121BB1">
        <w:rPr>
          <w:rFonts w:ascii="Times New Roman" w:hAnsi="Times New Roman" w:cs="Times New Roman"/>
          <w:b/>
          <w:bCs/>
          <w:noProof/>
        </w:rPr>
        <w:t>(Horvatek</w:t>
      </w:r>
      <w:r w:rsidRPr="00121BB1">
        <w:rPr>
          <w:rFonts w:ascii="Times New Roman" w:hAnsi="Times New Roman" w:cs="Times New Roman"/>
          <w:b/>
          <w:bCs/>
          <w:i/>
          <w:noProof/>
        </w:rPr>
        <w:t xml:space="preserve"> et al.</w:t>
      </w:r>
      <w:r w:rsidRPr="00121BB1">
        <w:rPr>
          <w:rFonts w:ascii="Times New Roman" w:hAnsi="Times New Roman" w:cs="Times New Roman"/>
          <w:b/>
          <w:bCs/>
          <w:noProof/>
        </w:rPr>
        <w:t>, 2020)</w:t>
      </w:r>
      <w:r w:rsidRPr="00121BB1">
        <w:rPr>
          <w:rFonts w:ascii="Times New Roman" w:hAnsi="Times New Roman" w:cs="Times New Roman"/>
          <w:b/>
          <w:bCs/>
        </w:rPr>
        <w:fldChar w:fldCharType="end"/>
      </w:r>
      <w:r>
        <w:rPr>
          <w:rFonts w:ascii="Times New Roman" w:hAnsi="Times New Roman" w:cs="Times New Roman"/>
        </w:rPr>
        <w:t xml:space="preserve">. These genes are involved in virulence </w:t>
      </w:r>
      <w:r w:rsidRPr="00121BB1">
        <w:rPr>
          <w:rFonts w:ascii="Times New Roman" w:hAnsi="Times New Roman" w:cs="Times New Roman"/>
          <w:b/>
          <w:bCs/>
        </w:rPr>
        <w:fldChar w:fldCharType="begin">
          <w:fldData xml:space="preserve">PEVuZE5vdGU+PENpdGU+PEF1dGhvcj5Ib3J2YXRlazwvQXV0aG9yPjxZZWFyPjIwMjA8L1llYXI+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</w:fldData>
        </w:fldChar>
      </w:r>
      <w:r w:rsidRPr="00121BB1">
        <w:rPr>
          <w:rFonts w:ascii="Times New Roman" w:hAnsi="Times New Roman" w:cs="Times New Roman"/>
          <w:b/>
          <w:bCs/>
        </w:rPr>
        <w:instrText xml:space="preserve"> ADDIN EN.CITE </w:instrText>
      </w:r>
      <w:r w:rsidRPr="00121BB1">
        <w:rPr>
          <w:rFonts w:ascii="Times New Roman" w:hAnsi="Times New Roman" w:cs="Times New Roman"/>
          <w:b/>
          <w:bCs/>
        </w:rPr>
        <w:fldChar w:fldCharType="begin">
          <w:fldData xml:space="preserve">PEVuZE5vdGU+PENpdGU+PEF1dGhvcj5Ib3J2YXRlazwvQXV0aG9yPjxZZWFyPjIwMjA8L1llYXI+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</w:fldData>
        </w:fldChar>
      </w:r>
      <w:r w:rsidRPr="00121BB1">
        <w:rPr>
          <w:rFonts w:ascii="Times New Roman" w:hAnsi="Times New Roman" w:cs="Times New Roman"/>
          <w:b/>
          <w:bCs/>
        </w:rPr>
        <w:instrText xml:space="preserve"> ADDIN EN.CITE.DATA </w:instrText>
      </w:r>
      <w:r w:rsidRPr="00121BB1">
        <w:rPr>
          <w:rFonts w:ascii="Times New Roman" w:hAnsi="Times New Roman" w:cs="Times New Roman"/>
          <w:b/>
          <w:bCs/>
        </w:rPr>
      </w:r>
      <w:r w:rsidRPr="00121BB1">
        <w:rPr>
          <w:rFonts w:ascii="Times New Roman" w:hAnsi="Times New Roman" w:cs="Times New Roman"/>
          <w:b/>
          <w:bCs/>
        </w:rPr>
        <w:fldChar w:fldCharType="end"/>
      </w:r>
      <w:r w:rsidRPr="00121BB1">
        <w:rPr>
          <w:rFonts w:ascii="Times New Roman" w:hAnsi="Times New Roman" w:cs="Times New Roman"/>
          <w:b/>
          <w:bCs/>
        </w:rPr>
      </w:r>
      <w:r w:rsidRPr="00121BB1">
        <w:rPr>
          <w:rFonts w:ascii="Times New Roman" w:hAnsi="Times New Roman" w:cs="Times New Roman"/>
          <w:b/>
          <w:bCs/>
        </w:rPr>
        <w:fldChar w:fldCharType="separate"/>
      </w:r>
      <w:r w:rsidRPr="00121BB1">
        <w:rPr>
          <w:rFonts w:ascii="Times New Roman" w:hAnsi="Times New Roman" w:cs="Times New Roman"/>
          <w:b/>
          <w:bCs/>
          <w:noProof/>
        </w:rPr>
        <w:t>(Horvatek</w:t>
      </w:r>
      <w:r w:rsidRPr="00121BB1">
        <w:rPr>
          <w:rFonts w:ascii="Times New Roman" w:hAnsi="Times New Roman" w:cs="Times New Roman"/>
          <w:b/>
          <w:bCs/>
          <w:i/>
          <w:noProof/>
        </w:rPr>
        <w:t xml:space="preserve"> et al.</w:t>
      </w:r>
      <w:r w:rsidRPr="00121BB1">
        <w:rPr>
          <w:rFonts w:ascii="Times New Roman" w:hAnsi="Times New Roman" w:cs="Times New Roman"/>
          <w:b/>
          <w:bCs/>
          <w:noProof/>
        </w:rPr>
        <w:t>, 2020; Fritsch</w:t>
      </w:r>
      <w:r w:rsidRPr="00121BB1">
        <w:rPr>
          <w:rFonts w:ascii="Times New Roman" w:hAnsi="Times New Roman" w:cs="Times New Roman"/>
          <w:b/>
          <w:bCs/>
          <w:i/>
          <w:noProof/>
        </w:rPr>
        <w:t xml:space="preserve"> et al.</w:t>
      </w:r>
      <w:r w:rsidRPr="00121BB1">
        <w:rPr>
          <w:rFonts w:ascii="Times New Roman" w:hAnsi="Times New Roman" w:cs="Times New Roman"/>
          <w:b/>
          <w:bCs/>
          <w:noProof/>
        </w:rPr>
        <w:t>, 2020)</w:t>
      </w:r>
      <w:r w:rsidRPr="00121BB1">
        <w:rPr>
          <w:rFonts w:ascii="Times New Roman" w:hAnsi="Times New Roman" w:cs="Times New Roman"/>
          <w:b/>
          <w:bCs/>
        </w:rPr>
        <w:fldChar w:fldCharType="end"/>
      </w:r>
      <w:r>
        <w:rPr>
          <w:rFonts w:ascii="Times New Roman" w:hAnsi="Times New Roman" w:cs="Times New Roman"/>
        </w:rPr>
        <w:t>, demonstrating that genes not regulated by CodY are</w:t>
      </w:r>
      <w:r w:rsidR="00ED22AC">
        <w:rPr>
          <w:rFonts w:ascii="Times New Roman" w:hAnsi="Times New Roman" w:cs="Times New Roman"/>
        </w:rPr>
        <w:t xml:space="preserve"> also</w:t>
      </w:r>
      <w:r>
        <w:rPr>
          <w:rFonts w:ascii="Times New Roman" w:hAnsi="Times New Roman" w:cs="Times New Roman"/>
        </w:rPr>
        <w:t xml:space="preserve"> involved in pathogenesis. Additionally, (p)ppGpp directly interacts with riboswitches as another method of regulating gene transcription. Riboswitches are non-coding regions of RNA that occur upstream of a gene and modulate their transcription. The </w:t>
      </w:r>
      <w:r>
        <w:rPr>
          <w:rFonts w:ascii="Times New Roman" w:hAnsi="Times New Roman" w:cs="Times New Roman"/>
          <w:i/>
          <w:iCs/>
        </w:rPr>
        <w:t xml:space="preserve">ykkc </w:t>
      </w:r>
      <w:r>
        <w:rPr>
          <w:rFonts w:ascii="Times New Roman" w:hAnsi="Times New Roman" w:cs="Times New Roman"/>
        </w:rPr>
        <w:t xml:space="preserve">class of riboswitches regulate BCAA-associated genes such as </w:t>
      </w:r>
      <w:r>
        <w:rPr>
          <w:rFonts w:ascii="Times New Roman" w:hAnsi="Times New Roman" w:cs="Times New Roman"/>
          <w:i/>
          <w:iCs/>
        </w:rPr>
        <w:t>ilvE</w:t>
      </w:r>
      <w:r>
        <w:rPr>
          <w:rFonts w:ascii="Times New Roman" w:hAnsi="Times New Roman" w:cs="Times New Roman"/>
        </w:rPr>
        <w:t xml:space="preserve"> from </w:t>
      </w:r>
      <w:r>
        <w:rPr>
          <w:rFonts w:ascii="Times New Roman" w:hAnsi="Times New Roman" w:cs="Times New Roman"/>
          <w:i/>
          <w:iCs/>
        </w:rPr>
        <w:t xml:space="preserve">Thermosediminibacter oceani </w:t>
      </w:r>
      <w:r>
        <w:rPr>
          <w:rFonts w:ascii="Times New Roman" w:hAnsi="Times New Roman" w:cs="Times New Roman"/>
        </w:rPr>
        <w:t xml:space="preserve">upon (p)ppGpp binding, and these riboswitches are associated with glutamate synthase and ATP-binding cassette transporters </w:t>
      </w:r>
      <w:r w:rsidRPr="00925EAD">
        <w:rPr>
          <w:rFonts w:ascii="Times New Roman" w:hAnsi="Times New Roman" w:cs="Times New Roman"/>
          <w:b/>
          <w:bCs/>
        </w:rPr>
        <w:fldChar w:fldCharType="begin"/>
      </w:r>
      <w:r w:rsidRPr="00925EAD">
        <w:rPr>
          <w:rFonts w:ascii="Times New Roman" w:hAnsi="Times New Roman" w:cs="Times New Roman"/>
          <w:b/>
          <w:bCs/>
        </w:rPr>
        <w:instrText xml:space="preserve"> ADDIN EN.CITE &lt;EndNote&gt;&lt;Cite&gt;&lt;Author&gt;Sherlock&lt;/Author&gt;&lt;Year&gt;2018&lt;/Year&gt;&lt;IDText&gt;Riboswitches for the alarmone ppGpp expand the collection of RNA-based signaling systems&lt;/IDText&gt;&lt;DisplayText&gt;(Sherlock, Sudarsan and Breaker, 2018)&lt;/DisplayText&gt;&lt;record&gt;&lt;dates&gt;&lt;pub-dates&gt;&lt;date&gt;Jun 5&lt;/date&gt;&lt;/pub-dates&gt;&lt;year&gt;2018&lt;/year&gt;&lt;/dates&gt;&lt;urls&gt;&lt;related-urls&gt;&lt;url&gt;&amp;lt;Go to ISI&amp;gt;://WOS:000434114900065&lt;/url&gt;&lt;/related-urls&gt;&lt;/urls&gt;&lt;isbn&gt;0027-8424&lt;/isbn&gt;&lt;titles&gt;&lt;title&gt;Riboswitches for the alarmone ppGpp expand the collection of RNA-based signaling systems&lt;/title&gt;&lt;secondary-title&gt;Proceedings of the National Academy of Sciences of the United States of America&lt;/secondary-title&gt;&lt;/titles&gt;&lt;pages&gt;6052-6057&lt;/pages&gt;&lt;number&gt;23&lt;/number&gt;&lt;contributors&gt;&lt;authors&gt;&lt;author&gt;Sherlock, Madeline E.&lt;/author&gt;&lt;author&gt;Sudarsan, Narasimhan&lt;/author&gt;&lt;author&gt;Breaker, Ronald R.&lt;/author&gt;&lt;/authors&gt;&lt;/contributors&gt;&lt;added-date format="utc"&gt;1663615375&lt;/added-date&gt;&lt;ref-type name="Journal Article"&gt;17&lt;/ref-type&gt;&lt;rec-number&gt;95&lt;/rec-number&gt;&lt;last-updated-date format="utc"&gt;1663624413&lt;/last-updated-date&gt;&lt;accession-num&gt;WOS:000434114900065&lt;/accession-num&gt;&lt;electronic-resource-num&gt;10.1073/pnas.1720406115&lt;/electronic-resource-num&gt;&lt;volume&gt;115&lt;/volume&gt;&lt;/record&gt;&lt;/Cite&gt;&lt;/EndNote&gt;</w:instrText>
      </w:r>
      <w:r w:rsidRPr="00925EAD">
        <w:rPr>
          <w:rFonts w:ascii="Times New Roman" w:hAnsi="Times New Roman" w:cs="Times New Roman"/>
          <w:b/>
          <w:bCs/>
        </w:rPr>
        <w:fldChar w:fldCharType="separate"/>
      </w:r>
      <w:r w:rsidRPr="00925EAD">
        <w:rPr>
          <w:rFonts w:ascii="Times New Roman" w:hAnsi="Times New Roman" w:cs="Times New Roman"/>
          <w:b/>
          <w:bCs/>
          <w:noProof/>
        </w:rPr>
        <w:t>(Sherlock, Sudarsan and Breaker, 2018)</w:t>
      </w:r>
      <w:r w:rsidRPr="00925EAD">
        <w:rPr>
          <w:rFonts w:ascii="Times New Roman" w:hAnsi="Times New Roman" w:cs="Times New Roman"/>
          <w:b/>
          <w:bCs/>
        </w:rPr>
        <w:fldChar w:fldCharType="end"/>
      </w:r>
      <w:r>
        <w:rPr>
          <w:rFonts w:ascii="Times New Roman" w:hAnsi="Times New Roman" w:cs="Times New Roman"/>
        </w:rPr>
        <w:t xml:space="preserve">. This is corroborated by the fact that glutamate is upregulated during the stringent response in </w:t>
      </w:r>
      <w:r>
        <w:rPr>
          <w:rFonts w:ascii="Times New Roman" w:hAnsi="Times New Roman" w:cs="Times New Roman"/>
          <w:i/>
          <w:iCs/>
        </w:rPr>
        <w:t xml:space="preserve">E. coli </w:t>
      </w:r>
      <w:r w:rsidRPr="00092250">
        <w:rPr>
          <w:rFonts w:ascii="Times New Roman" w:hAnsi="Times New Roman" w:cs="Times New Roman"/>
          <w:b/>
          <w:bCs/>
        </w:rPr>
        <w:fldChar w:fldCharType="begin"/>
      </w:r>
      <w:r w:rsidRPr="00092250">
        <w:rPr>
          <w:rFonts w:ascii="Times New Roman" w:hAnsi="Times New Roman" w:cs="Times New Roman"/>
          <w:b/>
          <w:bCs/>
        </w:rPr>
        <w:instrText xml:space="preserve"> ADDIN EN.CITE &lt;EndNote&gt;&lt;Cite&gt;&lt;Author&gt;Imaizumi&lt;/Author&gt;&lt;Year&gt;2006&lt;/Year&gt;&lt;IDText&gt;The effect of intracellular ppGpp levels on glutamate and lysine overproduction in Escherichia coli&lt;/IDText&gt;&lt;DisplayText&gt;(Imaizumi, Kojima and Matsui, 2006)&lt;/DisplayText&gt;&lt;record&gt;&lt;dates&gt;&lt;pub-dates&gt;&lt;date&gt;Sep&lt;/date&gt;&lt;/pub-dates&gt;&lt;year&gt;2006&lt;/year&gt;&lt;/dates&gt;&lt;urls&gt;&lt;related-urls&gt;&lt;url&gt;&amp;lt;Go to ISI&amp;gt;://WOS:000240258700003&lt;/url&gt;&lt;/related-urls&gt;&lt;/urls&gt;&lt;isbn&gt;0168-1656&lt;/isbn&gt;&lt;titles&gt;&lt;title&gt;The effect of intracellular ppGpp levels on glutamate and lysine overproduction in Escherichia coli&lt;/title&gt;&lt;secondary-title&gt;Journal of Biotechnology&lt;/secondary-title&gt;&lt;/titles&gt;&lt;pages&gt;328-337&lt;/pages&gt;&lt;number&gt;3&lt;/number&gt;&lt;contributors&gt;&lt;authors&gt;&lt;author&gt;Imaizumi, A.&lt;/author&gt;&lt;author&gt;Kojima, H.&lt;/author&gt;&lt;author&gt;Matsui, K.&lt;/author&gt;&lt;/authors&gt;&lt;/contributors&gt;&lt;added-date format="utc"&gt;1677982972&lt;/added-date&gt;&lt;ref-type name="Journal Article"&gt;17&lt;/ref-type&gt;&lt;rec-number&gt;707&lt;/rec-number&gt;&lt;last-updated-date format="utc"&gt;1677982972&lt;/last-updated-date&gt;&lt;accession-num&gt;WOS:000240258700003&lt;/accession-num&gt;&lt;electronic-resource-num&gt;10.1016/j.jbiotec.2006.03.015&lt;/electronic-resource-num&gt;&lt;volume&gt;125&lt;/volume&gt;&lt;/record&gt;&lt;/Cite&gt;&lt;/EndNote&gt;</w:instrText>
      </w:r>
      <w:r w:rsidRPr="00092250">
        <w:rPr>
          <w:rFonts w:ascii="Times New Roman" w:hAnsi="Times New Roman" w:cs="Times New Roman"/>
          <w:b/>
          <w:bCs/>
        </w:rPr>
        <w:fldChar w:fldCharType="separate"/>
      </w:r>
      <w:r w:rsidRPr="00092250">
        <w:rPr>
          <w:rFonts w:ascii="Times New Roman" w:hAnsi="Times New Roman" w:cs="Times New Roman"/>
          <w:b/>
          <w:bCs/>
          <w:noProof/>
        </w:rPr>
        <w:t>(Imaizumi, Kojima and Matsui, 2006)</w:t>
      </w:r>
      <w:r w:rsidRPr="00092250">
        <w:rPr>
          <w:rFonts w:ascii="Times New Roman" w:hAnsi="Times New Roman" w:cs="Times New Roman"/>
          <w:b/>
          <w:bCs/>
        </w:rPr>
        <w:fldChar w:fldCharType="end"/>
      </w:r>
      <w:r>
        <w:rPr>
          <w:rFonts w:ascii="Times New Roman" w:hAnsi="Times New Roman" w:cs="Times New Roman"/>
        </w:rPr>
        <w:t xml:space="preserve">, indicating that a (p)ppGpp-binding riboswitch is responsible for increasing glutamate levels </w:t>
      </w:r>
      <w:r w:rsidRPr="001245C7">
        <w:rPr>
          <w:rFonts w:ascii="Times New Roman" w:hAnsi="Times New Roman" w:cs="Times New Roman"/>
          <w:b/>
          <w:bCs/>
        </w:rPr>
        <w:fldChar w:fldCharType="begin"/>
      </w:r>
      <w:r w:rsidRPr="001245C7">
        <w:rPr>
          <w:rFonts w:ascii="Times New Roman" w:hAnsi="Times New Roman" w:cs="Times New Roman"/>
          <w:b/>
          <w:bCs/>
        </w:rPr>
        <w:instrText xml:space="preserve"> ADDIN EN.CITE &lt;EndNote&gt;&lt;Cite&gt;&lt;Author&gt;Sherlock&lt;/Author&gt;&lt;Year&gt;2018&lt;/Year&gt;&lt;IDText&gt;Riboswitches for the alarmone ppGpp expand the collection of RNA-based signaling systems&lt;/IDText&gt;&lt;DisplayText&gt;(Sherlock, Sudarsan and Breaker, 2018)&lt;/DisplayText&gt;&lt;record&gt;&lt;dates&gt;&lt;pub-dates&gt;&lt;date&gt;Jun 5&lt;/date&gt;&lt;/pub-dates&gt;&lt;year&gt;2018&lt;/year&gt;&lt;/dates&gt;&lt;urls&gt;&lt;related-urls&gt;&lt;url&gt;&amp;lt;Go to ISI&amp;gt;://WOS:000434114900065&lt;/url&gt;&lt;/related-urls&gt;&lt;/urls&gt;&lt;isbn&gt;0027-8424&lt;/isbn&gt;&lt;titles&gt;&lt;title&gt;Riboswitches for the alarmone ppGpp expand the collection of RNA-based signaling systems&lt;/title&gt;&lt;secondary-title&gt;Proceedings of the National Academy of Sciences of the United States of America&lt;/secondary-title&gt;&lt;/titles&gt;&lt;pages&gt;6052-6057&lt;/pages&gt;&lt;number&gt;23&lt;/number&gt;&lt;contributors&gt;&lt;authors&gt;&lt;author&gt;Sherlock, Madeline E.&lt;/author&gt;&lt;author&gt;Sudarsan, Narasimhan&lt;/author&gt;&lt;author&gt;Breaker, Ronald R.&lt;/author&gt;&lt;/authors&gt;&lt;/contributors&gt;&lt;added-date format="utc"&gt;1663615375&lt;/added-date&gt;&lt;ref-type name="Journal Article"&gt;17&lt;/ref-type&gt;&lt;rec-number&gt;95&lt;/rec-number&gt;&lt;last-updated-date format="utc"&gt;1663624413&lt;/last-updated-date&gt;&lt;accession-num&gt;WOS:000434114900065&lt;/accession-num&gt;&lt;electronic-resource-num&gt;10.1073/pnas.1720406115&lt;/electronic-resource-num&gt;&lt;volume&gt;115&lt;/volume&gt;&lt;/record&gt;&lt;/Cite&gt;&lt;/EndNote&gt;</w:instrText>
      </w:r>
      <w:r w:rsidRPr="001245C7">
        <w:rPr>
          <w:rFonts w:ascii="Times New Roman" w:hAnsi="Times New Roman" w:cs="Times New Roman"/>
          <w:b/>
          <w:bCs/>
        </w:rPr>
        <w:fldChar w:fldCharType="separate"/>
      </w:r>
      <w:r w:rsidRPr="001245C7">
        <w:rPr>
          <w:rFonts w:ascii="Times New Roman" w:hAnsi="Times New Roman" w:cs="Times New Roman"/>
          <w:b/>
          <w:bCs/>
          <w:noProof/>
        </w:rPr>
        <w:t>(Sherlock, Sudarsan and Breaker, 2018)</w:t>
      </w:r>
      <w:r w:rsidRPr="001245C7">
        <w:rPr>
          <w:rFonts w:ascii="Times New Roman" w:hAnsi="Times New Roman" w:cs="Times New Roman"/>
          <w:b/>
          <w:bCs/>
        </w:rPr>
        <w:fldChar w:fldCharType="end"/>
      </w:r>
      <w:r>
        <w:rPr>
          <w:rFonts w:ascii="Times New Roman" w:hAnsi="Times New Roman" w:cs="Times New Roman"/>
        </w:rPr>
        <w:t xml:space="preserve">. </w:t>
      </w:r>
    </w:p>
    <w:p w14:paraId="7F515F4D" w14:textId="77777777" w:rsidR="00033564" w:rsidRPr="00387AC1" w:rsidRDefault="00033564" w:rsidP="00033564">
      <w:pPr>
        <w:pStyle w:val="Heading4"/>
      </w:pPr>
      <w:r>
        <w:t xml:space="preserve">1.2.2.2. Translation </w:t>
      </w:r>
    </w:p>
    <w:p w14:paraId="6FC1FA37" w14:textId="77777777" w:rsidR="00033564" w:rsidRDefault="00033564" w:rsidP="00033564">
      <w:pPr>
        <w:spacing w:line="240" w:lineRule="auto"/>
        <w:rPr>
          <w:rFonts w:ascii="Times New Roman" w:hAnsi="Times New Roman" w:cs="Times New Roman"/>
        </w:rPr>
      </w:pPr>
    </w:p>
    <w:p w14:paraId="7FA909E3" w14:textId="516F6888" w:rsidR="00033564" w:rsidRDefault="00033564" w:rsidP="00033564">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Unlike transcriptional regulation by (p)ppGpp that varies between different phyla, regulation of translation seems to be conserved in that similar proteins are targeted </w:t>
      </w:r>
      <w:r w:rsidRPr="005A40C1">
        <w:rPr>
          <w:rFonts w:ascii="Times New Roman" w:hAnsi="Times New Roman" w:cs="Times New Roman"/>
          <w:b/>
          <w:bCs/>
        </w:rPr>
        <w:fldChar w:fldCharType="begin">
          <w:fldData xml:space="preserve">PEVuZE5vdGU+PENpdGU+PEF1dGhvcj5NaWxvbjwvQXV0aG9yPjxZZWFyPjIwMDY8L1llYXI+PElE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PEVuZE5vdGU+PENpdGU+PEF1dGhvcj5NaWxvbjwvQXV0aG9yPjxZZWFyPjIwMDY8L1llYXI+PElE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5A40C1">
        <w:rPr>
          <w:rFonts w:ascii="Times New Roman" w:hAnsi="Times New Roman" w:cs="Times New Roman"/>
          <w:b/>
          <w:bCs/>
        </w:rPr>
      </w:r>
      <w:r w:rsidRPr="005A40C1">
        <w:rPr>
          <w:rFonts w:ascii="Times New Roman" w:hAnsi="Times New Roman" w:cs="Times New Roman"/>
          <w:b/>
          <w:bCs/>
        </w:rPr>
        <w:fldChar w:fldCharType="separate"/>
      </w:r>
      <w:r>
        <w:rPr>
          <w:rFonts w:ascii="Times New Roman" w:hAnsi="Times New Roman" w:cs="Times New Roman"/>
          <w:b/>
          <w:bCs/>
          <w:noProof/>
        </w:rPr>
        <w:t>(Milon</w:t>
      </w:r>
      <w:r w:rsidRPr="005A40C1">
        <w:rPr>
          <w:rFonts w:ascii="Times New Roman" w:hAnsi="Times New Roman" w:cs="Times New Roman"/>
          <w:b/>
          <w:bCs/>
          <w:i/>
          <w:noProof/>
        </w:rPr>
        <w:t xml:space="preserve"> et al.</w:t>
      </w:r>
      <w:r>
        <w:rPr>
          <w:rFonts w:ascii="Times New Roman" w:hAnsi="Times New Roman" w:cs="Times New Roman"/>
          <w:b/>
          <w:bCs/>
          <w:noProof/>
        </w:rPr>
        <w:t>, 2006; Mitkevich</w:t>
      </w:r>
      <w:r w:rsidRPr="005A40C1">
        <w:rPr>
          <w:rFonts w:ascii="Times New Roman" w:hAnsi="Times New Roman" w:cs="Times New Roman"/>
          <w:b/>
          <w:bCs/>
          <w:i/>
          <w:noProof/>
        </w:rPr>
        <w:t xml:space="preserve"> et al.</w:t>
      </w:r>
      <w:r>
        <w:rPr>
          <w:rFonts w:ascii="Times New Roman" w:hAnsi="Times New Roman" w:cs="Times New Roman"/>
          <w:b/>
          <w:bCs/>
          <w:noProof/>
        </w:rPr>
        <w:t>, 2010; Feng</w:t>
      </w:r>
      <w:r w:rsidRPr="005A40C1">
        <w:rPr>
          <w:rFonts w:ascii="Times New Roman" w:hAnsi="Times New Roman" w:cs="Times New Roman"/>
          <w:b/>
          <w:bCs/>
          <w:i/>
          <w:noProof/>
        </w:rPr>
        <w:t xml:space="preserve"> et al.</w:t>
      </w:r>
      <w:r>
        <w:rPr>
          <w:rFonts w:ascii="Times New Roman" w:hAnsi="Times New Roman" w:cs="Times New Roman"/>
          <w:b/>
          <w:bCs/>
          <w:noProof/>
        </w:rPr>
        <w:t>, 2014)</w:t>
      </w:r>
      <w:r w:rsidRPr="005A40C1">
        <w:rPr>
          <w:rFonts w:ascii="Times New Roman" w:hAnsi="Times New Roman" w:cs="Times New Roman"/>
          <w:b/>
          <w:bCs/>
        </w:rPr>
        <w:fldChar w:fldCharType="end"/>
      </w:r>
      <w:r>
        <w:rPr>
          <w:rFonts w:ascii="Times New Roman" w:hAnsi="Times New Roman" w:cs="Times New Roman"/>
        </w:rPr>
        <w:t xml:space="preserve">. As well as downregulating transcription at the </w:t>
      </w:r>
      <w:r>
        <w:rPr>
          <w:rFonts w:ascii="Times New Roman" w:hAnsi="Times New Roman" w:cs="Times New Roman"/>
          <w:i/>
          <w:iCs/>
        </w:rPr>
        <w:t xml:space="preserve">rrn </w:t>
      </w:r>
      <w:r>
        <w:rPr>
          <w:rFonts w:ascii="Times New Roman" w:hAnsi="Times New Roman" w:cs="Times New Roman"/>
        </w:rPr>
        <w:t xml:space="preserve">promoters, </w:t>
      </w:r>
      <w:r w:rsidRPr="002541E9">
        <w:rPr>
          <w:rFonts w:ascii="Times New Roman" w:hAnsi="Times New Roman" w:cs="Times New Roman"/>
        </w:rPr>
        <w:t>(p)ppGpp also interferes with the maturation of 70S ribosomes by binding to and inhibiting</w:t>
      </w:r>
      <w:r>
        <w:rPr>
          <w:rFonts w:ascii="Times New Roman" w:hAnsi="Times New Roman" w:cs="Times New Roman"/>
        </w:rPr>
        <w:t xml:space="preserve"> the</w:t>
      </w:r>
      <w:r w:rsidRPr="002541E9">
        <w:rPr>
          <w:rFonts w:ascii="Times New Roman" w:hAnsi="Times New Roman" w:cs="Times New Roman"/>
        </w:rPr>
        <w:t xml:space="preserve"> GTPases</w:t>
      </w:r>
      <w:r>
        <w:rPr>
          <w:rFonts w:ascii="Times New Roman" w:hAnsi="Times New Roman" w:cs="Times New Roman"/>
        </w:rPr>
        <w:t xml:space="preserve"> that are required for ribosomal assembly:</w:t>
      </w:r>
      <w:r w:rsidRPr="002541E9">
        <w:rPr>
          <w:rFonts w:ascii="Times New Roman" w:hAnsi="Times New Roman" w:cs="Times New Roman"/>
        </w:rPr>
        <w:t xml:space="preserve"> RsgA, RbgA, Era and HflX</w:t>
      </w:r>
      <w:r>
        <w:rPr>
          <w:rFonts w:ascii="Times New Roman" w:hAnsi="Times New Roman" w:cs="Times New Roman"/>
        </w:rPr>
        <w:t xml:space="preserve"> </w:t>
      </w:r>
      <w:r w:rsidRPr="008F2B93">
        <w:rPr>
          <w:rFonts w:ascii="Times New Roman" w:hAnsi="Times New Roman" w:cs="Times New Roman"/>
          <w:b/>
          <w:bCs/>
        </w:rPr>
        <w:fldChar w:fldCharType="begin">
          <w:fldData xml:space="preserve">PEVuZE5vdGU+PENpdGU+PEF1dGhvcj5Db3JyaWdhbjwvQXV0aG9yPjxZZWFyPjIwMTY8L1llYXI+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PEVuZE5vdGU+PENpdGU+PEF1dGhvcj5Db3JyaWdhbjwvQXV0aG9yPjxZZWFyPjIwMTY8L1llYXI+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8F2B93">
        <w:rPr>
          <w:rFonts w:ascii="Times New Roman" w:hAnsi="Times New Roman" w:cs="Times New Roman"/>
          <w:b/>
          <w:bCs/>
        </w:rPr>
      </w:r>
      <w:r w:rsidRPr="008F2B93">
        <w:rPr>
          <w:rFonts w:ascii="Times New Roman" w:hAnsi="Times New Roman" w:cs="Times New Roman"/>
          <w:b/>
          <w:bCs/>
        </w:rPr>
        <w:fldChar w:fldCharType="separate"/>
      </w:r>
      <w:r>
        <w:rPr>
          <w:rFonts w:ascii="Times New Roman" w:hAnsi="Times New Roman" w:cs="Times New Roman"/>
          <w:b/>
          <w:bCs/>
          <w:noProof/>
        </w:rPr>
        <w:t>(Corrigan</w:t>
      </w:r>
      <w:r w:rsidRPr="006C00CD">
        <w:rPr>
          <w:rFonts w:ascii="Times New Roman" w:hAnsi="Times New Roman" w:cs="Times New Roman"/>
          <w:b/>
          <w:bCs/>
          <w:i/>
          <w:noProof/>
        </w:rPr>
        <w:t xml:space="preserve"> et al.</w:t>
      </w:r>
      <w:r>
        <w:rPr>
          <w:rFonts w:ascii="Times New Roman" w:hAnsi="Times New Roman" w:cs="Times New Roman"/>
          <w:b/>
          <w:bCs/>
          <w:noProof/>
        </w:rPr>
        <w:t>, 2016; Persky</w:t>
      </w:r>
      <w:r w:rsidRPr="006C00CD">
        <w:rPr>
          <w:rFonts w:ascii="Times New Roman" w:hAnsi="Times New Roman" w:cs="Times New Roman"/>
          <w:b/>
          <w:bCs/>
          <w:i/>
          <w:noProof/>
        </w:rPr>
        <w:t xml:space="preserve"> et al.</w:t>
      </w:r>
      <w:r>
        <w:rPr>
          <w:rFonts w:ascii="Times New Roman" w:hAnsi="Times New Roman" w:cs="Times New Roman"/>
          <w:b/>
          <w:bCs/>
          <w:noProof/>
        </w:rPr>
        <w:t>, 2009)</w:t>
      </w:r>
      <w:r w:rsidRPr="008F2B93">
        <w:rPr>
          <w:rFonts w:ascii="Times New Roman" w:hAnsi="Times New Roman" w:cs="Times New Roman"/>
          <w:b/>
          <w:bCs/>
        </w:rPr>
        <w:fldChar w:fldCharType="end"/>
      </w:r>
      <w:r>
        <w:rPr>
          <w:rFonts w:ascii="Times New Roman" w:hAnsi="Times New Roman" w:cs="Times New Roman"/>
          <w:b/>
          <w:bCs/>
        </w:rPr>
        <w:t xml:space="preserve"> (Fig. 1.2.2.2)</w:t>
      </w:r>
      <w:r w:rsidRPr="002541E9">
        <w:rPr>
          <w:rFonts w:ascii="Times New Roman" w:hAnsi="Times New Roman" w:cs="Times New Roman"/>
        </w:rPr>
        <w:t>. RsgA and Era to bind to the 30S small ribosomal subunit</w:t>
      </w:r>
      <w:r>
        <w:rPr>
          <w:rFonts w:ascii="Times New Roman" w:hAnsi="Times New Roman" w:cs="Times New Roman"/>
        </w:rPr>
        <w:t>,</w:t>
      </w:r>
      <w:r w:rsidRPr="002541E9">
        <w:rPr>
          <w:rFonts w:ascii="Times New Roman" w:hAnsi="Times New Roman" w:cs="Times New Roman"/>
        </w:rPr>
        <w:t xml:space="preserve"> while RbgA and HflX bind the 50S subunit</w:t>
      </w:r>
      <w:r>
        <w:rPr>
          <w:rFonts w:ascii="Times New Roman" w:hAnsi="Times New Roman" w:cs="Times New Roman"/>
        </w:rPr>
        <w:t xml:space="preserve"> and</w:t>
      </w:r>
      <w:r w:rsidRPr="002541E9">
        <w:rPr>
          <w:rFonts w:ascii="Times New Roman" w:hAnsi="Times New Roman" w:cs="Times New Roman"/>
        </w:rPr>
        <w:t xml:space="preserve"> </w:t>
      </w:r>
      <w:r>
        <w:rPr>
          <w:rFonts w:ascii="Times New Roman" w:hAnsi="Times New Roman" w:cs="Times New Roman"/>
        </w:rPr>
        <w:t>are</w:t>
      </w:r>
      <w:r w:rsidRPr="002541E9">
        <w:rPr>
          <w:rFonts w:ascii="Times New Roman" w:hAnsi="Times New Roman" w:cs="Times New Roman"/>
        </w:rPr>
        <w:t xml:space="preserve"> necessary for ribosome biogenesis</w:t>
      </w:r>
      <w:r>
        <w:rPr>
          <w:rFonts w:ascii="Times New Roman" w:hAnsi="Times New Roman" w:cs="Times New Roman"/>
        </w:rPr>
        <w:t xml:space="preserve"> </w:t>
      </w:r>
      <w:r w:rsidRPr="00950102">
        <w:rPr>
          <w:rFonts w:ascii="Times New Roman" w:hAnsi="Times New Roman" w:cs="Times New Roman"/>
          <w:b/>
          <w:bCs/>
        </w:rPr>
        <w:fldChar w:fldCharType="begin">
          <w:fldData xml:space="preserve">PEVuZE5vdGU+PENpdGU+PEF1dGhvcj5IaW1lbm88L0F1dGhvcj48WWVhcj4yMDA0PC9ZZWFyPjxJ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</w:fldData>
        </w:fldChar>
      </w:r>
      <w:r w:rsidRPr="00950102">
        <w:rPr>
          <w:rFonts w:ascii="Times New Roman" w:hAnsi="Times New Roman" w:cs="Times New Roman"/>
          <w:b/>
          <w:bCs/>
        </w:rPr>
        <w:instrText xml:space="preserve"> ADDIN EN.CITE </w:instrText>
      </w:r>
      <w:r w:rsidRPr="00950102">
        <w:rPr>
          <w:rFonts w:ascii="Times New Roman" w:hAnsi="Times New Roman" w:cs="Times New Roman"/>
          <w:b/>
          <w:bCs/>
        </w:rPr>
        <w:fldChar w:fldCharType="begin">
          <w:fldData xml:space="preserve">PEVuZE5vdGU+PENpdGU+PEF1dGhvcj5IaW1lbm88L0F1dGhvcj48WWVhcj4yMDA0PC9ZZWFyPjxJ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</w:fldData>
        </w:fldChar>
      </w:r>
      <w:r w:rsidRPr="00950102">
        <w:rPr>
          <w:rFonts w:ascii="Times New Roman" w:hAnsi="Times New Roman" w:cs="Times New Roman"/>
          <w:b/>
          <w:bCs/>
        </w:rPr>
        <w:instrText xml:space="preserve"> ADDIN EN.CITE.DATA </w:instrText>
      </w:r>
      <w:r w:rsidRPr="00950102">
        <w:rPr>
          <w:rFonts w:ascii="Times New Roman" w:hAnsi="Times New Roman" w:cs="Times New Roman"/>
          <w:b/>
          <w:bCs/>
        </w:rPr>
      </w:r>
      <w:r w:rsidRPr="00950102">
        <w:rPr>
          <w:rFonts w:ascii="Times New Roman" w:hAnsi="Times New Roman" w:cs="Times New Roman"/>
          <w:b/>
          <w:bCs/>
        </w:rPr>
        <w:fldChar w:fldCharType="end"/>
      </w:r>
      <w:r w:rsidRPr="00950102">
        <w:rPr>
          <w:rFonts w:ascii="Times New Roman" w:hAnsi="Times New Roman" w:cs="Times New Roman"/>
          <w:b/>
          <w:bCs/>
        </w:rPr>
      </w:r>
      <w:r w:rsidRPr="00950102">
        <w:rPr>
          <w:rFonts w:ascii="Times New Roman" w:hAnsi="Times New Roman" w:cs="Times New Roman"/>
          <w:b/>
          <w:bCs/>
        </w:rPr>
        <w:fldChar w:fldCharType="separate"/>
      </w:r>
      <w:r w:rsidRPr="00950102">
        <w:rPr>
          <w:rFonts w:ascii="Times New Roman" w:hAnsi="Times New Roman" w:cs="Times New Roman"/>
          <w:b/>
          <w:bCs/>
          <w:noProof/>
        </w:rPr>
        <w:t>(Himeno</w:t>
      </w:r>
      <w:r w:rsidRPr="00950102">
        <w:rPr>
          <w:rFonts w:ascii="Times New Roman" w:hAnsi="Times New Roman" w:cs="Times New Roman"/>
          <w:b/>
          <w:bCs/>
          <w:i/>
          <w:noProof/>
        </w:rPr>
        <w:t xml:space="preserve"> et al.</w:t>
      </w:r>
      <w:r w:rsidRPr="00950102">
        <w:rPr>
          <w:rFonts w:ascii="Times New Roman" w:hAnsi="Times New Roman" w:cs="Times New Roman"/>
          <w:b/>
          <w:bCs/>
          <w:noProof/>
        </w:rPr>
        <w:t>, 2004; Sayed, Matsuyama and Inouye, 1999; Uicker, Schaefer and Britton, 2006; Jain</w:t>
      </w:r>
      <w:r w:rsidRPr="00950102">
        <w:rPr>
          <w:rFonts w:ascii="Times New Roman" w:hAnsi="Times New Roman" w:cs="Times New Roman"/>
          <w:b/>
          <w:bCs/>
          <w:i/>
          <w:noProof/>
        </w:rPr>
        <w:t xml:space="preserve"> et al.</w:t>
      </w:r>
      <w:r w:rsidRPr="00950102">
        <w:rPr>
          <w:rFonts w:ascii="Times New Roman" w:hAnsi="Times New Roman" w:cs="Times New Roman"/>
          <w:b/>
          <w:bCs/>
          <w:noProof/>
        </w:rPr>
        <w:t>, 2009)</w:t>
      </w:r>
      <w:r w:rsidRPr="00950102">
        <w:rPr>
          <w:rFonts w:ascii="Times New Roman" w:hAnsi="Times New Roman" w:cs="Times New Roman"/>
          <w:b/>
          <w:bCs/>
        </w:rPr>
        <w:fldChar w:fldCharType="end"/>
      </w:r>
      <w:r>
        <w:rPr>
          <w:rFonts w:ascii="Times New Roman" w:hAnsi="Times New Roman" w:cs="Times New Roman"/>
        </w:rPr>
        <w:t>. However, i</w:t>
      </w:r>
      <w:r w:rsidRPr="002541E9">
        <w:rPr>
          <w:rFonts w:ascii="Times New Roman" w:hAnsi="Times New Roman" w:cs="Times New Roman"/>
        </w:rPr>
        <w:t xml:space="preserve">n </w:t>
      </w:r>
      <w:r w:rsidRPr="002541E9">
        <w:rPr>
          <w:rFonts w:ascii="Times New Roman" w:hAnsi="Times New Roman" w:cs="Times New Roman"/>
          <w:i/>
          <w:iCs/>
        </w:rPr>
        <w:t>S. aureus</w:t>
      </w:r>
      <w:r w:rsidRPr="002541E9">
        <w:rPr>
          <w:rFonts w:ascii="Times New Roman" w:hAnsi="Times New Roman" w:cs="Times New Roman"/>
        </w:rPr>
        <w:t>, RsgA</w:t>
      </w:r>
      <w:r>
        <w:rPr>
          <w:rFonts w:ascii="Times New Roman" w:hAnsi="Times New Roman" w:cs="Times New Roman"/>
        </w:rPr>
        <w:t xml:space="preserve"> and Era are</w:t>
      </w:r>
      <w:r w:rsidRPr="002541E9">
        <w:rPr>
          <w:rFonts w:ascii="Times New Roman" w:hAnsi="Times New Roman" w:cs="Times New Roman"/>
        </w:rPr>
        <w:t xml:space="preserve"> not essential </w:t>
      </w:r>
      <w:r w:rsidRPr="00714D41">
        <w:rPr>
          <w:rFonts w:ascii="Times New Roman" w:hAnsi="Times New Roman" w:cs="Times New Roman"/>
          <w:b/>
          <w:bCs/>
        </w:rPr>
        <w:fldChar w:fldCharType="begin">
          <w:fldData xml:space="preserve">PEVuZE5vdGU+PENpdGU+PEF1dGhvcj5DYW1wYmVsbDwvQXV0aG9yPjxZZWFyPjIwMDY8L1llYXI+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</w:fldData>
        </w:fldChar>
      </w:r>
      <w:r w:rsidRPr="00714D41">
        <w:rPr>
          <w:rFonts w:ascii="Times New Roman" w:hAnsi="Times New Roman" w:cs="Times New Roman"/>
          <w:b/>
          <w:bCs/>
        </w:rPr>
        <w:instrText xml:space="preserve"> ADDIN EN.CITE </w:instrText>
      </w:r>
      <w:r w:rsidRPr="00714D41">
        <w:rPr>
          <w:rFonts w:ascii="Times New Roman" w:hAnsi="Times New Roman" w:cs="Times New Roman"/>
          <w:b/>
          <w:bCs/>
        </w:rPr>
        <w:fldChar w:fldCharType="begin">
          <w:fldData xml:space="preserve">PEVuZE5vdGU+PENpdGU+PEF1dGhvcj5DYW1wYmVsbDwvQXV0aG9yPjxZZWFyPjIwMDY8L1llYXI+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</w:fldData>
        </w:fldChar>
      </w:r>
      <w:r w:rsidRPr="00714D41">
        <w:rPr>
          <w:rFonts w:ascii="Times New Roman" w:hAnsi="Times New Roman" w:cs="Times New Roman"/>
          <w:b/>
          <w:bCs/>
        </w:rPr>
        <w:instrText xml:space="preserve"> ADDIN EN.CITE.DATA </w:instrText>
      </w:r>
      <w:r w:rsidRPr="00714D41">
        <w:rPr>
          <w:rFonts w:ascii="Times New Roman" w:hAnsi="Times New Roman" w:cs="Times New Roman"/>
          <w:b/>
          <w:bCs/>
        </w:rPr>
      </w:r>
      <w:r w:rsidRPr="00714D41">
        <w:rPr>
          <w:rFonts w:ascii="Times New Roman" w:hAnsi="Times New Roman" w:cs="Times New Roman"/>
          <w:b/>
          <w:bCs/>
        </w:rPr>
        <w:fldChar w:fldCharType="end"/>
      </w:r>
      <w:r w:rsidRPr="00714D41">
        <w:rPr>
          <w:rFonts w:ascii="Times New Roman" w:hAnsi="Times New Roman" w:cs="Times New Roman"/>
          <w:b/>
          <w:bCs/>
        </w:rPr>
      </w:r>
      <w:r w:rsidRPr="00714D41">
        <w:rPr>
          <w:rFonts w:ascii="Times New Roman" w:hAnsi="Times New Roman" w:cs="Times New Roman"/>
          <w:b/>
          <w:bCs/>
        </w:rPr>
        <w:fldChar w:fldCharType="separate"/>
      </w:r>
      <w:r w:rsidRPr="00714D41">
        <w:rPr>
          <w:rFonts w:ascii="Times New Roman" w:hAnsi="Times New Roman" w:cs="Times New Roman"/>
          <w:b/>
          <w:bCs/>
          <w:noProof/>
        </w:rPr>
        <w:t>(Campbell</w:t>
      </w:r>
      <w:r w:rsidRPr="00714D41">
        <w:rPr>
          <w:rFonts w:ascii="Times New Roman" w:hAnsi="Times New Roman" w:cs="Times New Roman"/>
          <w:b/>
          <w:bCs/>
          <w:i/>
          <w:noProof/>
        </w:rPr>
        <w:t xml:space="preserve"> et al.</w:t>
      </w:r>
      <w:r w:rsidRPr="00714D41">
        <w:rPr>
          <w:rFonts w:ascii="Times New Roman" w:hAnsi="Times New Roman" w:cs="Times New Roman"/>
          <w:b/>
          <w:bCs/>
          <w:noProof/>
        </w:rPr>
        <w:t>, 2006; Wood</w:t>
      </w:r>
      <w:r w:rsidRPr="00714D41">
        <w:rPr>
          <w:rFonts w:ascii="Times New Roman" w:hAnsi="Times New Roman" w:cs="Times New Roman"/>
          <w:b/>
          <w:bCs/>
          <w:i/>
          <w:noProof/>
        </w:rPr>
        <w:t xml:space="preserve"> et al.</w:t>
      </w:r>
      <w:r w:rsidRPr="00714D41">
        <w:rPr>
          <w:rFonts w:ascii="Times New Roman" w:hAnsi="Times New Roman" w:cs="Times New Roman"/>
          <w:b/>
          <w:bCs/>
          <w:noProof/>
        </w:rPr>
        <w:t>, 2019)</w:t>
      </w:r>
      <w:r w:rsidRPr="00714D41">
        <w:rPr>
          <w:rFonts w:ascii="Times New Roman" w:hAnsi="Times New Roman" w:cs="Times New Roman"/>
          <w:b/>
          <w:bCs/>
        </w:rPr>
        <w:fldChar w:fldCharType="end"/>
      </w:r>
      <w:r w:rsidRPr="002541E9">
        <w:rPr>
          <w:rFonts w:ascii="Times New Roman" w:hAnsi="Times New Roman" w:cs="Times New Roman"/>
        </w:rPr>
        <w:t xml:space="preserve"> and in </w:t>
      </w:r>
      <w:r w:rsidRPr="002541E9">
        <w:rPr>
          <w:rFonts w:ascii="Times New Roman" w:hAnsi="Times New Roman" w:cs="Times New Roman"/>
          <w:i/>
          <w:iCs/>
        </w:rPr>
        <w:t xml:space="preserve">B. subtilis </w:t>
      </w:r>
      <w:r w:rsidRPr="002541E9">
        <w:rPr>
          <w:rFonts w:ascii="Times New Roman" w:hAnsi="Times New Roman" w:cs="Times New Roman"/>
        </w:rPr>
        <w:t>and</w:t>
      </w:r>
      <w:r w:rsidRPr="002541E9">
        <w:rPr>
          <w:rFonts w:ascii="Times New Roman" w:hAnsi="Times New Roman" w:cs="Times New Roman"/>
          <w:i/>
          <w:iCs/>
        </w:rPr>
        <w:t xml:space="preserve"> E. </w:t>
      </w:r>
      <w:r w:rsidRPr="007915A0">
        <w:rPr>
          <w:rFonts w:ascii="Times New Roman" w:hAnsi="Times New Roman" w:cs="Times New Roman"/>
          <w:i/>
          <w:iCs/>
        </w:rPr>
        <w:t>coli</w:t>
      </w:r>
      <w:r w:rsidRPr="002541E9">
        <w:rPr>
          <w:rFonts w:ascii="Times New Roman" w:hAnsi="Times New Roman" w:cs="Times New Roman"/>
        </w:rPr>
        <w:t xml:space="preserve">, RbgA and Era respectively are essential </w:t>
      </w:r>
      <w:r w:rsidRPr="00714D41">
        <w:rPr>
          <w:rFonts w:ascii="Times New Roman" w:hAnsi="Times New Roman" w:cs="Times New Roman"/>
          <w:b/>
          <w:bCs/>
        </w:rPr>
        <w:fldChar w:fldCharType="begin">
          <w:fldData xml:space="preserve">PEVuZE5vdGU+PENpdGU+PEF1dGhvcj5VaWNrZXI8L0F1dGhvcj48WWVhcj4yMDA2PC9ZZWFyPjxJ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</w:fldData>
        </w:fldChar>
      </w:r>
      <w:r w:rsidRPr="00714D41">
        <w:rPr>
          <w:rFonts w:ascii="Times New Roman" w:hAnsi="Times New Roman" w:cs="Times New Roman"/>
          <w:b/>
          <w:bCs/>
        </w:rPr>
        <w:instrText xml:space="preserve"> ADDIN EN.CITE </w:instrText>
      </w:r>
      <w:r w:rsidRPr="00714D41">
        <w:rPr>
          <w:rFonts w:ascii="Times New Roman" w:hAnsi="Times New Roman" w:cs="Times New Roman"/>
          <w:b/>
          <w:bCs/>
        </w:rPr>
        <w:fldChar w:fldCharType="begin">
          <w:fldData xml:space="preserve">PEVuZE5vdGU+PENpdGU+PEF1dGhvcj5VaWNrZXI8L0F1dGhvcj48WWVhcj4yMDA2PC9ZZWFyPjxJ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</w:fldData>
        </w:fldChar>
      </w:r>
      <w:r w:rsidRPr="00714D41">
        <w:rPr>
          <w:rFonts w:ascii="Times New Roman" w:hAnsi="Times New Roman" w:cs="Times New Roman"/>
          <w:b/>
          <w:bCs/>
        </w:rPr>
        <w:instrText xml:space="preserve"> ADDIN EN.CITE.DATA </w:instrText>
      </w:r>
      <w:r w:rsidRPr="00714D41">
        <w:rPr>
          <w:rFonts w:ascii="Times New Roman" w:hAnsi="Times New Roman" w:cs="Times New Roman"/>
          <w:b/>
          <w:bCs/>
        </w:rPr>
      </w:r>
      <w:r w:rsidRPr="00714D41">
        <w:rPr>
          <w:rFonts w:ascii="Times New Roman" w:hAnsi="Times New Roman" w:cs="Times New Roman"/>
          <w:b/>
          <w:bCs/>
        </w:rPr>
        <w:fldChar w:fldCharType="end"/>
      </w:r>
      <w:r w:rsidRPr="00714D41">
        <w:rPr>
          <w:rFonts w:ascii="Times New Roman" w:hAnsi="Times New Roman" w:cs="Times New Roman"/>
          <w:b/>
          <w:bCs/>
        </w:rPr>
      </w:r>
      <w:r w:rsidRPr="00714D41">
        <w:rPr>
          <w:rFonts w:ascii="Times New Roman" w:hAnsi="Times New Roman" w:cs="Times New Roman"/>
          <w:b/>
          <w:bCs/>
        </w:rPr>
        <w:fldChar w:fldCharType="separate"/>
      </w:r>
      <w:r w:rsidRPr="00714D41">
        <w:rPr>
          <w:rFonts w:ascii="Times New Roman" w:hAnsi="Times New Roman" w:cs="Times New Roman"/>
          <w:b/>
          <w:bCs/>
          <w:noProof/>
        </w:rPr>
        <w:t>(Uicker, Schaefer and Britton, 2006; Sayed, Matsuyama and Inouye, 1999)</w:t>
      </w:r>
      <w:r w:rsidRPr="00714D41">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demonstrating that ribosome biogenesis differs between organisms and therefore the effect of (p)ppGpp on translation</w:t>
      </w:r>
      <w:r w:rsidR="00B02DCE">
        <w:rPr>
          <w:rFonts w:ascii="Times New Roman" w:hAnsi="Times New Roman" w:cs="Times New Roman"/>
        </w:rPr>
        <w:t xml:space="preserve"> does also</w:t>
      </w:r>
      <w:r w:rsidRPr="002541E9">
        <w:rPr>
          <w:rFonts w:ascii="Times New Roman" w:hAnsi="Times New Roman" w:cs="Times New Roman"/>
        </w:rPr>
        <w:t>.</w:t>
      </w:r>
      <w:r>
        <w:rPr>
          <w:rFonts w:ascii="Times New Roman" w:hAnsi="Times New Roman" w:cs="Times New Roman"/>
        </w:rPr>
        <w:t xml:space="preserve"> An </w:t>
      </w:r>
      <w:r w:rsidRPr="002541E9">
        <w:rPr>
          <w:rFonts w:ascii="Times New Roman" w:hAnsi="Times New Roman" w:cs="Times New Roman"/>
        </w:rPr>
        <w:t>RsgA</w:t>
      </w:r>
      <w:r>
        <w:rPr>
          <w:rFonts w:ascii="Times New Roman" w:hAnsi="Times New Roman" w:cs="Times New Roman"/>
        </w:rPr>
        <w:t>-deficient</w:t>
      </w:r>
      <w:r w:rsidR="00ED22AC">
        <w:rPr>
          <w:rFonts w:ascii="Times New Roman" w:hAnsi="Times New Roman" w:cs="Times New Roman"/>
        </w:rPr>
        <w:t xml:space="preserve"> </w:t>
      </w:r>
      <w:r w:rsidR="00ED22AC">
        <w:rPr>
          <w:rFonts w:ascii="Times New Roman" w:hAnsi="Times New Roman" w:cs="Times New Roman"/>
          <w:i/>
          <w:iCs/>
        </w:rPr>
        <w:t>S. aureus</w:t>
      </w:r>
      <w:r>
        <w:rPr>
          <w:rFonts w:ascii="Times New Roman" w:hAnsi="Times New Roman" w:cs="Times New Roman"/>
        </w:rPr>
        <w:t xml:space="preserve"> strain</w:t>
      </w:r>
      <w:r w:rsidRPr="002541E9">
        <w:rPr>
          <w:rFonts w:ascii="Times New Roman" w:hAnsi="Times New Roman" w:cs="Times New Roman"/>
        </w:rPr>
        <w:t xml:space="preserve"> </w:t>
      </w:r>
      <w:r>
        <w:rPr>
          <w:rFonts w:ascii="Times New Roman" w:hAnsi="Times New Roman" w:cs="Times New Roman"/>
        </w:rPr>
        <w:t xml:space="preserve">demonstrated </w:t>
      </w:r>
      <w:r w:rsidRPr="002541E9">
        <w:rPr>
          <w:rFonts w:ascii="Times New Roman" w:hAnsi="Times New Roman" w:cs="Times New Roman"/>
        </w:rPr>
        <w:t>a slow-growth phenotype</w:t>
      </w:r>
      <w:r>
        <w:rPr>
          <w:rFonts w:ascii="Times New Roman" w:hAnsi="Times New Roman" w:cs="Times New Roman"/>
        </w:rPr>
        <w:t>,</w:t>
      </w:r>
      <w:r w:rsidRPr="002541E9">
        <w:rPr>
          <w:rFonts w:ascii="Times New Roman" w:hAnsi="Times New Roman" w:cs="Times New Roman"/>
        </w:rPr>
        <w:t xml:space="preserve"> and ribosome profile analysis</w:t>
      </w:r>
      <w:r>
        <w:rPr>
          <w:rFonts w:ascii="Times New Roman" w:hAnsi="Times New Roman" w:cs="Times New Roman"/>
        </w:rPr>
        <w:t xml:space="preserve"> reveal</w:t>
      </w:r>
      <w:r w:rsidR="00ED22AC">
        <w:rPr>
          <w:rFonts w:ascii="Times New Roman" w:hAnsi="Times New Roman" w:cs="Times New Roman"/>
        </w:rPr>
        <w:t>ed</w:t>
      </w:r>
      <w:r w:rsidRPr="002541E9">
        <w:rPr>
          <w:rFonts w:ascii="Times New Roman" w:hAnsi="Times New Roman" w:cs="Times New Roman"/>
        </w:rPr>
        <w:t xml:space="preserve"> a decrease in 70S ribosomes and consequently more 50S and 30S subunits in comparison to </w:t>
      </w:r>
      <w:r>
        <w:rPr>
          <w:rFonts w:ascii="Times New Roman" w:hAnsi="Times New Roman" w:cs="Times New Roman"/>
        </w:rPr>
        <w:t xml:space="preserve">WT </w:t>
      </w:r>
      <w:r w:rsidRPr="00950102">
        <w:rPr>
          <w:rFonts w:ascii="Times New Roman" w:hAnsi="Times New Roman" w:cs="Times New Roman"/>
          <w:b/>
          <w:bCs/>
        </w:rPr>
        <w:fldChar w:fldCharType="begin"/>
      </w:r>
      <w:r w:rsidRPr="00950102">
        <w:rPr>
          <w:rFonts w:ascii="Times New Roman" w:hAnsi="Times New Roman" w:cs="Times New Roman"/>
          <w:b/>
          <w:bCs/>
        </w:rPr>
        <w:instrText xml:space="preserve"> ADDIN EN.CITE &lt;EndNote&gt;&lt;Cite&gt;&lt;Author&gt;Corrigan&lt;/Author&gt;&lt;Year&gt;2016&lt;/Year&gt;&lt;IDText&gt;ppGpp negatively impacts ribosome assembly affecting growth and antimicrobial tolerance in Gram-positive bacteria&lt;/IDText&gt;&lt;DisplayText&gt;(Corrigan&lt;style face="italic"&gt; et al.&lt;/style&gt;, 2016)&lt;/DisplayText&gt;&lt;record&gt;&lt;dates&gt;&lt;pub-dates&gt;&lt;date&gt;Mar 22&lt;/date&gt;&lt;/pub-dates&gt;&lt;year&gt;2016&lt;/year&gt;&lt;/dates&gt;&lt;urls&gt;&lt;related-urls&gt;&lt;url&gt;&amp;lt;Go to ISI&amp;gt;://WOS:000372488200017&lt;/url&gt;&lt;/related-urls&gt;&lt;/urls&gt;&lt;isbn&gt;0027-8424&lt;/isbn&gt;&lt;titles&gt;&lt;title&gt;ppGpp negatively impacts ribosome assembly affecting growth and antimicrobial tolerance in Gram-positive bacteria&lt;/title&gt;&lt;secondary-title&gt;Proceedings of the National Academy of Sciences of the United States of America&lt;/secondary-title&gt;&lt;/titles&gt;&lt;pages&gt;E1710-E1719&lt;/pages&gt;&lt;number&gt;12&lt;/number&gt;&lt;contributors&gt;&lt;authors&gt;&lt;author&gt;Corrigan, Rebecca M.&lt;/author&gt;&lt;author&gt;Bellows, Lauren E.&lt;/author&gt;&lt;author&gt;Wood, Alison&lt;/author&gt;&lt;author&gt;Gruendling, Angelika&lt;/author&gt;&lt;/authors&gt;&lt;/contributors&gt;&lt;added-date format="utc"&gt;1663623507&lt;/added-date&gt;&lt;ref-type name="Journal Article"&gt;17&lt;/ref-type&gt;&lt;rec-number&gt;122&lt;/rec-number&gt;&lt;last-updated-date format="utc"&gt;1663624413&lt;/last-updated-date&gt;&lt;accession-num&gt;WOS:000372488200017&lt;/accession-num&gt;&lt;electronic-resource-num&gt;10.1073/pnas.1522179113&lt;/electronic-resource-num&gt;&lt;volume&gt;113&lt;/volume&gt;&lt;/record&gt;&lt;/Cite&gt;&lt;/EndNote&gt;</w:instrText>
      </w:r>
      <w:r w:rsidRPr="00950102">
        <w:rPr>
          <w:rFonts w:ascii="Times New Roman" w:hAnsi="Times New Roman" w:cs="Times New Roman"/>
          <w:b/>
          <w:bCs/>
        </w:rPr>
        <w:fldChar w:fldCharType="separate"/>
      </w:r>
      <w:r w:rsidRPr="00950102">
        <w:rPr>
          <w:rFonts w:ascii="Times New Roman" w:hAnsi="Times New Roman" w:cs="Times New Roman"/>
          <w:b/>
          <w:bCs/>
          <w:noProof/>
        </w:rPr>
        <w:t>(Corrigan</w:t>
      </w:r>
      <w:r w:rsidRPr="00950102">
        <w:rPr>
          <w:rFonts w:ascii="Times New Roman" w:hAnsi="Times New Roman" w:cs="Times New Roman"/>
          <w:b/>
          <w:bCs/>
          <w:i/>
          <w:noProof/>
        </w:rPr>
        <w:t xml:space="preserve"> et al.</w:t>
      </w:r>
      <w:r w:rsidRPr="00950102">
        <w:rPr>
          <w:rFonts w:ascii="Times New Roman" w:hAnsi="Times New Roman" w:cs="Times New Roman"/>
          <w:b/>
          <w:bCs/>
          <w:noProof/>
        </w:rPr>
        <w:t>, 2016)</w:t>
      </w:r>
      <w:r w:rsidRPr="00950102">
        <w:rPr>
          <w:rFonts w:ascii="Times New Roman" w:hAnsi="Times New Roman" w:cs="Times New Roman"/>
          <w:b/>
          <w:bCs/>
        </w:rPr>
        <w:fldChar w:fldCharType="end"/>
      </w:r>
      <w:r w:rsidRPr="002541E9">
        <w:rPr>
          <w:rFonts w:ascii="Times New Roman" w:hAnsi="Times New Roman" w:cs="Times New Roman"/>
        </w:rPr>
        <w:t>.</w:t>
      </w:r>
      <w:r>
        <w:rPr>
          <w:rFonts w:ascii="Times New Roman" w:hAnsi="Times New Roman" w:cs="Times New Roman"/>
        </w:rPr>
        <w:t xml:space="preserve"> (p)ppGpp also mediates the dimerisation of 70S ribosomes to the inactive 100S ribosomes in order to halt translation </w:t>
      </w:r>
      <w:r>
        <w:rPr>
          <w:rFonts w:ascii="Times New Roman" w:hAnsi="Times New Roman" w:cs="Times New Roman"/>
          <w:b/>
          <w:bCs/>
        </w:rPr>
        <w:t>(Fig. 1.2.2.2)</w:t>
      </w:r>
      <w:r>
        <w:rPr>
          <w:rFonts w:ascii="Times New Roman" w:hAnsi="Times New Roman" w:cs="Times New Roman"/>
        </w:rPr>
        <w:t xml:space="preserve">. The transcription of hibernation factors: </w:t>
      </w:r>
      <w:r w:rsidRPr="007A0277">
        <w:rPr>
          <w:rFonts w:ascii="Times New Roman" w:hAnsi="Times New Roman" w:cs="Times New Roman"/>
        </w:rPr>
        <w:t>ribosome modulation factor (</w:t>
      </w:r>
      <w:r>
        <w:rPr>
          <w:rFonts w:ascii="Times New Roman" w:hAnsi="Times New Roman" w:cs="Times New Roman"/>
          <w:i/>
          <w:iCs/>
        </w:rPr>
        <w:t>rmf</w:t>
      </w:r>
      <w:r w:rsidRPr="007A0277">
        <w:rPr>
          <w:rFonts w:ascii="Times New Roman" w:hAnsi="Times New Roman" w:cs="Times New Roman"/>
        </w:rPr>
        <w:t>)</w:t>
      </w:r>
      <w:r>
        <w:rPr>
          <w:rFonts w:ascii="Times New Roman" w:hAnsi="Times New Roman" w:cs="Times New Roman"/>
        </w:rPr>
        <w:t>;</w:t>
      </w:r>
      <w:r w:rsidRPr="007A0277">
        <w:rPr>
          <w:rFonts w:ascii="Times New Roman" w:hAnsi="Times New Roman" w:cs="Times New Roman"/>
        </w:rPr>
        <w:t xml:space="preserve"> hibernation promoting factor (</w:t>
      </w:r>
      <w:r>
        <w:rPr>
          <w:rFonts w:ascii="Times New Roman" w:hAnsi="Times New Roman" w:cs="Times New Roman"/>
          <w:i/>
          <w:iCs/>
        </w:rPr>
        <w:t>hpf</w:t>
      </w:r>
      <w:r w:rsidRPr="007A0277">
        <w:rPr>
          <w:rFonts w:ascii="Times New Roman" w:hAnsi="Times New Roman" w:cs="Times New Roman"/>
        </w:rPr>
        <w:t>)</w:t>
      </w:r>
      <w:r>
        <w:rPr>
          <w:rFonts w:ascii="Times New Roman" w:hAnsi="Times New Roman" w:cs="Times New Roman"/>
        </w:rPr>
        <w:t>;</w:t>
      </w:r>
      <w:r w:rsidRPr="007A0277">
        <w:rPr>
          <w:rFonts w:ascii="Times New Roman" w:hAnsi="Times New Roman" w:cs="Times New Roman"/>
        </w:rPr>
        <w:t xml:space="preserve"> and</w:t>
      </w:r>
      <w:r>
        <w:rPr>
          <w:rFonts w:ascii="Times New Roman" w:hAnsi="Times New Roman" w:cs="Times New Roman"/>
        </w:rPr>
        <w:t xml:space="preserve"> </w:t>
      </w:r>
      <w:r w:rsidRPr="007A0277">
        <w:rPr>
          <w:rFonts w:ascii="Times New Roman" w:hAnsi="Times New Roman" w:cs="Times New Roman"/>
        </w:rPr>
        <w:t>ribosome-associated inhibitor (</w:t>
      </w:r>
      <w:r>
        <w:rPr>
          <w:rFonts w:ascii="Times New Roman" w:hAnsi="Times New Roman" w:cs="Times New Roman"/>
          <w:i/>
          <w:iCs/>
        </w:rPr>
        <w:t>raiA</w:t>
      </w:r>
      <w:r w:rsidRPr="007A0277">
        <w:rPr>
          <w:rFonts w:ascii="Times New Roman" w:hAnsi="Times New Roman" w:cs="Times New Roman"/>
        </w:rPr>
        <w:t>)</w:t>
      </w:r>
      <w:r>
        <w:rPr>
          <w:rFonts w:ascii="Times New Roman" w:hAnsi="Times New Roman" w:cs="Times New Roman"/>
        </w:rPr>
        <w:t xml:space="preserve">, are activated by (p)ppGpp which promotes the formation of 100S ribosomes in </w:t>
      </w:r>
      <w:r>
        <w:rPr>
          <w:rFonts w:ascii="Times New Roman" w:hAnsi="Times New Roman" w:cs="Times New Roman"/>
          <w:i/>
          <w:iCs/>
        </w:rPr>
        <w:t>E. coli</w:t>
      </w:r>
      <w:r>
        <w:rPr>
          <w:rFonts w:ascii="Times New Roman" w:hAnsi="Times New Roman" w:cs="Times New Roman"/>
        </w:rPr>
        <w:t xml:space="preserve"> </w:t>
      </w:r>
      <w:r w:rsidRPr="002A5E31">
        <w:rPr>
          <w:rFonts w:ascii="Times New Roman" w:hAnsi="Times New Roman" w:cs="Times New Roman"/>
          <w:b/>
          <w:bCs/>
        </w:rPr>
        <w:fldChar w:fldCharType="begin">
          <w:fldData xml:space="preserve">PEVuZE5vdGU+PENpdGU+PEF1dGhvcj5JenV0c3U8L0F1dGhvcj48WWVhcj4yMDAxPC9ZZWFyPjxJ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=
</w:fldData>
        </w:fldChar>
      </w:r>
      <w:r w:rsidRPr="002A5E31">
        <w:rPr>
          <w:rFonts w:ascii="Times New Roman" w:hAnsi="Times New Roman" w:cs="Times New Roman"/>
          <w:b/>
          <w:bCs/>
        </w:rPr>
        <w:instrText xml:space="preserve"> ADDIN EN.CITE </w:instrText>
      </w:r>
      <w:r w:rsidRPr="002A5E31">
        <w:rPr>
          <w:rFonts w:ascii="Times New Roman" w:hAnsi="Times New Roman" w:cs="Times New Roman"/>
          <w:b/>
          <w:bCs/>
        </w:rPr>
        <w:fldChar w:fldCharType="begin">
          <w:fldData xml:space="preserve">PEVuZE5vdGU+PENpdGU+PEF1dGhvcj5JenV0c3U8L0F1dGhvcj48WWVhcj4yMDAxPC9ZZWFyPjxJ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=
</w:fldData>
        </w:fldChar>
      </w:r>
      <w:r w:rsidRPr="002A5E31">
        <w:rPr>
          <w:rFonts w:ascii="Times New Roman" w:hAnsi="Times New Roman" w:cs="Times New Roman"/>
          <w:b/>
          <w:bCs/>
        </w:rPr>
        <w:instrText xml:space="preserve"> ADDIN EN.CITE.DATA </w:instrText>
      </w:r>
      <w:r w:rsidRPr="002A5E31">
        <w:rPr>
          <w:rFonts w:ascii="Times New Roman" w:hAnsi="Times New Roman" w:cs="Times New Roman"/>
          <w:b/>
          <w:bCs/>
        </w:rPr>
      </w:r>
      <w:r w:rsidRPr="002A5E31">
        <w:rPr>
          <w:rFonts w:ascii="Times New Roman" w:hAnsi="Times New Roman" w:cs="Times New Roman"/>
          <w:b/>
          <w:bCs/>
        </w:rPr>
        <w:fldChar w:fldCharType="end"/>
      </w:r>
      <w:r w:rsidRPr="002A5E31">
        <w:rPr>
          <w:rFonts w:ascii="Times New Roman" w:hAnsi="Times New Roman" w:cs="Times New Roman"/>
          <w:b/>
          <w:bCs/>
        </w:rPr>
      </w:r>
      <w:r w:rsidRPr="002A5E31">
        <w:rPr>
          <w:rFonts w:ascii="Times New Roman" w:hAnsi="Times New Roman" w:cs="Times New Roman"/>
          <w:b/>
          <w:bCs/>
        </w:rPr>
        <w:fldChar w:fldCharType="separate"/>
      </w:r>
      <w:r w:rsidRPr="002A5E31">
        <w:rPr>
          <w:rFonts w:ascii="Times New Roman" w:hAnsi="Times New Roman" w:cs="Times New Roman"/>
          <w:b/>
          <w:bCs/>
          <w:noProof/>
        </w:rPr>
        <w:t>(Izutsu, Wada and Wada, 2001; Prossliner</w:t>
      </w:r>
      <w:r w:rsidRPr="002A5E31">
        <w:rPr>
          <w:rFonts w:ascii="Times New Roman" w:hAnsi="Times New Roman" w:cs="Times New Roman"/>
          <w:b/>
          <w:bCs/>
          <w:i/>
          <w:noProof/>
        </w:rPr>
        <w:t xml:space="preserve"> et al.</w:t>
      </w:r>
      <w:r w:rsidRPr="002A5E31">
        <w:rPr>
          <w:rFonts w:ascii="Times New Roman" w:hAnsi="Times New Roman" w:cs="Times New Roman"/>
          <w:b/>
          <w:bCs/>
          <w:noProof/>
        </w:rPr>
        <w:t>, 2021; Song and Wood, 2020)</w:t>
      </w:r>
      <w:r w:rsidRPr="002A5E31">
        <w:rPr>
          <w:rFonts w:ascii="Times New Roman" w:hAnsi="Times New Roman" w:cs="Times New Roman"/>
          <w:b/>
          <w:bCs/>
        </w:rPr>
        <w:fldChar w:fldCharType="end"/>
      </w:r>
      <w:r>
        <w:rPr>
          <w:rFonts w:ascii="Times New Roman" w:hAnsi="Times New Roman" w:cs="Times New Roman"/>
        </w:rPr>
        <w:t xml:space="preserve">. These ribosomes can be split by the action of HflX in the event of nutrient repletion </w:t>
      </w:r>
      <w:r w:rsidRPr="007E687F">
        <w:rPr>
          <w:rFonts w:ascii="Times New Roman" w:hAnsi="Times New Roman" w:cs="Times New Roman"/>
          <w:b/>
          <w:bCs/>
        </w:rPr>
        <w:fldChar w:fldCharType="begin">
          <w:fldData xml:space="preserve">PEVuZE5vdGU+PENpdGU+PEF1dGhvcj5aaGFuZzwvQXV0aG9yPjxZZWFyPjIwMTU8L1llYXI+PElE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</w:fldData>
        </w:fldChar>
      </w:r>
      <w:r w:rsidRPr="007E687F">
        <w:rPr>
          <w:rFonts w:ascii="Times New Roman" w:hAnsi="Times New Roman" w:cs="Times New Roman"/>
          <w:b/>
          <w:bCs/>
        </w:rPr>
        <w:instrText xml:space="preserve"> ADDIN EN.CITE </w:instrText>
      </w:r>
      <w:r w:rsidRPr="007E687F">
        <w:rPr>
          <w:rFonts w:ascii="Times New Roman" w:hAnsi="Times New Roman" w:cs="Times New Roman"/>
          <w:b/>
          <w:bCs/>
        </w:rPr>
        <w:fldChar w:fldCharType="begin">
          <w:fldData xml:space="preserve">PEVuZE5vdGU+PENpdGU+PEF1dGhvcj5aaGFuZzwvQXV0aG9yPjxZZWFyPjIwMTU8L1llYXI+PElE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</w:fldData>
        </w:fldChar>
      </w:r>
      <w:r w:rsidRPr="007E687F">
        <w:rPr>
          <w:rFonts w:ascii="Times New Roman" w:hAnsi="Times New Roman" w:cs="Times New Roman"/>
          <w:b/>
          <w:bCs/>
        </w:rPr>
        <w:instrText xml:space="preserve"> ADDIN EN.CITE.DATA </w:instrText>
      </w:r>
      <w:r w:rsidRPr="007E687F">
        <w:rPr>
          <w:rFonts w:ascii="Times New Roman" w:hAnsi="Times New Roman" w:cs="Times New Roman"/>
          <w:b/>
          <w:bCs/>
        </w:rPr>
      </w:r>
      <w:r w:rsidRPr="007E687F">
        <w:rPr>
          <w:rFonts w:ascii="Times New Roman" w:hAnsi="Times New Roman" w:cs="Times New Roman"/>
          <w:b/>
          <w:bCs/>
        </w:rPr>
        <w:fldChar w:fldCharType="end"/>
      </w:r>
      <w:r w:rsidRPr="007E687F">
        <w:rPr>
          <w:rFonts w:ascii="Times New Roman" w:hAnsi="Times New Roman" w:cs="Times New Roman"/>
          <w:b/>
          <w:bCs/>
        </w:rPr>
      </w:r>
      <w:r w:rsidRPr="007E687F">
        <w:rPr>
          <w:rFonts w:ascii="Times New Roman" w:hAnsi="Times New Roman" w:cs="Times New Roman"/>
          <w:b/>
          <w:bCs/>
        </w:rPr>
        <w:fldChar w:fldCharType="separate"/>
      </w:r>
      <w:r w:rsidRPr="007E687F">
        <w:rPr>
          <w:rFonts w:ascii="Times New Roman" w:hAnsi="Times New Roman" w:cs="Times New Roman"/>
          <w:b/>
          <w:bCs/>
          <w:noProof/>
        </w:rPr>
        <w:t>(Zhang</w:t>
      </w:r>
      <w:r w:rsidRPr="007E687F">
        <w:rPr>
          <w:rFonts w:ascii="Times New Roman" w:hAnsi="Times New Roman" w:cs="Times New Roman"/>
          <w:b/>
          <w:bCs/>
          <w:i/>
          <w:noProof/>
        </w:rPr>
        <w:t xml:space="preserve"> et al.</w:t>
      </w:r>
      <w:r w:rsidRPr="007E687F">
        <w:rPr>
          <w:rFonts w:ascii="Times New Roman" w:hAnsi="Times New Roman" w:cs="Times New Roman"/>
          <w:b/>
          <w:bCs/>
          <w:noProof/>
        </w:rPr>
        <w:t>, 2015; Basu and Yap, 2017)</w:t>
      </w:r>
      <w:r w:rsidRPr="007E687F">
        <w:rPr>
          <w:rFonts w:ascii="Times New Roman" w:hAnsi="Times New Roman" w:cs="Times New Roman"/>
          <w:b/>
          <w:bCs/>
        </w:rPr>
        <w:fldChar w:fldCharType="end"/>
      </w:r>
      <w:r>
        <w:rPr>
          <w:rFonts w:ascii="Times New Roman" w:hAnsi="Times New Roman" w:cs="Times New Roman"/>
        </w:rPr>
        <w:t xml:space="preserve">. This phenomenon has also been reported in </w:t>
      </w:r>
      <w:r>
        <w:rPr>
          <w:rFonts w:ascii="Times New Roman" w:hAnsi="Times New Roman" w:cs="Times New Roman"/>
          <w:i/>
          <w:iCs/>
        </w:rPr>
        <w:t>B. subtilis,</w:t>
      </w:r>
      <w:r>
        <w:rPr>
          <w:rFonts w:ascii="Times New Roman" w:hAnsi="Times New Roman" w:cs="Times New Roman"/>
        </w:rPr>
        <w:t xml:space="preserve"> where </w:t>
      </w:r>
      <w:r>
        <w:rPr>
          <w:rFonts w:ascii="Times New Roman" w:hAnsi="Times New Roman" w:cs="Times New Roman"/>
          <w:i/>
          <w:iCs/>
        </w:rPr>
        <w:t>yvyD</w:t>
      </w:r>
      <w:r>
        <w:rPr>
          <w:rFonts w:ascii="Times New Roman" w:hAnsi="Times New Roman" w:cs="Times New Roman"/>
        </w:rPr>
        <w:t xml:space="preserve">, a gene related to </w:t>
      </w:r>
      <w:r>
        <w:rPr>
          <w:rFonts w:ascii="Times New Roman" w:hAnsi="Times New Roman" w:cs="Times New Roman"/>
          <w:i/>
          <w:iCs/>
        </w:rPr>
        <w:t>hpf</w:t>
      </w:r>
      <w:r>
        <w:rPr>
          <w:rFonts w:ascii="Times New Roman" w:hAnsi="Times New Roman" w:cs="Times New Roman"/>
        </w:rPr>
        <w:t xml:space="preserve"> due to 51% amino acid sequence similarity,</w:t>
      </w:r>
      <w:r>
        <w:rPr>
          <w:rFonts w:ascii="Times New Roman" w:hAnsi="Times New Roman" w:cs="Times New Roman"/>
          <w:i/>
          <w:iCs/>
        </w:rPr>
        <w:t xml:space="preserve"> </w:t>
      </w:r>
      <w:r>
        <w:rPr>
          <w:rFonts w:ascii="Times New Roman" w:hAnsi="Times New Roman" w:cs="Times New Roman"/>
        </w:rPr>
        <w:t xml:space="preserve">was necessary for </w:t>
      </w:r>
      <w:r w:rsidRPr="00F83A4F">
        <w:rPr>
          <w:rFonts w:ascii="Times New Roman" w:hAnsi="Times New Roman" w:cs="Times New Roman"/>
        </w:rPr>
        <w:t>dimerisation</w:t>
      </w:r>
      <w:r>
        <w:rPr>
          <w:rFonts w:ascii="Times New Roman" w:hAnsi="Times New Roman" w:cs="Times New Roman"/>
        </w:rPr>
        <w:t xml:space="preserve"> but may not be the only effector of ribosome dimerisation</w:t>
      </w:r>
      <w:r w:rsidRPr="00F83A4F">
        <w:rPr>
          <w:rFonts w:ascii="Times New Roman" w:hAnsi="Times New Roman" w:cs="Times New Roman"/>
          <w:b/>
          <w:bCs/>
        </w:rPr>
        <w:t xml:space="preserve"> </w:t>
      </w:r>
      <w:r w:rsidRPr="00F83A4F">
        <w:rPr>
          <w:rFonts w:ascii="Times New Roman" w:hAnsi="Times New Roman" w:cs="Times New Roman"/>
          <w:b/>
          <w:bCs/>
        </w:rPr>
        <w:fldChar w:fldCharType="begin"/>
      </w:r>
      <w:r w:rsidRPr="00F83A4F">
        <w:rPr>
          <w:rFonts w:ascii="Times New Roman" w:hAnsi="Times New Roman" w:cs="Times New Roman"/>
          <w:b/>
          <w:bCs/>
        </w:rPr>
        <w:instrText xml:space="preserve"> ADDIN EN.CITE &lt;EndNote&gt;&lt;Cite&gt;&lt;Author&gt;Tagami&lt;/Author&gt;&lt;Year&gt;2012&lt;/Year&gt;&lt;IDText&gt;Expression of a small (p)ppGpp synthetase, YwaC, in the (p)ppGpp(0) mutant of Bacillus subtilis triggers YvyD-dependent dimerization of ribosome&lt;/IDText&gt;&lt;DisplayText&gt;(Tagami&lt;style face="italic"&gt; et al.&lt;/style&gt;, 2012)&lt;/DisplayText&gt;&lt;record&gt;&lt;dates&gt;&lt;pub-dates&gt;&lt;date&gt;Jun&lt;/date&gt;&lt;/pub-dates&gt;&lt;year&gt;2012&lt;/year&gt;&lt;/dates&gt;&lt;urls&gt;&lt;related-urls&gt;&lt;url&gt;&amp;lt;Go to ISI&amp;gt;://WOS:000209077500004&lt;/url&gt;&lt;/related-urls&gt;&lt;/urls&gt;&lt;isbn&gt;2045-8827&lt;/isbn&gt;&lt;titles&gt;&lt;title&gt;Expression of a small (p)ppGpp synthetase, YwaC, in the (p)ppGpp(0) mutant of Bacillus subtilis triggers YvyD-dependent dimerization of ribosome&lt;/title&gt;&lt;secondary-title&gt;Microbiologyopen&lt;/secondary-title&gt;&lt;/titles&gt;&lt;pages&gt;115-134&lt;/pages&gt;&lt;number&gt;2&lt;/number&gt;&lt;contributors&gt;&lt;authors&gt;&lt;author&gt;Tagami, K.&lt;/author&gt;&lt;author&gt;Nanamiya, H.&lt;/author&gt;&lt;author&gt;Kazo, Y.&lt;/author&gt;&lt;author&gt;Maehashi, M.&lt;/author&gt;&lt;author&gt;Suzuki, S.&lt;/author&gt;&lt;author&gt;Namba, E.&lt;/author&gt;&lt;author&gt;Hoshiya, M.&lt;/author&gt;&lt;author&gt;Hanai, R.&lt;/author&gt;&lt;author&gt;Tozawa, Y.&lt;/author&gt;&lt;author&gt;Morimoto, T.&lt;/author&gt;&lt;author&gt;Ogasawara, N.&lt;/author&gt;&lt;author&gt;Kageyama, Y.&lt;/author&gt;&lt;author&gt;Ara, K.&lt;/author&gt;&lt;author&gt;Ozaki, K.&lt;/author&gt;&lt;author&gt;Yoshida, M.&lt;/author&gt;&lt;author&gt;Kuroiwa, H.&lt;/author&gt;&lt;author&gt;Kuroiwa, T.&lt;/author&gt;&lt;author&gt;Ohashi, Y.&lt;/author&gt;&lt;author&gt;Kawamura, F.&lt;/author&gt;&lt;/authors&gt;&lt;/contributors&gt;&lt;added-date format="utc"&gt;1678043983&lt;/added-date&gt;&lt;ref-type name="Journal Article"&gt;17&lt;/ref-type&gt;&lt;rec-number&gt;720&lt;/rec-number&gt;&lt;last-updated-date format="utc"&gt;1678043983&lt;/last-updated-date&gt;&lt;accession-num&gt;WOS:000209077500004&lt;/accession-num&gt;&lt;electronic-resource-num&gt;10.1002/mbo3.16&lt;/electronic-resource-num&gt;&lt;volume&gt;1&lt;/volume&gt;&lt;/record&gt;&lt;/Cite&gt;&lt;/EndNote&gt;</w:instrText>
      </w:r>
      <w:r w:rsidRPr="00F83A4F">
        <w:rPr>
          <w:rFonts w:ascii="Times New Roman" w:hAnsi="Times New Roman" w:cs="Times New Roman"/>
          <w:b/>
          <w:bCs/>
        </w:rPr>
        <w:fldChar w:fldCharType="separate"/>
      </w:r>
      <w:r w:rsidRPr="00F83A4F">
        <w:rPr>
          <w:rFonts w:ascii="Times New Roman" w:hAnsi="Times New Roman" w:cs="Times New Roman"/>
          <w:b/>
          <w:bCs/>
          <w:noProof/>
        </w:rPr>
        <w:t>(Tagami</w:t>
      </w:r>
      <w:r w:rsidRPr="00F83A4F">
        <w:rPr>
          <w:rFonts w:ascii="Times New Roman" w:hAnsi="Times New Roman" w:cs="Times New Roman"/>
          <w:b/>
          <w:bCs/>
          <w:i/>
          <w:noProof/>
        </w:rPr>
        <w:t xml:space="preserve"> et al.</w:t>
      </w:r>
      <w:r w:rsidRPr="00F83A4F">
        <w:rPr>
          <w:rFonts w:ascii="Times New Roman" w:hAnsi="Times New Roman" w:cs="Times New Roman"/>
          <w:b/>
          <w:bCs/>
          <w:noProof/>
        </w:rPr>
        <w:t>, 2012)</w:t>
      </w:r>
      <w:r w:rsidRPr="00F83A4F">
        <w:rPr>
          <w:rFonts w:ascii="Times New Roman" w:hAnsi="Times New Roman" w:cs="Times New Roman"/>
          <w:b/>
          <w:bCs/>
        </w:rPr>
        <w:fldChar w:fldCharType="end"/>
      </w:r>
      <w:r>
        <w:rPr>
          <w:rFonts w:ascii="Times New Roman" w:hAnsi="Times New Roman" w:cs="Times New Roman"/>
        </w:rPr>
        <w:t>.</w:t>
      </w:r>
      <w:r>
        <w:t xml:space="preserve"> </w:t>
      </w:r>
      <w:r>
        <w:rPr>
          <w:rFonts w:ascii="Times New Roman" w:hAnsi="Times New Roman" w:cs="Times New Roman"/>
        </w:rPr>
        <w:t xml:space="preserve">Furthermore, the initiation, elongation and release factor GTPases that are required for translation are also inhibited by (p)ppGpp </w:t>
      </w:r>
      <w:r>
        <w:rPr>
          <w:rFonts w:ascii="Times New Roman" w:hAnsi="Times New Roman" w:cs="Times New Roman"/>
          <w:b/>
          <w:bCs/>
        </w:rPr>
        <w:t>(Fig. 1.2.2.2)</w:t>
      </w:r>
      <w:r>
        <w:rPr>
          <w:rFonts w:ascii="Times New Roman" w:hAnsi="Times New Roman" w:cs="Times New Roman"/>
        </w:rPr>
        <w:t xml:space="preserve">. Initiation factor 2 (IF2) required to recruit Met-tRNA to the 30S pre-initiation complex can no longer do so when bound to (p)ppGpp </w:t>
      </w:r>
      <w:r w:rsidRPr="00950102">
        <w:rPr>
          <w:rFonts w:ascii="Times New Roman" w:hAnsi="Times New Roman" w:cs="Times New Roman"/>
          <w:b/>
          <w:bCs/>
        </w:rPr>
        <w:fldChar w:fldCharType="begin">
          <w:fldData xml:space="preserve">PEVuZE5vdGU+PENpdGU+PEF1dGhvcj5NaWxvbjwvQXV0aG9yPjxZZWFyPjIwMDY8L1llYXI+PElE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PEVuZE5vdGU+PENpdGU+PEF1dGhvcj5NaWxvbjwvQXV0aG9yPjxZZWFyPjIwMDY8L1llYXI+PElE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950102">
        <w:rPr>
          <w:rFonts w:ascii="Times New Roman" w:hAnsi="Times New Roman" w:cs="Times New Roman"/>
          <w:b/>
          <w:bCs/>
        </w:rPr>
      </w:r>
      <w:r w:rsidRPr="00950102">
        <w:rPr>
          <w:rFonts w:ascii="Times New Roman" w:hAnsi="Times New Roman" w:cs="Times New Roman"/>
          <w:b/>
          <w:bCs/>
        </w:rPr>
        <w:fldChar w:fldCharType="separate"/>
      </w:r>
      <w:r>
        <w:rPr>
          <w:rFonts w:ascii="Times New Roman" w:hAnsi="Times New Roman" w:cs="Times New Roman"/>
          <w:b/>
          <w:bCs/>
          <w:noProof/>
        </w:rPr>
        <w:t>(Milon</w:t>
      </w:r>
      <w:r w:rsidRPr="00601477">
        <w:rPr>
          <w:rFonts w:ascii="Times New Roman" w:hAnsi="Times New Roman" w:cs="Times New Roman"/>
          <w:b/>
          <w:bCs/>
          <w:i/>
          <w:noProof/>
        </w:rPr>
        <w:t xml:space="preserve"> et al.</w:t>
      </w:r>
      <w:r>
        <w:rPr>
          <w:rFonts w:ascii="Times New Roman" w:hAnsi="Times New Roman" w:cs="Times New Roman"/>
          <w:b/>
          <w:bCs/>
          <w:noProof/>
        </w:rPr>
        <w:t>, 2006; Legault, Gros and Jeantet, 1972)</w:t>
      </w:r>
      <w:r w:rsidRPr="00950102">
        <w:rPr>
          <w:rFonts w:ascii="Times New Roman" w:hAnsi="Times New Roman" w:cs="Times New Roman"/>
          <w:b/>
          <w:bCs/>
        </w:rPr>
        <w:fldChar w:fldCharType="end"/>
      </w:r>
      <w:r>
        <w:rPr>
          <w:rFonts w:ascii="Times New Roman" w:hAnsi="Times New Roman" w:cs="Times New Roman"/>
        </w:rPr>
        <w:t xml:space="preserve">. Elongation factor Tu (EF-Tu) and elongation factor G (EF-G) are also inhibited by (p)ppGpp, which prevents binding of aminoacyl tRNAs to the ribosomal A-site and translocation of the polypeptide chain through the ribosome respectively </w:t>
      </w:r>
      <w:r w:rsidRPr="00950102">
        <w:rPr>
          <w:rFonts w:ascii="Times New Roman" w:hAnsi="Times New Roman" w:cs="Times New Roman"/>
          <w:b/>
          <w:bCs/>
        </w:rPr>
        <w:fldChar w:fldCharType="begin">
          <w:fldData xml:space="preserve">PEVuZE5vdGU+PENpdGU+PEF1dGhvcj5Sb2phczwvQXV0aG9yPjxZZWFyPjE5ODQ8L1llYXI+PElE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PEVuZE5vdGU+PENpdGU+PEF1dGhvcj5Sb2phczwvQXV0aG9yPjxZZWFyPjE5ODQ8L1llYXI+PElE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950102">
        <w:rPr>
          <w:rFonts w:ascii="Times New Roman" w:hAnsi="Times New Roman" w:cs="Times New Roman"/>
          <w:b/>
          <w:bCs/>
        </w:rPr>
      </w:r>
      <w:r w:rsidRPr="00950102">
        <w:rPr>
          <w:rFonts w:ascii="Times New Roman" w:hAnsi="Times New Roman" w:cs="Times New Roman"/>
          <w:b/>
          <w:bCs/>
        </w:rPr>
        <w:fldChar w:fldCharType="separate"/>
      </w:r>
      <w:r>
        <w:rPr>
          <w:rFonts w:ascii="Times New Roman" w:hAnsi="Times New Roman" w:cs="Times New Roman"/>
          <w:b/>
          <w:bCs/>
          <w:noProof/>
        </w:rPr>
        <w:t>(Rojas</w:t>
      </w:r>
      <w:r w:rsidRPr="007017A0">
        <w:rPr>
          <w:rFonts w:ascii="Times New Roman" w:hAnsi="Times New Roman" w:cs="Times New Roman"/>
          <w:b/>
          <w:bCs/>
          <w:i/>
          <w:noProof/>
        </w:rPr>
        <w:t xml:space="preserve"> et al.</w:t>
      </w:r>
      <w:r>
        <w:rPr>
          <w:rFonts w:ascii="Times New Roman" w:hAnsi="Times New Roman" w:cs="Times New Roman"/>
          <w:b/>
          <w:bCs/>
          <w:noProof/>
        </w:rPr>
        <w:t>, 1984; Zhang</w:t>
      </w:r>
      <w:r w:rsidRPr="007017A0">
        <w:rPr>
          <w:rFonts w:ascii="Times New Roman" w:hAnsi="Times New Roman" w:cs="Times New Roman"/>
          <w:b/>
          <w:bCs/>
          <w:i/>
          <w:noProof/>
        </w:rPr>
        <w:t xml:space="preserve"> et al.</w:t>
      </w:r>
      <w:r>
        <w:rPr>
          <w:rFonts w:ascii="Times New Roman" w:hAnsi="Times New Roman" w:cs="Times New Roman"/>
          <w:b/>
          <w:bCs/>
          <w:noProof/>
        </w:rPr>
        <w:t>, 2018a)</w:t>
      </w:r>
      <w:r w:rsidRPr="00950102">
        <w:rPr>
          <w:rFonts w:ascii="Times New Roman" w:hAnsi="Times New Roman" w:cs="Times New Roman"/>
          <w:b/>
          <w:bCs/>
        </w:rPr>
        <w:fldChar w:fldCharType="end"/>
      </w:r>
      <w:r>
        <w:rPr>
          <w:rFonts w:ascii="Times New Roman" w:hAnsi="Times New Roman" w:cs="Times New Roman"/>
        </w:rPr>
        <w:t xml:space="preserve">. Lastly, recycling of release factors 1/2 (RF1/2) during translation termination by RF3 is inhibited due to (p)ppGpp binding </w:t>
      </w:r>
      <w:r w:rsidRPr="00A605A5">
        <w:rPr>
          <w:rFonts w:ascii="Times New Roman" w:hAnsi="Times New Roman" w:cs="Times New Roman"/>
          <w:b/>
          <w:bCs/>
        </w:rPr>
        <w:fldChar w:fldCharType="begin">
          <w:fldData xml:space="preserve">PEVuZE5vdGU+PENpdGU+PEF1dGhvcj5LaWhpcmE8L0F1dGhvcj48WWVhcj4yMDEyPC9ZZWFyPjxJ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PEVuZE5vdGU+PENpdGU+PEF1dGhvcj5LaWhpcmE8L0F1dGhvcj48WWVhcj4yMDEyPC9ZZWFyPjxJ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A605A5">
        <w:rPr>
          <w:rFonts w:ascii="Times New Roman" w:hAnsi="Times New Roman" w:cs="Times New Roman"/>
          <w:b/>
          <w:bCs/>
        </w:rPr>
      </w:r>
      <w:r w:rsidRPr="00A605A5">
        <w:rPr>
          <w:rFonts w:ascii="Times New Roman" w:hAnsi="Times New Roman" w:cs="Times New Roman"/>
          <w:b/>
          <w:bCs/>
        </w:rPr>
        <w:fldChar w:fldCharType="separate"/>
      </w:r>
      <w:r>
        <w:rPr>
          <w:rFonts w:ascii="Times New Roman" w:hAnsi="Times New Roman" w:cs="Times New Roman"/>
          <w:b/>
          <w:bCs/>
          <w:noProof/>
        </w:rPr>
        <w:t>(Kihira</w:t>
      </w:r>
      <w:r w:rsidRPr="007017A0">
        <w:rPr>
          <w:rFonts w:ascii="Times New Roman" w:hAnsi="Times New Roman" w:cs="Times New Roman"/>
          <w:b/>
          <w:bCs/>
          <w:i/>
          <w:noProof/>
        </w:rPr>
        <w:t xml:space="preserve"> et al.</w:t>
      </w:r>
      <w:r>
        <w:rPr>
          <w:rFonts w:ascii="Times New Roman" w:hAnsi="Times New Roman" w:cs="Times New Roman"/>
          <w:b/>
          <w:bCs/>
          <w:noProof/>
        </w:rPr>
        <w:t>, 2012; Zhang</w:t>
      </w:r>
      <w:r w:rsidRPr="007017A0">
        <w:rPr>
          <w:rFonts w:ascii="Times New Roman" w:hAnsi="Times New Roman" w:cs="Times New Roman"/>
          <w:b/>
          <w:bCs/>
          <w:i/>
          <w:noProof/>
        </w:rPr>
        <w:t xml:space="preserve"> et al.</w:t>
      </w:r>
      <w:r>
        <w:rPr>
          <w:rFonts w:ascii="Times New Roman" w:hAnsi="Times New Roman" w:cs="Times New Roman"/>
          <w:b/>
          <w:bCs/>
          <w:noProof/>
        </w:rPr>
        <w:t>, 2018a)</w:t>
      </w:r>
      <w:r w:rsidRPr="00A605A5">
        <w:rPr>
          <w:rFonts w:ascii="Times New Roman" w:hAnsi="Times New Roman" w:cs="Times New Roman"/>
          <w:b/>
          <w:bCs/>
        </w:rPr>
        <w:fldChar w:fldCharType="end"/>
      </w:r>
      <w:r>
        <w:rPr>
          <w:rFonts w:ascii="Times New Roman" w:hAnsi="Times New Roman" w:cs="Times New Roman"/>
        </w:rPr>
        <w:t xml:space="preserve">.  </w:t>
      </w:r>
      <w:r w:rsidRPr="002541E9">
        <w:rPr>
          <w:rFonts w:ascii="Times New Roman" w:hAnsi="Times New Roman" w:cs="Times New Roman"/>
        </w:rPr>
        <w:t>Th</w:t>
      </w:r>
      <w:r>
        <w:rPr>
          <w:rFonts w:ascii="Times New Roman" w:hAnsi="Times New Roman" w:cs="Times New Roman"/>
        </w:rPr>
        <w:t>erefore</w:t>
      </w:r>
      <w:r w:rsidRPr="002541E9">
        <w:rPr>
          <w:rFonts w:ascii="Times New Roman" w:hAnsi="Times New Roman" w:cs="Times New Roman"/>
        </w:rPr>
        <w:t xml:space="preserve">, </w:t>
      </w:r>
      <w:r>
        <w:rPr>
          <w:rFonts w:ascii="Times New Roman" w:hAnsi="Times New Roman" w:cs="Times New Roman"/>
        </w:rPr>
        <w:t xml:space="preserve">inhibition of </w:t>
      </w:r>
      <w:r w:rsidRPr="002541E9">
        <w:rPr>
          <w:rFonts w:ascii="Times New Roman" w:hAnsi="Times New Roman" w:cs="Times New Roman"/>
        </w:rPr>
        <w:t>ribosomal biogenesis</w:t>
      </w:r>
      <w:r>
        <w:rPr>
          <w:rFonts w:ascii="Times New Roman" w:hAnsi="Times New Roman" w:cs="Times New Roman"/>
        </w:rPr>
        <w:t xml:space="preserve">, the process of translation, as well as inactivation of functional ribosomes by </w:t>
      </w:r>
      <w:r w:rsidRPr="002541E9">
        <w:rPr>
          <w:rFonts w:ascii="Times New Roman" w:hAnsi="Times New Roman" w:cs="Times New Roman"/>
        </w:rPr>
        <w:t xml:space="preserve">(p)ppGpp </w:t>
      </w:r>
      <w:r>
        <w:rPr>
          <w:rFonts w:ascii="Times New Roman" w:hAnsi="Times New Roman" w:cs="Times New Roman"/>
        </w:rPr>
        <w:t>has a negative effect on translation during the stringent response</w:t>
      </w:r>
      <w:r w:rsidRPr="002541E9">
        <w:rPr>
          <w:rFonts w:ascii="Times New Roman" w:hAnsi="Times New Roman" w:cs="Times New Roman"/>
        </w:rPr>
        <w:t xml:space="preserve">. </w:t>
      </w:r>
      <w:r>
        <w:rPr>
          <w:rFonts w:ascii="Times New Roman" w:hAnsi="Times New Roman" w:cs="Times New Roman"/>
        </w:rPr>
        <w:t xml:space="preserve">As multiple facets of protein production are targeted by (p)ppGpp, this signifies the importance of downregulating cellular growth during nutrient limitation. However, while the levels of translation are decreased, it is not halted as translation is still required for cell viability. Recently, it has been suggested that translation during the stringent response is permissive and the specific mRNAs translated at this time are regulated by the 30S-bound IF2 </w:t>
      </w:r>
      <w:r w:rsidRPr="00450402">
        <w:rPr>
          <w:rFonts w:ascii="Times New Roman" w:hAnsi="Times New Roman" w:cs="Times New Roman"/>
          <w:b/>
          <w:bCs/>
        </w:rPr>
        <w:fldChar w:fldCharType="begin"/>
      </w:r>
      <w:r w:rsidRPr="00450402">
        <w:rPr>
          <w:rFonts w:ascii="Times New Roman" w:hAnsi="Times New Roman" w:cs="Times New Roman"/>
          <w:b/>
          <w:bCs/>
        </w:rPr>
        <w:instrText xml:space="preserve"> ADDIN EN.CITE &lt;EndNote&gt;&lt;Cite&gt;&lt;Author&gt;Vinogradova&lt;/Author&gt;&lt;Year&gt;2020&lt;/Year&gt;&lt;IDText&gt;How the initiating ribosome copes with ppGpp to translate mRNAs&lt;/IDText&gt;&lt;DisplayText&gt;(Vinogradova&lt;style face="italic"&gt; et al.&lt;/style&gt;, 2020)&lt;/DisplayText&gt;&lt;record&gt;&lt;dates&gt;&lt;pub-dates&gt;&lt;date&gt;Jan&lt;/date&gt;&lt;/pub-dates&gt;&lt;year&gt;2020&lt;/year&gt;&lt;/dates&gt;&lt;urls&gt;&lt;related-urls&gt;&lt;url&gt;&amp;lt;Go to ISI&amp;gt;://WOS:000510743800015&lt;/url&gt;&lt;/related-urls&gt;&lt;/urls&gt;&lt;isbn&gt;1544-9173&lt;/isbn&gt;&lt;titles&gt;&lt;title&gt;How the initiating ribosome copes with ppGpp to translate mRNAs&lt;/title&gt;&lt;secondary-title&gt;Plos Biology&lt;/secondary-title&gt;&lt;/titles&gt;&lt;number&gt;1&lt;/number&gt;&lt;contributors&gt;&lt;authors&gt;&lt;author&gt;Vinogradova, D. S.&lt;/author&gt;&lt;author&gt;Zegarra, V.&lt;/author&gt;&lt;author&gt;Maksimova, E.&lt;/author&gt;&lt;author&gt;Nakamoto, J. A.&lt;/author&gt;&lt;author&gt;Kasatsky, P.&lt;/author&gt;&lt;author&gt;Paleskava, A.&lt;/author&gt;&lt;author&gt;Konevega, A. L.&lt;/author&gt;&lt;author&gt;Milon, P.&lt;/author&gt;&lt;/authors&gt;&lt;/contributors&gt;&lt;custom7&gt;e3000593&lt;/custom7&gt;&lt;added-date format="utc"&gt;1677992781&lt;/added-date&gt;&lt;ref-type name="Journal Article"&gt;17&lt;/ref-type&gt;&lt;rec-number&gt;710&lt;/rec-number&gt;&lt;last-updated-date format="utc"&gt;1677992781&lt;/last-updated-date&gt;&lt;accession-num&gt;WOS:000510743800015&lt;/accession-num&gt;&lt;electronic-resource-num&gt;10.1371/journal.pbio.3000593&lt;/electronic-resource-num&gt;&lt;volume&gt;18&lt;/volume&gt;&lt;/record&gt;&lt;/Cite&gt;&lt;/EndNote&gt;</w:instrText>
      </w:r>
      <w:r w:rsidRPr="00450402">
        <w:rPr>
          <w:rFonts w:ascii="Times New Roman" w:hAnsi="Times New Roman" w:cs="Times New Roman"/>
          <w:b/>
          <w:bCs/>
        </w:rPr>
        <w:fldChar w:fldCharType="separate"/>
      </w:r>
      <w:r w:rsidRPr="00450402">
        <w:rPr>
          <w:rFonts w:ascii="Times New Roman" w:hAnsi="Times New Roman" w:cs="Times New Roman"/>
          <w:b/>
          <w:bCs/>
          <w:noProof/>
        </w:rPr>
        <w:t>(Vinogradova</w:t>
      </w:r>
      <w:r w:rsidRPr="00450402">
        <w:rPr>
          <w:rFonts w:ascii="Times New Roman" w:hAnsi="Times New Roman" w:cs="Times New Roman"/>
          <w:b/>
          <w:bCs/>
          <w:i/>
          <w:noProof/>
        </w:rPr>
        <w:t xml:space="preserve"> et al.</w:t>
      </w:r>
      <w:r w:rsidRPr="00450402">
        <w:rPr>
          <w:rFonts w:ascii="Times New Roman" w:hAnsi="Times New Roman" w:cs="Times New Roman"/>
          <w:b/>
          <w:bCs/>
          <w:noProof/>
        </w:rPr>
        <w:t>, 2020)</w:t>
      </w:r>
      <w:r w:rsidRPr="00450402">
        <w:rPr>
          <w:rFonts w:ascii="Times New Roman" w:hAnsi="Times New Roman" w:cs="Times New Roman"/>
          <w:b/>
          <w:bCs/>
        </w:rPr>
        <w:fldChar w:fldCharType="end"/>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33564" w14:paraId="317E15E8" w14:textId="77777777" w:rsidTr="00A74445">
        <w:tc>
          <w:tcPr>
            <w:tcW w:w="9016" w:type="dxa"/>
          </w:tcPr>
          <w:p w14:paraId="12ED37B0" w14:textId="77777777" w:rsidR="00033564" w:rsidRDefault="00033564" w:rsidP="00A74445">
            <w:pPr>
              <w:autoSpaceDE w:val="0"/>
              <w:autoSpaceDN w:val="0"/>
              <w:adjustRightInd w:val="0"/>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A565653" wp14:editId="0D3A98C7">
                  <wp:extent cx="5563568" cy="618328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337" cy="6198591"/>
                          </a:xfrm>
                          <a:prstGeom prst="rect">
                            <a:avLst/>
                          </a:prstGeom>
                          <a:noFill/>
                        </pic:spPr>
                      </pic:pic>
                    </a:graphicData>
                  </a:graphic>
                </wp:inline>
              </w:drawing>
            </w:r>
          </w:p>
        </w:tc>
      </w:tr>
      <w:tr w:rsidR="00033564" w14:paraId="29097D2B" w14:textId="77777777" w:rsidTr="00A74445">
        <w:tc>
          <w:tcPr>
            <w:tcW w:w="9016" w:type="dxa"/>
          </w:tcPr>
          <w:p w14:paraId="4D1B3D3F" w14:textId="2BE400CA" w:rsidR="00033564" w:rsidRDefault="00033564" w:rsidP="00A74445">
            <w:pPr>
              <w:autoSpaceDE w:val="0"/>
              <w:autoSpaceDN w:val="0"/>
              <w:adjustRightInd w:val="0"/>
              <w:jc w:val="both"/>
              <w:rPr>
                <w:rFonts w:ascii="Times New Roman" w:hAnsi="Times New Roman" w:cs="Times New Roman"/>
              </w:rPr>
            </w:pPr>
            <w:r w:rsidRPr="004635AB">
              <w:rPr>
                <w:rFonts w:ascii="Times New Roman" w:hAnsi="Times New Roman" w:cs="Times New Roman"/>
                <w:b/>
                <w:bCs/>
                <w:sz w:val="18"/>
                <w:szCs w:val="18"/>
              </w:rPr>
              <w:t xml:space="preserve">Figure 1.2.2.2. The effects of (p)ppGpp on bacterial translation. </w:t>
            </w:r>
            <w:r w:rsidRPr="004635AB">
              <w:rPr>
                <w:rFonts w:ascii="Times New Roman" w:hAnsi="Times New Roman" w:cs="Times New Roman"/>
                <w:sz w:val="18"/>
                <w:szCs w:val="18"/>
              </w:rPr>
              <w:t>(p)ppGpp modulates different aspects of translation. By inhibiting the ribosome-associated GTPases RbgA and HflX (</w:t>
            </w:r>
            <w:r w:rsidR="00ED22AC">
              <w:rPr>
                <w:rFonts w:ascii="Times New Roman" w:hAnsi="Times New Roman" w:cs="Times New Roman"/>
                <w:sz w:val="18"/>
                <w:szCs w:val="18"/>
              </w:rPr>
              <w:t xml:space="preserve">which </w:t>
            </w:r>
            <w:r w:rsidRPr="004635AB">
              <w:rPr>
                <w:rFonts w:ascii="Times New Roman" w:hAnsi="Times New Roman" w:cs="Times New Roman"/>
                <w:sz w:val="18"/>
                <w:szCs w:val="18"/>
              </w:rPr>
              <w:t>associate with the 50S ribosomal subunit) and Era and RsgA (</w:t>
            </w:r>
            <w:r w:rsidR="00ED22AC">
              <w:rPr>
                <w:rFonts w:ascii="Times New Roman" w:hAnsi="Times New Roman" w:cs="Times New Roman"/>
                <w:sz w:val="18"/>
                <w:szCs w:val="18"/>
              </w:rPr>
              <w:t xml:space="preserve">which </w:t>
            </w:r>
            <w:r w:rsidRPr="004635AB">
              <w:rPr>
                <w:rFonts w:ascii="Times New Roman" w:hAnsi="Times New Roman" w:cs="Times New Roman"/>
                <w:sz w:val="18"/>
                <w:szCs w:val="18"/>
              </w:rPr>
              <w:t>associate with the 30S ribosomal subunit)</w:t>
            </w:r>
            <w:r w:rsidR="00ED22AC">
              <w:rPr>
                <w:rFonts w:ascii="Times New Roman" w:hAnsi="Times New Roman" w:cs="Times New Roman"/>
                <w:sz w:val="18"/>
                <w:szCs w:val="18"/>
              </w:rPr>
              <w:t>,</w:t>
            </w:r>
            <w:r w:rsidRPr="004635AB">
              <w:rPr>
                <w:rFonts w:ascii="Times New Roman" w:hAnsi="Times New Roman" w:cs="Times New Roman"/>
                <w:sz w:val="18"/>
                <w:szCs w:val="18"/>
              </w:rPr>
              <w:t xml:space="preserve"> (p)ppGpp can prevent maturation of the 70S ribosome. (p)ppGpp binds to factors involved in the process of translation by binding directly to them. (p)ppGpp-bound initiation factor IF2 to prevent addition of Met-tRNA, thus preventing the initiation of the translation. Elongation factors EF-Tu and EF-G are also inhibited by (p)ppGpp, preventing the binding of aminoacyl tRNAs to the A site of the ribosome and polypeptide chain translocation respectively. (p)ppGpp-bound release factor RF3 prevents recycling of RF1/2. (p)ppGpp promotes the formation of 100S ribosomes. (p)ppGpp upregulates transcription of the </w:t>
            </w:r>
            <w:r w:rsidRPr="004635AB">
              <w:rPr>
                <w:rFonts w:ascii="Times New Roman" w:hAnsi="Times New Roman" w:cs="Times New Roman"/>
                <w:i/>
                <w:iCs/>
                <w:sz w:val="18"/>
                <w:szCs w:val="18"/>
              </w:rPr>
              <w:t>rmf</w:t>
            </w:r>
            <w:r w:rsidRPr="004635AB">
              <w:rPr>
                <w:rFonts w:ascii="Times New Roman" w:hAnsi="Times New Roman" w:cs="Times New Roman"/>
                <w:sz w:val="18"/>
                <w:szCs w:val="18"/>
              </w:rPr>
              <w:t xml:space="preserve">, </w:t>
            </w:r>
            <w:r w:rsidRPr="004635AB">
              <w:rPr>
                <w:rFonts w:ascii="Times New Roman" w:hAnsi="Times New Roman" w:cs="Times New Roman"/>
                <w:i/>
                <w:iCs/>
                <w:sz w:val="18"/>
                <w:szCs w:val="18"/>
              </w:rPr>
              <w:t xml:space="preserve">hpf </w:t>
            </w:r>
            <w:r w:rsidRPr="004635AB">
              <w:rPr>
                <w:rFonts w:ascii="Times New Roman" w:hAnsi="Times New Roman" w:cs="Times New Roman"/>
                <w:sz w:val="18"/>
                <w:szCs w:val="18"/>
              </w:rPr>
              <w:t xml:space="preserve">and </w:t>
            </w:r>
            <w:r w:rsidRPr="004635AB">
              <w:rPr>
                <w:rFonts w:ascii="Times New Roman" w:hAnsi="Times New Roman" w:cs="Times New Roman"/>
                <w:i/>
                <w:iCs/>
                <w:sz w:val="18"/>
                <w:szCs w:val="18"/>
              </w:rPr>
              <w:t>raiA</w:t>
            </w:r>
            <w:r w:rsidRPr="004635AB">
              <w:rPr>
                <w:rFonts w:ascii="Times New Roman" w:hAnsi="Times New Roman" w:cs="Times New Roman"/>
                <w:sz w:val="18"/>
                <w:szCs w:val="18"/>
              </w:rPr>
              <w:t xml:space="preserve"> genes that are necessary for the formation of 100S ribosomes (dimerised 70S ribosomes) which prevents translation. HflX acts to split the 100S to the 70S monomers when conditions become favourable. Green arrows indicate a positive interaction.</w:t>
            </w:r>
          </w:p>
        </w:tc>
      </w:tr>
    </w:tbl>
    <w:p w14:paraId="6C13A7F2" w14:textId="77777777" w:rsidR="00033564" w:rsidRDefault="00033564" w:rsidP="00033564">
      <w:pPr>
        <w:autoSpaceDE w:val="0"/>
        <w:autoSpaceDN w:val="0"/>
        <w:adjustRightInd w:val="0"/>
        <w:spacing w:after="0" w:line="360" w:lineRule="auto"/>
        <w:jc w:val="both"/>
        <w:rPr>
          <w:rFonts w:ascii="Times New Roman" w:hAnsi="Times New Roman" w:cs="Times New Roman"/>
        </w:rPr>
      </w:pPr>
    </w:p>
    <w:p w14:paraId="491EDA23" w14:textId="77777777" w:rsidR="00033564" w:rsidRDefault="00033564" w:rsidP="00033564">
      <w:pPr>
        <w:pStyle w:val="Heading3"/>
      </w:pPr>
      <w:bookmarkStart w:id="33" w:name="_Toc142043573"/>
      <w:r>
        <w:t>1.2.3. The role of the stringent response during pathogenesis</w:t>
      </w:r>
      <w:bookmarkEnd w:id="33"/>
    </w:p>
    <w:p w14:paraId="3FA347DB" w14:textId="77777777" w:rsidR="00033564" w:rsidRDefault="00033564" w:rsidP="00033564"/>
    <w:p w14:paraId="76087FE9" w14:textId="77777777" w:rsidR="00033564" w:rsidRDefault="00033564" w:rsidP="00033564">
      <w:pPr>
        <w:pStyle w:val="Default"/>
        <w:spacing w:line="360" w:lineRule="auto"/>
        <w:jc w:val="both"/>
        <w:rPr>
          <w:color w:val="auto"/>
          <w:sz w:val="22"/>
          <w:szCs w:val="22"/>
        </w:rPr>
      </w:pPr>
      <w:r>
        <w:rPr>
          <w:color w:val="auto"/>
          <w:sz w:val="22"/>
          <w:szCs w:val="22"/>
        </w:rPr>
        <w:t>During the stringent response, bacteria must upregulate genes that are associated with adaptation to stress and thus, there is a concurrent increase in the expression of virulence genes that contribute to survival under nutrient limitation. This is required in the context of infection, where the host will attempt to eliminate bacteria with an arsenal of defence mechanisms, and bacteria must adapt in order to evade the immune system and survive.</w:t>
      </w:r>
    </w:p>
    <w:p w14:paraId="3F20084D" w14:textId="77777777" w:rsidR="00033564" w:rsidRDefault="00033564" w:rsidP="00033564">
      <w:pPr>
        <w:pStyle w:val="Default"/>
        <w:spacing w:line="360" w:lineRule="auto"/>
        <w:jc w:val="both"/>
        <w:rPr>
          <w:color w:val="auto"/>
          <w:sz w:val="22"/>
          <w:szCs w:val="22"/>
        </w:rPr>
      </w:pPr>
    </w:p>
    <w:p w14:paraId="4AEB5926" w14:textId="77777777" w:rsidR="00033564" w:rsidRDefault="00033564" w:rsidP="00033564">
      <w:pPr>
        <w:pStyle w:val="Heading4"/>
      </w:pPr>
      <w:r>
        <w:t xml:space="preserve">1.2.3.1. Adhesion and invasion </w:t>
      </w:r>
    </w:p>
    <w:p w14:paraId="41C7E537" w14:textId="77777777" w:rsidR="00033564" w:rsidRDefault="00033564" w:rsidP="00033564"/>
    <w:p w14:paraId="2CB143BA" w14:textId="766CA762" w:rsidR="00033564" w:rsidRDefault="00033564" w:rsidP="00033564">
      <w:pPr>
        <w:spacing w:line="360" w:lineRule="auto"/>
        <w:jc w:val="both"/>
        <w:rPr>
          <w:rFonts w:ascii="Times New Roman" w:hAnsi="Times New Roman" w:cs="Times New Roman"/>
        </w:rPr>
      </w:pPr>
      <w:r>
        <w:rPr>
          <w:rFonts w:ascii="Times New Roman" w:hAnsi="Times New Roman" w:cs="Times New Roman"/>
        </w:rPr>
        <w:t xml:space="preserve">Adherence to host cells and components is an integral process for successful colonisation and survival of a pathogen. Subsequent invasion is necessary for intracellular pathogens such as </w:t>
      </w:r>
      <w:r>
        <w:rPr>
          <w:rFonts w:ascii="Times New Roman" w:hAnsi="Times New Roman" w:cs="Times New Roman"/>
          <w:i/>
          <w:iCs/>
        </w:rPr>
        <w:t xml:space="preserve">E. coli, Salmonella enterica </w:t>
      </w:r>
      <w:r>
        <w:rPr>
          <w:rFonts w:ascii="Times New Roman" w:hAnsi="Times New Roman" w:cs="Times New Roman"/>
        </w:rPr>
        <w:t xml:space="preserve">serovar Typhimurium and </w:t>
      </w:r>
      <w:r>
        <w:rPr>
          <w:rFonts w:ascii="Times New Roman" w:hAnsi="Times New Roman" w:cs="Times New Roman"/>
          <w:i/>
          <w:iCs/>
        </w:rPr>
        <w:t>Listeria monocytogenes</w:t>
      </w:r>
      <w:r>
        <w:rPr>
          <w:rFonts w:ascii="Times New Roman" w:hAnsi="Times New Roman" w:cs="Times New Roman"/>
        </w:rPr>
        <w:t xml:space="preserve">. The DksA and (p)ppGpp-mediated activation of the transcriptional regulators </w:t>
      </w:r>
      <w:r>
        <w:rPr>
          <w:rFonts w:ascii="Times New Roman" w:hAnsi="Times New Roman" w:cs="Times New Roman"/>
          <w:i/>
          <w:iCs/>
        </w:rPr>
        <w:t>ler</w:t>
      </w:r>
      <w:r>
        <w:rPr>
          <w:rFonts w:ascii="Times New Roman" w:hAnsi="Times New Roman" w:cs="Times New Roman"/>
        </w:rPr>
        <w:t xml:space="preserve"> and </w:t>
      </w:r>
      <w:r>
        <w:rPr>
          <w:rFonts w:ascii="Times New Roman" w:hAnsi="Times New Roman" w:cs="Times New Roman"/>
          <w:i/>
          <w:iCs/>
        </w:rPr>
        <w:t>pch</w:t>
      </w:r>
      <w:r w:rsidRPr="003F4D0C">
        <w:rPr>
          <w:rFonts w:ascii="Times New Roman" w:hAnsi="Times New Roman" w:cs="Times New Roman"/>
        </w:rPr>
        <w:t xml:space="preserve"> </w:t>
      </w:r>
      <w:r>
        <w:rPr>
          <w:rFonts w:ascii="Times New Roman" w:hAnsi="Times New Roman" w:cs="Times New Roman"/>
        </w:rPr>
        <w:t xml:space="preserve">has resulted in upregulation of the locus of enterocyte effacement </w:t>
      </w:r>
      <w:r w:rsidRPr="003F4D0C">
        <w:rPr>
          <w:rFonts w:ascii="Times New Roman" w:hAnsi="Times New Roman" w:cs="Times New Roman"/>
        </w:rPr>
        <w:t>(LEE)</w:t>
      </w:r>
      <w:r>
        <w:rPr>
          <w:rFonts w:ascii="Times New Roman" w:hAnsi="Times New Roman" w:cs="Times New Roman"/>
        </w:rPr>
        <w:t xml:space="preserve">, resulting in an increased capacity of enterohaemorrhagic </w:t>
      </w:r>
      <w:r>
        <w:rPr>
          <w:rFonts w:ascii="Times New Roman" w:hAnsi="Times New Roman" w:cs="Times New Roman"/>
          <w:i/>
          <w:iCs/>
        </w:rPr>
        <w:t xml:space="preserve">E. coli </w:t>
      </w:r>
      <w:r>
        <w:rPr>
          <w:rFonts w:ascii="Times New Roman" w:hAnsi="Times New Roman" w:cs="Times New Roman"/>
        </w:rPr>
        <w:t xml:space="preserve">to adhere to intestinal epithelial cells (IECs) </w:t>
      </w:r>
      <w:r w:rsidRPr="006B4D1D">
        <w:rPr>
          <w:rFonts w:ascii="Times New Roman" w:hAnsi="Times New Roman" w:cs="Times New Roman"/>
          <w:b/>
          <w:bCs/>
        </w:rPr>
        <w:fldChar w:fldCharType="begin"/>
      </w:r>
      <w:r w:rsidRPr="006B4D1D">
        <w:rPr>
          <w:rFonts w:ascii="Times New Roman" w:hAnsi="Times New Roman" w:cs="Times New Roman"/>
          <w:b/>
          <w:bCs/>
        </w:rPr>
        <w:instrText xml:space="preserve"> ADDIN EN.CITE &lt;EndNote&gt;&lt;Cite&gt;&lt;Author&gt;Nakanishi&lt;/Author&gt;&lt;Year&gt;2006&lt;/Year&gt;&lt;IDText&gt;ppGpp with DksA controls gene expression in the locus of enterocyte effacement (LEE) pathogenicity island of enterohaemorrhagic Escherichia coli through activation of two virulence regulatory genes&lt;/IDText&gt;&lt;DisplayText&gt;(Nakanishi&lt;style face="italic"&gt; et al.&lt;/style&gt;, 2006)&lt;/DisplayText&gt;&lt;record&gt;&lt;dates&gt;&lt;pub-dates&gt;&lt;date&gt;Jul&lt;/date&gt;&lt;/pub-dates&gt;&lt;year&gt;2006&lt;/year&gt;&lt;/dates&gt;&lt;urls&gt;&lt;related-urls&gt;&lt;url&gt;&amp;lt;Go to ISI&amp;gt;://WOS:000238353300017&lt;/url&gt;&lt;/related-urls&gt;&lt;/urls&gt;&lt;isbn&gt;0950-382X&lt;/isbn&gt;&lt;titles&gt;&lt;title&gt;ppGpp with DksA controls gene expression in the locus of enterocyte effacement (LEE) pathogenicity island of enterohaemorrhagic Escherichia coli through activation of two virulence regulatory genes&lt;/title&gt;&lt;secondary-title&gt;Molecular Microbiology&lt;/secondary-title&gt;&lt;/titles&gt;&lt;pages&gt;194-205&lt;/pages&gt;&lt;number&gt;1&lt;/number&gt;&lt;contributors&gt;&lt;authors&gt;&lt;author&gt;Nakanishi, N.&lt;/author&gt;&lt;author&gt;Abe, H.&lt;/author&gt;&lt;author&gt;Ogura, Y.&lt;/author&gt;&lt;author&gt;Hayashi, T.&lt;/author&gt;&lt;author&gt;Tashiro, K.&lt;/author&gt;&lt;author&gt;Kuhara, S.&lt;/author&gt;&lt;author&gt;Sugimoto, N.&lt;/author&gt;&lt;author&gt;Tobe, T.&lt;/author&gt;&lt;/authors&gt;&lt;/contributors&gt;&lt;added-date format="utc"&gt;1675184078&lt;/added-date&gt;&lt;ref-type name="Journal Article"&gt;17&lt;/ref-type&gt;&lt;rec-number&gt;298&lt;/rec-number&gt;&lt;last-updated-date format="utc"&gt;1678058042&lt;/last-updated-date&gt;&lt;accession-num&gt;WOS:000238353300017&lt;/accession-num&gt;&lt;electronic-resource-num&gt;10.1111/j.1365-2958.2006.05217.x&lt;/electronic-resource-num&gt;&lt;volume&gt;61&lt;/volume&gt;&lt;/record&gt;&lt;/Cite&gt;&lt;/EndNote&gt;</w:instrText>
      </w:r>
      <w:r w:rsidRPr="006B4D1D">
        <w:rPr>
          <w:rFonts w:ascii="Times New Roman" w:hAnsi="Times New Roman" w:cs="Times New Roman"/>
          <w:b/>
          <w:bCs/>
        </w:rPr>
        <w:fldChar w:fldCharType="separate"/>
      </w:r>
      <w:r w:rsidRPr="006B4D1D">
        <w:rPr>
          <w:rFonts w:ascii="Times New Roman" w:hAnsi="Times New Roman" w:cs="Times New Roman"/>
          <w:b/>
          <w:bCs/>
          <w:noProof/>
        </w:rPr>
        <w:t>(Nakanishi</w:t>
      </w:r>
      <w:r w:rsidRPr="006B4D1D">
        <w:rPr>
          <w:rFonts w:ascii="Times New Roman" w:hAnsi="Times New Roman" w:cs="Times New Roman"/>
          <w:b/>
          <w:bCs/>
          <w:i/>
          <w:noProof/>
        </w:rPr>
        <w:t xml:space="preserve"> et al.</w:t>
      </w:r>
      <w:r w:rsidRPr="006B4D1D">
        <w:rPr>
          <w:rFonts w:ascii="Times New Roman" w:hAnsi="Times New Roman" w:cs="Times New Roman"/>
          <w:b/>
          <w:bCs/>
          <w:noProof/>
        </w:rPr>
        <w:t>, 2006)</w:t>
      </w:r>
      <w:r w:rsidRPr="006B4D1D">
        <w:rPr>
          <w:rFonts w:ascii="Times New Roman" w:hAnsi="Times New Roman" w:cs="Times New Roman"/>
          <w:b/>
          <w:bCs/>
        </w:rPr>
        <w:fldChar w:fldCharType="end"/>
      </w:r>
      <w:r>
        <w:rPr>
          <w:rFonts w:ascii="Times New Roman" w:hAnsi="Times New Roman" w:cs="Times New Roman"/>
        </w:rPr>
        <w:t xml:space="preserve">. Enteropathogenic </w:t>
      </w:r>
      <w:r>
        <w:rPr>
          <w:rFonts w:ascii="Times New Roman" w:hAnsi="Times New Roman" w:cs="Times New Roman"/>
          <w:i/>
          <w:iCs/>
        </w:rPr>
        <w:t xml:space="preserve">E. coli </w:t>
      </w:r>
      <w:r w:rsidRPr="000C788F">
        <w:rPr>
          <w:rFonts w:ascii="Times New Roman" w:hAnsi="Times New Roman" w:cs="Times New Roman"/>
        </w:rPr>
        <w:t>(EPEC)</w:t>
      </w:r>
      <w:r>
        <w:rPr>
          <w:rFonts w:ascii="Times New Roman" w:hAnsi="Times New Roman" w:cs="Times New Roman"/>
          <w:i/>
          <w:iCs/>
        </w:rPr>
        <w:t xml:space="preserve"> </w:t>
      </w:r>
      <w:r>
        <w:rPr>
          <w:rFonts w:ascii="Times New Roman" w:hAnsi="Times New Roman" w:cs="Times New Roman"/>
        </w:rPr>
        <w:t xml:space="preserve">adherence to human epithelial cells </w:t>
      </w:r>
      <w:r>
        <w:rPr>
          <w:rFonts w:ascii="Times New Roman" w:hAnsi="Times New Roman" w:cs="Times New Roman"/>
          <w:i/>
          <w:iCs/>
        </w:rPr>
        <w:t xml:space="preserve">in vitro </w:t>
      </w:r>
      <w:r>
        <w:rPr>
          <w:rFonts w:ascii="Times New Roman" w:hAnsi="Times New Roman" w:cs="Times New Roman"/>
        </w:rPr>
        <w:t>has been attributed to RelA-</w:t>
      </w:r>
      <w:r w:rsidRPr="006B4D1D">
        <w:rPr>
          <w:rFonts w:ascii="Times New Roman" w:hAnsi="Times New Roman" w:cs="Times New Roman"/>
        </w:rPr>
        <w:t>mediated</w:t>
      </w:r>
      <w:r>
        <w:rPr>
          <w:rFonts w:ascii="Times New Roman" w:hAnsi="Times New Roman" w:cs="Times New Roman"/>
        </w:rPr>
        <w:t xml:space="preserve"> regulation of the </w:t>
      </w:r>
      <w:r>
        <w:rPr>
          <w:rFonts w:ascii="Times New Roman" w:hAnsi="Times New Roman" w:cs="Times New Roman"/>
          <w:i/>
          <w:iCs/>
        </w:rPr>
        <w:t xml:space="preserve">perABC </w:t>
      </w:r>
      <w:r>
        <w:rPr>
          <w:rFonts w:ascii="Times New Roman" w:hAnsi="Times New Roman" w:cs="Times New Roman"/>
        </w:rPr>
        <w:t xml:space="preserve">operon </w:t>
      </w:r>
      <w:r w:rsidRPr="000C788F">
        <w:rPr>
          <w:rFonts w:ascii="Times New Roman" w:hAnsi="Times New Roman" w:cs="Times New Roman"/>
          <w:b/>
          <w:bCs/>
        </w:rPr>
        <w:fldChar w:fldCharType="begin"/>
      </w:r>
      <w:r w:rsidRPr="000C788F">
        <w:rPr>
          <w:rFonts w:ascii="Times New Roman" w:hAnsi="Times New Roman" w:cs="Times New Roman"/>
          <w:b/>
          <w:bCs/>
        </w:rPr>
        <w:instrText xml:space="preserve"> ADDIN EN.CITE &lt;EndNote&gt;&lt;Cite&gt;&lt;Author&gt;Spira&lt;/Author&gt;&lt;Year&gt;2014&lt;/Year&gt;&lt;IDText&gt;relA Enhances the Adherence of Enteropathogenic Escherichia coli&lt;/IDText&gt;&lt;DisplayText&gt;(Spira, Ferreira and de Almeida, 2014)&lt;/DisplayText&gt;&lt;record&gt;&lt;dates&gt;&lt;pub-dates&gt;&lt;date&gt;Mar&lt;/date&gt;&lt;/pub-dates&gt;&lt;year&gt;2014&lt;/year&gt;&lt;/dates&gt;&lt;urls&gt;&lt;related-urls&gt;&lt;url&gt;&amp;lt;Go to ISI&amp;gt;://WOS:000333259900029&lt;/url&gt;&lt;/related-urls&gt;&lt;/urls&gt;&lt;isbn&gt;1932-6203&lt;/isbn&gt;&lt;titles&gt;&lt;title&gt;relA Enhances the Adherence of Enteropathogenic Escherichia coli&lt;/title&gt;&lt;secondary-title&gt;Plos One&lt;/secondary-title&gt;&lt;/titles&gt;&lt;number&gt;3&lt;/number&gt;&lt;contributors&gt;&lt;authors&gt;&lt;author&gt;Spira, B.&lt;/author&gt;&lt;author&gt;Ferreira, G. M.&lt;/author&gt;&lt;author&gt;de Almeida, L. G.&lt;/author&gt;&lt;/authors&gt;&lt;/contributors&gt;&lt;custom7&gt;e91703&lt;/custom7&gt;&lt;added-date format="utc"&gt;1678134873&lt;/added-date&gt;&lt;ref-type name="Journal Article"&gt;17&lt;/ref-type&gt;&lt;rec-number&gt;723&lt;/rec-number&gt;&lt;last-updated-date format="utc"&gt;1678134873&lt;/last-updated-date&gt;&lt;accession-num&gt;WOS:000333259900029&lt;/accession-num&gt;&lt;electronic-resource-num&gt;10.1371/journal.pone.0091703&lt;/electronic-resource-num&gt;&lt;volume&gt;9&lt;/volume&gt;&lt;/record&gt;&lt;/Cite&gt;&lt;/EndNote&gt;</w:instrText>
      </w:r>
      <w:r w:rsidRPr="000C788F">
        <w:rPr>
          <w:rFonts w:ascii="Times New Roman" w:hAnsi="Times New Roman" w:cs="Times New Roman"/>
          <w:b/>
          <w:bCs/>
        </w:rPr>
        <w:fldChar w:fldCharType="separate"/>
      </w:r>
      <w:r w:rsidRPr="000C788F">
        <w:rPr>
          <w:rFonts w:ascii="Times New Roman" w:hAnsi="Times New Roman" w:cs="Times New Roman"/>
          <w:b/>
          <w:bCs/>
          <w:noProof/>
        </w:rPr>
        <w:t>(Spira, Ferreira and de Almeida, 2014)</w:t>
      </w:r>
      <w:r w:rsidRPr="000C788F">
        <w:rPr>
          <w:rFonts w:ascii="Times New Roman" w:hAnsi="Times New Roman" w:cs="Times New Roman"/>
          <w:b/>
          <w:bCs/>
        </w:rPr>
        <w:fldChar w:fldCharType="end"/>
      </w:r>
      <w:r>
        <w:rPr>
          <w:rFonts w:ascii="Times New Roman" w:hAnsi="Times New Roman" w:cs="Times New Roman"/>
        </w:rPr>
        <w:t>. This operon is responsible for the expression of bundle-forming pilus and intimin which are necessary for</w:t>
      </w:r>
      <w:r w:rsidR="00A56CC3">
        <w:rPr>
          <w:rFonts w:ascii="Times New Roman" w:hAnsi="Times New Roman" w:cs="Times New Roman"/>
        </w:rPr>
        <w:t xml:space="preserve"> the</w:t>
      </w:r>
      <w:r>
        <w:rPr>
          <w:rFonts w:ascii="Times New Roman" w:hAnsi="Times New Roman" w:cs="Times New Roman"/>
        </w:rPr>
        <w:t xml:space="preserve"> attachment of EPEC and the absence of RelA resulted in the inhibition of adherence </w:t>
      </w:r>
      <w:r w:rsidRPr="000C788F">
        <w:rPr>
          <w:rFonts w:ascii="Times New Roman" w:hAnsi="Times New Roman" w:cs="Times New Roman"/>
          <w:b/>
          <w:bCs/>
        </w:rPr>
        <w:fldChar w:fldCharType="begin"/>
      </w:r>
      <w:r w:rsidRPr="000C788F">
        <w:rPr>
          <w:rFonts w:ascii="Times New Roman" w:hAnsi="Times New Roman" w:cs="Times New Roman"/>
          <w:b/>
          <w:bCs/>
        </w:rPr>
        <w:instrText xml:space="preserve"> ADDIN EN.CITE &lt;EndNote&gt;&lt;Cite&gt;&lt;Author&gt;Spira&lt;/Author&gt;&lt;Year&gt;2014&lt;/Year&gt;&lt;IDText&gt;relA Enhances the Adherence of Enteropathogenic Escherichia coli&lt;/IDText&gt;&lt;DisplayText&gt;(Spira, Ferreira and de Almeida, 2014)&lt;/DisplayText&gt;&lt;record&gt;&lt;dates&gt;&lt;pub-dates&gt;&lt;date&gt;Mar&lt;/date&gt;&lt;/pub-dates&gt;&lt;year&gt;2014&lt;/year&gt;&lt;/dates&gt;&lt;urls&gt;&lt;related-urls&gt;&lt;url&gt;&amp;lt;Go to ISI&amp;gt;://WOS:000333259900029&lt;/url&gt;&lt;/related-urls&gt;&lt;/urls&gt;&lt;isbn&gt;1932-6203&lt;/isbn&gt;&lt;titles&gt;&lt;title&gt;relA Enhances the Adherence of Enteropathogenic Escherichia coli&lt;/title&gt;&lt;secondary-title&gt;Plos One&lt;/secondary-title&gt;&lt;/titles&gt;&lt;number&gt;3&lt;/number&gt;&lt;contributors&gt;&lt;authors&gt;&lt;author&gt;Spira, B.&lt;/author&gt;&lt;author&gt;Ferreira, G. M.&lt;/author&gt;&lt;author&gt;de Almeida, L. G.&lt;/author&gt;&lt;/authors&gt;&lt;/contributors&gt;&lt;custom7&gt;e91703&lt;/custom7&gt;&lt;added-date format="utc"&gt;1678134873&lt;/added-date&gt;&lt;ref-type name="Journal Article"&gt;17&lt;/ref-type&gt;&lt;rec-number&gt;723&lt;/rec-number&gt;&lt;last-updated-date format="utc"&gt;1678134873&lt;/last-updated-date&gt;&lt;accession-num&gt;WOS:000333259900029&lt;/accession-num&gt;&lt;electronic-resource-num&gt;10.1371/journal.pone.0091703&lt;/electronic-resource-num&gt;&lt;volume&gt;9&lt;/volume&gt;&lt;/record&gt;&lt;/Cite&gt;&lt;/EndNote&gt;</w:instrText>
      </w:r>
      <w:r w:rsidRPr="000C788F">
        <w:rPr>
          <w:rFonts w:ascii="Times New Roman" w:hAnsi="Times New Roman" w:cs="Times New Roman"/>
          <w:b/>
          <w:bCs/>
        </w:rPr>
        <w:fldChar w:fldCharType="separate"/>
      </w:r>
      <w:r w:rsidRPr="000C788F">
        <w:rPr>
          <w:rFonts w:ascii="Times New Roman" w:hAnsi="Times New Roman" w:cs="Times New Roman"/>
          <w:b/>
          <w:bCs/>
          <w:noProof/>
        </w:rPr>
        <w:t>(Spira, Ferreira and de Almeida, 2014)</w:t>
      </w:r>
      <w:r w:rsidRPr="000C788F">
        <w:rPr>
          <w:rFonts w:ascii="Times New Roman" w:hAnsi="Times New Roman" w:cs="Times New Roman"/>
          <w:b/>
          <w:bCs/>
        </w:rPr>
        <w:fldChar w:fldCharType="end"/>
      </w:r>
      <w:r>
        <w:rPr>
          <w:rFonts w:ascii="Times New Roman" w:hAnsi="Times New Roman" w:cs="Times New Roman"/>
        </w:rPr>
        <w:t xml:space="preserve">. In EPEC, LEE encodes for virulence factors such as a type III secretion system (T3SS) that delivers host-modulating effectors into cells, allowing the formation of actin pedestals: here bacteria are intimately attached to IECs, which aids survival </w:t>
      </w:r>
      <w:r w:rsidRPr="002511B5">
        <w:rPr>
          <w:rFonts w:ascii="Times New Roman" w:hAnsi="Times New Roman" w:cs="Times New Roman"/>
          <w:b/>
          <w:bCs/>
        </w:rPr>
        <w:fldChar w:fldCharType="begin"/>
      </w:r>
      <w:r w:rsidRPr="002511B5">
        <w:rPr>
          <w:rFonts w:ascii="Times New Roman" w:hAnsi="Times New Roman" w:cs="Times New Roman"/>
          <w:b/>
          <w:bCs/>
        </w:rPr>
        <w:instrText xml:space="preserve"> ADDIN EN.CITE &lt;EndNote&gt;&lt;Cite&gt;&lt;Author&gt;Platenkamp&lt;/Author&gt;&lt;Year&gt;2018&lt;/Year&gt;&lt;IDText&gt;Environment Controls LEE Regulation in Enteropathogenic Escherichia coli&lt;/IDText&gt;&lt;DisplayText&gt;(Platenkamp and Mellies, 2018)&lt;/DisplayText&gt;&lt;record&gt;&lt;dates&gt;&lt;pub-dates&gt;&lt;date&gt;Jul&lt;/date&gt;&lt;/pub-dates&gt;&lt;year&gt;2018&lt;/year&gt;&lt;/dates&gt;&lt;urls&gt;&lt;related-urls&gt;&lt;url&gt;&amp;lt;Go to ISI&amp;gt;://WOS:000440000500001&lt;/url&gt;&lt;/related-urls&gt;&lt;/urls&gt;&lt;isbn&gt;1664-302X&lt;/isbn&gt;&lt;titles&gt;&lt;title&gt;Environment Controls LEE Regulation in Enteropathogenic Escherichia coli&lt;/title&gt;&lt;secondary-title&gt;Frontiers in Microbiology&lt;/secondary-title&gt;&lt;/titles&gt;&lt;contributors&gt;&lt;authors&gt;&lt;author&gt;Platenkamp, A.&lt;/author&gt;&lt;author&gt;Mellies, J. L.&lt;/author&gt;&lt;/authors&gt;&lt;/contributors&gt;&lt;custom7&gt;1694&lt;/custom7&gt;&lt;added-date format="utc"&gt;1678131978&lt;/added-date&gt;&lt;ref-type name="Journal Article"&gt;17&lt;/ref-type&gt;&lt;rec-number&gt;721&lt;/rec-number&gt;&lt;last-updated-date format="utc"&gt;1678131978&lt;/last-updated-date&gt;&lt;accession-num&gt;WOS:000440000500001&lt;/accession-num&gt;&lt;electronic-resource-num&gt;10.3389/fmicb.2018.01694&lt;/electronic-resource-num&gt;&lt;volume&gt;9&lt;/volume&gt;&lt;/record&gt;&lt;/Cite&gt;&lt;/EndNote&gt;</w:instrText>
      </w:r>
      <w:r w:rsidRPr="002511B5">
        <w:rPr>
          <w:rFonts w:ascii="Times New Roman" w:hAnsi="Times New Roman" w:cs="Times New Roman"/>
          <w:b/>
          <w:bCs/>
        </w:rPr>
        <w:fldChar w:fldCharType="separate"/>
      </w:r>
      <w:r w:rsidRPr="002511B5">
        <w:rPr>
          <w:rFonts w:ascii="Times New Roman" w:hAnsi="Times New Roman" w:cs="Times New Roman"/>
          <w:b/>
          <w:bCs/>
          <w:noProof/>
        </w:rPr>
        <w:t>(Platenkamp and Mellies, 2018)</w:t>
      </w:r>
      <w:r w:rsidRPr="002511B5">
        <w:rPr>
          <w:rFonts w:ascii="Times New Roman" w:hAnsi="Times New Roman" w:cs="Times New Roman"/>
          <w:b/>
          <w:bCs/>
        </w:rPr>
        <w:fldChar w:fldCharType="end"/>
      </w:r>
      <w:r>
        <w:rPr>
          <w:rFonts w:ascii="Times New Roman" w:hAnsi="Times New Roman" w:cs="Times New Roman"/>
        </w:rPr>
        <w:t xml:space="preserve">, demonstrating the importance of adhesion. Moreover, Rel- and HprT-deficient </w:t>
      </w:r>
      <w:r>
        <w:rPr>
          <w:rFonts w:ascii="Times New Roman" w:hAnsi="Times New Roman" w:cs="Times New Roman"/>
          <w:i/>
          <w:iCs/>
        </w:rPr>
        <w:t>L. monocytogenes</w:t>
      </w:r>
      <w:r>
        <w:rPr>
          <w:rFonts w:ascii="Times New Roman" w:hAnsi="Times New Roman" w:cs="Times New Roman"/>
        </w:rPr>
        <w:t xml:space="preserve"> were less able to adhere to and were rapidly cleared by murine hosts during infection, with low detection of bacteria in the spleen and liver </w:t>
      </w:r>
      <w:r w:rsidRPr="006B4D1D">
        <w:rPr>
          <w:rFonts w:ascii="Times New Roman" w:hAnsi="Times New Roman" w:cs="Times New Roman"/>
          <w:b/>
          <w:bCs/>
        </w:rPr>
        <w:fldChar w:fldCharType="begin"/>
      </w:r>
      <w:r w:rsidRPr="006B4D1D">
        <w:rPr>
          <w:rFonts w:ascii="Times New Roman" w:hAnsi="Times New Roman" w:cs="Times New Roman"/>
          <w:b/>
          <w:bCs/>
        </w:rPr>
        <w:instrText xml:space="preserve"> ADDIN EN.CITE &lt;EndNote&gt;&lt;Cite&gt;&lt;Author&gt;Taylor&lt;/Author&gt;&lt;Year&gt;2002&lt;/Year&gt;&lt;IDText&gt;Listeria monocytogenes relA and hpt mutants are impaired in surface-attached growth and virulence&lt;/IDText&gt;&lt;DisplayText&gt;(Taylor&lt;style face="italic"&gt; et al.&lt;/style&gt;, 2002)&lt;/DisplayText&gt;&lt;record&gt;&lt;dates&gt;&lt;pub-dates&gt;&lt;date&gt;Feb&lt;/date&gt;&lt;/pub-dates&gt;&lt;year&gt;2002&lt;/year&gt;&lt;/dates&gt;&lt;urls&gt;&lt;related-urls&gt;&lt;url&gt;&amp;lt;Go to ISI&amp;gt;://WOS:000173364000002&lt;/url&gt;&lt;/related-urls&gt;&lt;/urls&gt;&lt;isbn&gt;0021-9193&lt;/isbn&gt;&lt;titles&gt;&lt;title&gt;Listeria monocytogenes relA and hpt mutants are impaired in surface-attached growth and virulence&lt;/title&gt;&lt;secondary-title&gt;Journal of Bacteriology&lt;/secondary-title&gt;&lt;/titles&gt;&lt;pages&gt;621-628&lt;/pages&gt;&lt;number&gt;3&lt;/number&gt;&lt;contributors&gt;&lt;authors&gt;&lt;author&gt;Taylor, C. A.&lt;/author&gt;&lt;author&gt;Beresford, M.&lt;/author&gt;&lt;author&gt;Epton, H. A. S.&lt;/author&gt;&lt;author&gt;Sigee, D. C.&lt;/author&gt;&lt;author&gt;Shama, G.&lt;/author&gt;&lt;author&gt;Andrew, P. W.&lt;/author&gt;&lt;author&gt;Roberts, I. S.&lt;/author&gt;&lt;/authors&gt;&lt;/contributors&gt;&lt;added-date format="utc"&gt;1678133459&lt;/added-date&gt;&lt;ref-type name="Journal Article"&gt;17&lt;/ref-type&gt;&lt;rec-number&gt;722&lt;/rec-number&gt;&lt;last-updated-date format="utc"&gt;1678133459&lt;/last-updated-date&gt;&lt;accession-num&gt;WOS:000173364000002&lt;/accession-num&gt;&lt;electronic-resource-num&gt;10.1128/jb.184.3.621-628.2002&lt;/electronic-resource-num&gt;&lt;volume&gt;184&lt;/volume&gt;&lt;/record&gt;&lt;/Cite&gt;&lt;/EndNote&gt;</w:instrText>
      </w:r>
      <w:r w:rsidRPr="006B4D1D">
        <w:rPr>
          <w:rFonts w:ascii="Times New Roman" w:hAnsi="Times New Roman" w:cs="Times New Roman"/>
          <w:b/>
          <w:bCs/>
        </w:rPr>
        <w:fldChar w:fldCharType="separate"/>
      </w:r>
      <w:r w:rsidRPr="006B4D1D">
        <w:rPr>
          <w:rFonts w:ascii="Times New Roman" w:hAnsi="Times New Roman" w:cs="Times New Roman"/>
          <w:b/>
          <w:bCs/>
          <w:noProof/>
        </w:rPr>
        <w:t>(Taylor</w:t>
      </w:r>
      <w:r w:rsidRPr="006B4D1D">
        <w:rPr>
          <w:rFonts w:ascii="Times New Roman" w:hAnsi="Times New Roman" w:cs="Times New Roman"/>
          <w:b/>
          <w:bCs/>
          <w:i/>
          <w:noProof/>
        </w:rPr>
        <w:t xml:space="preserve"> et al.</w:t>
      </w:r>
      <w:r w:rsidRPr="006B4D1D">
        <w:rPr>
          <w:rFonts w:ascii="Times New Roman" w:hAnsi="Times New Roman" w:cs="Times New Roman"/>
          <w:b/>
          <w:bCs/>
          <w:noProof/>
        </w:rPr>
        <w:t>, 2002)</w:t>
      </w:r>
      <w:r w:rsidRPr="006B4D1D">
        <w:rPr>
          <w:rFonts w:ascii="Times New Roman" w:hAnsi="Times New Roman" w:cs="Times New Roman"/>
          <w:b/>
          <w:bCs/>
        </w:rPr>
        <w:fldChar w:fldCharType="end"/>
      </w:r>
      <w:r>
        <w:rPr>
          <w:rFonts w:ascii="Times New Roman" w:hAnsi="Times New Roman" w:cs="Times New Roman"/>
        </w:rPr>
        <w:t xml:space="preserve">. Rel deletion in </w:t>
      </w:r>
      <w:r>
        <w:rPr>
          <w:rFonts w:ascii="Times New Roman" w:hAnsi="Times New Roman" w:cs="Times New Roman"/>
          <w:i/>
          <w:iCs/>
        </w:rPr>
        <w:t xml:space="preserve">S. aureus </w:t>
      </w:r>
      <w:r>
        <w:rPr>
          <w:rFonts w:ascii="Times New Roman" w:hAnsi="Times New Roman" w:cs="Times New Roman"/>
        </w:rPr>
        <w:t xml:space="preserve">also led to decreased virulence in a murine haematogenic kidney abscess model and a decreased bacterial burden in the kidney in comparison to WT </w:t>
      </w:r>
      <w:r w:rsidRPr="002E7B46">
        <w:rPr>
          <w:rFonts w:ascii="Times New Roman" w:hAnsi="Times New Roman" w:cs="Times New Roman"/>
          <w:b/>
          <w:bCs/>
        </w:rPr>
        <w:fldChar w:fldCharType="begin"/>
      </w:r>
      <w:r w:rsidRPr="002E7B46">
        <w:rPr>
          <w:rFonts w:ascii="Times New Roman" w:hAnsi="Times New Roman" w:cs="Times New Roman"/>
          <w:b/>
          <w:bCs/>
        </w:rPr>
        <w:instrText xml:space="preserve"> ADDIN EN.CITE &lt;EndNote&gt;&lt;Cite&gt;&lt;Author&gt;Geiger&lt;/Author&gt;&lt;Year&gt;2010&lt;/Year&gt;&lt;IDText&gt;Role of the (p)ppGpp Synthase RSH, a RelA/SpoT Homolog, in Stringent Response and Virulence of Staphylococcus aureus&lt;/IDText&gt;&lt;DisplayText&gt;(Geiger&lt;style face="italic"&gt; et al.&lt;/style&gt;, 2010)&lt;/DisplayText&gt;&lt;record&gt;&lt;dates&gt;&lt;pub-dates&gt;&lt;date&gt;May&lt;/date&gt;&lt;/pub-dates&gt;&lt;year&gt;2010&lt;/year&gt;&lt;/dates&gt;&lt;urls&gt;&lt;related-urls&gt;&lt;/related-urls&gt;&lt;/urls&gt;&lt;isbn&gt;0019-9567&lt;/isbn&gt;&lt;titles&gt;&lt;title&gt;&lt;style font="default" size="100%"&gt;Role of the (p)ppGpp Synthase RSH, a RelA/SpoT Homolog, in Stringent Response and Virulence of &lt;/style&gt;&lt;style face="italic" font="default" size="100%"&gt;Staphylococcus aureus&lt;/style&gt;&lt;/title&gt;&lt;secondary-title&gt;Infection and Immunity&lt;/secondary-title&gt;&lt;/titles&gt;&lt;pages&gt;1873-1883&lt;/pages&gt;&lt;number&gt;5&lt;/number&gt;&lt;contributors&gt;&lt;authors&gt;&lt;author&gt;Geiger, Tobias&lt;/author&gt;&lt;author&gt;Goerke, Christiane&lt;/author&gt;&lt;author&gt;Fritz, Michaela&lt;/author&gt;&lt;author&gt;Schaefer, Tina&lt;/author&gt;&lt;author&gt;Ohlsen, Knut&lt;/author&gt;&lt;author&gt;Liebeke, Manuel&lt;/author&gt;&lt;author&gt;Lalk, Michael&lt;/author&gt;&lt;author&gt;Wolz, Christiane&lt;/author&gt;&lt;/authors&gt;&lt;/contributors&gt;&lt;added-date format="utc"&gt;1663612960&lt;/added-date&gt;&lt;ref-type name="Journal Article"&gt;17&lt;/ref-type&gt;&lt;rec-number&gt;70&lt;/rec-number&gt;&lt;last-updated-date format="utc"&gt;1678058042&lt;/last-updated-date&gt;&lt;accession-num&gt;WOS:000276778700008&lt;/accession-num&gt;&lt;electronic-resource-num&gt;10.1128/iai.01439-09&lt;/electronic-resource-num&gt;&lt;volume&gt;78&lt;/volume&gt;&lt;/record&gt;&lt;/Cite&gt;&lt;/EndNote&gt;</w:instrText>
      </w:r>
      <w:r w:rsidRPr="002E7B46">
        <w:rPr>
          <w:rFonts w:ascii="Times New Roman" w:hAnsi="Times New Roman" w:cs="Times New Roman"/>
          <w:b/>
          <w:bCs/>
        </w:rPr>
        <w:fldChar w:fldCharType="separate"/>
      </w:r>
      <w:r w:rsidRPr="002E7B46">
        <w:rPr>
          <w:rFonts w:ascii="Times New Roman" w:hAnsi="Times New Roman" w:cs="Times New Roman"/>
          <w:b/>
          <w:bCs/>
          <w:noProof/>
        </w:rPr>
        <w:t>(Geiger</w:t>
      </w:r>
      <w:r w:rsidRPr="002E7B46">
        <w:rPr>
          <w:rFonts w:ascii="Times New Roman" w:hAnsi="Times New Roman" w:cs="Times New Roman"/>
          <w:b/>
          <w:bCs/>
          <w:i/>
          <w:noProof/>
        </w:rPr>
        <w:t xml:space="preserve"> et al.</w:t>
      </w:r>
      <w:r w:rsidRPr="002E7B46">
        <w:rPr>
          <w:rFonts w:ascii="Times New Roman" w:hAnsi="Times New Roman" w:cs="Times New Roman"/>
          <w:b/>
          <w:bCs/>
          <w:noProof/>
        </w:rPr>
        <w:t>, 2010)</w:t>
      </w:r>
      <w:r w:rsidRPr="002E7B46">
        <w:rPr>
          <w:rFonts w:ascii="Times New Roman" w:hAnsi="Times New Roman" w:cs="Times New Roman"/>
          <w:b/>
          <w:bCs/>
        </w:rPr>
        <w:fldChar w:fldCharType="end"/>
      </w:r>
      <w:r>
        <w:rPr>
          <w:rFonts w:ascii="Times New Roman" w:hAnsi="Times New Roman" w:cs="Times New Roman"/>
        </w:rPr>
        <w:t xml:space="preserve">. For some pathogens, adherence is a prerequisite for invasion. </w:t>
      </w:r>
      <w:r>
        <w:rPr>
          <w:rFonts w:ascii="Times New Roman" w:hAnsi="Times New Roman" w:cs="Times New Roman"/>
          <w:i/>
          <w:iCs/>
        </w:rPr>
        <w:t>S</w:t>
      </w:r>
      <w:r>
        <w:rPr>
          <w:rFonts w:ascii="Times New Roman" w:hAnsi="Times New Roman" w:cs="Times New Roman"/>
        </w:rPr>
        <w:t xml:space="preserve">. Typhimurium utilises a T3SS encoded on </w:t>
      </w:r>
      <w:r w:rsidRPr="005B4837">
        <w:rPr>
          <w:rFonts w:ascii="Times New Roman" w:hAnsi="Times New Roman" w:cs="Times New Roman"/>
          <w:i/>
          <w:iCs/>
        </w:rPr>
        <w:t>Salmonella</w:t>
      </w:r>
      <w:r>
        <w:rPr>
          <w:rFonts w:ascii="Times New Roman" w:hAnsi="Times New Roman" w:cs="Times New Roman"/>
        </w:rPr>
        <w:t xml:space="preserve"> pathogenicity island 1 (SPI-1) and a (p)ppGpp</w:t>
      </w:r>
      <w:r>
        <w:rPr>
          <w:rFonts w:ascii="Times New Roman" w:hAnsi="Times New Roman" w:cs="Times New Roman"/>
          <w:vertAlign w:val="superscript"/>
        </w:rPr>
        <w:t>0</w:t>
      </w:r>
      <w:r>
        <w:rPr>
          <w:rFonts w:ascii="Times New Roman" w:hAnsi="Times New Roman" w:cs="Times New Roman"/>
        </w:rPr>
        <w:t xml:space="preserve"> mutant demonstrated a decreased ability to invade IECs due to a lack of expression of key regulators </w:t>
      </w:r>
      <w:r>
        <w:rPr>
          <w:rFonts w:ascii="Times New Roman" w:hAnsi="Times New Roman" w:cs="Times New Roman"/>
          <w:i/>
          <w:iCs/>
        </w:rPr>
        <w:t xml:space="preserve">invF </w:t>
      </w:r>
      <w:r>
        <w:rPr>
          <w:rFonts w:ascii="Times New Roman" w:hAnsi="Times New Roman" w:cs="Times New Roman"/>
        </w:rPr>
        <w:t xml:space="preserve">and </w:t>
      </w:r>
      <w:r>
        <w:rPr>
          <w:rFonts w:ascii="Times New Roman" w:hAnsi="Times New Roman" w:cs="Times New Roman"/>
          <w:i/>
          <w:iCs/>
        </w:rPr>
        <w:t xml:space="preserve">hilA </w:t>
      </w:r>
      <w:r>
        <w:rPr>
          <w:rFonts w:ascii="Times New Roman" w:hAnsi="Times New Roman" w:cs="Times New Roman"/>
        </w:rPr>
        <w:t xml:space="preserve"> </w:t>
      </w:r>
      <w:r w:rsidRPr="00A2248A">
        <w:rPr>
          <w:rFonts w:ascii="Times New Roman" w:hAnsi="Times New Roman" w:cs="Times New Roman"/>
          <w:b/>
          <w:bCs/>
        </w:rPr>
        <w:fldChar w:fldCharType="begin"/>
      </w:r>
      <w:r w:rsidRPr="00A2248A">
        <w:rPr>
          <w:rFonts w:ascii="Times New Roman" w:hAnsi="Times New Roman" w:cs="Times New Roman"/>
          <w:b/>
          <w:bCs/>
        </w:rPr>
        <w:instrText xml:space="preserve"> ADDIN EN.CITE &lt;EndNote&gt;&lt;Cite&gt;&lt;Author&gt;Pizarro-Cerdá &lt;/Author&gt;&lt;Year&gt;2004&lt;/Year&gt;&lt;IDText&gt;The bacterial signal molecule, ppGpp, regulates Salmonella virulence gene expression&lt;/IDText&gt;&lt;DisplayText&gt;(Pizarro-Cerdá  and Tedin, 2004)&lt;/DisplayText&gt;&lt;record&gt;&lt;dates&gt;&lt;pub-dates&gt;&lt;date&gt;Jun&lt;/date&gt;&lt;/pub-dates&gt;&lt;year&gt;2004&lt;/year&gt;&lt;/dates&gt;&lt;urls&gt;&lt;related-urls&gt;&lt;/related-urls&gt;&lt;/urls&gt;&lt;isbn&gt;0950-382X&lt;/isbn&gt;&lt;titles&gt;&lt;title&gt;The bacterial signal molecule, ppGpp, regulates Salmonella virulence gene expression&lt;/title&gt;&lt;secondary-title&gt;Molecular Microbiology&lt;/secondary-title&gt;&lt;/titles&gt;&lt;pages&gt;1827-1844&lt;/pages&gt;&lt;number&gt;6&lt;/number&gt;&lt;contributors&gt;&lt;authors&gt;&lt;author&gt;Pizarro-Cerdá , J.&lt;/author&gt;&lt;author&gt;Tedin, K.&lt;/author&gt;&lt;/authors&gt;&lt;/contributors&gt;&lt;added-date format="utc"&gt;1674944447&lt;/added-date&gt;&lt;ref-type name="Journal Article"&gt;17&lt;/ref-type&gt;&lt;rec-number&gt;285&lt;/rec-number&gt;&lt;last-updated-date format="utc"&gt;1678058042&lt;/last-updated-date&gt;&lt;accession-num&gt;WOS:000221866300023&lt;/accession-num&gt;&lt;electronic-resource-num&gt;10.1111/j.1365-2958.2004.04122.x&lt;/electronic-resource-num&gt;&lt;volume&gt;52&lt;/volume&gt;&lt;/record&gt;&lt;/Cite&gt;&lt;/EndNote&gt;</w:instrText>
      </w:r>
      <w:r w:rsidRPr="00A2248A">
        <w:rPr>
          <w:rFonts w:ascii="Times New Roman" w:hAnsi="Times New Roman" w:cs="Times New Roman"/>
          <w:b/>
          <w:bCs/>
        </w:rPr>
        <w:fldChar w:fldCharType="separate"/>
      </w:r>
      <w:r w:rsidRPr="00A2248A">
        <w:rPr>
          <w:rFonts w:ascii="Times New Roman" w:hAnsi="Times New Roman" w:cs="Times New Roman"/>
          <w:b/>
          <w:bCs/>
          <w:noProof/>
        </w:rPr>
        <w:t>(Pizarro-Cerdá  and Tedin, 2004)</w:t>
      </w:r>
      <w:r w:rsidRPr="00A2248A">
        <w:rPr>
          <w:rFonts w:ascii="Times New Roman" w:hAnsi="Times New Roman" w:cs="Times New Roman"/>
          <w:b/>
          <w:bCs/>
        </w:rPr>
        <w:fldChar w:fldCharType="end"/>
      </w:r>
      <w:r>
        <w:rPr>
          <w:rFonts w:ascii="Times New Roman" w:hAnsi="Times New Roman" w:cs="Times New Roman"/>
        </w:rPr>
        <w:t xml:space="preserve">. Effectors of the T3SS allow the association of </w:t>
      </w:r>
      <w:r>
        <w:rPr>
          <w:rFonts w:ascii="Times New Roman" w:hAnsi="Times New Roman" w:cs="Times New Roman"/>
          <w:i/>
          <w:iCs/>
        </w:rPr>
        <w:t xml:space="preserve">S. </w:t>
      </w:r>
      <w:r>
        <w:rPr>
          <w:rFonts w:ascii="Times New Roman" w:hAnsi="Times New Roman" w:cs="Times New Roman"/>
        </w:rPr>
        <w:t xml:space="preserve">Typhimurium to the intestinal epithelium and the injection of effectors such as SopE and AvrA, required for modulating the host cytoskeleton and promoting invasion </w:t>
      </w:r>
      <w:r w:rsidRPr="00A2248A">
        <w:rPr>
          <w:rFonts w:ascii="Times New Roman" w:hAnsi="Times New Roman" w:cs="Times New Roman"/>
          <w:b/>
          <w:bCs/>
        </w:rPr>
        <w:fldChar w:fldCharType="begin">
          <w:fldData xml:space="preserve">PEVuZE5vdGU+PENpdGU+PEF1dGhvcj5MaW08L0F1dGhvcj48WWVhcj4yMDE0PC9ZZWFyPjxJRFRl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</w:fldData>
        </w:fldChar>
      </w:r>
      <w:r w:rsidRPr="00A2248A">
        <w:rPr>
          <w:rFonts w:ascii="Times New Roman" w:hAnsi="Times New Roman" w:cs="Times New Roman"/>
          <w:b/>
          <w:bCs/>
        </w:rPr>
        <w:instrText xml:space="preserve"> ADDIN EN.CITE </w:instrText>
      </w:r>
      <w:r w:rsidRPr="00A2248A">
        <w:rPr>
          <w:rFonts w:ascii="Times New Roman" w:hAnsi="Times New Roman" w:cs="Times New Roman"/>
          <w:b/>
          <w:bCs/>
        </w:rPr>
        <w:fldChar w:fldCharType="begin">
          <w:fldData xml:space="preserve">PEVuZE5vdGU+PENpdGU+PEF1dGhvcj5MaW08L0F1dGhvcj48WWVhcj4yMDE0PC9ZZWFyPjxJRFRl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</w:fldData>
        </w:fldChar>
      </w:r>
      <w:r w:rsidRPr="00A2248A">
        <w:rPr>
          <w:rFonts w:ascii="Times New Roman" w:hAnsi="Times New Roman" w:cs="Times New Roman"/>
          <w:b/>
          <w:bCs/>
        </w:rPr>
        <w:instrText xml:space="preserve"> ADDIN EN.CITE.DATA </w:instrText>
      </w:r>
      <w:r w:rsidRPr="00A2248A">
        <w:rPr>
          <w:rFonts w:ascii="Times New Roman" w:hAnsi="Times New Roman" w:cs="Times New Roman"/>
          <w:b/>
          <w:bCs/>
        </w:rPr>
      </w:r>
      <w:r w:rsidRPr="00A2248A">
        <w:rPr>
          <w:rFonts w:ascii="Times New Roman" w:hAnsi="Times New Roman" w:cs="Times New Roman"/>
          <w:b/>
          <w:bCs/>
        </w:rPr>
        <w:fldChar w:fldCharType="end"/>
      </w:r>
      <w:r w:rsidRPr="00A2248A">
        <w:rPr>
          <w:rFonts w:ascii="Times New Roman" w:hAnsi="Times New Roman" w:cs="Times New Roman"/>
          <w:b/>
          <w:bCs/>
        </w:rPr>
      </w:r>
      <w:r w:rsidRPr="00A2248A">
        <w:rPr>
          <w:rFonts w:ascii="Times New Roman" w:hAnsi="Times New Roman" w:cs="Times New Roman"/>
          <w:b/>
          <w:bCs/>
        </w:rPr>
        <w:fldChar w:fldCharType="separate"/>
      </w:r>
      <w:r w:rsidRPr="00A2248A">
        <w:rPr>
          <w:rFonts w:ascii="Times New Roman" w:hAnsi="Times New Roman" w:cs="Times New Roman"/>
          <w:b/>
          <w:bCs/>
          <w:noProof/>
        </w:rPr>
        <w:t>(Lim</w:t>
      </w:r>
      <w:r w:rsidRPr="00A2248A">
        <w:rPr>
          <w:rFonts w:ascii="Times New Roman" w:hAnsi="Times New Roman" w:cs="Times New Roman"/>
          <w:b/>
          <w:bCs/>
          <w:i/>
          <w:noProof/>
        </w:rPr>
        <w:t xml:space="preserve"> et al.</w:t>
      </w:r>
      <w:r w:rsidRPr="00A2248A">
        <w:rPr>
          <w:rFonts w:ascii="Times New Roman" w:hAnsi="Times New Roman" w:cs="Times New Roman"/>
          <w:b/>
          <w:bCs/>
          <w:noProof/>
        </w:rPr>
        <w:t>, 2014; Johnson</w:t>
      </w:r>
      <w:r w:rsidRPr="00A2248A">
        <w:rPr>
          <w:rFonts w:ascii="Times New Roman" w:hAnsi="Times New Roman" w:cs="Times New Roman"/>
          <w:b/>
          <w:bCs/>
          <w:i/>
          <w:noProof/>
        </w:rPr>
        <w:t xml:space="preserve"> et al.</w:t>
      </w:r>
      <w:r w:rsidRPr="00A2248A">
        <w:rPr>
          <w:rFonts w:ascii="Times New Roman" w:hAnsi="Times New Roman" w:cs="Times New Roman"/>
          <w:b/>
          <w:bCs/>
          <w:noProof/>
        </w:rPr>
        <w:t>, 2017)</w:t>
      </w:r>
      <w:r w:rsidRPr="00A2248A">
        <w:rPr>
          <w:rFonts w:ascii="Times New Roman" w:hAnsi="Times New Roman" w:cs="Times New Roman"/>
          <w:b/>
          <w:bCs/>
        </w:rPr>
        <w:fldChar w:fldCharType="end"/>
      </w:r>
      <w:r>
        <w:rPr>
          <w:rFonts w:ascii="Times New Roman" w:hAnsi="Times New Roman" w:cs="Times New Roman"/>
        </w:rPr>
        <w:t xml:space="preserve">, thus emphasising the importance of SPI-1 for </w:t>
      </w:r>
      <w:r>
        <w:rPr>
          <w:rFonts w:ascii="Times New Roman" w:hAnsi="Times New Roman" w:cs="Times New Roman"/>
          <w:i/>
          <w:iCs/>
        </w:rPr>
        <w:t xml:space="preserve">S. </w:t>
      </w:r>
      <w:r>
        <w:rPr>
          <w:rFonts w:ascii="Times New Roman" w:hAnsi="Times New Roman" w:cs="Times New Roman"/>
        </w:rPr>
        <w:t xml:space="preserve">Typhimurium invasion. Additionally, a </w:t>
      </w:r>
      <w:r>
        <w:rPr>
          <w:rFonts w:ascii="Times New Roman" w:hAnsi="Times New Roman" w:cs="Times New Roman"/>
          <w:i/>
          <w:iCs/>
        </w:rPr>
        <w:t xml:space="preserve">Salmonella enterica </w:t>
      </w:r>
      <w:r>
        <w:rPr>
          <w:rFonts w:ascii="Times New Roman" w:hAnsi="Times New Roman" w:cs="Times New Roman"/>
        </w:rPr>
        <w:t>serovar</w:t>
      </w:r>
      <w:r>
        <w:rPr>
          <w:rFonts w:ascii="Times New Roman" w:hAnsi="Times New Roman" w:cs="Times New Roman"/>
          <w:i/>
          <w:iCs/>
        </w:rPr>
        <w:t xml:space="preserve"> </w:t>
      </w:r>
      <w:r>
        <w:rPr>
          <w:rFonts w:ascii="Times New Roman" w:hAnsi="Times New Roman" w:cs="Times New Roman"/>
        </w:rPr>
        <w:t>Typhi (p)ppGpp</w:t>
      </w:r>
      <w:r>
        <w:rPr>
          <w:rFonts w:ascii="Times New Roman" w:hAnsi="Times New Roman" w:cs="Times New Roman"/>
          <w:vertAlign w:val="superscript"/>
        </w:rPr>
        <w:t>0</w:t>
      </w:r>
      <w:r>
        <w:rPr>
          <w:rFonts w:ascii="Times New Roman" w:hAnsi="Times New Roman" w:cs="Times New Roman"/>
        </w:rPr>
        <w:t xml:space="preserve"> mutant was less able to adhere to and invade IECs</w:t>
      </w:r>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&lt;EndNote&gt;&lt;Cite&gt;&lt;Author&gt;Dasgupta&lt;/Author&gt;&lt;Year&gt;2019&lt;/Year&gt;&lt;IDText&gt;Small alarmones (p)ppGpp regulate virulence associated traits and pathogenesis of Salmonella enterica serovar Typhi&lt;/IDText&gt;&lt;DisplayText&gt;(Dasgupta&lt;style face="italic"&gt; et al.&lt;/style&gt;, 2019)&lt;/DisplayText&gt;&lt;record&gt;&lt;keywords&gt;&lt;keyword&gt;(p)ppGpp,RelA,Salmonella Typhi,SpoT,Vi antigen,stringent response&lt;/keyword&gt;&lt;/keywords&gt;&lt;isbn&gt;14625822&lt;/isbn&gt;&lt;titles&gt;&lt;title&gt;Small alarmones (p)ppGpp regulate virulence associated traits and pathogenesis of Salmonella enterica serovar Typhi&lt;/title&gt;&lt;secondary-title&gt;Cellular Microbiology&lt;/secondary-title&gt;&lt;/titles&gt;&lt;number&gt;8&lt;/number&gt;&lt;contributors&gt;&lt;authors&gt;&lt;author&gt;Dasgupta, Shreya&lt;/author&gt;&lt;author&gt;Das, Sayan&lt;/author&gt;&lt;author&gt;Biswas, Asim&lt;/author&gt;&lt;author&gt;Bhadra, Rupak K.&lt;/author&gt;&lt;author&gt;Das, Santasabuj&lt;/author&gt;&lt;/authors&gt;&lt;/contributors&gt;&lt;added-date format="utc"&gt;1584368906&lt;/added-date&gt;&lt;ref-type name="Journal Article"&gt;17&lt;/ref-type&gt;&lt;dates&gt;&lt;year&gt;2019&lt;/year&gt;&lt;/dates&gt;&lt;rec-number&gt;12&lt;/rec-number&gt;&lt;last-updated-date format="utc"&gt;1678149258&lt;/last-updated-date&gt;&lt;accession-num&gt;Dasgupta2019&lt;/accession-num&gt;&lt;electronic-resource-num&gt;10.1111/cmi.13034&lt;/electronic-resource-num&gt;&lt;volume&gt;21&lt;/volume&gt;&lt;/record&gt;&lt;/Cite&gt;&lt;/EndNote&gt;</w:instrText>
      </w:r>
      <w:r>
        <w:rPr>
          <w:rFonts w:ascii="Times New Roman" w:hAnsi="Times New Roman" w:cs="Times New Roman"/>
          <w:b/>
          <w:bCs/>
        </w:rPr>
        <w:fldChar w:fldCharType="separate"/>
      </w:r>
      <w:r>
        <w:rPr>
          <w:rFonts w:ascii="Times New Roman" w:hAnsi="Times New Roman" w:cs="Times New Roman"/>
          <w:b/>
          <w:bCs/>
          <w:noProof/>
        </w:rPr>
        <w:t>(Dasgupta</w:t>
      </w:r>
      <w:r w:rsidRPr="005E08FB">
        <w:rPr>
          <w:rFonts w:ascii="Times New Roman" w:hAnsi="Times New Roman" w:cs="Times New Roman"/>
          <w:b/>
          <w:bCs/>
          <w:i/>
          <w:noProof/>
        </w:rPr>
        <w:t xml:space="preserve"> et al.</w:t>
      </w:r>
      <w:r>
        <w:rPr>
          <w:rFonts w:ascii="Times New Roman" w:hAnsi="Times New Roman" w:cs="Times New Roman"/>
          <w:b/>
          <w:bCs/>
          <w:noProof/>
        </w:rPr>
        <w:t>, 2019)</w:t>
      </w:r>
      <w:r>
        <w:rPr>
          <w:rFonts w:ascii="Times New Roman" w:hAnsi="Times New Roman" w:cs="Times New Roman"/>
          <w:b/>
          <w:bCs/>
        </w:rPr>
        <w:fldChar w:fldCharType="end"/>
      </w:r>
      <w:r>
        <w:rPr>
          <w:rFonts w:ascii="Times New Roman" w:hAnsi="Times New Roman" w:cs="Times New Roman"/>
        </w:rPr>
        <w:t xml:space="preserve">. Fewer colonies of an </w:t>
      </w:r>
      <w:r>
        <w:rPr>
          <w:rFonts w:ascii="Times New Roman" w:hAnsi="Times New Roman" w:cs="Times New Roman"/>
          <w:i/>
          <w:iCs/>
        </w:rPr>
        <w:t xml:space="preserve">E. faecalis rel </w:t>
      </w:r>
      <w:r>
        <w:rPr>
          <w:rFonts w:ascii="Times New Roman" w:hAnsi="Times New Roman" w:cs="Times New Roman"/>
        </w:rPr>
        <w:t xml:space="preserve">mutant </w:t>
      </w:r>
      <w:r w:rsidR="00A56CC3">
        <w:rPr>
          <w:rFonts w:ascii="Times New Roman" w:hAnsi="Times New Roman" w:cs="Times New Roman"/>
        </w:rPr>
        <w:t>were</w:t>
      </w:r>
      <w:r>
        <w:rPr>
          <w:rFonts w:ascii="Times New Roman" w:hAnsi="Times New Roman" w:cs="Times New Roman"/>
        </w:rPr>
        <w:t xml:space="preserve"> recovered from rabbit heart valves in comparison to WT and this was attributed to a decreased ability to invade the cardiac endothelium rather than dissemination </w:t>
      </w:r>
      <w:r w:rsidRPr="00C54E91">
        <w:rPr>
          <w:rFonts w:ascii="Times New Roman" w:hAnsi="Times New Roman" w:cs="Times New Roman"/>
          <w:b/>
          <w:bCs/>
        </w:rPr>
        <w:fldChar w:fldCharType="begin"/>
      </w:r>
      <w:r w:rsidRPr="00C54E91">
        <w:rPr>
          <w:rFonts w:ascii="Times New Roman" w:hAnsi="Times New Roman" w:cs="Times New Roman"/>
          <w:b/>
          <w:bCs/>
        </w:rPr>
        <w:instrText xml:space="preserve"> ADDIN EN.CITE &lt;EndNote&gt;&lt;Cite&gt;&lt;Author&gt;Colomer-Winter&lt;/Author&gt;&lt;Year&gt;2017&lt;/Year&gt;&lt;IDText&gt;Association of metal homeostasis and (p)ppGpp regulation in the pathophysiology of Enterococcus faecalis&lt;/IDText&gt;&lt;DisplayText&gt;(Colomer-Winter, 2017)&lt;/DisplayText&gt;&lt;record&gt;&lt;keywords&gt;&lt;keyword&gt;(p)ppGpp,Enterococcus,Manganese,Metal homeostasis,Nutritional immunity,Oxidative stress&lt;/keyword&gt;&lt;/keywords&gt;&lt;isbn&gt;10985522&lt;/isbn&gt;&lt;titles&gt;&lt;title&gt;Association of metal homeostasis and (p)ppGpp regulation in the pathophysiology of Enterococcus faecalis&lt;/title&gt;&lt;secondary-title&gt;Infection and Immunity&lt;/secondary-title&gt;&lt;/titles&gt;&lt;contributors&gt;&lt;authors&gt;&lt;author&gt;Colomer-Winter, C. and Gaca A. O. and Lemos J. A.&lt;/author&gt;&lt;/authors&gt;&lt;/contributors&gt;&lt;added-date format="utc"&gt;1584368906&lt;/added-date&gt;&lt;ref-type name="Journal Article"&gt;17&lt;/ref-type&gt;&lt;dates&gt;&lt;year&gt;2017&lt;/year&gt;&lt;/dates&gt;&lt;rec-number&gt;9&lt;/rec-number&gt;&lt;last-updated-date format="utc"&gt;1678058042&lt;/last-updated-date&gt;&lt;accession-num&gt;Colomer-Winter2017&lt;/accession-num&gt;&lt;electronic-resource-num&gt;10.1128/IAI.00260-17&lt;/electronic-resource-num&gt;&lt;/record&gt;&lt;/Cite&gt;&lt;/EndNote&gt;</w:instrText>
      </w:r>
      <w:r w:rsidRPr="00C54E91">
        <w:rPr>
          <w:rFonts w:ascii="Times New Roman" w:hAnsi="Times New Roman" w:cs="Times New Roman"/>
          <w:b/>
          <w:bCs/>
        </w:rPr>
        <w:fldChar w:fldCharType="separate"/>
      </w:r>
      <w:r w:rsidRPr="00C54E91">
        <w:rPr>
          <w:rFonts w:ascii="Times New Roman" w:hAnsi="Times New Roman" w:cs="Times New Roman"/>
          <w:b/>
          <w:bCs/>
          <w:noProof/>
        </w:rPr>
        <w:t>(Colomer-Winter, 2017)</w:t>
      </w:r>
      <w:r w:rsidRPr="00C54E91">
        <w:rPr>
          <w:rFonts w:ascii="Times New Roman" w:hAnsi="Times New Roman" w:cs="Times New Roman"/>
          <w:b/>
          <w:bCs/>
        </w:rPr>
        <w:fldChar w:fldCharType="end"/>
      </w:r>
      <w:r>
        <w:rPr>
          <w:rFonts w:ascii="Times New Roman" w:hAnsi="Times New Roman" w:cs="Times New Roman"/>
        </w:rPr>
        <w:t>. Taken together, these studies demonstrate that (p)ppGpp has a role in regulating virulence factors</w:t>
      </w:r>
      <w:r w:rsidR="00A56CC3">
        <w:rPr>
          <w:rFonts w:ascii="Times New Roman" w:hAnsi="Times New Roman" w:cs="Times New Roman"/>
        </w:rPr>
        <w:t>,</w:t>
      </w:r>
      <w:r>
        <w:rPr>
          <w:rFonts w:ascii="Times New Roman" w:hAnsi="Times New Roman" w:cs="Times New Roman"/>
        </w:rPr>
        <w:t xml:space="preserve"> and its absence significantly decreases the virulence of many pathogens</w:t>
      </w:r>
      <w:r w:rsidR="00A56CC3">
        <w:rPr>
          <w:rFonts w:ascii="Times New Roman" w:hAnsi="Times New Roman" w:cs="Times New Roman"/>
        </w:rPr>
        <w:t xml:space="preserve"> by affecting the key virulence determinants involved in adhesion and invasion</w:t>
      </w:r>
      <w:r>
        <w:rPr>
          <w:rFonts w:ascii="Times New Roman" w:hAnsi="Times New Roman" w:cs="Times New Roman"/>
        </w:rPr>
        <w:t>.</w:t>
      </w:r>
    </w:p>
    <w:p w14:paraId="277FFAC2" w14:textId="77777777" w:rsidR="00033564" w:rsidRDefault="00033564" w:rsidP="00033564">
      <w:pPr>
        <w:pStyle w:val="Heading4"/>
      </w:pPr>
      <w:r>
        <w:t>1.2.3.2. Immune evasion and biofilm formation</w:t>
      </w:r>
    </w:p>
    <w:p w14:paraId="73C3A330" w14:textId="77777777" w:rsidR="00033564" w:rsidRDefault="00033564" w:rsidP="00033564"/>
    <w:p w14:paraId="335869EA" w14:textId="323013B1" w:rsidR="00033564" w:rsidRDefault="00033564" w:rsidP="00033564">
      <w:pPr>
        <w:spacing w:line="360" w:lineRule="auto"/>
        <w:jc w:val="both"/>
        <w:rPr>
          <w:rFonts w:ascii="Times New Roman" w:hAnsi="Times New Roman" w:cs="Times New Roman"/>
        </w:rPr>
      </w:pPr>
      <w:r w:rsidRPr="00E662D2">
        <w:rPr>
          <w:rFonts w:ascii="Times New Roman" w:hAnsi="Times New Roman" w:cs="Times New Roman"/>
        </w:rPr>
        <w:t>Many of the virulence factors encoded by pathogens have a role in evading the immune system in order to ensure survival.</w:t>
      </w:r>
      <w:r>
        <w:rPr>
          <w:rFonts w:ascii="Times New Roman" w:hAnsi="Times New Roman" w:cs="Times New Roman"/>
        </w:rPr>
        <w:t xml:space="preserve"> In </w:t>
      </w:r>
      <w:r>
        <w:rPr>
          <w:rFonts w:ascii="Times New Roman" w:hAnsi="Times New Roman" w:cs="Times New Roman"/>
          <w:i/>
          <w:iCs/>
        </w:rPr>
        <w:t xml:space="preserve">S. aureus, </w:t>
      </w:r>
      <w:r>
        <w:rPr>
          <w:rFonts w:ascii="Times New Roman" w:hAnsi="Times New Roman" w:cs="Times New Roman"/>
        </w:rPr>
        <w:t xml:space="preserve">the PSMs are required for neutrophil lysis </w:t>
      </w:r>
      <w:r w:rsidRPr="007E3A69">
        <w:rPr>
          <w:rFonts w:ascii="Times New Roman" w:hAnsi="Times New Roman" w:cs="Times New Roman"/>
          <w:b/>
          <w:bCs/>
        </w:rPr>
        <w:fldChar w:fldCharType="begin"/>
      </w:r>
      <w:r w:rsidRPr="007E3A69">
        <w:rPr>
          <w:rFonts w:ascii="Times New Roman" w:hAnsi="Times New Roman" w:cs="Times New Roman"/>
          <w:b/>
          <w:bCs/>
        </w:rPr>
        <w:instrText xml:space="preserve"> ADDIN EN.CITE &lt;EndNote&gt;&lt;Cite&gt;&lt;Author&gt;Wang&lt;/Author&gt;&lt;Year&gt;2007&lt;/Year&gt;&lt;IDText&gt;Identification of novel cytolytic peptides as key virulence determinants for community-associated MRSA&lt;/IDText&gt;&lt;DisplayText&gt;(Wang&lt;style face="italic"&gt; et al.&lt;/style&gt;, 2007)&lt;/DisplayText&gt;&lt;record&gt;&lt;dates&gt;&lt;pub-dates&gt;&lt;date&gt;Dec&lt;/date&gt;&lt;/pub-dates&gt;&lt;year&gt;2007&lt;/year&gt;&lt;/dates&gt;&lt;urls&gt;&lt;related-urls&gt;&lt;url&gt;&amp;lt;Go to ISI&amp;gt;://WOS:000251445400027&lt;/url&gt;&lt;/related-urls&gt;&lt;/urls&gt;&lt;isbn&gt;1078-8956&lt;/isbn&gt;&lt;titles&gt;&lt;title&gt;Identification of novel cytolytic peptides as key virulence determinants for community-associated MRSA&lt;/title&gt;&lt;secondary-title&gt;Nature Medicine&lt;/secondary-title&gt;&lt;/titles&gt;&lt;pages&gt;1510-1514&lt;/pages&gt;&lt;number&gt;12&lt;/number&gt;&lt;contributors&gt;&lt;authors&gt;&lt;author&gt;Wang, R.&lt;/author&gt;&lt;author&gt;Braughton, K. R.&lt;/author&gt;&lt;author&gt;Kretschmer, D.&lt;/author&gt;&lt;author&gt;Bach, T. H. L.&lt;/author&gt;&lt;author&gt;Queck, S. Y.&lt;/author&gt;&lt;author&gt;Li, M.&lt;/author&gt;&lt;author&gt;Kennedy, A. D.&lt;/author&gt;&lt;author&gt;Dorward, D. W.&lt;/author&gt;&lt;author&gt;Klebanoff, S. J.&lt;/author&gt;&lt;author&gt;Peschel, A.&lt;/author&gt;&lt;author&gt;Deleo, F. R.&lt;/author&gt;&lt;author&gt;Otto, M.&lt;/author&gt;&lt;/authors&gt;&lt;/contributors&gt;&lt;added-date format="utc"&gt;1677714538&lt;/added-date&gt;&lt;ref-type name="Journal Article"&gt;17&lt;/ref-type&gt;&lt;rec-number&gt;629&lt;/rec-number&gt;&lt;last-updated-date format="utc"&gt;1678058042&lt;/last-updated-date&gt;&lt;accession-num&gt;WOS:000251445400027&lt;/accession-num&gt;&lt;electronic-resource-num&gt;10.1038/nm1656&lt;/electronic-resource-num&gt;&lt;volume&gt;13&lt;/volume&gt;&lt;/record&gt;&lt;/Cite&gt;&lt;/EndNote&gt;</w:instrText>
      </w:r>
      <w:r w:rsidRPr="007E3A69">
        <w:rPr>
          <w:rFonts w:ascii="Times New Roman" w:hAnsi="Times New Roman" w:cs="Times New Roman"/>
          <w:b/>
          <w:bCs/>
        </w:rPr>
        <w:fldChar w:fldCharType="separate"/>
      </w:r>
      <w:r w:rsidRPr="007E3A69">
        <w:rPr>
          <w:rFonts w:ascii="Times New Roman" w:hAnsi="Times New Roman" w:cs="Times New Roman"/>
          <w:b/>
          <w:bCs/>
          <w:noProof/>
        </w:rPr>
        <w:t>(Wang</w:t>
      </w:r>
      <w:r w:rsidRPr="007E3A69">
        <w:rPr>
          <w:rFonts w:ascii="Times New Roman" w:hAnsi="Times New Roman" w:cs="Times New Roman"/>
          <w:b/>
          <w:bCs/>
          <w:i/>
          <w:noProof/>
        </w:rPr>
        <w:t xml:space="preserve"> et al.</w:t>
      </w:r>
      <w:r w:rsidRPr="007E3A69">
        <w:rPr>
          <w:rFonts w:ascii="Times New Roman" w:hAnsi="Times New Roman" w:cs="Times New Roman"/>
          <w:b/>
          <w:bCs/>
          <w:noProof/>
        </w:rPr>
        <w:t>, 2007)</w:t>
      </w:r>
      <w:r w:rsidRPr="007E3A69">
        <w:rPr>
          <w:rFonts w:ascii="Times New Roman" w:hAnsi="Times New Roman" w:cs="Times New Roman"/>
          <w:b/>
          <w:bCs/>
        </w:rPr>
        <w:fldChar w:fldCharType="end"/>
      </w:r>
      <w:r>
        <w:rPr>
          <w:rFonts w:ascii="Times New Roman" w:hAnsi="Times New Roman" w:cs="Times New Roman"/>
        </w:rPr>
        <w:t>, a prerequisite for dissemination. Induction of Rel</w:t>
      </w:r>
      <w:r>
        <w:rPr>
          <w:rFonts w:ascii="Times New Roman" w:hAnsi="Times New Roman" w:cs="Times New Roman"/>
          <w:i/>
          <w:iCs/>
        </w:rPr>
        <w:t xml:space="preserve"> </w:t>
      </w:r>
      <w:r>
        <w:rPr>
          <w:rFonts w:ascii="Times New Roman" w:hAnsi="Times New Roman" w:cs="Times New Roman"/>
        </w:rPr>
        <w:t xml:space="preserve">post-phagocytosis by PMNs led to </w:t>
      </w:r>
      <w:r w:rsidR="00A56CC3">
        <w:rPr>
          <w:rFonts w:ascii="Times New Roman" w:hAnsi="Times New Roman" w:cs="Times New Roman"/>
        </w:rPr>
        <w:t xml:space="preserve">the </w:t>
      </w:r>
      <w:r>
        <w:rPr>
          <w:rFonts w:ascii="Times New Roman" w:hAnsi="Times New Roman" w:cs="Times New Roman"/>
        </w:rPr>
        <w:t xml:space="preserve">upregulation of the PSMs, which increased survival of </w:t>
      </w:r>
      <w:r>
        <w:rPr>
          <w:rFonts w:ascii="Times New Roman" w:hAnsi="Times New Roman" w:cs="Times New Roman"/>
          <w:i/>
          <w:iCs/>
        </w:rPr>
        <w:t>S. aureus</w:t>
      </w:r>
      <w:r>
        <w:rPr>
          <w:rFonts w:ascii="Times New Roman" w:hAnsi="Times New Roman" w:cs="Times New Roman"/>
          <w:i/>
          <w:iCs/>
        </w:rPr>
        <w:softHyphen/>
        <w:t xml:space="preserve"> </w:t>
      </w:r>
      <w:r w:rsidRPr="00B40EE3">
        <w:rPr>
          <w:rFonts w:ascii="Times New Roman" w:hAnsi="Times New Roman" w:cs="Times New Roman"/>
          <w:b/>
          <w:bCs/>
        </w:rPr>
        <w:fldChar w:fldCharType="begin"/>
      </w:r>
      <w:r w:rsidRPr="00B40EE3">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format="utc"&gt;1678058042&lt;/last-updated-date&gt;&lt;accession-num&gt;DRCI:DATA2013076003393588&lt;/accession-num&gt;&lt;volume&gt;1&lt;/volume&gt;&lt;/record&gt;&lt;/Cite&gt;&lt;/EndNote&gt;</w:instrText>
      </w:r>
      <w:r w:rsidRPr="00B40EE3">
        <w:rPr>
          <w:rFonts w:ascii="Times New Roman" w:hAnsi="Times New Roman" w:cs="Times New Roman"/>
          <w:b/>
          <w:bCs/>
        </w:rPr>
        <w:fldChar w:fldCharType="separate"/>
      </w:r>
      <w:r w:rsidRPr="00B40EE3">
        <w:rPr>
          <w:rFonts w:ascii="Times New Roman" w:hAnsi="Times New Roman" w:cs="Times New Roman"/>
          <w:b/>
          <w:bCs/>
          <w:noProof/>
        </w:rPr>
        <w:t>(Geiger et al., 2012)</w:t>
      </w:r>
      <w:r w:rsidRPr="00B40EE3">
        <w:rPr>
          <w:rFonts w:ascii="Times New Roman" w:hAnsi="Times New Roman" w:cs="Times New Roman"/>
          <w:b/>
          <w:bCs/>
        </w:rPr>
        <w:fldChar w:fldCharType="end"/>
      </w:r>
      <w:r>
        <w:rPr>
          <w:rFonts w:ascii="Times New Roman" w:hAnsi="Times New Roman" w:cs="Times New Roman"/>
        </w:rPr>
        <w:t xml:space="preserve">. Accordingly, </w:t>
      </w:r>
      <w:r>
        <w:rPr>
          <w:rFonts w:ascii="Times New Roman" w:hAnsi="Times New Roman" w:cs="Times New Roman"/>
          <w:i/>
          <w:iCs/>
        </w:rPr>
        <w:t>psm</w:t>
      </w:r>
      <w:r>
        <w:rPr>
          <w:rFonts w:ascii="Times New Roman" w:hAnsi="Times New Roman" w:cs="Times New Roman"/>
        </w:rPr>
        <w:t xml:space="preserve"> and </w:t>
      </w:r>
      <w:r>
        <w:rPr>
          <w:rFonts w:ascii="Times New Roman" w:hAnsi="Times New Roman" w:cs="Times New Roman"/>
          <w:i/>
          <w:iCs/>
        </w:rPr>
        <w:t>rel</w:t>
      </w:r>
      <w:r>
        <w:rPr>
          <w:rFonts w:ascii="Times New Roman" w:hAnsi="Times New Roman" w:cs="Times New Roman"/>
        </w:rPr>
        <w:t xml:space="preserve"> mutants demonstrated decreased survival post-phagocytosis </w:t>
      </w:r>
      <w:r w:rsidRPr="007E3A69">
        <w:rPr>
          <w:rFonts w:ascii="Times New Roman" w:hAnsi="Times New Roman" w:cs="Times New Roman"/>
          <w:b/>
          <w:bCs/>
        </w:rPr>
        <w:fldChar w:fldCharType="begin"/>
      </w:r>
      <w:r w:rsidRPr="007E3A69">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format="utc"&gt;1678058042&lt;/last-updated-date&gt;&lt;accession-num&gt;DRCI:DATA2013076003393588&lt;/accession-num&gt;&lt;volume&gt;1&lt;/volume&gt;&lt;/record&gt;&lt;/Cite&gt;&lt;/EndNote&gt;</w:instrText>
      </w:r>
      <w:r w:rsidRPr="007E3A69">
        <w:rPr>
          <w:rFonts w:ascii="Times New Roman" w:hAnsi="Times New Roman" w:cs="Times New Roman"/>
          <w:b/>
          <w:bCs/>
        </w:rPr>
        <w:fldChar w:fldCharType="separate"/>
      </w:r>
      <w:r w:rsidRPr="007E3A69">
        <w:rPr>
          <w:rFonts w:ascii="Times New Roman" w:hAnsi="Times New Roman" w:cs="Times New Roman"/>
          <w:b/>
          <w:bCs/>
          <w:noProof/>
        </w:rPr>
        <w:t>(Geiger et al., 2012)</w:t>
      </w:r>
      <w:r w:rsidRPr="007E3A69">
        <w:rPr>
          <w:rFonts w:ascii="Times New Roman" w:hAnsi="Times New Roman" w:cs="Times New Roman"/>
          <w:b/>
          <w:bCs/>
        </w:rPr>
        <w:fldChar w:fldCharType="end"/>
      </w:r>
      <w:r>
        <w:rPr>
          <w:rFonts w:ascii="Times New Roman" w:hAnsi="Times New Roman" w:cs="Times New Roman"/>
        </w:rPr>
        <w:t xml:space="preserve">, implicating the PSMs in intracellular survival within PMNs. </w:t>
      </w:r>
      <w:r w:rsidRPr="006E5FDC">
        <w:rPr>
          <w:rFonts w:ascii="Times New Roman" w:hAnsi="Times New Roman" w:cs="Times New Roman"/>
        </w:rPr>
        <w:t>PSMα and not PSMβ specifically</w:t>
      </w:r>
      <w:r w:rsidR="00A56CC3">
        <w:rPr>
          <w:rFonts w:ascii="Times New Roman" w:hAnsi="Times New Roman" w:cs="Times New Roman"/>
        </w:rPr>
        <w:t>,</w:t>
      </w:r>
      <w:r w:rsidRPr="006E5FDC">
        <w:rPr>
          <w:rFonts w:ascii="Times New Roman" w:hAnsi="Times New Roman" w:cs="Times New Roman"/>
        </w:rPr>
        <w:t xml:space="preserve"> is necessary for phagosomal escape as Δ</w:t>
      </w:r>
      <w:r w:rsidRPr="0085453E">
        <w:rPr>
          <w:rFonts w:ascii="Times New Roman" w:hAnsi="Times New Roman" w:cs="Times New Roman"/>
          <w:i/>
          <w:iCs/>
        </w:rPr>
        <w:t>psm</w:t>
      </w:r>
      <w:r w:rsidRPr="006E5FDC">
        <w:rPr>
          <w:rFonts w:ascii="Times New Roman" w:hAnsi="Times New Roman" w:cs="Times New Roman"/>
        </w:rPr>
        <w:t>α mutants have reduced escape efficiencies while Δ</w:t>
      </w:r>
      <w:r w:rsidRPr="001A7E3F">
        <w:rPr>
          <w:rFonts w:ascii="Times New Roman" w:hAnsi="Times New Roman" w:cs="Times New Roman"/>
          <w:i/>
          <w:iCs/>
        </w:rPr>
        <w:t>psmβ</w:t>
      </w:r>
      <w:r w:rsidRPr="006E5FDC">
        <w:rPr>
          <w:rFonts w:ascii="Times New Roman" w:hAnsi="Times New Roman" w:cs="Times New Roman"/>
        </w:rPr>
        <w:t xml:space="preserve"> escape efficiencies are comparable to </w:t>
      </w:r>
      <w:r>
        <w:rPr>
          <w:rFonts w:ascii="Times New Roman" w:hAnsi="Times New Roman" w:cs="Times New Roman"/>
        </w:rPr>
        <w:t>WT</w:t>
      </w:r>
      <w:r w:rsidRPr="006E5FDC">
        <w:rPr>
          <w:rFonts w:ascii="Times New Roman" w:hAnsi="Times New Roman" w:cs="Times New Roman"/>
        </w:rPr>
        <w:t xml:space="preserve"> </w:t>
      </w:r>
      <w:r w:rsidRPr="006E5FDC">
        <w:rPr>
          <w:rFonts w:ascii="Times New Roman" w:hAnsi="Times New Roman" w:cs="Times New Roman"/>
          <w:b/>
          <w:bCs/>
        </w:rPr>
        <w:fldChar w:fldCharType="begin"/>
      </w:r>
      <w:r w:rsidRPr="006E5FDC">
        <w:rPr>
          <w:rFonts w:ascii="Times New Roman" w:hAnsi="Times New Roman" w:cs="Times New Roman"/>
          <w:b/>
          <w:bCs/>
        </w:rPr>
        <w:instrText xml:space="preserve"> ADDIN EN.CITE &lt;EndNote&gt;&lt;Cite&gt;&lt;Author&gt;Grosz&lt;/Author&gt;&lt;Year&gt;2014&lt;/Year&gt;&lt;IDText&gt;Cytoplasmic replication of Staphylococcus aureus upon phagosomal escape triggered by phenol-soluble modulin alpha&lt;/IDText&gt;&lt;DisplayText&gt;(Grosz&lt;style face="italic"&gt; et al.&lt;/style&gt;, 2014)&lt;/DisplayText&gt;&lt;record&gt;&lt;dates&gt;&lt;pub-dates&gt;&lt;date&gt;Apr&lt;/date&gt;&lt;/pub-dates&gt;&lt;year&gt;2014&lt;/year&gt;&lt;/dates&gt;&lt;urls&gt;&lt;related-urls&gt;&lt;/related-urls&gt;&lt;/urls&gt;&lt;isbn&gt;1462-5814&lt;/isbn&gt;&lt;titles&gt;&lt;title&gt;&lt;style font="default" size="100%"&gt;Cytoplasmic replication of &lt;/style&gt;&lt;style face="italic" font="default" size="100%"&gt;Staphylococcus aureus&lt;/style&gt;&lt;style font="default" size="100%"&gt; upon phagosomal escape triggered by phenol-soluble modulin alpha&lt;/style&gt;&lt;/title&gt;&lt;secondary-title&gt;Cellular Microbiology&lt;/secondary-title&gt;&lt;/titles&gt;&lt;pages&gt;451-465&lt;/pages&gt;&lt;number&gt;4&lt;/number&gt;&lt;contributors&gt;&lt;authors&gt;&lt;author&gt;Grosz, Magdalena&lt;/author&gt;&lt;author&gt;Kolter, Julia&lt;/author&gt;&lt;author&gt;Paprotka, Kerstin&lt;/author&gt;&lt;author&gt;Winkler, Ann-Cathrin&lt;/author&gt;&lt;author&gt;Schaefer, Daniel&lt;/author&gt;&lt;author&gt;Chatterjee, Som Subra&lt;/author&gt;&lt;author&gt;Geiger, Tobias&lt;/author&gt;&lt;author&gt;Wolz, Christiane&lt;/author&gt;&lt;author&gt;Ohlsen, Knut&lt;/author&gt;&lt;author&gt;Otto, Michael&lt;/author&gt;&lt;author&gt;Rudel, Thomas&lt;/author&gt;&lt;author&gt;Sinha, Bhanu&lt;/author&gt;&lt;author&gt;Fraunholz, Martin&lt;/author&gt;&lt;/authors&gt;&lt;/contributors&gt;&lt;added-date format="utc"&gt;1663623874&lt;/added-date&gt;&lt;ref-type name="Journal Article"&gt;17&lt;/ref-type&gt;&lt;rec-number&gt;136&lt;/rec-number&gt;&lt;last-updated-date format="utc"&gt;1678058042&lt;/last-updated-date&gt;&lt;accession-num&gt;WOS:000332950100001&lt;/accession-num&gt;&lt;electronic-resource-num&gt;10.1111/cmi.12233&lt;/electronic-resource-num&gt;&lt;volume&gt;16&lt;/volume&gt;&lt;/record&gt;&lt;/Cite&gt;&lt;/EndNote&gt;</w:instrText>
      </w:r>
      <w:r w:rsidRPr="006E5FDC">
        <w:rPr>
          <w:rFonts w:ascii="Times New Roman" w:hAnsi="Times New Roman" w:cs="Times New Roman"/>
          <w:b/>
          <w:bCs/>
        </w:rPr>
        <w:fldChar w:fldCharType="separate"/>
      </w:r>
      <w:r w:rsidRPr="006E5FDC">
        <w:rPr>
          <w:rFonts w:ascii="Times New Roman" w:hAnsi="Times New Roman" w:cs="Times New Roman"/>
          <w:b/>
          <w:bCs/>
          <w:noProof/>
        </w:rPr>
        <w:t>(Grosz</w:t>
      </w:r>
      <w:r w:rsidRPr="006E5FDC">
        <w:rPr>
          <w:rFonts w:ascii="Times New Roman" w:hAnsi="Times New Roman" w:cs="Times New Roman"/>
          <w:b/>
          <w:bCs/>
          <w:i/>
          <w:noProof/>
        </w:rPr>
        <w:t xml:space="preserve"> et al.</w:t>
      </w:r>
      <w:r w:rsidRPr="006E5FDC">
        <w:rPr>
          <w:rFonts w:ascii="Times New Roman" w:hAnsi="Times New Roman" w:cs="Times New Roman"/>
          <w:b/>
          <w:bCs/>
          <w:noProof/>
        </w:rPr>
        <w:t>, 2014)</w:t>
      </w:r>
      <w:r w:rsidRPr="006E5FDC">
        <w:rPr>
          <w:rFonts w:ascii="Times New Roman" w:hAnsi="Times New Roman" w:cs="Times New Roman"/>
          <w:b/>
          <w:bCs/>
        </w:rPr>
        <w:fldChar w:fldCharType="end"/>
      </w:r>
      <w:r>
        <w:rPr>
          <w:rFonts w:ascii="Times New Roman" w:hAnsi="Times New Roman" w:cs="Times New Roman"/>
        </w:rPr>
        <w:t xml:space="preserve">. </w:t>
      </w:r>
      <w:r w:rsidRPr="0085453E">
        <w:rPr>
          <w:rFonts w:ascii="Times New Roman" w:hAnsi="Times New Roman" w:cs="Times New Roman"/>
        </w:rPr>
        <w:t>Dasgupta and colleagues</w:t>
      </w:r>
      <w:r>
        <w:rPr>
          <w:rFonts w:ascii="Times New Roman" w:hAnsi="Times New Roman" w:cs="Times New Roman"/>
        </w:rPr>
        <w:t xml:space="preserve"> </w:t>
      </w:r>
      <w:r w:rsidR="00A56CC3">
        <w:rPr>
          <w:rFonts w:ascii="Times New Roman" w:hAnsi="Times New Roman" w:cs="Times New Roman"/>
        </w:rPr>
        <w:t xml:space="preserve">have </w:t>
      </w:r>
      <w:r>
        <w:rPr>
          <w:rFonts w:ascii="Times New Roman" w:hAnsi="Times New Roman" w:cs="Times New Roman"/>
        </w:rPr>
        <w:t xml:space="preserve">demonstrated that (p)ppGpp is involved in capsular polysaccharide formation in </w:t>
      </w:r>
      <w:r>
        <w:rPr>
          <w:rFonts w:ascii="Times New Roman" w:hAnsi="Times New Roman" w:cs="Times New Roman"/>
          <w:i/>
          <w:iCs/>
        </w:rPr>
        <w:t xml:space="preserve">S. </w:t>
      </w:r>
      <w:r>
        <w:rPr>
          <w:rFonts w:ascii="Times New Roman" w:hAnsi="Times New Roman" w:cs="Times New Roman"/>
        </w:rPr>
        <w:t>Typhi</w:t>
      </w:r>
      <w:r>
        <w:rPr>
          <w:rFonts w:ascii="Times New Roman" w:hAnsi="Times New Roman" w:cs="Times New Roman"/>
          <w:i/>
          <w:iCs/>
        </w:rPr>
        <w:t xml:space="preserve"> </w:t>
      </w:r>
      <w:r>
        <w:rPr>
          <w:rFonts w:ascii="Times New Roman" w:hAnsi="Times New Roman" w:cs="Times New Roman"/>
        </w:rPr>
        <w:t>and a (p)ppGpp</w:t>
      </w:r>
      <w:r>
        <w:rPr>
          <w:rFonts w:ascii="Times New Roman" w:hAnsi="Times New Roman" w:cs="Times New Roman"/>
          <w:vertAlign w:val="superscript"/>
        </w:rPr>
        <w:t>0</w:t>
      </w:r>
      <w:r>
        <w:rPr>
          <w:rFonts w:ascii="Times New Roman" w:hAnsi="Times New Roman" w:cs="Times New Roman"/>
        </w:rPr>
        <w:t xml:space="preserve"> mutant was susceptible to complement-mediated lysis </w:t>
      </w:r>
      <w:r w:rsidRPr="005E08FB">
        <w:rPr>
          <w:rFonts w:ascii="Times New Roman" w:hAnsi="Times New Roman" w:cs="Times New Roman"/>
          <w:b/>
          <w:bCs/>
        </w:rPr>
        <w:fldChar w:fldCharType="begin"/>
      </w:r>
      <w:r w:rsidRPr="005E08FB">
        <w:rPr>
          <w:rFonts w:ascii="Times New Roman" w:hAnsi="Times New Roman" w:cs="Times New Roman"/>
          <w:b/>
          <w:bCs/>
        </w:rPr>
        <w:instrText xml:space="preserve"> ADDIN EN.CITE &lt;EndNote&gt;&lt;Cite&gt;&lt;Author&gt;Dasgupta&lt;/Author&gt;&lt;Year&gt;2019&lt;/Year&gt;&lt;IDText&gt;Small alarmones (p)ppGpp regulate virulence associated traits and pathogenesis of Salmonella enterica serovar Typhi&lt;/IDText&gt;&lt;DisplayText&gt;(Dasgupta&lt;style face="italic"&gt; et al.&lt;/style&gt;, 2019)&lt;/DisplayText&gt;&lt;record&gt;&lt;keywords&gt;&lt;keyword&gt;(p)ppGpp,RelA,Salmonella Typhi,SpoT,Vi antigen,stringent response&lt;/keyword&gt;&lt;/keywords&gt;&lt;isbn&gt;14625822&lt;/isbn&gt;&lt;titles&gt;&lt;title&gt;Small alarmones (p)ppGpp regulate virulence associated traits and pathogenesis of Salmonella enterica serovar Typhi&lt;/title&gt;&lt;secondary-title&gt;Cellular Microbiology&lt;/secondary-title&gt;&lt;/titles&gt;&lt;number&gt;8&lt;/number&gt;&lt;contributors&gt;&lt;authors&gt;&lt;author&gt;Dasgupta, Shreya&lt;/author&gt;&lt;author&gt;Das, Sayan&lt;/author&gt;&lt;author&gt;Biswas, Asim&lt;/author&gt;&lt;author&gt;Bhadra, Rupak K.&lt;/author&gt;&lt;author&gt;Das, Santasabuj&lt;/author&gt;&lt;/authors&gt;&lt;/contributors&gt;&lt;added-date format="utc"&gt;1584368906&lt;/added-date&gt;&lt;ref-type name="Journal Article"&gt;17&lt;/ref-type&gt;&lt;dates&gt;&lt;year&gt;2019&lt;/year&gt;&lt;/dates&gt;&lt;rec-number&gt;12&lt;/rec-number&gt;&lt;last-updated-date format="utc"&gt;1678149258&lt;/last-updated-date&gt;&lt;accession-num&gt;Dasgupta2019&lt;/accession-num&gt;&lt;electronic-resource-num&gt;10.1111/cmi.13034&lt;/electronic-resource-num&gt;&lt;volume&gt;21&lt;/volume&gt;&lt;/record&gt;&lt;/Cite&gt;&lt;/EndNote&gt;</w:instrText>
      </w:r>
      <w:r w:rsidRPr="005E08FB">
        <w:rPr>
          <w:rFonts w:ascii="Times New Roman" w:hAnsi="Times New Roman" w:cs="Times New Roman"/>
          <w:b/>
          <w:bCs/>
        </w:rPr>
        <w:fldChar w:fldCharType="separate"/>
      </w:r>
      <w:r w:rsidRPr="005E08FB">
        <w:rPr>
          <w:rFonts w:ascii="Times New Roman" w:hAnsi="Times New Roman" w:cs="Times New Roman"/>
          <w:b/>
          <w:bCs/>
          <w:noProof/>
        </w:rPr>
        <w:t>(Dasgupta</w:t>
      </w:r>
      <w:r w:rsidRPr="005E08FB">
        <w:rPr>
          <w:rFonts w:ascii="Times New Roman" w:hAnsi="Times New Roman" w:cs="Times New Roman"/>
          <w:b/>
          <w:bCs/>
          <w:i/>
          <w:noProof/>
        </w:rPr>
        <w:t xml:space="preserve"> et al.</w:t>
      </w:r>
      <w:r w:rsidRPr="005E08FB">
        <w:rPr>
          <w:rFonts w:ascii="Times New Roman" w:hAnsi="Times New Roman" w:cs="Times New Roman"/>
          <w:b/>
          <w:bCs/>
          <w:noProof/>
        </w:rPr>
        <w:t>, 2019)</w:t>
      </w:r>
      <w:r w:rsidRPr="005E08FB">
        <w:rPr>
          <w:rFonts w:ascii="Times New Roman" w:hAnsi="Times New Roman" w:cs="Times New Roman"/>
          <w:b/>
          <w:bCs/>
        </w:rPr>
        <w:fldChar w:fldCharType="end"/>
      </w:r>
      <w:r>
        <w:rPr>
          <w:rFonts w:ascii="Times New Roman" w:hAnsi="Times New Roman" w:cs="Times New Roman"/>
        </w:rPr>
        <w:t>.</w:t>
      </w:r>
    </w:p>
    <w:p w14:paraId="61E40B0D" w14:textId="6CBB4FD9" w:rsidR="00033564" w:rsidRPr="00F54309" w:rsidRDefault="00033564" w:rsidP="00033564">
      <w:pPr>
        <w:spacing w:line="360" w:lineRule="auto"/>
        <w:jc w:val="both"/>
        <w:rPr>
          <w:rFonts w:ascii="Times New Roman" w:hAnsi="Times New Roman" w:cs="Times New Roman"/>
        </w:rPr>
      </w:pPr>
      <w:r>
        <w:rPr>
          <w:rFonts w:ascii="Times New Roman" w:hAnsi="Times New Roman" w:cs="Times New Roman"/>
          <w:i/>
          <w:iCs/>
        </w:rPr>
        <w:tab/>
        <w:t>In vitro</w:t>
      </w:r>
      <w:r>
        <w:rPr>
          <w:rFonts w:ascii="Times New Roman" w:hAnsi="Times New Roman" w:cs="Times New Roman"/>
        </w:rPr>
        <w:t>, studies have demonstrated the role of the stringent response for survival under conditions that can be found within phagocytes. For example, pathogens encounter oxidative stress after phagocytosis as a host immune defence mechanism. (p)ppGpp</w:t>
      </w:r>
      <w:r>
        <w:rPr>
          <w:rFonts w:ascii="Times New Roman" w:hAnsi="Times New Roman" w:cs="Times New Roman"/>
          <w:vertAlign w:val="superscript"/>
        </w:rPr>
        <w:t>0</w:t>
      </w:r>
      <w:r>
        <w:rPr>
          <w:rFonts w:ascii="Times New Roman" w:hAnsi="Times New Roman" w:cs="Times New Roman"/>
        </w:rPr>
        <w:t xml:space="preserve"> mutants are more sensitive to oxidative stress e.g. by hydrogen peroxide (</w:t>
      </w:r>
      <w:r w:rsidRPr="00FE4869">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in multiple species including </w:t>
      </w:r>
      <w:r>
        <w:rPr>
          <w:rFonts w:ascii="Times New Roman" w:hAnsi="Times New Roman" w:cs="Times New Roman"/>
          <w:i/>
          <w:iCs/>
        </w:rPr>
        <w:t>S. aureus</w:t>
      </w:r>
      <w:r>
        <w:rPr>
          <w:rFonts w:ascii="Times New Roman" w:hAnsi="Times New Roman" w:cs="Times New Roman"/>
        </w:rPr>
        <w:t xml:space="preserve"> and </w:t>
      </w:r>
      <w:r>
        <w:rPr>
          <w:rFonts w:ascii="Times New Roman" w:hAnsi="Times New Roman" w:cs="Times New Roman"/>
          <w:i/>
          <w:iCs/>
        </w:rPr>
        <w:t xml:space="preserve">E. faecalis </w:t>
      </w:r>
      <w:r w:rsidRPr="00C01AEE">
        <w:rPr>
          <w:rFonts w:ascii="Times New Roman" w:hAnsi="Times New Roman" w:cs="Times New Roman"/>
          <w:b/>
          <w:bCs/>
        </w:rPr>
        <w:fldChar w:fldCharType="begin">
          <w:fldData xml:space="preserve">PEVuZE5vdGU+PENpdGU+PEF1dGhvcj5Ib3J2YXRlazwvQXV0aG9yPjxZZWFyPjIwMjA8L1llYXI+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</w:fldData>
        </w:fldChar>
      </w:r>
      <w:r w:rsidRPr="00C01AEE">
        <w:rPr>
          <w:rFonts w:ascii="Times New Roman" w:hAnsi="Times New Roman" w:cs="Times New Roman"/>
          <w:b/>
          <w:bCs/>
        </w:rPr>
        <w:instrText xml:space="preserve"> ADDIN EN.CITE </w:instrText>
      </w:r>
      <w:r w:rsidRPr="00C01AEE">
        <w:rPr>
          <w:rFonts w:ascii="Times New Roman" w:hAnsi="Times New Roman" w:cs="Times New Roman"/>
          <w:b/>
          <w:bCs/>
        </w:rPr>
        <w:fldChar w:fldCharType="begin">
          <w:fldData xml:space="preserve">PEVuZE5vdGU+PENpdGU+PEF1dGhvcj5Ib3J2YXRlazwvQXV0aG9yPjxZZWFyPjIwMjA8L1llYXI+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</w:fldData>
        </w:fldChar>
      </w:r>
      <w:r w:rsidRPr="00C01AEE">
        <w:rPr>
          <w:rFonts w:ascii="Times New Roman" w:hAnsi="Times New Roman" w:cs="Times New Roman"/>
          <w:b/>
          <w:bCs/>
        </w:rPr>
        <w:instrText xml:space="preserve"> ADDIN EN.CITE.DATA </w:instrText>
      </w:r>
      <w:r w:rsidRPr="00C01AEE">
        <w:rPr>
          <w:rFonts w:ascii="Times New Roman" w:hAnsi="Times New Roman" w:cs="Times New Roman"/>
          <w:b/>
          <w:bCs/>
        </w:rPr>
      </w:r>
      <w:r w:rsidRPr="00C01AEE">
        <w:rPr>
          <w:rFonts w:ascii="Times New Roman" w:hAnsi="Times New Roman" w:cs="Times New Roman"/>
          <w:b/>
          <w:bCs/>
        </w:rPr>
        <w:fldChar w:fldCharType="end"/>
      </w:r>
      <w:r w:rsidRPr="00C01AEE">
        <w:rPr>
          <w:rFonts w:ascii="Times New Roman" w:hAnsi="Times New Roman" w:cs="Times New Roman"/>
          <w:b/>
          <w:bCs/>
        </w:rPr>
      </w:r>
      <w:r w:rsidRPr="00C01AEE">
        <w:rPr>
          <w:rFonts w:ascii="Times New Roman" w:hAnsi="Times New Roman" w:cs="Times New Roman"/>
          <w:b/>
          <w:bCs/>
        </w:rPr>
        <w:fldChar w:fldCharType="separate"/>
      </w:r>
      <w:r w:rsidRPr="00C01AEE">
        <w:rPr>
          <w:rFonts w:ascii="Times New Roman" w:hAnsi="Times New Roman" w:cs="Times New Roman"/>
          <w:b/>
          <w:bCs/>
          <w:noProof/>
        </w:rPr>
        <w:t>(Horvatek et al., 2020; Yan et al., 2009; Holley et al., 2014; Wang et al., 2016)</w:t>
      </w:r>
      <w:r w:rsidRPr="00C01AEE">
        <w:rPr>
          <w:rFonts w:ascii="Times New Roman" w:hAnsi="Times New Roman" w:cs="Times New Roman"/>
          <w:b/>
          <w:bCs/>
        </w:rPr>
        <w:fldChar w:fldCharType="end"/>
      </w:r>
      <w:r>
        <w:rPr>
          <w:rFonts w:ascii="Times New Roman" w:hAnsi="Times New Roman" w:cs="Times New Roman"/>
        </w:rPr>
        <w:t xml:space="preserve">, </w:t>
      </w:r>
      <w:bookmarkStart w:id="34" w:name="_Hlk130407548"/>
      <w:r>
        <w:rPr>
          <w:rFonts w:ascii="Times New Roman" w:hAnsi="Times New Roman" w:cs="Times New Roman"/>
        </w:rPr>
        <w:t xml:space="preserve">indicating a role for the stringent response in tolerating oxidative stress. Indeed, (p)ppGpp was revealed to be necessary for tolerance to endogenous oxidative stress and antibiotics in </w:t>
      </w:r>
      <w:r>
        <w:rPr>
          <w:rFonts w:ascii="Times New Roman" w:hAnsi="Times New Roman" w:cs="Times New Roman"/>
          <w:i/>
          <w:iCs/>
        </w:rPr>
        <w:t>S. aureus</w:t>
      </w:r>
      <w:r>
        <w:rPr>
          <w:rFonts w:ascii="Times New Roman" w:hAnsi="Times New Roman" w:cs="Times New Roman"/>
        </w:rPr>
        <w:t xml:space="preserve"> and </w:t>
      </w:r>
      <w:r>
        <w:rPr>
          <w:rFonts w:ascii="Times New Roman" w:hAnsi="Times New Roman" w:cs="Times New Roman"/>
          <w:i/>
          <w:iCs/>
        </w:rPr>
        <w:t xml:space="preserve">P. aeruginosa </w:t>
      </w:r>
      <w:r w:rsidRPr="009B4D29">
        <w:rPr>
          <w:rFonts w:ascii="Times New Roman" w:hAnsi="Times New Roman" w:cs="Times New Roman"/>
          <w:b/>
          <w:bCs/>
        </w:rPr>
        <w:fldChar w:fldCharType="begin">
          <w:fldData xml:space="preserve">PEVuZE5vdGU+PENpdGU+PEF1dGhvcj5Gcml0c2NoPC9BdXRob3I+PFllYXI+MjAyMDwvWWVhcj48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PEVuZE5vdGU+PENpdGU+PEF1dGhvcj5Gcml0c2NoPC9BdXRob3I+PFllYXI+MjAyMDwvWWVhcj48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9B4D29">
        <w:rPr>
          <w:rFonts w:ascii="Times New Roman" w:hAnsi="Times New Roman" w:cs="Times New Roman"/>
          <w:b/>
          <w:bCs/>
        </w:rPr>
      </w:r>
      <w:r w:rsidRPr="009B4D29">
        <w:rPr>
          <w:rFonts w:ascii="Times New Roman" w:hAnsi="Times New Roman" w:cs="Times New Roman"/>
          <w:b/>
          <w:bCs/>
        </w:rPr>
        <w:fldChar w:fldCharType="separate"/>
      </w:r>
      <w:r>
        <w:rPr>
          <w:rFonts w:ascii="Times New Roman" w:hAnsi="Times New Roman" w:cs="Times New Roman"/>
          <w:b/>
          <w:bCs/>
          <w:noProof/>
        </w:rPr>
        <w:t>(Fritsch</w:t>
      </w:r>
      <w:r w:rsidRPr="00F54309">
        <w:rPr>
          <w:rFonts w:ascii="Times New Roman" w:hAnsi="Times New Roman" w:cs="Times New Roman"/>
          <w:b/>
          <w:bCs/>
          <w:i/>
          <w:noProof/>
        </w:rPr>
        <w:t xml:space="preserve"> et al.</w:t>
      </w:r>
      <w:r>
        <w:rPr>
          <w:rFonts w:ascii="Times New Roman" w:hAnsi="Times New Roman" w:cs="Times New Roman"/>
          <w:b/>
          <w:bCs/>
          <w:noProof/>
        </w:rPr>
        <w:t>, 2020; Khakimova</w:t>
      </w:r>
      <w:r w:rsidRPr="00F54309">
        <w:rPr>
          <w:rFonts w:ascii="Times New Roman" w:hAnsi="Times New Roman" w:cs="Times New Roman"/>
          <w:b/>
          <w:bCs/>
          <w:i/>
          <w:noProof/>
        </w:rPr>
        <w:t xml:space="preserve"> et al.</w:t>
      </w:r>
      <w:r>
        <w:rPr>
          <w:rFonts w:ascii="Times New Roman" w:hAnsi="Times New Roman" w:cs="Times New Roman"/>
          <w:b/>
          <w:bCs/>
          <w:noProof/>
        </w:rPr>
        <w:t>, 2013; Martins, 2018)</w:t>
      </w:r>
      <w:r w:rsidRPr="009B4D29">
        <w:rPr>
          <w:rFonts w:ascii="Times New Roman" w:hAnsi="Times New Roman" w:cs="Times New Roman"/>
          <w:b/>
          <w:bCs/>
        </w:rPr>
        <w:fldChar w:fldCharType="end"/>
      </w:r>
      <w:r>
        <w:rPr>
          <w:rFonts w:ascii="Times New Roman" w:hAnsi="Times New Roman" w:cs="Times New Roman"/>
        </w:rPr>
        <w:t xml:space="preserve">. Stringent response-mediated regulation of the catalases </w:t>
      </w:r>
      <w:r>
        <w:rPr>
          <w:rFonts w:ascii="Times New Roman" w:hAnsi="Times New Roman" w:cs="Times New Roman"/>
          <w:i/>
          <w:iCs/>
        </w:rPr>
        <w:t xml:space="preserve">katA </w:t>
      </w:r>
      <w:r>
        <w:rPr>
          <w:rFonts w:ascii="Times New Roman" w:hAnsi="Times New Roman" w:cs="Times New Roman"/>
        </w:rPr>
        <w:t xml:space="preserve">and </w:t>
      </w:r>
      <w:r>
        <w:rPr>
          <w:rFonts w:ascii="Times New Roman" w:hAnsi="Times New Roman" w:cs="Times New Roman"/>
          <w:i/>
          <w:iCs/>
        </w:rPr>
        <w:t>katB</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was necessary for </w:t>
      </w:r>
      <w:r w:rsidRPr="00FE4869">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 xml:space="preserve">2 </w:t>
      </w:r>
      <w:r>
        <w:rPr>
          <w:rFonts w:ascii="Times New Roman" w:hAnsi="Times New Roman" w:cs="Times New Roman"/>
        </w:rPr>
        <w:t xml:space="preserve">tolerance </w:t>
      </w:r>
      <w:r w:rsidRPr="00530074">
        <w:rPr>
          <w:rFonts w:ascii="Times New Roman" w:hAnsi="Times New Roman" w:cs="Times New Roman"/>
          <w:b/>
          <w:bCs/>
        </w:rPr>
        <w:fldChar w:fldCharType="begin"/>
      </w:r>
      <w:r w:rsidRPr="00530074">
        <w:rPr>
          <w:rFonts w:ascii="Times New Roman" w:hAnsi="Times New Roman" w:cs="Times New Roman"/>
          <w:b/>
          <w:bCs/>
        </w:rPr>
        <w:instrText xml:space="preserve"> ADDIN EN.CITE &lt;EndNote&gt;&lt;Cite&gt;&lt;Author&gt;Khakimova&lt;/Author&gt;&lt;Year&gt;2013&lt;/Year&gt;&lt;IDText&gt;The Stringent Response Controls Catalases in Pseudomonas aeruginosa and Is Required for Hydrogen Peroxide and Antibiotic Tolerance&lt;/IDText&gt;&lt;DisplayText&gt;(Khakimova&lt;style face="italic"&gt; et al.&lt;/style&gt;, 2013)&lt;/DisplayText&gt;&lt;record&gt;&lt;dates&gt;&lt;pub-dates&gt;&lt;date&gt;May&lt;/date&gt;&lt;/pub-dates&gt;&lt;year&gt;2013&lt;/year&gt;&lt;/dates&gt;&lt;urls&gt;&lt;related-urls&gt;&lt;url&gt;&amp;lt;Go to ISI&amp;gt;://WOS:000317410200018&lt;/url&gt;&lt;/related-urls&gt;&lt;/urls&gt;&lt;isbn&gt;0021-9193&lt;/isbn&gt;&lt;work-type&gt;Article&lt;/work-type&gt;&lt;titles&gt;&lt;title&gt;The Stringent Response Controls Catalases in Pseudomonas aeruginosa and Is Required for Hydrogen Peroxide and Antibiotic Tolerance&lt;/title&gt;&lt;secondary-title&gt;Journal of Bacteriology&lt;/secondary-title&gt;&lt;/titles&gt;&lt;pages&gt;2011-2020&lt;/pages&gt;&lt;number&gt;9&lt;/number&gt;&lt;contributors&gt;&lt;authors&gt;&lt;author&gt;Khakimova, Malika&lt;/author&gt;&lt;author&gt;Ahlgren, Heather G.&lt;/author&gt;&lt;author&gt;Harrison, Joe J.&lt;/author&gt;&lt;author&gt;English, Ann M.&lt;/author&gt;&lt;author&gt;Dao, Nguyen&lt;/author&gt;&lt;/authors&gt;&lt;/contributors&gt;&lt;added-date format="utc"&gt;1678918933&lt;/added-date&gt;&lt;ref-type name="Journal Article"&gt;17&lt;/ref-type&gt;&lt;rec-number&gt;778&lt;/rec-number&gt;&lt;last-updated-date format="utc"&gt;1678918933&lt;/last-updated-date&gt;&lt;accession-num&gt;WOS:000317410200018&lt;/accession-num&gt;&lt;electronic-resource-num&gt;10.1128/jb.02061-12&lt;/electronic-resource-num&gt;&lt;volume&gt;195&lt;/volume&gt;&lt;/record&gt;&lt;/Cite&gt;&lt;/EndNote&gt;</w:instrText>
      </w:r>
      <w:r w:rsidRPr="00530074">
        <w:rPr>
          <w:rFonts w:ascii="Times New Roman" w:hAnsi="Times New Roman" w:cs="Times New Roman"/>
          <w:b/>
          <w:bCs/>
        </w:rPr>
        <w:fldChar w:fldCharType="separate"/>
      </w:r>
      <w:r w:rsidRPr="00530074">
        <w:rPr>
          <w:rFonts w:ascii="Times New Roman" w:hAnsi="Times New Roman" w:cs="Times New Roman"/>
          <w:b/>
          <w:bCs/>
          <w:noProof/>
        </w:rPr>
        <w:t>(Khakimova</w:t>
      </w:r>
      <w:r w:rsidRPr="00530074">
        <w:rPr>
          <w:rFonts w:ascii="Times New Roman" w:hAnsi="Times New Roman" w:cs="Times New Roman"/>
          <w:b/>
          <w:bCs/>
          <w:i/>
          <w:noProof/>
        </w:rPr>
        <w:t xml:space="preserve"> et al.</w:t>
      </w:r>
      <w:r w:rsidRPr="00530074">
        <w:rPr>
          <w:rFonts w:ascii="Times New Roman" w:hAnsi="Times New Roman" w:cs="Times New Roman"/>
          <w:b/>
          <w:bCs/>
          <w:noProof/>
        </w:rPr>
        <w:t>, 2013)</w:t>
      </w:r>
      <w:r w:rsidRPr="00530074">
        <w:rPr>
          <w:rFonts w:ascii="Times New Roman" w:hAnsi="Times New Roman" w:cs="Times New Roman"/>
          <w:b/>
          <w:bCs/>
        </w:rPr>
        <w:fldChar w:fldCharType="end"/>
      </w:r>
      <w:r>
        <w:rPr>
          <w:rFonts w:ascii="Times New Roman" w:hAnsi="Times New Roman" w:cs="Times New Roman"/>
        </w:rPr>
        <w:t xml:space="preserve">.  Furthermore, SOD has been implicated as a major factor in the development of tolerance in </w:t>
      </w:r>
      <w:r>
        <w:rPr>
          <w:rFonts w:ascii="Times New Roman" w:hAnsi="Times New Roman" w:cs="Times New Roman"/>
          <w:i/>
          <w:iCs/>
        </w:rPr>
        <w:t xml:space="preserve">P. aeruginosa </w:t>
      </w:r>
      <w:r w:rsidRPr="00F54309">
        <w:rPr>
          <w:rFonts w:ascii="Times New Roman" w:hAnsi="Times New Roman" w:cs="Times New Roman"/>
          <w:b/>
          <w:bCs/>
        </w:rPr>
        <w:fldChar w:fldCharType="begin"/>
      </w:r>
      <w:r w:rsidRPr="00F54309">
        <w:rPr>
          <w:rFonts w:ascii="Times New Roman" w:hAnsi="Times New Roman" w:cs="Times New Roman"/>
          <w:b/>
          <w:bCs/>
        </w:rPr>
        <w:instrText xml:space="preserve"> ADDIN EN.CITE &lt;EndNote&gt;&lt;Cite&gt;&lt;Author&gt;Martins&lt;/Author&gt;&lt;Year&gt;2018&lt;/Year&gt;&lt;IDText&gt;Superoxide dismutase activity confers (p)ppGpp-mediated antibiotic tolerance to stationary- phase Pseudomonas aeruginosa&lt;/IDText&gt;&lt;DisplayText&gt;(Martins&lt;style face="italic"&gt; et al.&lt;/style&gt;, 2018)&lt;/DisplayText&gt;&lt;record&gt;&lt;dates&gt;&lt;pub-dates&gt;&lt;date&gt;Sep 25&lt;/date&gt;&lt;/pub-dates&gt;&lt;year&gt;2018&lt;/year&gt;&lt;/dates&gt;&lt;urls&gt;&lt;related-urls&gt;&lt;url&gt;&amp;lt;Go to ISI&amp;gt;://WOS:000445545200059&lt;/url&gt;&lt;/related-urls&gt;&lt;/urls&gt;&lt;isbn&gt;0027-8424&lt;/isbn&gt;&lt;work-type&gt;Article&lt;/work-type&gt;&lt;titles&gt;&lt;title&gt;Superoxide dismutase activity confers (p)ppGpp-mediated antibiotic tolerance to stationary- phase Pseudomonas aeruginosa&lt;/title&gt;&lt;secondary-title&gt;Proceedings of the National Academy of Sciences of the United States of America&lt;/secondary-title&gt;&lt;/titles&gt;&lt;pages&gt;9797-9802&lt;/pages&gt;&lt;number&gt;39&lt;/number&gt;&lt;contributors&gt;&lt;authors&gt;&lt;author&gt;Martins, Dorival&lt;/author&gt;&lt;author&gt;McKay, Geoffrey&lt;/author&gt;&lt;author&gt;Sampathkumar, Gowthami&lt;/author&gt;&lt;author&gt;Khakimova, Malika&lt;/author&gt;&lt;author&gt;English, Ann M.&lt;/author&gt;&lt;author&gt;Dao, Nguyen&lt;/author&gt;&lt;/authors&gt;&lt;/contributors&gt;&lt;added-date format="utc"&gt;1678920286&lt;/added-date&gt;&lt;ref-type name="Journal Article"&gt;17&lt;/ref-type&gt;&lt;rec-number&gt;779&lt;/rec-number&gt;&lt;last-updated-date format="utc"&gt;1678920286&lt;/last-updated-date&gt;&lt;accession-num&gt;WOS:000445545200059&lt;/accession-num&gt;&lt;electronic-resource-num&gt;10.1073/pnas.1804525115&lt;/electronic-resource-num&gt;&lt;volume&gt;115&lt;/volume&gt;&lt;/record&gt;&lt;/Cite&gt;&lt;/EndNote&gt;</w:instrText>
      </w:r>
      <w:r w:rsidRPr="00F54309">
        <w:rPr>
          <w:rFonts w:ascii="Times New Roman" w:hAnsi="Times New Roman" w:cs="Times New Roman"/>
          <w:b/>
          <w:bCs/>
        </w:rPr>
        <w:fldChar w:fldCharType="separate"/>
      </w:r>
      <w:r w:rsidRPr="00F54309">
        <w:rPr>
          <w:rFonts w:ascii="Times New Roman" w:hAnsi="Times New Roman" w:cs="Times New Roman"/>
          <w:b/>
          <w:bCs/>
          <w:noProof/>
        </w:rPr>
        <w:t>(Martins et al., 2018)</w:t>
      </w:r>
      <w:r w:rsidRPr="00F54309">
        <w:rPr>
          <w:rFonts w:ascii="Times New Roman" w:hAnsi="Times New Roman" w:cs="Times New Roman"/>
          <w:b/>
          <w:bCs/>
        </w:rPr>
        <w:fldChar w:fldCharType="end"/>
      </w:r>
      <w:r>
        <w:rPr>
          <w:rFonts w:ascii="Times New Roman" w:hAnsi="Times New Roman" w:cs="Times New Roman"/>
          <w:i/>
          <w:iCs/>
        </w:rPr>
        <w:t xml:space="preserve"> </w:t>
      </w:r>
      <w:r>
        <w:rPr>
          <w:rFonts w:ascii="Times New Roman" w:hAnsi="Times New Roman" w:cs="Times New Roman"/>
        </w:rPr>
        <w:t>- 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 xml:space="preserve"> produced endogenously and by immune cells, can be converted to diatomic oxygen and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by bacterial SodA/B as a mechanism of superoxide neutralisation. In</w:t>
      </w:r>
      <w:r w:rsidRPr="00F54309">
        <w:rPr>
          <w:rFonts w:ascii="Times New Roman" w:hAnsi="Times New Roman" w:cs="Times New Roman"/>
          <w:i/>
          <w:iCs/>
        </w:rPr>
        <w:t xml:space="preserve"> </w:t>
      </w:r>
      <w:r>
        <w:rPr>
          <w:rFonts w:ascii="Times New Roman" w:hAnsi="Times New Roman" w:cs="Times New Roman"/>
          <w:i/>
          <w:iCs/>
        </w:rPr>
        <w:t>P. aeruginosa</w:t>
      </w:r>
      <w:r>
        <w:rPr>
          <w:rFonts w:ascii="Times New Roman" w:hAnsi="Times New Roman" w:cs="Times New Roman"/>
        </w:rPr>
        <w:t xml:space="preserve">, </w:t>
      </w:r>
      <w:r>
        <w:rPr>
          <w:rFonts w:ascii="Times New Roman" w:hAnsi="Times New Roman" w:cs="Times New Roman"/>
          <w:i/>
          <w:iCs/>
        </w:rPr>
        <w:t>sodB</w:t>
      </w:r>
      <w:r>
        <w:rPr>
          <w:rFonts w:ascii="Times New Roman" w:hAnsi="Times New Roman" w:cs="Times New Roman"/>
        </w:rPr>
        <w:t>, regulated by the stringent response, was shown to decrease cell membrane permeabilisation, thus hindering drug internalisation</w:t>
      </w:r>
      <w:r w:rsidR="00A56CC3">
        <w:rPr>
          <w:rFonts w:ascii="Times New Roman" w:hAnsi="Times New Roman" w:cs="Times New Roman"/>
        </w:rPr>
        <w:t xml:space="preserve"> and emphasising</w:t>
      </w:r>
      <w:r>
        <w:rPr>
          <w:rFonts w:ascii="Times New Roman" w:hAnsi="Times New Roman" w:cs="Times New Roman"/>
        </w:rPr>
        <w:t xml:space="preserve"> the importance of </w:t>
      </w:r>
      <w:r w:rsidR="00A56CC3">
        <w:rPr>
          <w:rFonts w:ascii="Times New Roman" w:hAnsi="Times New Roman" w:cs="Times New Roman"/>
        </w:rPr>
        <w:t xml:space="preserve">the </w:t>
      </w:r>
      <w:r>
        <w:rPr>
          <w:rFonts w:ascii="Times New Roman" w:hAnsi="Times New Roman" w:cs="Times New Roman"/>
        </w:rPr>
        <w:t xml:space="preserve">stringent response in the presence of oxidative stress </w:t>
      </w:r>
      <w:r w:rsidRPr="00627806">
        <w:rPr>
          <w:rFonts w:ascii="Times New Roman" w:hAnsi="Times New Roman" w:cs="Times New Roman"/>
          <w:b/>
          <w:bCs/>
        </w:rPr>
        <w:fldChar w:fldCharType="begin"/>
      </w:r>
      <w:r w:rsidRPr="00627806">
        <w:rPr>
          <w:rFonts w:ascii="Times New Roman" w:hAnsi="Times New Roman" w:cs="Times New Roman"/>
          <w:b/>
          <w:bCs/>
        </w:rPr>
        <w:instrText xml:space="preserve"> ADDIN EN.CITE &lt;EndNote&gt;&lt;Cite&gt;&lt;Author&gt;Martins&lt;/Author&gt;&lt;Year&gt;2018&lt;/Year&gt;&lt;IDText&gt;Superoxide dismutase activity confers (p)ppGpp-mediated antibiotic tolerance to stationary- phase Pseudomonas aeruginosa&lt;/IDText&gt;&lt;DisplayText&gt;(Martins&lt;style face="italic"&gt; et al.&lt;/style&gt;, 2018)&lt;/DisplayText&gt;&lt;record&gt;&lt;dates&gt;&lt;pub-dates&gt;&lt;date&gt;Sep 25&lt;/date&gt;&lt;/pub-dates&gt;&lt;year&gt;2018&lt;/year&gt;&lt;/dates&gt;&lt;urls&gt;&lt;related-urls&gt;&lt;url&gt;&amp;lt;Go to ISI&amp;gt;://WOS:000445545200059&lt;/url&gt;&lt;/related-urls&gt;&lt;/urls&gt;&lt;isbn&gt;0027-8424&lt;/isbn&gt;&lt;work-type&gt;Article&lt;/work-type&gt;&lt;titles&gt;&lt;title&gt;Superoxide dismutase activity confers (p)ppGpp-mediated antibiotic tolerance to stationary- phase Pseudomonas aeruginosa&lt;/title&gt;&lt;secondary-title&gt;Proceedings of the National Academy of Sciences of the United States of America&lt;/secondary-title&gt;&lt;/titles&gt;&lt;pages&gt;9797-9802&lt;/pages&gt;&lt;number&gt;39&lt;/number&gt;&lt;contributors&gt;&lt;authors&gt;&lt;author&gt;Martins, Dorival&lt;/author&gt;&lt;author&gt;McKay, Geoffrey&lt;/author&gt;&lt;author&gt;Sampathkumar, Gowthami&lt;/author&gt;&lt;author&gt;Khakimova, Malika&lt;/author&gt;&lt;author&gt;English, Ann M.&lt;/author&gt;&lt;author&gt;Dao, Nguyen&lt;/author&gt;&lt;/authors&gt;&lt;/contributors&gt;&lt;added-date format="utc"&gt;1678920286&lt;/added-date&gt;&lt;ref-type name="Journal Article"&gt;17&lt;/ref-type&gt;&lt;rec-number&gt;779&lt;/rec-number&gt;&lt;last-updated-date format="utc"&gt;1678920286&lt;/last-updated-date&gt;&lt;accession-num&gt;WOS:000445545200059&lt;/accession-num&gt;&lt;electronic-resource-num&gt;10.1073/pnas.1804525115&lt;/electronic-resource-num&gt;&lt;volume&gt;115&lt;/volume&gt;&lt;/record&gt;&lt;/Cite&gt;&lt;/EndNote&gt;</w:instrText>
      </w:r>
      <w:r w:rsidRPr="00627806">
        <w:rPr>
          <w:rFonts w:ascii="Times New Roman" w:hAnsi="Times New Roman" w:cs="Times New Roman"/>
          <w:b/>
          <w:bCs/>
        </w:rPr>
        <w:fldChar w:fldCharType="separate"/>
      </w:r>
      <w:r w:rsidRPr="00627806">
        <w:rPr>
          <w:rFonts w:ascii="Times New Roman" w:hAnsi="Times New Roman" w:cs="Times New Roman"/>
          <w:b/>
          <w:bCs/>
          <w:noProof/>
        </w:rPr>
        <w:t>(Martins</w:t>
      </w:r>
      <w:r w:rsidRPr="00627806">
        <w:rPr>
          <w:rFonts w:ascii="Times New Roman" w:hAnsi="Times New Roman" w:cs="Times New Roman"/>
          <w:b/>
          <w:bCs/>
          <w:i/>
          <w:noProof/>
        </w:rPr>
        <w:t xml:space="preserve"> et al.</w:t>
      </w:r>
      <w:r w:rsidRPr="00627806">
        <w:rPr>
          <w:rFonts w:ascii="Times New Roman" w:hAnsi="Times New Roman" w:cs="Times New Roman"/>
          <w:b/>
          <w:bCs/>
          <w:noProof/>
        </w:rPr>
        <w:t>, 2018)</w:t>
      </w:r>
      <w:r w:rsidRPr="00627806">
        <w:rPr>
          <w:rFonts w:ascii="Times New Roman" w:hAnsi="Times New Roman" w:cs="Times New Roman"/>
          <w:b/>
          <w:bCs/>
        </w:rPr>
        <w:fldChar w:fldCharType="end"/>
      </w:r>
      <w:r>
        <w:rPr>
          <w:rFonts w:ascii="Times New Roman" w:hAnsi="Times New Roman" w:cs="Times New Roman"/>
        </w:rPr>
        <w:t>. These reports suggest that tolerance of multiple pathogens to oxidative and antibiotic stress</w:t>
      </w:r>
      <w:r w:rsidR="00A56CC3">
        <w:rPr>
          <w:rFonts w:ascii="Times New Roman" w:hAnsi="Times New Roman" w:cs="Times New Roman"/>
        </w:rPr>
        <w:t>,</w:t>
      </w:r>
      <w:r>
        <w:rPr>
          <w:rFonts w:ascii="Times New Roman" w:hAnsi="Times New Roman" w:cs="Times New Roman"/>
        </w:rPr>
        <w:t xml:space="preserve"> could also occur within mammalian immune cells</w:t>
      </w:r>
      <w:r w:rsidR="00A56CC3">
        <w:rPr>
          <w:rFonts w:ascii="Times New Roman" w:hAnsi="Times New Roman" w:cs="Times New Roman"/>
        </w:rPr>
        <w:t>, where these stresses are prevalent.</w:t>
      </w:r>
    </w:p>
    <w:bookmarkEnd w:id="34"/>
    <w:p w14:paraId="0488D1C9" w14:textId="73F19176" w:rsidR="00033564" w:rsidRDefault="00033564" w:rsidP="00033564">
      <w:pPr>
        <w:spacing w:line="360" w:lineRule="auto"/>
        <w:jc w:val="both"/>
        <w:rPr>
          <w:rFonts w:ascii="Times New Roman" w:hAnsi="Times New Roman" w:cs="Times New Roman"/>
        </w:rPr>
      </w:pPr>
      <w:r>
        <w:rPr>
          <w:rFonts w:ascii="Times New Roman" w:hAnsi="Times New Roman" w:cs="Times New Roman"/>
        </w:rPr>
        <w:tab/>
        <w:t xml:space="preserve">In response to environmental stimuli such as nutrient limitation, bacteria are able to form biofilms and thus the stringent response has been implicated in biofilm formation. For instance, </w:t>
      </w:r>
      <w:r>
        <w:rPr>
          <w:rFonts w:ascii="Times New Roman" w:hAnsi="Times New Roman" w:cs="Times New Roman"/>
          <w:i/>
          <w:iCs/>
        </w:rPr>
        <w:t xml:space="preserve">E. faecalis </w:t>
      </w:r>
      <w:r>
        <w:rPr>
          <w:rFonts w:ascii="Times New Roman" w:hAnsi="Times New Roman" w:cs="Times New Roman"/>
        </w:rPr>
        <w:t>(p)ppGpp</w:t>
      </w:r>
      <w:r>
        <w:rPr>
          <w:rFonts w:ascii="Times New Roman" w:hAnsi="Times New Roman" w:cs="Times New Roman"/>
          <w:vertAlign w:val="superscript"/>
        </w:rPr>
        <w:t>0</w:t>
      </w:r>
      <w:r>
        <w:rPr>
          <w:rFonts w:ascii="Times New Roman" w:hAnsi="Times New Roman" w:cs="Times New Roman"/>
        </w:rPr>
        <w:t xml:space="preserve"> and single </w:t>
      </w:r>
      <w:r w:rsidR="00A56CC3">
        <w:rPr>
          <w:rFonts w:ascii="Times New Roman" w:hAnsi="Times New Roman" w:cs="Times New Roman"/>
          <w:i/>
          <w:iCs/>
        </w:rPr>
        <w:t>c</w:t>
      </w:r>
      <w:r w:rsidRPr="00A56CC3">
        <w:rPr>
          <w:rFonts w:ascii="Times New Roman" w:hAnsi="Times New Roman" w:cs="Times New Roman"/>
          <w:i/>
          <w:iCs/>
        </w:rPr>
        <w:t xml:space="preserve">odY </w:t>
      </w:r>
      <w:r>
        <w:rPr>
          <w:rFonts w:ascii="Times New Roman" w:hAnsi="Times New Roman" w:cs="Times New Roman"/>
        </w:rPr>
        <w:t xml:space="preserve">single mutants are less able to form biofilms in </w:t>
      </w:r>
      <w:r w:rsidR="00A56CC3">
        <w:rPr>
          <w:rFonts w:ascii="Times New Roman" w:hAnsi="Times New Roman" w:cs="Times New Roman"/>
        </w:rPr>
        <w:t xml:space="preserve">a </w:t>
      </w:r>
      <w:r>
        <w:rPr>
          <w:rFonts w:ascii="Times New Roman" w:hAnsi="Times New Roman" w:cs="Times New Roman"/>
        </w:rPr>
        <w:t>catheter-associated urinary tract infection (CAUTI)</w:t>
      </w:r>
      <w:r w:rsidR="00A56CC3">
        <w:rPr>
          <w:rFonts w:ascii="Times New Roman" w:hAnsi="Times New Roman" w:cs="Times New Roman"/>
        </w:rPr>
        <w:t xml:space="preserve"> model</w:t>
      </w:r>
      <w:r>
        <w:rPr>
          <w:rFonts w:ascii="Times New Roman" w:hAnsi="Times New Roman" w:cs="Times New Roman"/>
        </w:rPr>
        <w:t xml:space="preserve"> </w:t>
      </w:r>
      <w:r w:rsidRPr="00F25841">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&lt;EndNote&gt;&lt;Cite&gt;&lt;Author&gt;Colomer-Winter&lt;/Author&gt;&lt;Year&gt;2019&lt;/Year&gt;&lt;IDText&gt;(p)ppGpp and CodY Promote Enterococcus faecalis Virulence in a Murine Model of Catheter-Associated Urinary Tract Infection&lt;/IDText&gt;&lt;DisplayText&gt;(Colomer-Winter&lt;style face="italic"&gt; et al.&lt;/style&gt;, 2019)&lt;/DisplayText&gt;&lt;record&gt;&lt;dates&gt;&lt;pub-dates&gt;&lt;date&gt;Jul-Aug&lt;/date&gt;&lt;/pub-dates&gt;&lt;year&gt;2019&lt;/year&gt;&lt;/dates&gt;&lt;urls&gt;&lt;related-urls&gt;&lt;url&gt;&amp;lt;Go to ISI&amp;gt;://WOS:000483320200013&lt;/url&gt;&lt;/related-urls&gt;&lt;/urls&gt;&lt;titles&gt;&lt;title&gt;(p)ppGpp and CodY Promote Enterococcus faecalis Virulence in a Murine Model of Catheter-Associated Urinary Tract Infection&lt;/title&gt;&lt;secondary-title&gt;Msphere&lt;/secondary-title&gt;&lt;/titles&gt;&lt;number&gt;4&lt;/number&gt;&lt;contributors&gt;&lt;authors&gt;&lt;author&gt;Colomer-Winter, C.&lt;/author&gt;&lt;author&gt;Flores-Mireles, A. L.&lt;/author&gt;&lt;author&gt;Kundra, S.&lt;/author&gt;&lt;author&gt;Hultgren, S. J.&lt;/author&gt;&lt;author&gt;Lemos, J. A.&lt;/author&gt;&lt;/authors&gt;&lt;/contributors&gt;&lt;custom7&gt;e00392-19&lt;/custom7&gt;&lt;added-date format="utc"&gt;1675037733&lt;/added-date&gt;&lt;ref-type name="Journal Article"&gt;17&lt;/ref-type&gt;&lt;rec-number&gt;291&lt;/rec-number&gt;&lt;last-updated-date format="utc"&gt;1675037733&lt;/last-updated-date&gt;&lt;accession-num&gt;WOS:000483320200013&lt;/accession-num&gt;&lt;electronic-resource-num&gt;10.1128/mSphere.00392-19&lt;/electronic-resource-num&gt;&lt;volume&gt;4&lt;/volume&gt;&lt;/record&gt;&lt;/Cite&gt;&lt;/EndNote&gt;</w:instrText>
      </w:r>
      <w:r w:rsidRPr="00F25841">
        <w:rPr>
          <w:rFonts w:ascii="Times New Roman" w:hAnsi="Times New Roman" w:cs="Times New Roman"/>
          <w:b/>
          <w:bCs/>
        </w:rPr>
        <w:fldChar w:fldCharType="separate"/>
      </w:r>
      <w:r>
        <w:rPr>
          <w:rFonts w:ascii="Times New Roman" w:hAnsi="Times New Roman" w:cs="Times New Roman"/>
          <w:b/>
          <w:bCs/>
          <w:noProof/>
        </w:rPr>
        <w:t>(Colomer-Winter</w:t>
      </w:r>
      <w:r w:rsidRPr="00F95468">
        <w:rPr>
          <w:rFonts w:ascii="Times New Roman" w:hAnsi="Times New Roman" w:cs="Times New Roman"/>
          <w:b/>
          <w:bCs/>
          <w:i/>
          <w:noProof/>
        </w:rPr>
        <w:t xml:space="preserve"> et al.</w:t>
      </w:r>
      <w:r>
        <w:rPr>
          <w:rFonts w:ascii="Times New Roman" w:hAnsi="Times New Roman" w:cs="Times New Roman"/>
          <w:b/>
          <w:bCs/>
          <w:noProof/>
        </w:rPr>
        <w:t>, 2019)</w:t>
      </w:r>
      <w:r w:rsidRPr="00F25841">
        <w:rPr>
          <w:rFonts w:ascii="Times New Roman" w:hAnsi="Times New Roman" w:cs="Times New Roman"/>
          <w:b/>
          <w:bCs/>
        </w:rPr>
        <w:fldChar w:fldCharType="end"/>
      </w:r>
      <w:r>
        <w:rPr>
          <w:rFonts w:ascii="Times New Roman" w:hAnsi="Times New Roman" w:cs="Times New Roman"/>
        </w:rPr>
        <w:t xml:space="preserve">. A </w:t>
      </w:r>
      <w:r>
        <w:rPr>
          <w:rFonts w:ascii="Times New Roman" w:hAnsi="Times New Roman" w:cs="Times New Roman"/>
          <w:i/>
          <w:iCs/>
        </w:rPr>
        <w:t xml:space="preserve">Bordetella pertussis </w:t>
      </w:r>
      <w:r>
        <w:rPr>
          <w:rFonts w:ascii="Times New Roman" w:hAnsi="Times New Roman" w:cs="Times New Roman"/>
        </w:rPr>
        <w:t>(p)ppGpp</w:t>
      </w:r>
      <w:r>
        <w:rPr>
          <w:rFonts w:ascii="Times New Roman" w:hAnsi="Times New Roman" w:cs="Times New Roman"/>
          <w:vertAlign w:val="superscript"/>
        </w:rPr>
        <w:t>0</w:t>
      </w:r>
      <w:r>
        <w:rPr>
          <w:rFonts w:ascii="Times New Roman" w:hAnsi="Times New Roman" w:cs="Times New Roman"/>
        </w:rPr>
        <w:t xml:space="preserve"> mutant displayed a biofilm formation defect and this was attributed to decreased expression of </w:t>
      </w:r>
      <w:r>
        <w:rPr>
          <w:rFonts w:ascii="Times New Roman" w:hAnsi="Times New Roman" w:cs="Times New Roman"/>
          <w:i/>
          <w:iCs/>
        </w:rPr>
        <w:t xml:space="preserve">fim2 </w:t>
      </w:r>
      <w:r>
        <w:rPr>
          <w:rFonts w:ascii="Times New Roman" w:hAnsi="Times New Roman" w:cs="Times New Roman"/>
        </w:rPr>
        <w:t xml:space="preserve">and </w:t>
      </w:r>
      <w:r w:rsidRPr="00AC6262">
        <w:rPr>
          <w:rFonts w:ascii="Times New Roman" w:hAnsi="Times New Roman" w:cs="Times New Roman"/>
          <w:i/>
          <w:iCs/>
        </w:rPr>
        <w:t>bsp22</w:t>
      </w:r>
      <w:r>
        <w:rPr>
          <w:rFonts w:ascii="Times New Roman" w:hAnsi="Times New Roman" w:cs="Times New Roman"/>
        </w:rPr>
        <w:t xml:space="preserve"> </w:t>
      </w:r>
      <w:r w:rsidRPr="00AC6262">
        <w:rPr>
          <w:rFonts w:ascii="Times New Roman" w:hAnsi="Times New Roman" w:cs="Times New Roman"/>
          <w:b/>
          <w:bCs/>
        </w:rPr>
        <w:fldChar w:fldCharType="begin"/>
      </w:r>
      <w:r w:rsidRPr="00AC6262">
        <w:rPr>
          <w:rFonts w:ascii="Times New Roman" w:hAnsi="Times New Roman" w:cs="Times New Roman"/>
          <w:b/>
          <w:bCs/>
        </w:rPr>
        <w:instrText xml:space="preserve"> ADDIN EN.CITE &lt;EndNote&gt;&lt;Cite&gt;&lt;Author&gt;Sugisaki&lt;/Author&gt;&lt;Year&gt;2013&lt;/Year&gt;&lt;IDText&gt;Role of (p)ppGpp in biofilm formation and expression of filamentous structures in Bordetella pertussis&lt;/IDText&gt;&lt;DisplayText&gt;(Sugisaki&lt;style face="italic"&gt; et al.&lt;/style&gt;, 2013)&lt;/DisplayText&gt;&lt;record&gt;&lt;dates&gt;&lt;pub-dates&gt;&lt;date&gt;Jul&lt;/date&gt;&lt;/pub-dates&gt;&lt;year&gt;2013&lt;/year&gt;&lt;/dates&gt;&lt;urls&gt;&lt;related-urls&gt;&lt;url&gt;&amp;lt;Go to ISI&amp;gt;://WOS:000322855700015&lt;/url&gt;&lt;/related-urls&gt;&lt;/urls&gt;&lt;isbn&gt;1350-0872&lt;/isbn&gt;&lt;titles&gt;&lt;title&gt;Role of (p)ppGpp in biofilm formation and expression of filamentous structures in Bordetella pertussis&lt;/title&gt;&lt;secondary-title&gt;Microbiology-Sgm&lt;/secondary-title&gt;&lt;/titles&gt;&lt;pages&gt;1379-1389&lt;/pages&gt;&lt;contributors&gt;&lt;authors&gt;&lt;author&gt;Sugisaki, K.&lt;/author&gt;&lt;author&gt;Hanawa, T.&lt;/author&gt;&lt;author&gt;Yonezawa, H.&lt;/author&gt;&lt;author&gt;Osaki, T.&lt;/author&gt;&lt;author&gt;Fukutomi, T.&lt;/author&gt;&lt;author&gt;Kawakami, H.&lt;/author&gt;&lt;author&gt;Yamamoto, T.&lt;/author&gt;&lt;author&gt;Kamiya, S.&lt;/author&gt;&lt;/authors&gt;&lt;/contributors&gt;&lt;added-date format="utc"&gt;1678151834&lt;/added-date&gt;&lt;ref-type name="Journal Article"&gt;17&lt;/ref-type&gt;&lt;rec-number&gt;727&lt;/rec-number&gt;&lt;last-updated-date format="utc"&gt;1678151834&lt;/last-updated-date&gt;&lt;accession-num&gt;WOS:000322855700015&lt;/accession-num&gt;&lt;electronic-resource-num&gt;10.1099/mic.0.066597-0&lt;/electronic-resource-num&gt;&lt;volume&gt;159&lt;/volume&gt;&lt;/record&gt;&lt;/Cite&gt;&lt;/EndNote&gt;</w:instrText>
      </w:r>
      <w:r w:rsidRPr="00AC6262">
        <w:rPr>
          <w:rFonts w:ascii="Times New Roman" w:hAnsi="Times New Roman" w:cs="Times New Roman"/>
          <w:b/>
          <w:bCs/>
        </w:rPr>
        <w:fldChar w:fldCharType="separate"/>
      </w:r>
      <w:r w:rsidRPr="00AC6262">
        <w:rPr>
          <w:rFonts w:ascii="Times New Roman" w:hAnsi="Times New Roman" w:cs="Times New Roman"/>
          <w:b/>
          <w:bCs/>
          <w:noProof/>
        </w:rPr>
        <w:t>(Sugisaki</w:t>
      </w:r>
      <w:r w:rsidRPr="00AC6262">
        <w:rPr>
          <w:rFonts w:ascii="Times New Roman" w:hAnsi="Times New Roman" w:cs="Times New Roman"/>
          <w:b/>
          <w:bCs/>
          <w:i/>
          <w:noProof/>
        </w:rPr>
        <w:t xml:space="preserve"> et al.</w:t>
      </w:r>
      <w:r w:rsidRPr="00AC6262">
        <w:rPr>
          <w:rFonts w:ascii="Times New Roman" w:hAnsi="Times New Roman" w:cs="Times New Roman"/>
          <w:b/>
          <w:bCs/>
          <w:noProof/>
        </w:rPr>
        <w:t>, 2013)</w:t>
      </w:r>
      <w:r w:rsidRPr="00AC6262">
        <w:rPr>
          <w:rFonts w:ascii="Times New Roman" w:hAnsi="Times New Roman" w:cs="Times New Roman"/>
          <w:b/>
          <w:bCs/>
        </w:rPr>
        <w:fldChar w:fldCharType="end"/>
      </w:r>
      <w:r>
        <w:rPr>
          <w:rFonts w:ascii="Times New Roman" w:hAnsi="Times New Roman" w:cs="Times New Roman"/>
        </w:rPr>
        <w:t xml:space="preserve">. Fim2 and Bsp22 proteins are subunits of fimbriae and a T3SS respectively, that were postulated to be necessary for biofilm architecture </w:t>
      </w:r>
      <w:r w:rsidRPr="00AC6262">
        <w:rPr>
          <w:rFonts w:ascii="Times New Roman" w:hAnsi="Times New Roman" w:cs="Times New Roman"/>
          <w:b/>
          <w:bCs/>
        </w:rPr>
        <w:fldChar w:fldCharType="begin"/>
      </w:r>
      <w:r w:rsidRPr="00AC6262">
        <w:rPr>
          <w:rFonts w:ascii="Times New Roman" w:hAnsi="Times New Roman" w:cs="Times New Roman"/>
          <w:b/>
          <w:bCs/>
        </w:rPr>
        <w:instrText xml:space="preserve"> ADDIN EN.CITE &lt;EndNote&gt;&lt;Cite&gt;&lt;Author&gt;Sugisaki&lt;/Author&gt;&lt;Year&gt;2013&lt;/Year&gt;&lt;IDText&gt;Role of (p)ppGpp in biofilm formation and expression of filamentous structures in Bordetella pertussis&lt;/IDText&gt;&lt;DisplayText&gt;(Sugisaki&lt;style face="italic"&gt; et al.&lt;/style&gt;, 2013)&lt;/DisplayText&gt;&lt;record&gt;&lt;dates&gt;&lt;pub-dates&gt;&lt;date&gt;Jul&lt;/date&gt;&lt;/pub-dates&gt;&lt;year&gt;2013&lt;/year&gt;&lt;/dates&gt;&lt;urls&gt;&lt;related-urls&gt;&lt;url&gt;&amp;lt;Go to ISI&amp;gt;://WOS:000322855700015&lt;/url&gt;&lt;/related-urls&gt;&lt;/urls&gt;&lt;isbn&gt;1350-0872&lt;/isbn&gt;&lt;titles&gt;&lt;title&gt;Role of (p)ppGpp in biofilm formation and expression of filamentous structures in Bordetella pertussis&lt;/title&gt;&lt;secondary-title&gt;Microbiology-Sgm&lt;/secondary-title&gt;&lt;/titles&gt;&lt;pages&gt;1379-1389&lt;/pages&gt;&lt;contributors&gt;&lt;authors&gt;&lt;author&gt;Sugisaki, K.&lt;/author&gt;&lt;author&gt;Hanawa, T.&lt;/author&gt;&lt;author&gt;Yonezawa, H.&lt;/author&gt;&lt;author&gt;Osaki, T.&lt;/author&gt;&lt;author&gt;Fukutomi, T.&lt;/author&gt;&lt;author&gt;Kawakami, H.&lt;/author&gt;&lt;author&gt;Yamamoto, T.&lt;/author&gt;&lt;author&gt;Kamiya, S.&lt;/author&gt;&lt;/authors&gt;&lt;/contributors&gt;&lt;added-date format="utc"&gt;1678151834&lt;/added-date&gt;&lt;ref-type name="Journal Article"&gt;17&lt;/ref-type&gt;&lt;rec-number&gt;727&lt;/rec-number&gt;&lt;last-updated-date format="utc"&gt;1678151834&lt;/last-updated-date&gt;&lt;accession-num&gt;WOS:000322855700015&lt;/accession-num&gt;&lt;electronic-resource-num&gt;10.1099/mic.0.066597-0&lt;/electronic-resource-num&gt;&lt;volume&gt;159&lt;/volume&gt;&lt;/record&gt;&lt;/Cite&gt;&lt;/EndNote&gt;</w:instrText>
      </w:r>
      <w:r w:rsidRPr="00AC6262">
        <w:rPr>
          <w:rFonts w:ascii="Times New Roman" w:hAnsi="Times New Roman" w:cs="Times New Roman"/>
          <w:b/>
          <w:bCs/>
        </w:rPr>
        <w:fldChar w:fldCharType="separate"/>
      </w:r>
      <w:r w:rsidRPr="00AC6262">
        <w:rPr>
          <w:rFonts w:ascii="Times New Roman" w:hAnsi="Times New Roman" w:cs="Times New Roman"/>
          <w:b/>
          <w:bCs/>
          <w:noProof/>
        </w:rPr>
        <w:t>(Sugisaki</w:t>
      </w:r>
      <w:r w:rsidRPr="00AC6262">
        <w:rPr>
          <w:rFonts w:ascii="Times New Roman" w:hAnsi="Times New Roman" w:cs="Times New Roman"/>
          <w:b/>
          <w:bCs/>
          <w:i/>
          <w:noProof/>
        </w:rPr>
        <w:t xml:space="preserve"> et al.</w:t>
      </w:r>
      <w:r w:rsidRPr="00AC6262">
        <w:rPr>
          <w:rFonts w:ascii="Times New Roman" w:hAnsi="Times New Roman" w:cs="Times New Roman"/>
          <w:b/>
          <w:bCs/>
          <w:noProof/>
        </w:rPr>
        <w:t>, 2013)</w:t>
      </w:r>
      <w:r w:rsidRPr="00AC6262">
        <w:rPr>
          <w:rFonts w:ascii="Times New Roman" w:hAnsi="Times New Roman" w:cs="Times New Roman"/>
          <w:b/>
          <w:bCs/>
        </w:rPr>
        <w:fldChar w:fldCharType="end"/>
      </w:r>
      <w:r>
        <w:rPr>
          <w:rFonts w:ascii="Times New Roman" w:hAnsi="Times New Roman" w:cs="Times New Roman"/>
        </w:rPr>
        <w:t xml:space="preserve">. (p)ppGpp also regulates type 1 fimbriae by upregulating transcription of the </w:t>
      </w:r>
      <w:r>
        <w:rPr>
          <w:rFonts w:ascii="Times New Roman" w:hAnsi="Times New Roman" w:cs="Times New Roman"/>
          <w:i/>
          <w:iCs/>
        </w:rPr>
        <w:t xml:space="preserve">fim </w:t>
      </w:r>
      <w:r>
        <w:rPr>
          <w:rFonts w:ascii="Times New Roman" w:hAnsi="Times New Roman" w:cs="Times New Roman"/>
        </w:rPr>
        <w:t xml:space="preserve">genes in uropathogenic </w:t>
      </w:r>
      <w:r>
        <w:rPr>
          <w:rFonts w:ascii="Times New Roman" w:hAnsi="Times New Roman" w:cs="Times New Roman"/>
          <w:i/>
          <w:iCs/>
        </w:rPr>
        <w:t xml:space="preserve">E. coli </w:t>
      </w:r>
      <w:r>
        <w:rPr>
          <w:rFonts w:ascii="Times New Roman" w:hAnsi="Times New Roman" w:cs="Times New Roman"/>
        </w:rPr>
        <w:t xml:space="preserve">(UPEC) </w:t>
      </w:r>
      <w:r w:rsidRPr="00B61F84">
        <w:rPr>
          <w:rFonts w:ascii="Times New Roman" w:hAnsi="Times New Roman" w:cs="Times New Roman"/>
          <w:b/>
          <w:bCs/>
        </w:rPr>
        <w:fldChar w:fldCharType="begin"/>
      </w:r>
      <w:r w:rsidRPr="00B61F84">
        <w:rPr>
          <w:rFonts w:ascii="Times New Roman" w:hAnsi="Times New Roman" w:cs="Times New Roman"/>
          <w:b/>
          <w:bCs/>
        </w:rPr>
        <w:instrText xml:space="preserve"> ADDIN EN.CITE &lt;EndNote&gt;&lt;Cite&gt;&lt;Author&gt;Åberg&lt;/Author&gt;&lt;Year&gt;2006&lt;/Year&gt;&lt;IDText&gt;(p)ppGpp regulates type 1 fimbriation of Escherichia coli by modulating the expression of the site-specific recombinase FimB&lt;/IDText&gt;&lt;DisplayText&gt;(Åberg, Shingler and Balsalobre, 2006)&lt;/DisplayText&gt;&lt;record&gt;&lt;dates&gt;&lt;pub-dates&gt;&lt;date&gt;Jun&lt;/date&gt;&lt;/pub-dates&gt;&lt;year&gt;2006&lt;/year&gt;&lt;/dates&gt;&lt;urls&gt;&lt;related-urls&gt;&lt;/related-urls&gt;&lt;/urls&gt;&lt;isbn&gt;0950-382X&lt;/isbn&gt;&lt;titles&gt;&lt;title&gt;(p)ppGpp regulates type 1 fimbriation of Escherichia coli by modulating the expression of the site-specific recombinase FimB&lt;/title&gt;&lt;secondary-title&gt;Molecular Microbiology&lt;/secondary-title&gt;&lt;/titles&gt;&lt;pages&gt;1520-1533&lt;/pages&gt;&lt;number&gt;6&lt;/number&gt;&lt;contributors&gt;&lt;authors&gt;&lt;author&gt;Åberg, A.&lt;/author&gt;&lt;author&gt;Shingler, V.&lt;/author&gt;&lt;author&gt;Balsalobre, C.&lt;/author&gt;&lt;/authors&gt;&lt;/contributors&gt;&lt;added-date format="utc"&gt;1678152727&lt;/added-date&gt;&lt;ref-type name="Journal Article"&gt;17&lt;/ref-type&gt;&lt;rec-number&gt;728&lt;/rec-number&gt;&lt;last-updated-date format="utc"&gt;1678152784&lt;/last-updated-date&gt;&lt;accession-num&gt;WOS:000237812500017&lt;/accession-num&gt;&lt;electronic-resource-num&gt;10.1111/j.1365-2958.2006.05191.x&lt;/electronic-resource-num&gt;&lt;volume&gt;60&lt;/volume&gt;&lt;/record&gt;&lt;/Cite&gt;&lt;/EndNote&gt;</w:instrText>
      </w:r>
      <w:r w:rsidRPr="00B61F84">
        <w:rPr>
          <w:rFonts w:ascii="Times New Roman" w:hAnsi="Times New Roman" w:cs="Times New Roman"/>
          <w:b/>
          <w:bCs/>
        </w:rPr>
        <w:fldChar w:fldCharType="separate"/>
      </w:r>
      <w:r w:rsidRPr="00B61F84">
        <w:rPr>
          <w:rFonts w:ascii="Times New Roman" w:hAnsi="Times New Roman" w:cs="Times New Roman"/>
          <w:b/>
          <w:bCs/>
          <w:noProof/>
        </w:rPr>
        <w:t>(Åberg, Shingler and Balsalobre, 2006)</w:t>
      </w:r>
      <w:r w:rsidRPr="00B61F84">
        <w:rPr>
          <w:rFonts w:ascii="Times New Roman" w:hAnsi="Times New Roman" w:cs="Times New Roman"/>
          <w:b/>
          <w:bCs/>
        </w:rPr>
        <w:fldChar w:fldCharType="end"/>
      </w:r>
      <w:r>
        <w:rPr>
          <w:rFonts w:ascii="Times New Roman" w:hAnsi="Times New Roman" w:cs="Times New Roman"/>
        </w:rPr>
        <w:t>. A UPEC (p)ppGpp</w:t>
      </w:r>
      <w:r>
        <w:rPr>
          <w:rFonts w:ascii="Times New Roman" w:hAnsi="Times New Roman" w:cs="Times New Roman"/>
          <w:vertAlign w:val="superscript"/>
        </w:rPr>
        <w:t>0</w:t>
      </w:r>
      <w:r>
        <w:rPr>
          <w:rFonts w:ascii="Times New Roman" w:hAnsi="Times New Roman" w:cs="Times New Roman"/>
        </w:rPr>
        <w:t xml:space="preserve"> mutant demonstrated reduced biofilm-forming ability due to </w:t>
      </w:r>
      <w:r w:rsidR="00A56CC3">
        <w:rPr>
          <w:rFonts w:ascii="Times New Roman" w:hAnsi="Times New Roman" w:cs="Times New Roman"/>
        </w:rPr>
        <w:t>decreased</w:t>
      </w:r>
      <w:r>
        <w:rPr>
          <w:rFonts w:ascii="Times New Roman" w:hAnsi="Times New Roman" w:cs="Times New Roman"/>
        </w:rPr>
        <w:t xml:space="preserve"> expression of type 1 fimbriae </w:t>
      </w:r>
      <w:r w:rsidRPr="00B61F84">
        <w:rPr>
          <w:rFonts w:ascii="Times New Roman" w:hAnsi="Times New Roman" w:cs="Times New Roman"/>
          <w:b/>
          <w:bCs/>
        </w:rPr>
        <w:fldChar w:fldCharType="begin"/>
      </w:r>
      <w:r w:rsidRPr="00B61F84">
        <w:rPr>
          <w:rFonts w:ascii="Times New Roman" w:hAnsi="Times New Roman" w:cs="Times New Roman"/>
          <w:b/>
          <w:bCs/>
        </w:rPr>
        <w:instrText xml:space="preserve"> ADDIN EN.CITE &lt;EndNote&gt;&lt;Cite&gt;&lt;Author&gt;Åberg&lt;/Author&gt;&lt;Year&gt;2006&lt;/Year&gt;&lt;IDText&gt;(p)ppGpp regulates type 1 fimbriation of Escherichia coli by modulating the expression of the site-specific recombinase FimB&lt;/IDText&gt;&lt;DisplayText&gt;(Åberg, Shingler and Balsalobre, 2006)&lt;/DisplayText&gt;&lt;record&gt;&lt;dates&gt;&lt;pub-dates&gt;&lt;date&gt;Jun&lt;/date&gt;&lt;/pub-dates&gt;&lt;year&gt;2006&lt;/year&gt;&lt;/dates&gt;&lt;urls&gt;&lt;related-urls&gt;&lt;/related-urls&gt;&lt;/urls&gt;&lt;isbn&gt;0950-382X&lt;/isbn&gt;&lt;titles&gt;&lt;title&gt;(p)ppGpp regulates type 1 fimbriation of Escherichia coli by modulating the expression of the site-specific recombinase FimB&lt;/title&gt;&lt;secondary-title&gt;Molecular Microbiology&lt;/secondary-title&gt;&lt;/titles&gt;&lt;pages&gt;1520-1533&lt;/pages&gt;&lt;number&gt;6&lt;/number&gt;&lt;contributors&gt;&lt;authors&gt;&lt;author&gt;Åberg, A.&lt;/author&gt;&lt;author&gt;Shingler, V.&lt;/author&gt;&lt;author&gt;Balsalobre, C.&lt;/author&gt;&lt;/authors&gt;&lt;/contributors&gt;&lt;added-date format="utc"&gt;1678152727&lt;/added-date&gt;&lt;ref-type name="Journal Article"&gt;17&lt;/ref-type&gt;&lt;rec-number&gt;728&lt;/rec-number&gt;&lt;last-updated-date format="utc"&gt;1678152784&lt;/last-updated-date&gt;&lt;accession-num&gt;WOS:000237812500017&lt;/accession-num&gt;&lt;electronic-resource-num&gt;10.1111/j.1365-2958.2006.05191.x&lt;/electronic-resource-num&gt;&lt;volume&gt;60&lt;/volume&gt;&lt;/record&gt;&lt;/Cite&gt;&lt;/EndNote&gt;</w:instrText>
      </w:r>
      <w:r w:rsidRPr="00B61F84">
        <w:rPr>
          <w:rFonts w:ascii="Times New Roman" w:hAnsi="Times New Roman" w:cs="Times New Roman"/>
          <w:b/>
          <w:bCs/>
        </w:rPr>
        <w:fldChar w:fldCharType="separate"/>
      </w:r>
      <w:r w:rsidRPr="00B61F84">
        <w:rPr>
          <w:rFonts w:ascii="Times New Roman" w:hAnsi="Times New Roman" w:cs="Times New Roman"/>
          <w:b/>
          <w:bCs/>
          <w:noProof/>
        </w:rPr>
        <w:t>(Åberg, Shingler and Balsalobre, 2006)</w:t>
      </w:r>
      <w:r w:rsidRPr="00B61F84">
        <w:rPr>
          <w:rFonts w:ascii="Times New Roman" w:hAnsi="Times New Roman" w:cs="Times New Roman"/>
          <w:b/>
          <w:bCs/>
        </w:rPr>
        <w:fldChar w:fldCharType="end"/>
      </w:r>
      <w:r>
        <w:rPr>
          <w:rFonts w:ascii="Times New Roman" w:hAnsi="Times New Roman" w:cs="Times New Roman"/>
        </w:rPr>
        <w:t>. Interestingly, an analysis of 118 UPEC clinical isolates revealed</w:t>
      </w:r>
      <w:r w:rsidRPr="00F16985">
        <w:rPr>
          <w:rFonts w:ascii="Times New Roman" w:hAnsi="Times New Roman" w:cs="Times New Roman"/>
        </w:rPr>
        <w:t xml:space="preserve"> </w:t>
      </w:r>
      <w:r>
        <w:rPr>
          <w:rFonts w:ascii="Times New Roman" w:hAnsi="Times New Roman" w:cs="Times New Roman"/>
        </w:rPr>
        <w:t>that strains with higher levels of basal (p)ppGpp were associated with the ability</w:t>
      </w:r>
      <w:r w:rsidRPr="00F16985">
        <w:rPr>
          <w:rFonts w:ascii="Times New Roman" w:hAnsi="Times New Roman" w:cs="Times New Roman"/>
        </w:rPr>
        <w:t xml:space="preserve"> </w:t>
      </w:r>
      <w:r>
        <w:rPr>
          <w:rFonts w:ascii="Times New Roman" w:hAnsi="Times New Roman" w:cs="Times New Roman"/>
        </w:rPr>
        <w:t xml:space="preserve">to form biofilms </w:t>
      </w:r>
      <w:r>
        <w:rPr>
          <w:rFonts w:ascii="Times New Roman" w:hAnsi="Times New Roman" w:cs="Times New Roman"/>
          <w:i/>
          <w:iCs/>
        </w:rPr>
        <w:t>in vitro</w:t>
      </w:r>
      <w:r>
        <w:rPr>
          <w:rFonts w:ascii="Times New Roman" w:hAnsi="Times New Roman" w:cs="Times New Roman"/>
        </w:rPr>
        <w:t xml:space="preserve"> and an increased growth rate </w:t>
      </w:r>
      <w:r w:rsidRPr="00AC1D95">
        <w:rPr>
          <w:rFonts w:ascii="Times New Roman" w:hAnsi="Times New Roman" w:cs="Times New Roman"/>
          <w:b/>
          <w:bCs/>
        </w:rPr>
        <w:fldChar w:fldCharType="begin"/>
      </w:r>
      <w:r w:rsidRPr="00AC1D95">
        <w:rPr>
          <w:rFonts w:ascii="Times New Roman" w:hAnsi="Times New Roman" w:cs="Times New Roman"/>
          <w:b/>
          <w:bCs/>
        </w:rPr>
        <w:instrText xml:space="preserve"> ADDIN EN.CITE &lt;EndNote&gt;&lt;Cite&gt;&lt;Author&gt;Karczewska&lt;/Author&gt;&lt;Year&gt;2023&lt;/Year&gt;&lt;IDText&gt;Increased Levels of (p)ppGpp Correlate with Virulence and Biofilm Formation, but Not with Growth, in Strains of Uropathogenic Escherichia coli&lt;/IDText&gt;&lt;DisplayText&gt;(Karczewska&lt;style face="italic"&gt; et al.&lt;/style&gt;, 2023)&lt;/DisplayText&gt;&lt;record&gt;&lt;titles&gt;&lt;title&gt;&lt;style font="default" size="100%"&gt;Increased Levels of (p)ppGpp Correlate with Virulence and Biofilm Formation, but Not with Growth, in Strains of Uropathogenic &lt;/style&gt;&lt;style face="italic" font="default" size="100%"&gt;Escherichia coli&lt;/style&gt;&lt;/title&gt;&lt;secondary-title&gt;International Journal of Molecular Sciences&lt;/secondary-title&gt;&lt;/titles&gt;&lt;number&gt;4&lt;/number&gt;&lt;contributors&gt;&lt;authors&gt;&lt;author&gt;Karczewska, Monika&lt;/author&gt;&lt;author&gt;Strzelecki, Patryk&lt;/author&gt;&lt;author&gt;Bogucka, Krystyna&lt;/author&gt;&lt;author&gt;Potrykus, Katarzyna&lt;/author&gt;&lt;author&gt;Szalewska-Pałasz, Agnieszka&lt;/author&gt;&lt;author&gt;Nowicki, Dariusz&lt;/author&gt;&lt;/authors&gt;&lt;/contributors&gt;&lt;added-date format="utc"&gt;1678155586&lt;/added-date&gt;&lt;ref-type name="Journal Article"&gt;17&lt;/ref-type&gt;&lt;dates&gt;&lt;year&gt;2023&lt;/year&gt;&lt;/dates&gt;&lt;rec-number&gt;730&lt;/rec-number&gt;&lt;last-updated-date format="utc"&gt;1678155655&lt;/last-updated-date&gt;&lt;volume&gt;24&lt;/volume&gt;&lt;/record&gt;&lt;/Cite&gt;&lt;/EndNote&gt;</w:instrText>
      </w:r>
      <w:r w:rsidRPr="00AC1D95">
        <w:rPr>
          <w:rFonts w:ascii="Times New Roman" w:hAnsi="Times New Roman" w:cs="Times New Roman"/>
          <w:b/>
          <w:bCs/>
        </w:rPr>
        <w:fldChar w:fldCharType="separate"/>
      </w:r>
      <w:r w:rsidRPr="00AC1D95">
        <w:rPr>
          <w:rFonts w:ascii="Times New Roman" w:hAnsi="Times New Roman" w:cs="Times New Roman"/>
          <w:b/>
          <w:bCs/>
          <w:noProof/>
        </w:rPr>
        <w:t>(Karczewska</w:t>
      </w:r>
      <w:r w:rsidRPr="00AC1D95">
        <w:rPr>
          <w:rFonts w:ascii="Times New Roman" w:hAnsi="Times New Roman" w:cs="Times New Roman"/>
          <w:b/>
          <w:bCs/>
          <w:i/>
          <w:noProof/>
        </w:rPr>
        <w:t xml:space="preserve"> et al.</w:t>
      </w:r>
      <w:r w:rsidRPr="00AC1D95">
        <w:rPr>
          <w:rFonts w:ascii="Times New Roman" w:hAnsi="Times New Roman" w:cs="Times New Roman"/>
          <w:b/>
          <w:bCs/>
          <w:noProof/>
        </w:rPr>
        <w:t>, 2023)</w:t>
      </w:r>
      <w:r w:rsidRPr="00AC1D95">
        <w:rPr>
          <w:rFonts w:ascii="Times New Roman" w:hAnsi="Times New Roman" w:cs="Times New Roman"/>
          <w:b/>
          <w:bCs/>
        </w:rPr>
        <w:fldChar w:fldCharType="end"/>
      </w:r>
      <w:r>
        <w:rPr>
          <w:rFonts w:ascii="Times New Roman" w:hAnsi="Times New Roman" w:cs="Times New Roman"/>
        </w:rPr>
        <w:t xml:space="preserve">. Indeed, increased growth is not a typical consequence of the stringent response, and so the role of basal (p)ppGpp levels must be further studied in order to understand this phenotype </w:t>
      </w:r>
      <w:r w:rsidRPr="00AC1D95">
        <w:rPr>
          <w:rFonts w:ascii="Times New Roman" w:hAnsi="Times New Roman" w:cs="Times New Roman"/>
          <w:b/>
          <w:bCs/>
        </w:rPr>
        <w:fldChar w:fldCharType="begin"/>
      </w:r>
      <w:r w:rsidRPr="00AC1D95">
        <w:rPr>
          <w:rFonts w:ascii="Times New Roman" w:hAnsi="Times New Roman" w:cs="Times New Roman"/>
          <w:b/>
          <w:bCs/>
        </w:rPr>
        <w:instrText xml:space="preserve"> ADDIN EN.CITE &lt;EndNote&gt;&lt;Cite&gt;&lt;Author&gt;Karczewska&lt;/Author&gt;&lt;Year&gt;2023&lt;/Year&gt;&lt;IDText&gt;Increased Levels of (p)ppGpp Correlate with Virulence and Biofilm Formation, but Not with Growth, in Strains of Uropathogenic Escherichia coli&lt;/IDText&gt;&lt;DisplayText&gt;(Karczewska&lt;style face="italic"&gt; et al.&lt;/style&gt;, 2023)&lt;/DisplayText&gt;&lt;record&gt;&lt;titles&gt;&lt;title&gt;&lt;style font="default" size="100%"&gt;Increased Levels of (p)ppGpp Correlate with Virulence and Biofilm Formation, but Not with Growth, in Strains of Uropathogenic &lt;/style&gt;&lt;style face="italic" font="default" size="100%"&gt;Escherichia coli&lt;/style&gt;&lt;/title&gt;&lt;secondary-title&gt;International Journal of Molecular Sciences&lt;/secondary-title&gt;&lt;/titles&gt;&lt;number&gt;4&lt;/number&gt;&lt;contributors&gt;&lt;authors&gt;&lt;author&gt;Karczewska, Monika&lt;/author&gt;&lt;author&gt;Strzelecki, Patryk&lt;/author&gt;&lt;author&gt;Bogucka, Krystyna&lt;/author&gt;&lt;author&gt;Potrykus, Katarzyna&lt;/author&gt;&lt;author&gt;Szalewska-Pałasz, Agnieszka&lt;/author&gt;&lt;author&gt;Nowicki, Dariusz&lt;/author&gt;&lt;/authors&gt;&lt;/contributors&gt;&lt;added-date format="utc"&gt;1678155586&lt;/added-date&gt;&lt;ref-type name="Journal Article"&gt;17&lt;/ref-type&gt;&lt;dates&gt;&lt;year&gt;2023&lt;/year&gt;&lt;/dates&gt;&lt;rec-number&gt;730&lt;/rec-number&gt;&lt;last-updated-date format="utc"&gt;1678155655&lt;/last-updated-date&gt;&lt;volume&gt;24&lt;/volume&gt;&lt;/record&gt;&lt;/Cite&gt;&lt;/EndNote&gt;</w:instrText>
      </w:r>
      <w:r w:rsidRPr="00AC1D95">
        <w:rPr>
          <w:rFonts w:ascii="Times New Roman" w:hAnsi="Times New Roman" w:cs="Times New Roman"/>
          <w:b/>
          <w:bCs/>
        </w:rPr>
        <w:fldChar w:fldCharType="separate"/>
      </w:r>
      <w:r w:rsidRPr="00AC1D95">
        <w:rPr>
          <w:rFonts w:ascii="Times New Roman" w:hAnsi="Times New Roman" w:cs="Times New Roman"/>
          <w:b/>
          <w:bCs/>
          <w:noProof/>
        </w:rPr>
        <w:t>(Karczewska</w:t>
      </w:r>
      <w:r w:rsidRPr="00AC1D95">
        <w:rPr>
          <w:rFonts w:ascii="Times New Roman" w:hAnsi="Times New Roman" w:cs="Times New Roman"/>
          <w:b/>
          <w:bCs/>
          <w:i/>
          <w:noProof/>
        </w:rPr>
        <w:t xml:space="preserve"> et al.</w:t>
      </w:r>
      <w:r w:rsidRPr="00AC1D95">
        <w:rPr>
          <w:rFonts w:ascii="Times New Roman" w:hAnsi="Times New Roman" w:cs="Times New Roman"/>
          <w:b/>
          <w:bCs/>
          <w:noProof/>
        </w:rPr>
        <w:t>, 2023)</w:t>
      </w:r>
      <w:r w:rsidRPr="00AC1D95">
        <w:rPr>
          <w:rFonts w:ascii="Times New Roman" w:hAnsi="Times New Roman" w:cs="Times New Roman"/>
          <w:b/>
          <w:bCs/>
        </w:rPr>
        <w:fldChar w:fldCharType="end"/>
      </w:r>
      <w:r>
        <w:rPr>
          <w:rFonts w:ascii="Times New Roman" w:hAnsi="Times New Roman" w:cs="Times New Roman"/>
        </w:rPr>
        <w:t>. Upon sub-inhibitory concentrations of vancomycin, RelP</w:t>
      </w:r>
      <w:r>
        <w:rPr>
          <w:rFonts w:ascii="Times New Roman" w:hAnsi="Times New Roman" w:cs="Times New Roman"/>
          <w:i/>
          <w:iCs/>
          <w:vertAlign w:val="subscript"/>
        </w:rPr>
        <w:t>Sau</w:t>
      </w:r>
      <w:r>
        <w:rPr>
          <w:rFonts w:ascii="Times New Roman" w:hAnsi="Times New Roman" w:cs="Times New Roman"/>
        </w:rPr>
        <w:t xml:space="preserve"> and RelQ</w:t>
      </w:r>
      <w:r>
        <w:rPr>
          <w:rFonts w:ascii="Times New Roman" w:hAnsi="Times New Roman" w:cs="Times New Roman"/>
          <w:i/>
          <w:iCs/>
          <w:vertAlign w:val="subscript"/>
        </w:rPr>
        <w:t>Sau</w:t>
      </w:r>
      <w:r>
        <w:rPr>
          <w:rFonts w:ascii="Times New Roman" w:hAnsi="Times New Roman" w:cs="Times New Roman"/>
        </w:rPr>
        <w:t xml:space="preserve"> have been implicated in biofilm formation by an Agr- and CodY-independent mechanism </w:t>
      </w:r>
      <w:r w:rsidRPr="00583048">
        <w:rPr>
          <w:rFonts w:ascii="Times New Roman" w:hAnsi="Times New Roman" w:cs="Times New Roman"/>
          <w:b/>
          <w:bCs/>
        </w:rPr>
        <w:fldChar w:fldCharType="begin"/>
      </w:r>
      <w:r w:rsidRPr="00583048">
        <w:rPr>
          <w:rFonts w:ascii="Times New Roman" w:hAnsi="Times New Roman" w:cs="Times New Roman"/>
          <w:b/>
          <w:bCs/>
        </w:rPr>
        <w:instrText xml:space="preserve"> ADDIN EN.CITE &lt;EndNote&gt;&lt;Cite&gt;&lt;Author&gt;Salzer&lt;/Author&gt;&lt;Year&gt;2020&lt;/Year&gt;&lt;IDText&gt;Small Alarmone Synthetases RelP and RelQ ofStaphylococcus aureusAre Involved in Biofilm Formation and Maintenance Under Cell Wall Stress Conditions&lt;/IDText&gt;&lt;DisplayText&gt;(Salzer&lt;style face="italic"&gt; et al.&lt;/style&gt;, 2020)&lt;/DisplayText&gt;&lt;record&gt;&lt;dates&gt;&lt;pub-dates&gt;&lt;date&gt;Sep&lt;/date&gt;&lt;/pub-dates&gt;&lt;year&gt;2020&lt;/year&gt;&lt;/dates&gt;&lt;urls&gt;&lt;related-urls&gt;&lt;url&gt;&amp;lt;Go to ISI&amp;gt;://WOS:000576831700001&lt;/url&gt;&lt;/related-urls&gt;&lt;/urls&gt;&lt;titles&gt;&lt;title&gt;Small Alarmone Synthetases RelP and RelQ ofStaphylococcus aureusAre Involved in Biofilm Formation and Maintenance Under Cell Wall Stress Conditions&lt;/title&gt;&lt;secondary-title&gt;Frontiers in Microbiology&lt;/secondary-title&gt;&lt;/titles&gt;&lt;contributors&gt;&lt;authors&gt;&lt;author&gt;Salzer, A.&lt;/author&gt;&lt;author&gt;Keinhorster, D.&lt;/author&gt;&lt;author&gt;Kastle, C.&lt;/author&gt;&lt;author&gt;Kastle, B.&lt;/author&gt;&lt;author&gt;Wolz, C.&lt;/author&gt;&lt;/authors&gt;&lt;/contributors&gt;&lt;custom7&gt;575882&lt;/custom7&gt;&lt;added-date format="utc"&gt;1678157205&lt;/added-date&gt;&lt;ref-type name="Journal Article"&gt;17&lt;/ref-type&gt;&lt;rec-number&gt;731&lt;/rec-number&gt;&lt;last-updated-date format="utc"&gt;1678157205&lt;/last-updated-date&gt;&lt;accession-num&gt;WOS:000576831700001&lt;/accession-num&gt;&lt;electronic-resource-num&gt;10.3389/fmicb.2020.575882&lt;/electronic-resource-num&gt;&lt;volume&gt;11&lt;/volume&gt;&lt;/record&gt;&lt;/Cite&gt;&lt;/EndNote&gt;</w:instrText>
      </w:r>
      <w:r w:rsidRPr="00583048">
        <w:rPr>
          <w:rFonts w:ascii="Times New Roman" w:hAnsi="Times New Roman" w:cs="Times New Roman"/>
          <w:b/>
          <w:bCs/>
        </w:rPr>
        <w:fldChar w:fldCharType="separate"/>
      </w:r>
      <w:r w:rsidRPr="00583048">
        <w:rPr>
          <w:rFonts w:ascii="Times New Roman" w:hAnsi="Times New Roman" w:cs="Times New Roman"/>
          <w:b/>
          <w:bCs/>
          <w:noProof/>
        </w:rPr>
        <w:t>(Salzer</w:t>
      </w:r>
      <w:r w:rsidRPr="00583048">
        <w:rPr>
          <w:rFonts w:ascii="Times New Roman" w:hAnsi="Times New Roman" w:cs="Times New Roman"/>
          <w:b/>
          <w:bCs/>
          <w:i/>
          <w:noProof/>
        </w:rPr>
        <w:t xml:space="preserve"> et al.</w:t>
      </w:r>
      <w:r w:rsidRPr="00583048">
        <w:rPr>
          <w:rFonts w:ascii="Times New Roman" w:hAnsi="Times New Roman" w:cs="Times New Roman"/>
          <w:b/>
          <w:bCs/>
          <w:noProof/>
        </w:rPr>
        <w:t>, 2020)</w:t>
      </w:r>
      <w:r w:rsidRPr="00583048">
        <w:rPr>
          <w:rFonts w:ascii="Times New Roman" w:hAnsi="Times New Roman" w:cs="Times New Roman"/>
          <w:b/>
          <w:bCs/>
        </w:rPr>
        <w:fldChar w:fldCharType="end"/>
      </w:r>
      <w:r>
        <w:rPr>
          <w:rFonts w:ascii="Times New Roman" w:hAnsi="Times New Roman" w:cs="Times New Roman"/>
        </w:rPr>
        <w:t xml:space="preserve">. This is evidenced by no biofilm formation when treated with vancomycin and in the absence of (p)ppGpp </w:t>
      </w:r>
      <w:r w:rsidRPr="00583048">
        <w:rPr>
          <w:rFonts w:ascii="Times New Roman" w:hAnsi="Times New Roman" w:cs="Times New Roman"/>
          <w:b/>
          <w:bCs/>
        </w:rPr>
        <w:fldChar w:fldCharType="begin"/>
      </w:r>
      <w:r w:rsidRPr="00583048">
        <w:rPr>
          <w:rFonts w:ascii="Times New Roman" w:hAnsi="Times New Roman" w:cs="Times New Roman"/>
          <w:b/>
          <w:bCs/>
        </w:rPr>
        <w:instrText xml:space="preserve"> ADDIN EN.CITE &lt;EndNote&gt;&lt;Cite&gt;&lt;Author&gt;Salzer&lt;/Author&gt;&lt;Year&gt;2020&lt;/Year&gt;&lt;IDText&gt;Small Alarmone Synthetases RelP and RelQ ofStaphylococcus aureusAre Involved in Biofilm Formation and Maintenance Under Cell Wall Stress Conditions&lt;/IDText&gt;&lt;DisplayText&gt;(Salzer&lt;style face="italic"&gt; et al.&lt;/style&gt;, 2020)&lt;/DisplayText&gt;&lt;record&gt;&lt;dates&gt;&lt;pub-dates&gt;&lt;date&gt;Sep&lt;/date&gt;&lt;/pub-dates&gt;&lt;year&gt;2020&lt;/year&gt;&lt;/dates&gt;&lt;urls&gt;&lt;related-urls&gt;&lt;url&gt;&amp;lt;Go to ISI&amp;gt;://WOS:000576831700001&lt;/url&gt;&lt;/related-urls&gt;&lt;/urls&gt;&lt;titles&gt;&lt;title&gt;Small Alarmone Synthetases RelP and RelQ ofStaphylococcus aureusAre Involved in Biofilm Formation and Maintenance Under Cell Wall Stress Conditions&lt;/title&gt;&lt;secondary-title&gt;Frontiers in Microbiology&lt;/secondary-title&gt;&lt;/titles&gt;&lt;contributors&gt;&lt;authors&gt;&lt;author&gt;Salzer, A.&lt;/author&gt;&lt;author&gt;Keinhorster, D.&lt;/author&gt;&lt;author&gt;Kastle, C.&lt;/author&gt;&lt;author&gt;Kastle, B.&lt;/author&gt;&lt;author&gt;Wolz, C.&lt;/author&gt;&lt;/authors&gt;&lt;/contributors&gt;&lt;custom7&gt;575882&lt;/custom7&gt;&lt;added-date format="utc"&gt;1678157205&lt;/added-date&gt;&lt;ref-type name="Journal Article"&gt;17&lt;/ref-type&gt;&lt;rec-number&gt;731&lt;/rec-number&gt;&lt;last-updated-date format="utc"&gt;1678157205&lt;/last-updated-date&gt;&lt;accession-num&gt;WOS:000576831700001&lt;/accession-num&gt;&lt;electronic-resource-num&gt;10.3389/fmicb.2020.575882&lt;/electronic-resource-num&gt;&lt;volume&gt;11&lt;/volume&gt;&lt;/record&gt;&lt;/Cite&gt;&lt;/EndNote&gt;</w:instrText>
      </w:r>
      <w:r w:rsidRPr="00583048">
        <w:rPr>
          <w:rFonts w:ascii="Times New Roman" w:hAnsi="Times New Roman" w:cs="Times New Roman"/>
          <w:b/>
          <w:bCs/>
        </w:rPr>
        <w:fldChar w:fldCharType="separate"/>
      </w:r>
      <w:r w:rsidRPr="00583048">
        <w:rPr>
          <w:rFonts w:ascii="Times New Roman" w:hAnsi="Times New Roman" w:cs="Times New Roman"/>
          <w:b/>
          <w:bCs/>
          <w:noProof/>
        </w:rPr>
        <w:t>(Salzer</w:t>
      </w:r>
      <w:r w:rsidRPr="00583048">
        <w:rPr>
          <w:rFonts w:ascii="Times New Roman" w:hAnsi="Times New Roman" w:cs="Times New Roman"/>
          <w:b/>
          <w:bCs/>
          <w:i/>
          <w:noProof/>
        </w:rPr>
        <w:t xml:space="preserve"> et al.</w:t>
      </w:r>
      <w:r w:rsidRPr="00583048">
        <w:rPr>
          <w:rFonts w:ascii="Times New Roman" w:hAnsi="Times New Roman" w:cs="Times New Roman"/>
          <w:b/>
          <w:bCs/>
          <w:noProof/>
        </w:rPr>
        <w:t>, 2020)</w:t>
      </w:r>
      <w:r w:rsidRPr="00583048">
        <w:rPr>
          <w:rFonts w:ascii="Times New Roman" w:hAnsi="Times New Roman" w:cs="Times New Roman"/>
          <w:b/>
          <w:bCs/>
        </w:rPr>
        <w:fldChar w:fldCharType="end"/>
      </w:r>
      <w:r>
        <w:rPr>
          <w:rFonts w:ascii="Times New Roman" w:hAnsi="Times New Roman" w:cs="Times New Roman"/>
        </w:rPr>
        <w:t xml:space="preserve">. Though (p)ppGpp is implicated in biofilm formation as demonstrated, there are some species that are able to form biofilms even in the absence of (p)ppGpp. For example, a </w:t>
      </w:r>
      <w:r>
        <w:rPr>
          <w:rFonts w:ascii="Times New Roman" w:hAnsi="Times New Roman" w:cs="Times New Roman"/>
          <w:i/>
          <w:iCs/>
        </w:rPr>
        <w:t xml:space="preserve">Porphyromonas gingivalis </w:t>
      </w:r>
      <w:r>
        <w:rPr>
          <w:rFonts w:ascii="Times New Roman" w:hAnsi="Times New Roman" w:cs="Times New Roman"/>
        </w:rPr>
        <w:t>(p)ppGpp</w:t>
      </w:r>
      <w:r>
        <w:rPr>
          <w:rFonts w:ascii="Times New Roman" w:hAnsi="Times New Roman" w:cs="Times New Roman"/>
          <w:vertAlign w:val="superscript"/>
        </w:rPr>
        <w:t>0</w:t>
      </w:r>
      <w:r>
        <w:rPr>
          <w:rFonts w:ascii="Times New Roman" w:hAnsi="Times New Roman" w:cs="Times New Roman"/>
        </w:rPr>
        <w:t xml:space="preserve"> mutant was able to form biofilms </w:t>
      </w:r>
      <w:r w:rsidR="00A56CC3">
        <w:rPr>
          <w:rFonts w:ascii="Times New Roman" w:hAnsi="Times New Roman" w:cs="Times New Roman"/>
        </w:rPr>
        <w:t>with approximately</w:t>
      </w:r>
      <w:r>
        <w:rPr>
          <w:rFonts w:ascii="Times New Roman" w:hAnsi="Times New Roman" w:cs="Times New Roman"/>
        </w:rPr>
        <w:t xml:space="preserve"> twice the mass of a WT biofilm, however the number of dead cells in (p)ppGpp</w:t>
      </w:r>
      <w:r>
        <w:rPr>
          <w:rFonts w:ascii="Times New Roman" w:hAnsi="Times New Roman" w:cs="Times New Roman"/>
          <w:vertAlign w:val="superscript"/>
        </w:rPr>
        <w:t>0</w:t>
      </w:r>
      <w:r>
        <w:rPr>
          <w:rFonts w:ascii="Times New Roman" w:hAnsi="Times New Roman" w:cs="Times New Roman"/>
        </w:rPr>
        <w:t xml:space="preserve"> mutant biofilms was higher than WT </w:t>
      </w:r>
      <w:r w:rsidRPr="00E114CF">
        <w:rPr>
          <w:rFonts w:ascii="Times New Roman" w:hAnsi="Times New Roman" w:cs="Times New Roman"/>
          <w:b/>
          <w:bCs/>
        </w:rPr>
        <w:fldChar w:fldCharType="begin"/>
      </w:r>
      <w:r w:rsidRPr="00E114CF">
        <w:rPr>
          <w:rFonts w:ascii="Times New Roman" w:hAnsi="Times New Roman" w:cs="Times New Roman"/>
          <w:b/>
          <w:bCs/>
        </w:rPr>
        <w:instrText xml:space="preserve"> ADDIN EN.CITE &lt;EndNote&gt;&lt;Cite&gt;&lt;Author&gt;Kim&lt;/Author&gt;&lt;Year&gt;2020&lt;/Year&gt;&lt;IDText&gt;Synthesis of ppGpp impacts type IX secretion and biofilm matrix formation in Porphyromonas gingivalis&lt;/IDText&gt;&lt;DisplayText&gt;(Kim and Davey, 2020)&lt;/DisplayText&gt;&lt;record&gt;&lt;dates&gt;&lt;pub-dates&gt;&lt;date&gt;Jan&lt;/date&gt;&lt;/pub-dates&gt;&lt;year&gt;2020&lt;/year&gt;&lt;/dates&gt;&lt;urls&gt;&lt;related-urls&gt;&lt;url&gt;&amp;lt;Go to ISI&amp;gt;://WOS:000511149600001&lt;/url&gt;&lt;/related-urls&gt;&lt;/urls&gt;&lt;titles&gt;&lt;title&gt;Synthesis of ppGpp impacts type IX secretion and biofilm matrix formation in Porphyromonas gingivalis&lt;/title&gt;&lt;secondary-title&gt;Npj Biofilms and Microbiomes&lt;/secondary-title&gt;&lt;/titles&gt;&lt;number&gt;1&lt;/number&gt;&lt;contributors&gt;&lt;authors&gt;&lt;author&gt;Kim, H. M.&lt;/author&gt;&lt;author&gt;Davey, M. E.&lt;/author&gt;&lt;/authors&gt;&lt;/contributors&gt;&lt;custom7&gt;5&lt;/custom7&gt;&lt;added-date format="utc"&gt;1678158465&lt;/added-date&gt;&lt;ref-type name="Journal Article"&gt;17&lt;/ref-type&gt;&lt;rec-number&gt;732&lt;/rec-number&gt;&lt;last-updated-date format="utc"&gt;1678158465&lt;/last-updated-date&gt;&lt;accession-num&gt;WOS:000511149600001&lt;/accession-num&gt;&lt;electronic-resource-num&gt;10.1038/s41522-020-0115-4&lt;/electronic-resource-num&gt;&lt;volume&gt;6&lt;/volume&gt;&lt;/record&gt;&lt;/Cite&gt;&lt;/EndNote&gt;</w:instrText>
      </w:r>
      <w:r w:rsidRPr="00E114CF">
        <w:rPr>
          <w:rFonts w:ascii="Times New Roman" w:hAnsi="Times New Roman" w:cs="Times New Roman"/>
          <w:b/>
          <w:bCs/>
        </w:rPr>
        <w:fldChar w:fldCharType="separate"/>
      </w:r>
      <w:r w:rsidRPr="00E114CF">
        <w:rPr>
          <w:rFonts w:ascii="Times New Roman" w:hAnsi="Times New Roman" w:cs="Times New Roman"/>
          <w:b/>
          <w:bCs/>
          <w:noProof/>
        </w:rPr>
        <w:t>(Kim and Davey, 2020)</w:t>
      </w:r>
      <w:r w:rsidRPr="00E114CF">
        <w:rPr>
          <w:rFonts w:ascii="Times New Roman" w:hAnsi="Times New Roman" w:cs="Times New Roman"/>
          <w:b/>
          <w:bCs/>
        </w:rPr>
        <w:fldChar w:fldCharType="end"/>
      </w:r>
      <w:r>
        <w:rPr>
          <w:rFonts w:ascii="Times New Roman" w:hAnsi="Times New Roman" w:cs="Times New Roman"/>
        </w:rPr>
        <w:t xml:space="preserve">. Furthermore, </w:t>
      </w:r>
      <w:r w:rsidR="00A56CC3">
        <w:rPr>
          <w:rFonts w:ascii="Times New Roman" w:hAnsi="Times New Roman" w:cs="Times New Roman"/>
        </w:rPr>
        <w:t xml:space="preserve">for </w:t>
      </w:r>
      <w:r>
        <w:rPr>
          <w:rFonts w:ascii="Times New Roman" w:hAnsi="Times New Roman" w:cs="Times New Roman"/>
          <w:i/>
          <w:iCs/>
        </w:rPr>
        <w:t>Pseudomonas putida</w:t>
      </w:r>
      <w:r>
        <w:rPr>
          <w:rFonts w:ascii="Times New Roman" w:hAnsi="Times New Roman" w:cs="Times New Roman"/>
        </w:rPr>
        <w:t xml:space="preserve">, (p)ppGpp was required for biofilm dispersal rather than formation </w:t>
      </w:r>
      <w:r w:rsidRPr="00E114CF">
        <w:rPr>
          <w:rFonts w:ascii="Times New Roman" w:hAnsi="Times New Roman" w:cs="Times New Roman"/>
          <w:b/>
          <w:bCs/>
        </w:rPr>
        <w:fldChar w:fldCharType="begin"/>
      </w:r>
      <w:r w:rsidRPr="00E114CF">
        <w:rPr>
          <w:rFonts w:ascii="Times New Roman" w:hAnsi="Times New Roman" w:cs="Times New Roman"/>
          <w:b/>
          <w:bCs/>
        </w:rPr>
        <w:instrText xml:space="preserve"> ADDIN EN.CITE &lt;EndNote&gt;&lt;Cite&gt;&lt;Author&gt;Diaz-Salazar&lt;/Author&gt;&lt;Year&gt;2017&lt;/Year&gt;&lt;IDText&gt;The stringent response promotes biofilm dispersal in Pseudomonas putida&lt;/IDText&gt;&lt;DisplayText&gt;(Diaz-Salazar&lt;style face="italic"&gt; et al.&lt;/style&gt;, 2017)&lt;/DisplayText&gt;&lt;record&gt;&lt;dates&gt;&lt;pub-dates&gt;&lt;date&gt;Dec&lt;/date&gt;&lt;/pub-dates&gt;&lt;year&gt;2017&lt;/year&gt;&lt;/dates&gt;&lt;urls&gt;&lt;related-urls&gt;&lt;url&gt;&amp;lt;Go to ISI&amp;gt;://WOS:000418644100014&lt;/url&gt;&lt;/related-urls&gt;&lt;/urls&gt;&lt;isbn&gt;2045-2322&lt;/isbn&gt;&lt;titles&gt;&lt;title&gt;The stringent response promotes biofilm dispersal in Pseudomonas putida&lt;/title&gt;&lt;secondary-title&gt;Scientific Reports&lt;/secondary-title&gt;&lt;/titles&gt;&lt;contributors&gt;&lt;authors&gt;&lt;author&gt;Diaz-Salazar, C.&lt;/author&gt;&lt;author&gt;Calero, P.&lt;/author&gt;&lt;author&gt;Espinosa-Portero, R.&lt;/author&gt;&lt;author&gt;Jimenez-Fernandez, A.&lt;/author&gt;&lt;author&gt;Wirebrand, L.&lt;/author&gt;&lt;author&gt;Velasco-Dominguez, M. G.&lt;/author&gt;&lt;author&gt;Lopez-Sanchez, A.&lt;/author&gt;&lt;author&gt;Shingler, V.&lt;/author&gt;&lt;author&gt;Govantes, F.&lt;/author&gt;&lt;/authors&gt;&lt;/contributors&gt;&lt;custom7&gt;18055&lt;/custom7&gt;&lt;added-date format="utc"&gt;1678158601&lt;/added-date&gt;&lt;ref-type name="Journal Article"&gt;17&lt;/ref-type&gt;&lt;rec-number&gt;733&lt;/rec-number&gt;&lt;last-updated-date format="utc"&gt;1678158601&lt;/last-updated-date&gt;&lt;accession-num&gt;WOS:000418644100014&lt;/accession-num&gt;&lt;electronic-resource-num&gt;10.1038/s41598-017-18518-0&lt;/electronic-resource-num&gt;&lt;volume&gt;7&lt;/volume&gt;&lt;/record&gt;&lt;/Cite&gt;&lt;/EndNote&gt;</w:instrText>
      </w:r>
      <w:r w:rsidRPr="00E114CF">
        <w:rPr>
          <w:rFonts w:ascii="Times New Roman" w:hAnsi="Times New Roman" w:cs="Times New Roman"/>
          <w:b/>
          <w:bCs/>
        </w:rPr>
        <w:fldChar w:fldCharType="separate"/>
      </w:r>
      <w:r w:rsidRPr="00E114CF">
        <w:rPr>
          <w:rFonts w:ascii="Times New Roman" w:hAnsi="Times New Roman" w:cs="Times New Roman"/>
          <w:b/>
          <w:bCs/>
          <w:noProof/>
        </w:rPr>
        <w:t>(Diaz-Salazar</w:t>
      </w:r>
      <w:r w:rsidRPr="00E114CF">
        <w:rPr>
          <w:rFonts w:ascii="Times New Roman" w:hAnsi="Times New Roman" w:cs="Times New Roman"/>
          <w:b/>
          <w:bCs/>
          <w:i/>
          <w:noProof/>
        </w:rPr>
        <w:t xml:space="preserve"> et al.</w:t>
      </w:r>
      <w:r w:rsidRPr="00E114CF">
        <w:rPr>
          <w:rFonts w:ascii="Times New Roman" w:hAnsi="Times New Roman" w:cs="Times New Roman"/>
          <w:b/>
          <w:bCs/>
          <w:noProof/>
        </w:rPr>
        <w:t>, 2017)</w:t>
      </w:r>
      <w:r w:rsidRPr="00E114CF">
        <w:rPr>
          <w:rFonts w:ascii="Times New Roman" w:hAnsi="Times New Roman" w:cs="Times New Roman"/>
          <w:b/>
          <w:bCs/>
        </w:rPr>
        <w:fldChar w:fldCharType="end"/>
      </w:r>
      <w:r>
        <w:rPr>
          <w:rFonts w:ascii="Times New Roman" w:hAnsi="Times New Roman" w:cs="Times New Roman"/>
        </w:rPr>
        <w:t>. As the stringent response is conserved across many bacterial species, it is plausible that the positive effect it has on virulence and pathogenesis is not universal</w:t>
      </w:r>
      <w:r w:rsidR="00A56CC3">
        <w:rPr>
          <w:rFonts w:ascii="Times New Roman" w:hAnsi="Times New Roman" w:cs="Times New Roman"/>
        </w:rPr>
        <w:t>, explaining why ppGpp-mediated biofilm formation differs across species</w:t>
      </w:r>
      <w:r>
        <w:rPr>
          <w:rFonts w:ascii="Times New Roman" w:hAnsi="Times New Roman" w:cs="Times New Roman"/>
        </w:rPr>
        <w:t>.</w:t>
      </w:r>
    </w:p>
    <w:p w14:paraId="0FE4BA41" w14:textId="77777777" w:rsidR="00033564" w:rsidRDefault="00033564" w:rsidP="00033564">
      <w:pPr>
        <w:pStyle w:val="Heading4"/>
      </w:pPr>
      <w:r>
        <w:t xml:space="preserve">1.2.3.3. Antibiotic tolerance and persistence </w:t>
      </w:r>
    </w:p>
    <w:p w14:paraId="54CA05DC" w14:textId="77777777" w:rsidR="00033564" w:rsidRDefault="00033564" w:rsidP="00033564">
      <w:pPr>
        <w:pStyle w:val="Default"/>
        <w:spacing w:line="360" w:lineRule="auto"/>
        <w:jc w:val="both"/>
        <w:rPr>
          <w:color w:val="auto"/>
          <w:sz w:val="22"/>
          <w:szCs w:val="22"/>
        </w:rPr>
      </w:pPr>
    </w:p>
    <w:p w14:paraId="654FB63E" w14:textId="746BA87D" w:rsidR="00033564" w:rsidRPr="009F0C92" w:rsidRDefault="00033564" w:rsidP="00033564">
      <w:pPr>
        <w:pStyle w:val="Default"/>
        <w:spacing w:line="360" w:lineRule="auto"/>
        <w:jc w:val="both"/>
        <w:rPr>
          <w:color w:val="auto"/>
          <w:sz w:val="22"/>
          <w:szCs w:val="22"/>
        </w:rPr>
      </w:pPr>
      <w:r>
        <w:rPr>
          <w:color w:val="auto"/>
          <w:sz w:val="22"/>
          <w:szCs w:val="22"/>
        </w:rPr>
        <w:t xml:space="preserve">Perhaps one of the most interesting roles of the stringent response is its involvement in the development of antibiotic tolerance that can result in bacterial persistence. The decreased growth associated with the stringent response is similar to the persistent phenotype and both phenomena can result in recalcitrant infections </w:t>
      </w:r>
      <w:r w:rsidRPr="00467F83">
        <w:rPr>
          <w:b/>
          <w:bCs/>
          <w:color w:val="auto"/>
          <w:sz w:val="22"/>
          <w:szCs w:val="22"/>
        </w:rPr>
        <w:fldChar w:fldCharType="begin">
          <w:fldData xml:space="preserve">PEVuZE5vdGU+PENpdGU+PEF1dGhvcj5HYW88L0F1dGhvcj48WWVhcj4yMDEwPC9ZZWFyPjxJRFRl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</w:fldData>
        </w:fldChar>
      </w:r>
      <w:r w:rsidRPr="00467F83">
        <w:rPr>
          <w:b/>
          <w:bCs/>
          <w:color w:val="auto"/>
          <w:sz w:val="22"/>
          <w:szCs w:val="22"/>
        </w:rPr>
        <w:instrText xml:space="preserve"> ADDIN EN.CITE </w:instrText>
      </w:r>
      <w:r w:rsidRPr="00467F83">
        <w:rPr>
          <w:b/>
          <w:bCs/>
          <w:color w:val="auto"/>
          <w:sz w:val="22"/>
          <w:szCs w:val="22"/>
        </w:rPr>
        <w:fldChar w:fldCharType="begin">
          <w:fldData xml:space="preserve">PEVuZE5vdGU+PENpdGU+PEF1dGhvcj5HYW88L0F1dGhvcj48WWVhcj4yMDEwPC9ZZWFyPjxJRFRl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</w:fldData>
        </w:fldChar>
      </w:r>
      <w:r w:rsidRPr="00467F83">
        <w:rPr>
          <w:b/>
          <w:bCs/>
          <w:color w:val="auto"/>
          <w:sz w:val="22"/>
          <w:szCs w:val="22"/>
        </w:rPr>
        <w:instrText xml:space="preserve"> ADDIN EN.CITE.DATA </w:instrText>
      </w:r>
      <w:r w:rsidRPr="00467F83">
        <w:rPr>
          <w:b/>
          <w:bCs/>
          <w:color w:val="auto"/>
          <w:sz w:val="22"/>
          <w:szCs w:val="22"/>
        </w:rPr>
      </w:r>
      <w:r w:rsidRPr="00467F83">
        <w:rPr>
          <w:b/>
          <w:bCs/>
          <w:color w:val="auto"/>
          <w:sz w:val="22"/>
          <w:szCs w:val="22"/>
        </w:rPr>
        <w:fldChar w:fldCharType="end"/>
      </w:r>
      <w:r w:rsidRPr="00467F83">
        <w:rPr>
          <w:b/>
          <w:bCs/>
          <w:color w:val="auto"/>
          <w:sz w:val="22"/>
          <w:szCs w:val="22"/>
        </w:rPr>
      </w:r>
      <w:r w:rsidRPr="00467F83">
        <w:rPr>
          <w:b/>
          <w:bCs/>
          <w:color w:val="auto"/>
          <w:sz w:val="22"/>
          <w:szCs w:val="22"/>
        </w:rPr>
        <w:fldChar w:fldCharType="separate"/>
      </w:r>
      <w:r w:rsidRPr="00467F83">
        <w:rPr>
          <w:b/>
          <w:bCs/>
          <w:noProof/>
          <w:color w:val="auto"/>
          <w:sz w:val="22"/>
          <w:szCs w:val="22"/>
        </w:rPr>
        <w:t>(Gao</w:t>
      </w:r>
      <w:r w:rsidRPr="00467F83">
        <w:rPr>
          <w:b/>
          <w:bCs/>
          <w:i/>
          <w:noProof/>
          <w:color w:val="auto"/>
          <w:sz w:val="22"/>
          <w:szCs w:val="22"/>
        </w:rPr>
        <w:t xml:space="preserve"> et al.</w:t>
      </w:r>
      <w:r w:rsidRPr="00467F83">
        <w:rPr>
          <w:b/>
          <w:bCs/>
          <w:noProof/>
          <w:color w:val="auto"/>
          <w:sz w:val="22"/>
          <w:szCs w:val="22"/>
        </w:rPr>
        <w:t>, 2010; Fauvart, de Groote and Jan, 2011)</w:t>
      </w:r>
      <w:r w:rsidRPr="00467F83">
        <w:rPr>
          <w:b/>
          <w:bCs/>
          <w:color w:val="auto"/>
          <w:sz w:val="22"/>
          <w:szCs w:val="22"/>
        </w:rPr>
        <w:fldChar w:fldCharType="end"/>
      </w:r>
      <w:r>
        <w:rPr>
          <w:color w:val="auto"/>
          <w:sz w:val="22"/>
          <w:szCs w:val="22"/>
        </w:rPr>
        <w:t xml:space="preserve">. As bacteria are in a dormant-like state during the stringent response and metabolic processes are downregulated, </w:t>
      </w:r>
      <w:r w:rsidRPr="00DE0BF5">
        <w:rPr>
          <w:color w:val="auto"/>
          <w:sz w:val="22"/>
          <w:szCs w:val="22"/>
        </w:rPr>
        <w:t xml:space="preserve">this </w:t>
      </w:r>
      <w:r>
        <w:rPr>
          <w:color w:val="auto"/>
          <w:sz w:val="22"/>
          <w:szCs w:val="22"/>
        </w:rPr>
        <w:t>affects</w:t>
      </w:r>
      <w:r w:rsidRPr="00DE0BF5">
        <w:rPr>
          <w:color w:val="auto"/>
          <w:sz w:val="22"/>
          <w:szCs w:val="22"/>
        </w:rPr>
        <w:t xml:space="preserve"> antibiotic efficacy, leading to tolerance</w:t>
      </w:r>
      <w:r>
        <w:rPr>
          <w:color w:val="auto"/>
          <w:sz w:val="22"/>
          <w:szCs w:val="22"/>
        </w:rPr>
        <w:t xml:space="preserve"> and </w:t>
      </w:r>
      <w:r w:rsidRPr="00DE0BF5">
        <w:rPr>
          <w:color w:val="auto"/>
          <w:sz w:val="22"/>
          <w:szCs w:val="22"/>
        </w:rPr>
        <w:t xml:space="preserve">prolonged bacterial </w:t>
      </w:r>
      <w:r>
        <w:rPr>
          <w:color w:val="auto"/>
          <w:sz w:val="22"/>
          <w:szCs w:val="22"/>
        </w:rPr>
        <w:t xml:space="preserve">survival. For example, amino acid limitation was demonstrated to be a prerequisite of antibiotic tolerance to ampicillin and ofloxacin in </w:t>
      </w:r>
      <w:r>
        <w:rPr>
          <w:i/>
          <w:iCs/>
          <w:color w:val="auto"/>
          <w:sz w:val="22"/>
          <w:szCs w:val="22"/>
        </w:rPr>
        <w:t xml:space="preserve">E. coli, </w:t>
      </w:r>
      <w:r>
        <w:rPr>
          <w:color w:val="auto"/>
          <w:sz w:val="22"/>
          <w:szCs w:val="22"/>
        </w:rPr>
        <w:t>where the absence of a functional stringent response resulted in antibiotic sensitivity</w:t>
      </w:r>
      <w:r w:rsidRPr="00FD414B">
        <w:rPr>
          <w:b/>
          <w:bCs/>
          <w:color w:val="auto"/>
          <w:sz w:val="22"/>
          <w:szCs w:val="22"/>
        </w:rPr>
        <w:t xml:space="preserve"> </w:t>
      </w:r>
      <w:r w:rsidRPr="00FD414B">
        <w:rPr>
          <w:b/>
          <w:bCs/>
          <w:color w:val="auto"/>
          <w:sz w:val="22"/>
          <w:szCs w:val="22"/>
        </w:rPr>
        <w:fldChar w:fldCharType="begin"/>
      </w:r>
      <w:r w:rsidRPr="00FD414B">
        <w:rPr>
          <w:b/>
          <w:bCs/>
          <w:color w:val="auto"/>
          <w:sz w:val="22"/>
          <w:szCs w:val="22"/>
        </w:rPr>
        <w:instrText xml:space="preserve"> ADDIN EN.CITE &lt;EndNote&gt;&lt;Cite&gt;&lt;Author&gt;Fung&lt;/Author&gt;&lt;Year&gt;2010&lt;/Year&gt;&lt;IDText&gt;Delineation of a Bacterial Starvation Stress Response Network Which Can Mediate Antibiotic Tolerance Development&lt;/IDText&gt;&lt;DisplayText&gt;(Fung&lt;style face="italic"&gt; et al.&lt;/style&gt;, 2010)&lt;/DisplayText&gt;&lt;record&gt;&lt;dates&gt;&lt;pub-dates&gt;&lt;date&gt;Mar&lt;/date&gt;&lt;/pub-dates&gt;&lt;year&gt;2010&lt;/year&gt;&lt;/dates&gt;&lt;urls&gt;&lt;related-urls&gt;&lt;url&gt;&amp;lt;Go to ISI&amp;gt;://WOS:000274733300016&lt;/url&gt;&lt;/related-urls&gt;&lt;/urls&gt;&lt;isbn&gt;0066-4804&lt;/isbn&gt;&lt;titles&gt;&lt;title&gt;Delineation of a Bacterial Starvation Stress Response Network Which Can Mediate Antibiotic Tolerance Development&lt;/title&gt;&lt;secondary-title&gt;Antimicrobial Agents and Chemotherapy&lt;/secondary-title&gt;&lt;/titles&gt;&lt;pages&gt;1082-1093&lt;/pages&gt;&lt;number&gt;3&lt;/number&gt;&lt;contributors&gt;&lt;authors&gt;&lt;author&gt;Fung, Danny K. C.&lt;/author&gt;&lt;author&gt;Chan, Edward W. C.&lt;/author&gt;&lt;author&gt;Chin, Miu L.&lt;/author&gt;&lt;author&gt;Chan, Raphael C. Y.&lt;/author&gt;&lt;/authors&gt;&lt;/contributors&gt;&lt;added-date format="utc"&gt;1663625744&lt;/added-date&gt;&lt;ref-type name="Journal Article"&gt;17&lt;/ref-type&gt;&lt;rec-number&gt;151&lt;/rec-number&gt;&lt;last-updated-date format="utc"&gt;1664027853&lt;/last-updated-date&gt;&lt;accession-num&gt;WOS:000274733300016&lt;/accession-num&gt;&lt;electronic-resource-num&gt;10.1128/aac.01218-09&lt;/electronic-resource-num&gt;&lt;volume&gt;54&lt;/volume&gt;&lt;/record&gt;&lt;/Cite&gt;&lt;/EndNote&gt;</w:instrText>
      </w:r>
      <w:r w:rsidRPr="00FD414B">
        <w:rPr>
          <w:b/>
          <w:bCs/>
          <w:color w:val="auto"/>
          <w:sz w:val="22"/>
          <w:szCs w:val="22"/>
        </w:rPr>
        <w:fldChar w:fldCharType="separate"/>
      </w:r>
      <w:r w:rsidRPr="00FD414B">
        <w:rPr>
          <w:b/>
          <w:bCs/>
          <w:noProof/>
          <w:color w:val="auto"/>
          <w:sz w:val="22"/>
          <w:szCs w:val="22"/>
        </w:rPr>
        <w:t>(Fung et al., 2010)</w:t>
      </w:r>
      <w:r w:rsidRPr="00FD414B">
        <w:rPr>
          <w:b/>
          <w:bCs/>
          <w:color w:val="auto"/>
          <w:sz w:val="22"/>
          <w:szCs w:val="22"/>
        </w:rPr>
        <w:fldChar w:fldCharType="end"/>
      </w:r>
      <w:r>
        <w:rPr>
          <w:color w:val="auto"/>
          <w:sz w:val="22"/>
          <w:szCs w:val="22"/>
        </w:rPr>
        <w:t xml:space="preserve">. </w:t>
      </w:r>
      <w:r w:rsidRPr="00DE0BF5">
        <w:rPr>
          <w:iCs/>
          <w:color w:val="auto"/>
          <w:sz w:val="22"/>
          <w:szCs w:val="22"/>
        </w:rPr>
        <w:t xml:space="preserve">In </w:t>
      </w:r>
      <w:r w:rsidRPr="00DE0BF5">
        <w:rPr>
          <w:i/>
          <w:color w:val="auto"/>
          <w:sz w:val="22"/>
          <w:szCs w:val="22"/>
        </w:rPr>
        <w:t xml:space="preserve">E. faecalis, </w:t>
      </w:r>
      <w:r w:rsidRPr="00DE0BF5">
        <w:rPr>
          <w:iCs/>
          <w:color w:val="auto"/>
          <w:sz w:val="22"/>
          <w:szCs w:val="22"/>
        </w:rPr>
        <w:t>Δ</w:t>
      </w:r>
      <w:r w:rsidRPr="00DE0BF5">
        <w:rPr>
          <w:i/>
          <w:color w:val="auto"/>
          <w:sz w:val="22"/>
          <w:szCs w:val="22"/>
        </w:rPr>
        <w:t>rel</w:t>
      </w:r>
      <w:r w:rsidRPr="00DE0BF5">
        <w:rPr>
          <w:iCs/>
          <w:color w:val="auto"/>
          <w:sz w:val="22"/>
          <w:szCs w:val="22"/>
        </w:rPr>
        <w:t xml:space="preserve"> strains produce (p)ppGpp via </w:t>
      </w:r>
      <w:r>
        <w:rPr>
          <w:iCs/>
          <w:color w:val="auto"/>
          <w:sz w:val="22"/>
          <w:szCs w:val="22"/>
        </w:rPr>
        <w:t xml:space="preserve">expression of </w:t>
      </w:r>
      <w:r w:rsidRPr="00DE0BF5">
        <w:rPr>
          <w:iCs/>
          <w:color w:val="auto"/>
          <w:sz w:val="22"/>
          <w:szCs w:val="22"/>
        </w:rPr>
        <w:t>RelQ</w:t>
      </w:r>
      <w:r>
        <w:rPr>
          <w:iCs/>
          <w:color w:val="auto"/>
          <w:sz w:val="22"/>
          <w:szCs w:val="22"/>
        </w:rPr>
        <w:t xml:space="preserve"> which</w:t>
      </w:r>
      <w:r w:rsidRPr="00DE0BF5">
        <w:rPr>
          <w:iCs/>
          <w:color w:val="auto"/>
          <w:sz w:val="22"/>
          <w:szCs w:val="22"/>
        </w:rPr>
        <w:t xml:space="preserve"> confer</w:t>
      </w:r>
      <w:r>
        <w:rPr>
          <w:iCs/>
          <w:color w:val="auto"/>
          <w:sz w:val="22"/>
          <w:szCs w:val="22"/>
        </w:rPr>
        <w:t>red</w:t>
      </w:r>
      <w:r w:rsidRPr="00DE0BF5">
        <w:rPr>
          <w:iCs/>
          <w:color w:val="auto"/>
          <w:sz w:val="22"/>
          <w:szCs w:val="22"/>
        </w:rPr>
        <w:t xml:space="preserve"> vancomycin tolerance, suggesting that</w:t>
      </w:r>
      <w:r>
        <w:rPr>
          <w:iCs/>
          <w:color w:val="auto"/>
          <w:sz w:val="22"/>
          <w:szCs w:val="22"/>
        </w:rPr>
        <w:t xml:space="preserve"> even</w:t>
      </w:r>
      <w:r w:rsidRPr="00DE0BF5">
        <w:rPr>
          <w:iCs/>
          <w:color w:val="auto"/>
          <w:sz w:val="22"/>
          <w:szCs w:val="22"/>
        </w:rPr>
        <w:t xml:space="preserve"> low levels of (p)ppGpp are sufficient for a tolerance phenotype</w:t>
      </w:r>
      <w:r>
        <w:rPr>
          <w:iCs/>
          <w:color w:val="auto"/>
          <w:sz w:val="22"/>
          <w:szCs w:val="22"/>
        </w:rPr>
        <w:t xml:space="preserve"> </w:t>
      </w:r>
      <w:r w:rsidRPr="00FD414B">
        <w:rPr>
          <w:b/>
          <w:bCs/>
          <w:iCs/>
          <w:color w:val="auto"/>
          <w:sz w:val="22"/>
          <w:szCs w:val="22"/>
        </w:rPr>
        <w:fldChar w:fldCharType="begin"/>
      </w:r>
      <w:r w:rsidRPr="00FD414B">
        <w:rPr>
          <w:b/>
          <w:bCs/>
          <w:iCs/>
          <w:color w:val="auto"/>
          <w:sz w:val="22"/>
          <w:szCs w:val="22"/>
        </w:rPr>
        <w:instrText xml:space="preserve"> ADDIN EN.CITE &lt;EndNote&gt;&lt;Cite&gt;&lt;Author&gt;Abranches&lt;/Author&gt;&lt;Year&gt;2009&lt;/Year&gt;&lt;IDText&gt;The Molecular Alarmone (p)ppGpp Mediates Stress Responses, Vancomycin Tolerance, and Virulence in Enterococcus faecalis&lt;/IDText&gt;&lt;DisplayText&gt;(Abranches&lt;style face="italic"&gt; et al.&lt;/style&gt;, 2009)&lt;/DisplayText&gt;&lt;record&gt;&lt;dates&gt;&lt;pub-dates&gt;&lt;date&gt;Apr 1&lt;/date&gt;&lt;/pub-dates&gt;&lt;year&gt;2009&lt;/year&gt;&lt;/dates&gt;&lt;urls&gt;&lt;related-urls&gt;&lt;url&gt;&amp;lt;Go to ISI&amp;gt;://WOS:000264085500031&lt;/url&gt;&lt;/related-urls&gt;&lt;/urls&gt;&lt;isbn&gt;0021-9193&lt;/isbn&gt;&lt;titles&gt;&lt;title&gt;&lt;style font="default" size="100%"&gt;The Molecular Alarmone (p)ppGpp Mediates Stress Responses, Vancomycin Tolerance, and Virulence in &lt;/style&gt;&lt;style face="italic" font="default" size="100%"&gt;Enterococcus faecalis&lt;/style&gt;&lt;/title&gt;&lt;secondary-title&gt;Journal of Bacteriology&lt;/secondary-title&gt;&lt;/titles&gt;&lt;pages&gt;2248-2256&lt;/pages&gt;&lt;number&gt;7&lt;/number&gt;&lt;contributors&gt;&lt;authors&gt;&lt;author&gt;Abranches, Jacqueline&lt;/author&gt;&lt;author&gt;Martinez, Alaina R.&lt;/author&gt;&lt;author&gt;Kajfasz, Jessica K.&lt;/author&gt;&lt;author&gt;Chavez, Violeta&lt;/author&gt;&lt;author&gt;Garsin, Danielle A.&lt;/author&gt;&lt;author&gt;Lemos, Jose A.&lt;/author&gt;&lt;/authors&gt;&lt;/contributors&gt;&lt;added-date format="utc"&gt;1663624036&lt;/added-date&gt;&lt;ref-type name="Journal Article"&gt;17&lt;/ref-type&gt;&lt;rec-number&gt;140&lt;/rec-number&gt;&lt;last-updated-date format="utc"&gt;1675353506&lt;/last-updated-date&gt;&lt;accession-num&gt;WOS:000264085500031&lt;/accession-num&gt;&lt;electronic-resource-num&gt;10.1128/jb.01726-08&lt;/electronic-resource-num&gt;&lt;volume&gt;191&lt;/volume&gt;&lt;/record&gt;&lt;/Cite&gt;&lt;/EndNote&gt;</w:instrText>
      </w:r>
      <w:r w:rsidRPr="00FD414B">
        <w:rPr>
          <w:b/>
          <w:bCs/>
          <w:iCs/>
          <w:color w:val="auto"/>
          <w:sz w:val="22"/>
          <w:szCs w:val="22"/>
        </w:rPr>
        <w:fldChar w:fldCharType="separate"/>
      </w:r>
      <w:r w:rsidRPr="00FD414B">
        <w:rPr>
          <w:b/>
          <w:bCs/>
          <w:iCs/>
          <w:noProof/>
          <w:color w:val="auto"/>
          <w:sz w:val="22"/>
          <w:szCs w:val="22"/>
        </w:rPr>
        <w:t>(Abranches</w:t>
      </w:r>
      <w:r w:rsidRPr="00FD414B">
        <w:rPr>
          <w:b/>
          <w:bCs/>
          <w:i/>
          <w:iCs/>
          <w:noProof/>
          <w:color w:val="auto"/>
          <w:sz w:val="22"/>
          <w:szCs w:val="22"/>
        </w:rPr>
        <w:t xml:space="preserve"> et al.</w:t>
      </w:r>
      <w:r w:rsidRPr="00FD414B">
        <w:rPr>
          <w:b/>
          <w:bCs/>
          <w:iCs/>
          <w:noProof/>
          <w:color w:val="auto"/>
          <w:sz w:val="22"/>
          <w:szCs w:val="22"/>
        </w:rPr>
        <w:t>, 2009)</w:t>
      </w:r>
      <w:r w:rsidRPr="00FD414B">
        <w:rPr>
          <w:b/>
          <w:bCs/>
          <w:iCs/>
          <w:color w:val="auto"/>
          <w:sz w:val="22"/>
          <w:szCs w:val="22"/>
        </w:rPr>
        <w:fldChar w:fldCharType="end"/>
      </w:r>
      <w:r>
        <w:rPr>
          <w:iCs/>
          <w:color w:val="auto"/>
          <w:sz w:val="22"/>
          <w:szCs w:val="22"/>
        </w:rPr>
        <w:t xml:space="preserve">. </w:t>
      </w:r>
      <w:r w:rsidRPr="00DE0BF5">
        <w:rPr>
          <w:color w:val="auto"/>
          <w:sz w:val="22"/>
          <w:szCs w:val="22"/>
        </w:rPr>
        <w:t>Similarly,</w:t>
      </w:r>
      <w:r>
        <w:rPr>
          <w:color w:val="auto"/>
          <w:sz w:val="22"/>
          <w:szCs w:val="22"/>
        </w:rPr>
        <w:t xml:space="preserve"> as the presence of </w:t>
      </w:r>
      <w:r w:rsidRPr="00DE0BF5">
        <w:rPr>
          <w:color w:val="auto"/>
          <w:sz w:val="22"/>
          <w:szCs w:val="22"/>
        </w:rPr>
        <w:t>RelP</w:t>
      </w:r>
      <w:r w:rsidRPr="00DE0BF5">
        <w:rPr>
          <w:i/>
          <w:iCs/>
          <w:color w:val="auto"/>
          <w:sz w:val="22"/>
          <w:szCs w:val="22"/>
          <w:vertAlign w:val="subscript"/>
        </w:rPr>
        <w:t>Sau</w:t>
      </w:r>
      <w:r w:rsidRPr="00DE0BF5">
        <w:rPr>
          <w:color w:val="auto"/>
          <w:sz w:val="22"/>
          <w:szCs w:val="22"/>
        </w:rPr>
        <w:t xml:space="preserve"> and RelQ</w:t>
      </w:r>
      <w:r w:rsidRPr="00DE0BF5">
        <w:rPr>
          <w:i/>
          <w:iCs/>
          <w:color w:val="auto"/>
          <w:sz w:val="22"/>
          <w:szCs w:val="22"/>
          <w:vertAlign w:val="subscript"/>
        </w:rPr>
        <w:t>Sau</w:t>
      </w:r>
      <w:r w:rsidRPr="00DE0BF5">
        <w:rPr>
          <w:color w:val="auto"/>
          <w:sz w:val="22"/>
          <w:szCs w:val="22"/>
        </w:rPr>
        <w:t xml:space="preserve"> </w:t>
      </w:r>
      <w:r>
        <w:rPr>
          <w:color w:val="auto"/>
          <w:sz w:val="22"/>
          <w:szCs w:val="22"/>
        </w:rPr>
        <w:t xml:space="preserve">SAS enzymes were shown to confer </w:t>
      </w:r>
      <w:r w:rsidRPr="00DE0BF5">
        <w:rPr>
          <w:color w:val="auto"/>
          <w:sz w:val="22"/>
          <w:szCs w:val="22"/>
        </w:rPr>
        <w:t xml:space="preserve">tolerance </w:t>
      </w:r>
      <w:r>
        <w:rPr>
          <w:color w:val="auto"/>
          <w:sz w:val="22"/>
          <w:szCs w:val="22"/>
        </w:rPr>
        <w:t xml:space="preserve">to vancomycin, a double mutant in </w:t>
      </w:r>
      <w:r>
        <w:rPr>
          <w:i/>
          <w:iCs/>
          <w:color w:val="auto"/>
          <w:sz w:val="22"/>
          <w:szCs w:val="22"/>
        </w:rPr>
        <w:t>S. aureus</w:t>
      </w:r>
      <w:r>
        <w:rPr>
          <w:color w:val="auto"/>
          <w:sz w:val="22"/>
          <w:szCs w:val="22"/>
        </w:rPr>
        <w:t xml:space="preserve"> could not withstand high doses of vancomycin in comparison to its WT counterpart </w:t>
      </w:r>
      <w:r w:rsidRPr="00D6645D">
        <w:rPr>
          <w:b/>
          <w:bCs/>
          <w:color w:val="auto"/>
          <w:sz w:val="22"/>
          <w:szCs w:val="22"/>
        </w:rPr>
        <w:fldChar w:fldCharType="begin"/>
      </w:r>
      <w:r w:rsidRPr="00D6645D">
        <w:rPr>
          <w:b/>
          <w:bCs/>
          <w:color w:val="auto"/>
          <w:sz w:val="22"/>
          <w:szCs w:val="22"/>
        </w:rPr>
        <w:instrText xml:space="preserve"> ADDIN EN.CITE &lt;EndNote&gt;&lt;Cite&gt;&lt;Author&gt;Geiger&lt;/Author&gt;&lt;Year&gt;2014&lt;/Year&gt;&lt;IDText&gt;Two Small (p)ppGpp Synthases in Staphylococcus aureus Mediate Tolerance against Cell Envelope Stress Conditions&lt;/IDText&gt;&lt;DisplayText&gt;(Geiger&lt;style face="italic"&gt; et al.&lt;/style&gt;, 2014)&lt;/DisplayText&gt;&lt;record&gt;&lt;dates&gt;&lt;pub-dates&gt;&lt;date&gt;Feb&lt;/date&gt;&lt;/pub-dates&gt;&lt;year&gt;2014&lt;/year&gt;&lt;/dates&gt;&lt;urls&gt;&lt;related-urls&gt;&lt;/related-urls&gt;&lt;/urls&gt;&lt;isbn&gt;0021-9193&lt;/isbn&gt;&lt;titles&gt;&lt;title&gt;&lt;style font="default" size="100%"&gt;Two Small (p)ppGpp Synthases in &lt;/style&gt;&lt;style face="italic" font="default" size="100%"&gt;Staphylococcus aureus&lt;/style&gt;&lt;style font="default" size="100%"&gt; Mediate Tolerance against Cell Envelope Stress Conditions&lt;/style&gt;&lt;/title&gt;&lt;secondary-title&gt;Journal of Bacteriology&lt;/secondary-title&gt;&lt;/titles&gt;&lt;pages&gt;894-902&lt;/pages&gt;&lt;number&gt;4&lt;/number&gt;&lt;contributors&gt;&lt;authors&gt;&lt;author&gt;Geiger, Tobias&lt;/author&gt;&lt;author&gt;Kaestle, Benjamin&lt;/author&gt;&lt;author&gt;Gratani, Fabio Lino&lt;/author&gt;&lt;author&gt;Goerke, Christiane&lt;/author&gt;&lt;author&gt;Wolz, Christiane&lt;/author&gt;&lt;/authors&gt;&lt;/contributors&gt;&lt;added-date format="utc"&gt;1663612805&lt;/added-date&gt;&lt;ref-type name="Journal Article"&gt;17&lt;/ref-type&gt;&lt;rec-number&gt;67&lt;/rec-number&gt;&lt;last-updated-date format="utc"&gt;1675729945&lt;/last-updated-date&gt;&lt;accession-num&gt;WOS:000332626300017&lt;/accession-num&gt;&lt;electronic-resource-num&gt;10.1128/jb.01201-13&lt;/electronic-resource-num&gt;&lt;volume&gt;196&lt;/volume&gt;&lt;/record&gt;&lt;/Cite&gt;&lt;/EndNote&gt;</w:instrText>
      </w:r>
      <w:r w:rsidRPr="00D6645D">
        <w:rPr>
          <w:b/>
          <w:bCs/>
          <w:color w:val="auto"/>
          <w:sz w:val="22"/>
          <w:szCs w:val="22"/>
        </w:rPr>
        <w:fldChar w:fldCharType="separate"/>
      </w:r>
      <w:r w:rsidRPr="00D6645D">
        <w:rPr>
          <w:b/>
          <w:bCs/>
          <w:noProof/>
          <w:color w:val="auto"/>
          <w:sz w:val="22"/>
          <w:szCs w:val="22"/>
        </w:rPr>
        <w:t>(Geiger</w:t>
      </w:r>
      <w:r w:rsidRPr="00D6645D">
        <w:rPr>
          <w:b/>
          <w:bCs/>
          <w:i/>
          <w:noProof/>
          <w:color w:val="auto"/>
          <w:sz w:val="22"/>
          <w:szCs w:val="22"/>
        </w:rPr>
        <w:t xml:space="preserve"> et al.</w:t>
      </w:r>
      <w:r w:rsidRPr="00D6645D">
        <w:rPr>
          <w:b/>
          <w:bCs/>
          <w:noProof/>
          <w:color w:val="auto"/>
          <w:sz w:val="22"/>
          <w:szCs w:val="22"/>
        </w:rPr>
        <w:t>, 2014)</w:t>
      </w:r>
      <w:r w:rsidRPr="00D6645D">
        <w:rPr>
          <w:b/>
          <w:bCs/>
          <w:color w:val="auto"/>
          <w:sz w:val="22"/>
          <w:szCs w:val="22"/>
        </w:rPr>
        <w:fldChar w:fldCharType="end"/>
      </w:r>
      <w:r w:rsidRPr="00DE0BF5">
        <w:rPr>
          <w:color w:val="auto"/>
          <w:sz w:val="22"/>
          <w:szCs w:val="22"/>
        </w:rPr>
        <w:t>.</w:t>
      </w:r>
      <w:r>
        <w:rPr>
          <w:color w:val="auto"/>
          <w:sz w:val="22"/>
          <w:szCs w:val="22"/>
        </w:rPr>
        <w:t xml:space="preserve"> These </w:t>
      </w:r>
      <w:r>
        <w:rPr>
          <w:i/>
          <w:iCs/>
          <w:color w:val="auto"/>
          <w:sz w:val="22"/>
          <w:szCs w:val="22"/>
        </w:rPr>
        <w:t>in vitro</w:t>
      </w:r>
      <w:r>
        <w:rPr>
          <w:color w:val="auto"/>
          <w:sz w:val="22"/>
          <w:szCs w:val="22"/>
        </w:rPr>
        <w:t xml:space="preserve"> studies indicate the importance of the stringent response for the development of antibiotic tolerance that may lead to persistence. Persister strains can tolerate high concentrations of antibiotics and </w:t>
      </w:r>
      <w:r w:rsidRPr="009F0C92">
        <w:rPr>
          <w:color w:val="auto"/>
          <w:sz w:val="22"/>
          <w:szCs w:val="22"/>
        </w:rPr>
        <w:t>the contribution of the stringent response for persister formation has been demonstrated</w:t>
      </w:r>
      <w:r>
        <w:rPr>
          <w:color w:val="auto"/>
          <w:sz w:val="22"/>
          <w:szCs w:val="22"/>
        </w:rPr>
        <w:t>.</w:t>
      </w:r>
      <w:r w:rsidRPr="009F0C92">
        <w:rPr>
          <w:color w:val="auto"/>
          <w:sz w:val="22"/>
          <w:szCs w:val="22"/>
        </w:rPr>
        <w:t xml:space="preserve"> </w:t>
      </w:r>
      <w:r>
        <w:rPr>
          <w:color w:val="auto"/>
          <w:sz w:val="22"/>
          <w:szCs w:val="22"/>
        </w:rPr>
        <w:t xml:space="preserve">The </w:t>
      </w:r>
      <w:r w:rsidRPr="009F0C92">
        <w:rPr>
          <w:color w:val="auto"/>
          <w:sz w:val="22"/>
          <w:szCs w:val="22"/>
        </w:rPr>
        <w:t xml:space="preserve">absence of RelA reduced the ability of </w:t>
      </w:r>
      <w:r w:rsidRPr="009F0C92">
        <w:rPr>
          <w:i/>
          <w:iCs/>
          <w:color w:val="auto"/>
          <w:sz w:val="22"/>
          <w:szCs w:val="22"/>
        </w:rPr>
        <w:t xml:space="preserve">E. coli </w:t>
      </w:r>
      <w:r w:rsidRPr="009F0C92">
        <w:rPr>
          <w:color w:val="auto"/>
          <w:sz w:val="22"/>
          <w:szCs w:val="22"/>
        </w:rPr>
        <w:t>to form persister</w:t>
      </w:r>
      <w:r w:rsidR="00A56CC3">
        <w:rPr>
          <w:color w:val="auto"/>
          <w:sz w:val="22"/>
          <w:szCs w:val="22"/>
        </w:rPr>
        <w:t xml:space="preserve"> cells</w:t>
      </w:r>
      <w:r w:rsidRPr="009F0C92">
        <w:rPr>
          <w:color w:val="auto"/>
          <w:sz w:val="22"/>
          <w:szCs w:val="22"/>
        </w:rPr>
        <w:t xml:space="preserve"> tolerant to ampicillin and ofloxacin </w:t>
      </w:r>
      <w:r w:rsidRPr="009F0C92">
        <w:rPr>
          <w:i/>
          <w:iCs/>
          <w:color w:val="auto"/>
          <w:sz w:val="22"/>
          <w:szCs w:val="22"/>
        </w:rPr>
        <w:t>in vitro</w:t>
      </w:r>
      <w:r>
        <w:rPr>
          <w:i/>
          <w:iCs/>
          <w:color w:val="auto"/>
          <w:sz w:val="22"/>
          <w:szCs w:val="22"/>
        </w:rPr>
        <w:t xml:space="preserve"> </w:t>
      </w:r>
      <w:r w:rsidRPr="009F0C92">
        <w:rPr>
          <w:b/>
          <w:bCs/>
          <w:color w:val="auto"/>
          <w:sz w:val="22"/>
          <w:szCs w:val="22"/>
        </w:rPr>
        <w:fldChar w:fldCharType="begin"/>
      </w:r>
      <w:r w:rsidRPr="009F0C92">
        <w:rPr>
          <w:b/>
          <w:bCs/>
          <w:color w:val="auto"/>
          <w:sz w:val="22"/>
          <w:szCs w:val="22"/>
        </w:rPr>
        <w:instrText xml:space="preserve"> ADDIN EN.CITE &lt;EndNote&gt;&lt;Cite&gt;&lt;Author&gt;Amato&lt;/Author&gt;&lt;Year&gt;2015&lt;/Year&gt;&lt;IDText&gt;Persister Heterogeneity Arising from a Single Metabolic Stress&lt;/IDText&gt;&lt;DisplayText&gt;(Amato and Brynildsen, 2015)&lt;/DisplayText&gt;&lt;record&gt;&lt;dates&gt;&lt;pub-dates&gt;&lt;date&gt;Aug 17&lt;/date&gt;&lt;/pub-dates&gt;&lt;year&gt;2015&lt;/year&gt;&lt;/dates&gt;&lt;urls&gt;&lt;related-urls&gt;&lt;url&gt;&amp;lt;Go to ISI&amp;gt;://WOS:000359882200020&lt;/url&gt;&lt;/related-urls&gt;&lt;/urls&gt;&lt;isbn&gt;0960-9822&lt;/isbn&gt;&lt;work-type&gt;Article&lt;/work-type&gt;&lt;titles&gt;&lt;title&gt;Persister Heterogeneity Arising from a Single Metabolic Stress&lt;/title&gt;&lt;secondary-title&gt;Current Biology&lt;/secondary-title&gt;&lt;/titles&gt;&lt;pages&gt;2090-2098&lt;/pages&gt;&lt;number&gt;16&lt;/number&gt;&lt;contributors&gt;&lt;authors&gt;&lt;author&gt;Amato, Stephanie M.&lt;/author&gt;&lt;author&gt;Brynildsen, Mark P.&lt;/author&gt;&lt;/authors&gt;&lt;/contributors&gt;&lt;added-date format="utc"&gt;1673981901&lt;/added-date&gt;&lt;ref-type name="Journal Article"&gt;17&lt;/ref-type&gt;&lt;rec-number&gt;207&lt;/rec-number&gt;&lt;last-updated-date format="utc"&gt;1678058042&lt;/last-updated-date&gt;&lt;accession-num&gt;WOS:000359882200020&lt;/accession-num&gt;&lt;electronic-resource-num&gt;10.1016/j.cub.2015.06.034&lt;/electronic-resource-num&gt;&lt;volume&gt;25&lt;/volume&gt;&lt;/record&gt;&lt;/Cite&gt;&lt;/EndNote&gt;</w:instrText>
      </w:r>
      <w:r w:rsidRPr="009F0C92">
        <w:rPr>
          <w:b/>
          <w:bCs/>
          <w:color w:val="auto"/>
          <w:sz w:val="22"/>
          <w:szCs w:val="22"/>
        </w:rPr>
        <w:fldChar w:fldCharType="separate"/>
      </w:r>
      <w:r w:rsidRPr="009F0C92">
        <w:rPr>
          <w:b/>
          <w:bCs/>
          <w:noProof/>
          <w:color w:val="auto"/>
          <w:sz w:val="22"/>
          <w:szCs w:val="22"/>
        </w:rPr>
        <w:t>(Amato and Brynildsen, 2015)</w:t>
      </w:r>
      <w:r w:rsidRPr="009F0C92">
        <w:rPr>
          <w:b/>
          <w:bCs/>
          <w:color w:val="auto"/>
          <w:sz w:val="22"/>
          <w:szCs w:val="22"/>
        </w:rPr>
        <w:fldChar w:fldCharType="end"/>
      </w:r>
      <w:r>
        <w:rPr>
          <w:color w:val="auto"/>
          <w:sz w:val="22"/>
          <w:szCs w:val="22"/>
        </w:rPr>
        <w:t xml:space="preserve">. Furthermore, single-cell analysis has demonstrated that mutations in the HipA kinase toxin prevents binding of the HipB antitoxin and has been identified in clinical </w:t>
      </w:r>
      <w:r>
        <w:rPr>
          <w:i/>
          <w:iCs/>
          <w:color w:val="auto"/>
          <w:sz w:val="22"/>
          <w:szCs w:val="22"/>
        </w:rPr>
        <w:t xml:space="preserve">E. coli </w:t>
      </w:r>
      <w:r>
        <w:rPr>
          <w:color w:val="auto"/>
          <w:sz w:val="22"/>
          <w:szCs w:val="22"/>
        </w:rPr>
        <w:t xml:space="preserve">isolates </w:t>
      </w:r>
      <w:r w:rsidRPr="00A02247">
        <w:rPr>
          <w:b/>
          <w:bCs/>
          <w:color w:val="auto"/>
          <w:sz w:val="22"/>
          <w:szCs w:val="22"/>
        </w:rPr>
        <w:fldChar w:fldCharType="begin"/>
      </w:r>
      <w:r w:rsidRPr="00A02247">
        <w:rPr>
          <w:b/>
          <w:bCs/>
          <w:color w:val="auto"/>
          <w:sz w:val="22"/>
          <w:szCs w:val="22"/>
        </w:rPr>
        <w:instrText xml:space="preserve"> ADDIN EN.CITE &lt;EndNote&gt;&lt;Cite&gt;&lt;Author&gt;Schumacher&lt;/Author&gt;&lt;Year&gt;2015&lt;/Year&gt;&lt;IDText&gt;HipBA-promoter structures reveal the basis of heritable multidrug tolerance&lt;/IDText&gt;&lt;DisplayText&gt;(Schumacher&lt;style face="italic"&gt; et al.&lt;/style&gt;, 2015)&lt;/DisplayText&gt;&lt;record&gt;&lt;dates&gt;&lt;pub-dates&gt;&lt;date&gt;Aug 6&lt;/date&gt;&lt;/pub-dates&gt;&lt;year&gt;2015&lt;/year&gt;&lt;/dates&gt;&lt;urls&gt;&lt;related-urls&gt;&lt;url&gt;&amp;lt;Go to ISI&amp;gt;://WOS:000359002300031&lt;/url&gt;&lt;/related-urls&gt;&lt;/urls&gt;&lt;isbn&gt;0028-0836&lt;/isbn&gt;&lt;work-type&gt;Article&lt;/work-type&gt;&lt;titles&gt;&lt;title&gt;HipBA-promoter structures reveal the basis of heritable multidrug tolerance&lt;/title&gt;&lt;secondary-title&gt;Nature&lt;/secondary-title&gt;&lt;/titles&gt;&lt;pages&gt;59-U108&lt;/pages&gt;&lt;number&gt;7563&lt;/number&gt;&lt;contributors&gt;&lt;authors&gt;&lt;author&gt;Schumacher, Maria A.&lt;/author&gt;&lt;author&gt;Balani, Pooja&lt;/author&gt;&lt;author&gt;Min, Jungki&lt;/author&gt;&lt;author&gt;Chinnam, Naga Babu&lt;/author&gt;&lt;author&gt;Hansen, Sonja&lt;/author&gt;&lt;author&gt;Vulic, Marin&lt;/author&gt;&lt;author&gt;Lewis, Kim&lt;/author&gt;&lt;author&gt;Brennan, Richard G.&lt;/author&gt;&lt;/authors&gt;&lt;/contributors&gt;&lt;added-date format="utc"&gt;1673984815&lt;/added-date&gt;&lt;ref-type name="Journal Article"&gt;17&lt;/ref-type&gt;&lt;rec-number&gt;208&lt;/rec-number&gt;&lt;last-updated-date format="utc"&gt;1678058042&lt;/last-updated-date&gt;&lt;accession-num&gt;WOS:000359002300031&lt;/accession-num&gt;&lt;electronic-resource-num&gt;10.1038/nature14662&lt;/electronic-resource-num&gt;&lt;volume&gt;524&lt;/volume&gt;&lt;/record&gt;&lt;/Cite&gt;&lt;/EndNote&gt;</w:instrText>
      </w:r>
      <w:r w:rsidRPr="00A02247">
        <w:rPr>
          <w:b/>
          <w:bCs/>
          <w:color w:val="auto"/>
          <w:sz w:val="22"/>
          <w:szCs w:val="22"/>
        </w:rPr>
        <w:fldChar w:fldCharType="separate"/>
      </w:r>
      <w:r w:rsidRPr="00A02247">
        <w:rPr>
          <w:b/>
          <w:bCs/>
          <w:noProof/>
          <w:color w:val="auto"/>
          <w:sz w:val="22"/>
          <w:szCs w:val="22"/>
        </w:rPr>
        <w:t>(Schumacher</w:t>
      </w:r>
      <w:r w:rsidRPr="00A02247">
        <w:rPr>
          <w:b/>
          <w:bCs/>
          <w:i/>
          <w:noProof/>
          <w:color w:val="auto"/>
          <w:sz w:val="22"/>
          <w:szCs w:val="22"/>
        </w:rPr>
        <w:t xml:space="preserve"> et al.</w:t>
      </w:r>
      <w:r w:rsidRPr="00A02247">
        <w:rPr>
          <w:b/>
          <w:bCs/>
          <w:noProof/>
          <w:color w:val="auto"/>
          <w:sz w:val="22"/>
          <w:szCs w:val="22"/>
        </w:rPr>
        <w:t>, 2015)</w:t>
      </w:r>
      <w:r w:rsidRPr="00A02247">
        <w:rPr>
          <w:b/>
          <w:bCs/>
          <w:color w:val="auto"/>
          <w:sz w:val="22"/>
          <w:szCs w:val="22"/>
        </w:rPr>
        <w:fldChar w:fldCharType="end"/>
      </w:r>
      <w:r>
        <w:rPr>
          <w:color w:val="auto"/>
          <w:sz w:val="22"/>
          <w:szCs w:val="22"/>
        </w:rPr>
        <w:t xml:space="preserve">. This mutation led to ciprofloxacin tolerance and persister formation in a bladder cell culture model </w:t>
      </w:r>
      <w:r w:rsidRPr="00A02247">
        <w:rPr>
          <w:b/>
          <w:bCs/>
          <w:color w:val="auto"/>
          <w:sz w:val="22"/>
          <w:szCs w:val="22"/>
        </w:rPr>
        <w:fldChar w:fldCharType="begin"/>
      </w:r>
      <w:r w:rsidRPr="00A02247">
        <w:rPr>
          <w:b/>
          <w:bCs/>
          <w:color w:val="auto"/>
          <w:sz w:val="22"/>
          <w:szCs w:val="22"/>
        </w:rPr>
        <w:instrText xml:space="preserve"> ADDIN EN.CITE &lt;EndNote&gt;&lt;Cite&gt;&lt;Author&gt;Schumacher&lt;/Author&gt;&lt;Year&gt;2015&lt;/Year&gt;&lt;IDText&gt;HipBA-promoter structures reveal the basis of heritable multidrug tolerance&lt;/IDText&gt;&lt;DisplayText&gt;(Schumacher&lt;style face="italic"&gt; et al.&lt;/style&gt;, 2015)&lt;/DisplayText&gt;&lt;record&gt;&lt;dates&gt;&lt;pub-dates&gt;&lt;date&gt;Aug 6&lt;/date&gt;&lt;/pub-dates&gt;&lt;year&gt;2015&lt;/year&gt;&lt;/dates&gt;&lt;urls&gt;&lt;related-urls&gt;&lt;url&gt;&amp;lt;Go to ISI&amp;gt;://WOS:000359002300031&lt;/url&gt;&lt;/related-urls&gt;&lt;/urls&gt;&lt;isbn&gt;0028-0836&lt;/isbn&gt;&lt;work-type&gt;Article&lt;/work-type&gt;&lt;titles&gt;&lt;title&gt;HipBA-promoter structures reveal the basis of heritable multidrug tolerance&lt;/title&gt;&lt;secondary-title&gt;Nature&lt;/secondary-title&gt;&lt;/titles&gt;&lt;pages&gt;59-U108&lt;/pages&gt;&lt;number&gt;7563&lt;/number&gt;&lt;contributors&gt;&lt;authors&gt;&lt;author&gt;Schumacher, Maria A.&lt;/author&gt;&lt;author&gt;Balani, Pooja&lt;/author&gt;&lt;author&gt;Min, Jungki&lt;/author&gt;&lt;author&gt;Chinnam, Naga Babu&lt;/author&gt;&lt;author&gt;Hansen, Sonja&lt;/author&gt;&lt;author&gt;Vulic, Marin&lt;/author&gt;&lt;author&gt;Lewis, Kim&lt;/author&gt;&lt;author&gt;Brennan, Richard G.&lt;/author&gt;&lt;/authors&gt;&lt;/contributors&gt;&lt;added-date format="utc"&gt;1673984815&lt;/added-date&gt;&lt;ref-type name="Journal Article"&gt;17&lt;/ref-type&gt;&lt;rec-number&gt;208&lt;/rec-number&gt;&lt;last-updated-date format="utc"&gt;1678058042&lt;/last-updated-date&gt;&lt;accession-num&gt;WOS:000359002300031&lt;/accession-num&gt;&lt;electronic-resource-num&gt;10.1038/nature14662&lt;/electronic-resource-num&gt;&lt;volume&gt;524&lt;/volume&gt;&lt;/record&gt;&lt;/Cite&gt;&lt;/EndNote&gt;</w:instrText>
      </w:r>
      <w:r w:rsidRPr="00A02247">
        <w:rPr>
          <w:b/>
          <w:bCs/>
          <w:color w:val="auto"/>
          <w:sz w:val="22"/>
          <w:szCs w:val="22"/>
        </w:rPr>
        <w:fldChar w:fldCharType="separate"/>
      </w:r>
      <w:r w:rsidRPr="00A02247">
        <w:rPr>
          <w:b/>
          <w:bCs/>
          <w:noProof/>
          <w:color w:val="auto"/>
          <w:sz w:val="22"/>
          <w:szCs w:val="22"/>
        </w:rPr>
        <w:t>(Schumacher</w:t>
      </w:r>
      <w:r w:rsidRPr="00A02247">
        <w:rPr>
          <w:b/>
          <w:bCs/>
          <w:i/>
          <w:noProof/>
          <w:color w:val="auto"/>
          <w:sz w:val="22"/>
          <w:szCs w:val="22"/>
        </w:rPr>
        <w:t xml:space="preserve"> et al.</w:t>
      </w:r>
      <w:r w:rsidRPr="00A02247">
        <w:rPr>
          <w:b/>
          <w:bCs/>
          <w:noProof/>
          <w:color w:val="auto"/>
          <w:sz w:val="22"/>
          <w:szCs w:val="22"/>
        </w:rPr>
        <w:t>, 2015)</w:t>
      </w:r>
      <w:r w:rsidRPr="00A02247">
        <w:rPr>
          <w:b/>
          <w:bCs/>
          <w:color w:val="auto"/>
          <w:sz w:val="22"/>
          <w:szCs w:val="22"/>
        </w:rPr>
        <w:fldChar w:fldCharType="end"/>
      </w:r>
      <w:r>
        <w:rPr>
          <w:color w:val="auto"/>
          <w:sz w:val="22"/>
          <w:szCs w:val="22"/>
        </w:rPr>
        <w:t xml:space="preserve">. Persister formation in </w:t>
      </w:r>
      <w:r>
        <w:rPr>
          <w:i/>
          <w:iCs/>
          <w:color w:val="auto"/>
          <w:sz w:val="22"/>
          <w:szCs w:val="22"/>
        </w:rPr>
        <w:t xml:space="preserve">E. coli </w:t>
      </w:r>
      <w:r>
        <w:rPr>
          <w:color w:val="auto"/>
          <w:sz w:val="22"/>
          <w:szCs w:val="22"/>
        </w:rPr>
        <w:t xml:space="preserve">can also occur in a toxin-antitoxin-independent manner with the formation of 100S ribosomes being implicated </w:t>
      </w:r>
      <w:r w:rsidRPr="00A02247">
        <w:rPr>
          <w:b/>
          <w:bCs/>
          <w:color w:val="auto"/>
          <w:sz w:val="22"/>
          <w:szCs w:val="22"/>
        </w:rPr>
        <w:fldChar w:fldCharType="begin"/>
      </w:r>
      <w:r w:rsidRPr="00A02247">
        <w:rPr>
          <w:b/>
          <w:bCs/>
          <w:color w:val="auto"/>
          <w:sz w:val="22"/>
          <w:szCs w:val="22"/>
        </w:rPr>
        <w:instrText xml:space="preserve"> ADDIN EN.CITE &lt;EndNote&gt;&lt;Cite&gt;&lt;Author&gt;Song&lt;/Author&gt;&lt;Year&gt;2020&lt;/Year&gt;&lt;IDText&gt;ppGpp ribosome dimerization model for bacterial persister formation and resuscitation&lt;/IDText&gt;&lt;DisplayText&gt;(Song and Wood, 2020)&lt;/DisplayText&gt;&lt;record&gt;&lt;dates&gt;&lt;pub-dates&gt;&lt;date&gt;Mar 5&lt;/date&gt;&lt;/pub-dates&gt;&lt;year&gt;2020&lt;/year&gt;&lt;/dates&gt;&lt;urls&gt;&lt;related-urls&gt;&lt;url&gt;&amp;lt;Go to ISI&amp;gt;://WOS:000524737600001&lt;/url&gt;&lt;/related-urls&gt;&lt;/urls&gt;&lt;isbn&gt;0006-291X&lt;/isbn&gt;&lt;work-type&gt;Article&lt;/work-type&gt;&lt;titles&gt;&lt;title&gt;ppGpp ribosome dimerization model for bacterial persister formation and resuscitation&lt;/title&gt;&lt;secondary-title&gt;Biochemical and Biophysical Research Communications&lt;/secondary-title&gt;&lt;/titles&gt;&lt;pages&gt;281-286&lt;/pages&gt;&lt;number&gt;2&lt;/number&gt;&lt;contributors&gt;&lt;authors&gt;&lt;author&gt;Song, Sooyeon&lt;/author&gt;&lt;author&gt;Wood, Thomas K.&lt;/author&gt;&lt;/authors&gt;&lt;/contributors&gt;&lt;added-date format="utc"&gt;1673985246&lt;/added-date&gt;&lt;ref-type name="Journal Article"&gt;17&lt;/ref-type&gt;&lt;rec-number&gt;212&lt;/rec-number&gt;&lt;last-updated-date format="utc"&gt;1673985246&lt;/last-updated-date&gt;&lt;accession-num&gt;WOS:000524737600001&lt;/accession-num&gt;&lt;electronic-resource-num&gt;10.1016/j.bbrc.2020.01.102&lt;/electronic-resource-num&gt;&lt;volume&gt;523&lt;/volume&gt;&lt;/record&gt;&lt;/Cite&gt;&lt;/EndNote&gt;</w:instrText>
      </w:r>
      <w:r w:rsidRPr="00A02247">
        <w:rPr>
          <w:b/>
          <w:bCs/>
          <w:color w:val="auto"/>
          <w:sz w:val="22"/>
          <w:szCs w:val="22"/>
        </w:rPr>
        <w:fldChar w:fldCharType="separate"/>
      </w:r>
      <w:r w:rsidRPr="00A02247">
        <w:rPr>
          <w:b/>
          <w:bCs/>
          <w:noProof/>
          <w:color w:val="auto"/>
          <w:sz w:val="22"/>
          <w:szCs w:val="22"/>
        </w:rPr>
        <w:t>(Song and Wood, 2020)</w:t>
      </w:r>
      <w:r w:rsidRPr="00A02247">
        <w:rPr>
          <w:b/>
          <w:bCs/>
          <w:color w:val="auto"/>
          <w:sz w:val="22"/>
          <w:szCs w:val="22"/>
        </w:rPr>
        <w:fldChar w:fldCharType="end"/>
      </w:r>
      <w:r>
        <w:rPr>
          <w:color w:val="auto"/>
          <w:sz w:val="22"/>
          <w:szCs w:val="22"/>
        </w:rPr>
        <w:t xml:space="preserve">. In </w:t>
      </w:r>
      <w:r>
        <w:rPr>
          <w:i/>
          <w:iCs/>
          <w:color w:val="auto"/>
          <w:sz w:val="22"/>
          <w:szCs w:val="22"/>
        </w:rPr>
        <w:t xml:space="preserve">S. aureus, </w:t>
      </w:r>
      <w:r>
        <w:rPr>
          <w:color w:val="auto"/>
          <w:sz w:val="22"/>
          <w:szCs w:val="22"/>
        </w:rPr>
        <w:t>persister colonies within RAW 264.7 murine macrophages were induced upon exposure to oxacillin, clarithromycin and gentamicin</w:t>
      </w:r>
      <w:r w:rsidRPr="004A0FEA">
        <w:rPr>
          <w:color w:val="auto"/>
          <w:sz w:val="22"/>
          <w:szCs w:val="22"/>
        </w:rPr>
        <w:t xml:space="preserve"> </w:t>
      </w:r>
      <w:r>
        <w:rPr>
          <w:color w:val="auto"/>
          <w:sz w:val="22"/>
          <w:szCs w:val="22"/>
        </w:rPr>
        <w:t>and this phenomenon was</w:t>
      </w:r>
      <w:r w:rsidRPr="004A0FEA">
        <w:rPr>
          <w:color w:val="auto"/>
          <w:sz w:val="22"/>
          <w:szCs w:val="22"/>
        </w:rPr>
        <w:t xml:space="preserve"> reduced in a</w:t>
      </w:r>
      <w:r>
        <w:rPr>
          <w:color w:val="auto"/>
          <w:sz w:val="22"/>
          <w:szCs w:val="22"/>
        </w:rPr>
        <w:t xml:space="preserve"> Rel-deficient strain </w:t>
      </w:r>
      <w:r w:rsidRPr="000B2A7D">
        <w:rPr>
          <w:b/>
          <w:bCs/>
          <w:color w:val="auto"/>
          <w:sz w:val="22"/>
          <w:szCs w:val="22"/>
        </w:rPr>
        <w:fldChar w:fldCharType="begin"/>
      </w:r>
      <w:r w:rsidRPr="000B2A7D">
        <w:rPr>
          <w:b/>
          <w:bCs/>
          <w:color w:val="auto"/>
          <w:sz w:val="22"/>
          <w:szCs w:val="22"/>
        </w:rPr>
        <w:instrText xml:space="preserve"> ADDIN EN.CITE &lt;EndNote&gt;&lt;Cite&gt;&lt;Author&gt;Peyrusson&lt;/Author&gt;&lt;Year&gt;2020&lt;/Year&gt;&lt;IDText&gt;Intracellular Staphylococcus aureus persisters upon antibiotic exposure&lt;/IDText&gt;&lt;DisplayText&gt;(Peyrusson&lt;style face="italic"&gt; et al.&lt;/style&gt;, 2020)&lt;/DisplayText&gt;&lt;record&gt;&lt;dates&gt;&lt;pub-dates&gt;&lt;date&gt;May 4&lt;/date&gt;&lt;/pub-dates&gt;&lt;year&gt;2020&lt;/year&gt;&lt;/dates&gt;&lt;urls&gt;&lt;related-urls&gt;&lt;url&gt;&amp;lt;Go to ISI&amp;gt;://WOS:000533952200018&lt;/url&gt;&lt;/related-urls&gt;&lt;/urls&gt;&lt;isbn&gt;2041-1723&lt;/isbn&gt;&lt;titles&gt;&lt;title&gt;Intracellular Staphylococcus aureus persisters upon antibiotic exposure&lt;/title&gt;&lt;secondary-title&gt;Nature Communications&lt;/secondary-title&gt;&lt;/titles&gt;&lt;number&gt;1&lt;/number&gt;&lt;contributors&gt;&lt;authors&gt;&lt;author&gt;Peyrusson, Frederic&lt;/author&gt;&lt;author&gt;Varet, Hugo&lt;/author&gt;&lt;author&gt;Tiep Khac, Nguyen&lt;/author&gt;&lt;author&gt;Legendre, Rachel&lt;/author&gt;&lt;author&gt;Sismeiro, Odile&lt;/author&gt;&lt;author&gt;Coppee, Jean-Yves&lt;/author&gt;&lt;author&gt;Wolz, Christiane&lt;/author&gt;&lt;author&gt;Tenson, Tanel&lt;/author&gt;&lt;author&gt;Van Bambeke, Francoise&lt;/author&gt;&lt;/authors&gt;&lt;/contributors&gt;&lt;custom7&gt;2200&lt;/custom7&gt;&lt;added-date format="utc"&gt;1663614022&lt;/added-date&gt;&lt;ref-type name="Journal Article"&gt;17&lt;/ref-type&gt;&lt;rec-number&gt;80&lt;/rec-number&gt;&lt;last-updated-date format="utc"&gt;1678058042&lt;/last-updated-date&gt;&lt;accession-num&gt;WOS:000533952200018&lt;/accession-num&gt;&lt;electronic-resource-num&gt;10.1038/s41467-020-15966-7&lt;/electronic-resource-num&gt;&lt;volume&gt;11&lt;/volume&gt;&lt;/record&gt;&lt;/Cite&gt;&lt;/EndNote&gt;</w:instrText>
      </w:r>
      <w:r w:rsidRPr="000B2A7D">
        <w:rPr>
          <w:b/>
          <w:bCs/>
          <w:color w:val="auto"/>
          <w:sz w:val="22"/>
          <w:szCs w:val="22"/>
        </w:rPr>
        <w:fldChar w:fldCharType="separate"/>
      </w:r>
      <w:r w:rsidRPr="000B2A7D">
        <w:rPr>
          <w:b/>
          <w:bCs/>
          <w:noProof/>
          <w:color w:val="auto"/>
          <w:sz w:val="22"/>
          <w:szCs w:val="22"/>
        </w:rPr>
        <w:t>(Peyrusson</w:t>
      </w:r>
      <w:r w:rsidRPr="000B2A7D">
        <w:rPr>
          <w:b/>
          <w:bCs/>
          <w:i/>
          <w:noProof/>
          <w:color w:val="auto"/>
          <w:sz w:val="22"/>
          <w:szCs w:val="22"/>
        </w:rPr>
        <w:t xml:space="preserve"> et al.</w:t>
      </w:r>
      <w:r w:rsidRPr="000B2A7D">
        <w:rPr>
          <w:b/>
          <w:bCs/>
          <w:noProof/>
          <w:color w:val="auto"/>
          <w:sz w:val="22"/>
          <w:szCs w:val="22"/>
        </w:rPr>
        <w:t>, 2020)</w:t>
      </w:r>
      <w:r w:rsidRPr="000B2A7D">
        <w:rPr>
          <w:b/>
          <w:bCs/>
          <w:color w:val="auto"/>
          <w:sz w:val="22"/>
          <w:szCs w:val="22"/>
        </w:rPr>
        <w:fldChar w:fldCharType="end"/>
      </w:r>
      <w:r>
        <w:rPr>
          <w:color w:val="auto"/>
          <w:sz w:val="22"/>
          <w:szCs w:val="22"/>
        </w:rPr>
        <w:t>.</w:t>
      </w:r>
      <w:r w:rsidRPr="004423D1">
        <w:t xml:space="preserve"> </w:t>
      </w:r>
      <w:r w:rsidRPr="004423D1">
        <w:rPr>
          <w:color w:val="auto"/>
          <w:sz w:val="22"/>
          <w:szCs w:val="22"/>
        </w:rPr>
        <w:t xml:space="preserve">The stringent response is also essential for the establishment of mycobacterial infections and has been implicated in </w:t>
      </w:r>
      <w:r>
        <w:rPr>
          <w:color w:val="auto"/>
          <w:sz w:val="22"/>
          <w:szCs w:val="22"/>
        </w:rPr>
        <w:t xml:space="preserve">persistence and </w:t>
      </w:r>
      <w:r w:rsidRPr="004423D1">
        <w:rPr>
          <w:color w:val="auto"/>
          <w:sz w:val="22"/>
          <w:szCs w:val="22"/>
        </w:rPr>
        <w:t>long-term viability</w:t>
      </w:r>
      <w:r>
        <w:rPr>
          <w:color w:val="auto"/>
          <w:sz w:val="22"/>
          <w:szCs w:val="22"/>
        </w:rPr>
        <w:t xml:space="preserve"> </w:t>
      </w:r>
      <w:r w:rsidRPr="004423D1">
        <w:rPr>
          <w:b/>
          <w:bCs/>
          <w:color w:val="auto"/>
          <w:sz w:val="22"/>
          <w:szCs w:val="22"/>
        </w:rPr>
        <w:fldChar w:fldCharType="begin">
          <w:fldData xml:space="preserve">PEVuZE5vdGU+PENpdGU+PEF1dGhvcj5EYWhsPC9BdXRob3I+PFllYXI+MjAwMzwvWWVhcj48SURU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==
</w:fldData>
        </w:fldChar>
      </w:r>
      <w:r>
        <w:rPr>
          <w:b/>
          <w:bCs/>
          <w:color w:val="auto"/>
          <w:sz w:val="22"/>
          <w:szCs w:val="22"/>
        </w:rPr>
        <w:instrText xml:space="preserve"> ADDIN EN.CITE </w:instrText>
      </w:r>
      <w:r>
        <w:rPr>
          <w:b/>
          <w:bCs/>
          <w:color w:val="auto"/>
          <w:sz w:val="22"/>
          <w:szCs w:val="22"/>
        </w:rPr>
        <w:fldChar w:fldCharType="begin">
          <w:fldData xml:space="preserve">PEVuZE5vdGU+PENpdGU+PEF1dGhvcj5EYWhsPC9BdXRob3I+PFllYXI+MjAwMzwvWWVhcj48SURU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==
</w:fldData>
        </w:fldChar>
      </w:r>
      <w:r>
        <w:rPr>
          <w:b/>
          <w:bCs/>
          <w:color w:val="auto"/>
          <w:sz w:val="22"/>
          <w:szCs w:val="22"/>
        </w:rPr>
        <w:instrText xml:space="preserve"> ADDIN EN.CITE.DATA </w:instrText>
      </w:r>
      <w:r>
        <w:rPr>
          <w:b/>
          <w:bCs/>
          <w:color w:val="auto"/>
          <w:sz w:val="22"/>
          <w:szCs w:val="22"/>
        </w:rPr>
      </w:r>
      <w:r>
        <w:rPr>
          <w:b/>
          <w:bCs/>
          <w:color w:val="auto"/>
          <w:sz w:val="22"/>
          <w:szCs w:val="22"/>
        </w:rPr>
        <w:fldChar w:fldCharType="end"/>
      </w:r>
      <w:r w:rsidRPr="004423D1">
        <w:rPr>
          <w:b/>
          <w:bCs/>
          <w:color w:val="auto"/>
          <w:sz w:val="22"/>
          <w:szCs w:val="22"/>
        </w:rPr>
      </w:r>
      <w:r w:rsidRPr="004423D1">
        <w:rPr>
          <w:b/>
          <w:bCs/>
          <w:color w:val="auto"/>
          <w:sz w:val="22"/>
          <w:szCs w:val="22"/>
        </w:rPr>
        <w:fldChar w:fldCharType="separate"/>
      </w:r>
      <w:r>
        <w:rPr>
          <w:b/>
          <w:bCs/>
          <w:noProof/>
          <w:color w:val="auto"/>
          <w:sz w:val="22"/>
          <w:szCs w:val="22"/>
        </w:rPr>
        <w:t>(Dahl</w:t>
      </w:r>
      <w:r w:rsidRPr="00A30139">
        <w:rPr>
          <w:b/>
          <w:bCs/>
          <w:i/>
          <w:noProof/>
          <w:color w:val="auto"/>
          <w:sz w:val="22"/>
          <w:szCs w:val="22"/>
        </w:rPr>
        <w:t xml:space="preserve"> et al.</w:t>
      </w:r>
      <w:r>
        <w:rPr>
          <w:b/>
          <w:bCs/>
          <w:noProof/>
          <w:color w:val="auto"/>
          <w:sz w:val="22"/>
          <w:szCs w:val="22"/>
        </w:rPr>
        <w:t>, 2003; Primm</w:t>
      </w:r>
      <w:r w:rsidRPr="00A30139">
        <w:rPr>
          <w:b/>
          <w:bCs/>
          <w:i/>
          <w:noProof/>
          <w:color w:val="auto"/>
          <w:sz w:val="22"/>
          <w:szCs w:val="22"/>
        </w:rPr>
        <w:t xml:space="preserve"> et al.</w:t>
      </w:r>
      <w:r>
        <w:rPr>
          <w:b/>
          <w:bCs/>
          <w:noProof/>
          <w:color w:val="auto"/>
          <w:sz w:val="22"/>
          <w:szCs w:val="22"/>
        </w:rPr>
        <w:t>, 2000)</w:t>
      </w:r>
      <w:r w:rsidRPr="004423D1">
        <w:rPr>
          <w:b/>
          <w:bCs/>
          <w:color w:val="auto"/>
          <w:sz w:val="22"/>
          <w:szCs w:val="22"/>
        </w:rPr>
        <w:fldChar w:fldCharType="end"/>
      </w:r>
      <w:r w:rsidRPr="004423D1">
        <w:t>.</w:t>
      </w:r>
      <w:r>
        <w:rPr>
          <w:color w:val="auto"/>
          <w:sz w:val="22"/>
          <w:szCs w:val="22"/>
        </w:rPr>
        <w:t xml:space="preserve"> Moreover, </w:t>
      </w:r>
      <w:r>
        <w:rPr>
          <w:i/>
          <w:iCs/>
          <w:color w:val="auto"/>
          <w:sz w:val="22"/>
          <w:szCs w:val="22"/>
        </w:rPr>
        <w:t xml:space="preserve">S. aureus </w:t>
      </w:r>
      <w:r>
        <w:rPr>
          <w:color w:val="auto"/>
          <w:sz w:val="22"/>
          <w:szCs w:val="22"/>
        </w:rPr>
        <w:t xml:space="preserve">persistent bacteraemia isolates have been revealed to upregulate the purine biosynthesis pathway, leading to increased GTP and increased (p)ppGpp </w:t>
      </w:r>
      <w:r w:rsidRPr="0012709B">
        <w:rPr>
          <w:b/>
          <w:bCs/>
          <w:color w:val="auto"/>
          <w:sz w:val="22"/>
          <w:szCs w:val="22"/>
        </w:rPr>
        <w:fldChar w:fldCharType="begin"/>
      </w:r>
      <w:r w:rsidRPr="0012709B">
        <w:rPr>
          <w:b/>
          <w:bCs/>
          <w:color w:val="auto"/>
          <w:sz w:val="22"/>
          <w:szCs w:val="22"/>
        </w:rPr>
        <w:instrText xml:space="preserve"> ADDIN EN.CITE &lt;EndNote&gt;&lt;Cite&gt;&lt;Author&gt;Li&lt;/Author&gt;&lt;Year&gt;2020&lt;/Year&gt;&lt;IDText&gt;The Stringent Response Contributes to Persistent Methicillin-Resistant Staphylococcus aureus Endovascular Infection Through the Purine Biosynthetic Pathway&lt;/IDText&gt;&lt;DisplayText&gt;(Li&lt;style face="italic"&gt; et al.&lt;/style&gt;, 2020)&lt;/DisplayText&gt;&lt;record&gt;&lt;dates&gt;&lt;pub-dates&gt;&lt;date&gt;Oct 1&lt;/date&gt;&lt;/pub-dates&gt;&lt;year&gt;2020&lt;/year&gt;&lt;/dates&gt;&lt;urls&gt;&lt;related-urls&gt;&lt;url&gt;&amp;lt;Go to ISI&amp;gt;://WOS:000577175500019&lt;/url&gt;&lt;/related-urls&gt;&lt;/urls&gt;&lt;isbn&gt;0022-1899&lt;/isbn&gt;&lt;titles&gt;&lt;title&gt;The Stringent Response Contributes to Persistent Methicillin-Resistant Staphylococcus aureus Endovascular Infection Through the Purine Biosynthetic Pathway&lt;/title&gt;&lt;secondary-title&gt;Journal of Infectious Diseases&lt;/secondary-title&gt;&lt;/titles&gt;&lt;pages&gt;1188-1198&lt;/pages&gt;&lt;number&gt;7&lt;/number&gt;&lt;contributors&gt;&lt;authors&gt;&lt;author&gt;Li, Liang&lt;/author&gt;&lt;author&gt;Bayer, Arnold S.&lt;/author&gt;&lt;author&gt;Cheung, Ambrose&lt;/author&gt;&lt;author&gt;Lu, Lou&lt;/author&gt;&lt;author&gt;Abdelhady, Wessam&lt;/author&gt;&lt;author&gt;Donegan, Niles P.&lt;/author&gt;&lt;author&gt;Hong, Jong-In&lt;/author&gt;&lt;author&gt;Yeaman, Michael R.&lt;/author&gt;&lt;author&gt;Xiong, Yan Q.&lt;/author&gt;&lt;/authors&gt;&lt;/contributors&gt;&lt;added-date format="utc"&gt;1668280828&lt;/added-date&gt;&lt;ref-type name="Journal Article"&gt;17&lt;/ref-type&gt;&lt;rec-number&gt;175&lt;/rec-number&gt;&lt;last-updated-date format="utc"&gt;1678058042&lt;/last-updated-date&gt;&lt;accession-num&gt;WOS:000577175500019&lt;/accession-num&gt;&lt;electronic-resource-num&gt;10.1093/infdis/jiaa202&lt;/electronic-resource-num&gt;&lt;volume&gt;222&lt;/volume&gt;&lt;/record&gt;&lt;/Cite&gt;&lt;/EndNote&gt;</w:instrText>
      </w:r>
      <w:r w:rsidRPr="0012709B">
        <w:rPr>
          <w:b/>
          <w:bCs/>
          <w:color w:val="auto"/>
          <w:sz w:val="22"/>
          <w:szCs w:val="22"/>
        </w:rPr>
        <w:fldChar w:fldCharType="separate"/>
      </w:r>
      <w:r w:rsidRPr="0012709B">
        <w:rPr>
          <w:b/>
          <w:bCs/>
          <w:noProof/>
          <w:color w:val="auto"/>
          <w:sz w:val="22"/>
          <w:szCs w:val="22"/>
        </w:rPr>
        <w:t>(Li</w:t>
      </w:r>
      <w:r w:rsidRPr="0012709B">
        <w:rPr>
          <w:b/>
          <w:bCs/>
          <w:i/>
          <w:noProof/>
          <w:color w:val="auto"/>
          <w:sz w:val="22"/>
          <w:szCs w:val="22"/>
        </w:rPr>
        <w:t xml:space="preserve"> et al.</w:t>
      </w:r>
      <w:r w:rsidRPr="0012709B">
        <w:rPr>
          <w:b/>
          <w:bCs/>
          <w:noProof/>
          <w:color w:val="auto"/>
          <w:sz w:val="22"/>
          <w:szCs w:val="22"/>
        </w:rPr>
        <w:t>, 2020)</w:t>
      </w:r>
      <w:r w:rsidRPr="0012709B">
        <w:rPr>
          <w:b/>
          <w:bCs/>
          <w:color w:val="auto"/>
          <w:sz w:val="22"/>
          <w:szCs w:val="22"/>
        </w:rPr>
        <w:fldChar w:fldCharType="end"/>
      </w:r>
      <w:r>
        <w:rPr>
          <w:color w:val="auto"/>
          <w:sz w:val="22"/>
          <w:szCs w:val="22"/>
        </w:rPr>
        <w:t xml:space="preserve">. It was demonstrated that PSM expression was upregulated as a result, as well as the ability to survive within and kill PMNs </w:t>
      </w:r>
      <w:r w:rsidRPr="0012709B">
        <w:rPr>
          <w:b/>
          <w:bCs/>
          <w:color w:val="auto"/>
          <w:sz w:val="22"/>
          <w:szCs w:val="22"/>
        </w:rPr>
        <w:fldChar w:fldCharType="begin"/>
      </w:r>
      <w:r w:rsidRPr="0012709B">
        <w:rPr>
          <w:b/>
          <w:bCs/>
          <w:color w:val="auto"/>
          <w:sz w:val="22"/>
          <w:szCs w:val="22"/>
        </w:rPr>
        <w:instrText xml:space="preserve"> ADDIN EN.CITE &lt;EndNote&gt;&lt;Cite&gt;&lt;Author&gt;Li&lt;/Author&gt;&lt;Year&gt;2020&lt;/Year&gt;&lt;IDText&gt;The Stringent Response Contributes to Persistent Methicillin-Resistant Staphylococcus aureus Endovascular Infection Through the Purine Biosynthetic Pathway&lt;/IDText&gt;&lt;DisplayText&gt;(Li&lt;style face="italic"&gt; et al.&lt;/style&gt;, 2020)&lt;/DisplayText&gt;&lt;record&gt;&lt;dates&gt;&lt;pub-dates&gt;&lt;date&gt;Oct 1&lt;/date&gt;&lt;/pub-dates&gt;&lt;year&gt;2020&lt;/year&gt;&lt;/dates&gt;&lt;urls&gt;&lt;related-urls&gt;&lt;url&gt;&amp;lt;Go to ISI&amp;gt;://WOS:000577175500019&lt;/url&gt;&lt;/related-urls&gt;&lt;/urls&gt;&lt;isbn&gt;0022-1899&lt;/isbn&gt;&lt;titles&gt;&lt;title&gt;The Stringent Response Contributes to Persistent Methicillin-Resistant Staphylococcus aureus Endovascular Infection Through the Purine Biosynthetic Pathway&lt;/title&gt;&lt;secondary-title&gt;Journal of Infectious Diseases&lt;/secondary-title&gt;&lt;/titles&gt;&lt;pages&gt;1188-1198&lt;/pages&gt;&lt;number&gt;7&lt;/number&gt;&lt;contributors&gt;&lt;authors&gt;&lt;author&gt;Li, Liang&lt;/author&gt;&lt;author&gt;Bayer, Arnold S.&lt;/author&gt;&lt;author&gt;Cheung, Ambrose&lt;/author&gt;&lt;author&gt;Lu, Lou&lt;/author&gt;&lt;author&gt;Abdelhady, Wessam&lt;/author&gt;&lt;author&gt;Donegan, Niles P.&lt;/author&gt;&lt;author&gt;Hong, Jong-In&lt;/author&gt;&lt;author&gt;Yeaman, Michael R.&lt;/author&gt;&lt;author&gt;Xiong, Yan Q.&lt;/author&gt;&lt;/authors&gt;&lt;/contributors&gt;&lt;added-date format="utc"&gt;1668280828&lt;/added-date&gt;&lt;ref-type name="Journal Article"&gt;17&lt;/ref-type&gt;&lt;rec-number&gt;175&lt;/rec-number&gt;&lt;last-updated-date format="utc"&gt;1678058042&lt;/last-updated-date&gt;&lt;accession-num&gt;WOS:000577175500019&lt;/accession-num&gt;&lt;electronic-resource-num&gt;10.1093/infdis/jiaa202&lt;/electronic-resource-num&gt;&lt;volume&gt;222&lt;/volume&gt;&lt;/record&gt;&lt;/Cite&gt;&lt;/EndNote&gt;</w:instrText>
      </w:r>
      <w:r w:rsidRPr="0012709B">
        <w:rPr>
          <w:b/>
          <w:bCs/>
          <w:color w:val="auto"/>
          <w:sz w:val="22"/>
          <w:szCs w:val="22"/>
        </w:rPr>
        <w:fldChar w:fldCharType="separate"/>
      </w:r>
      <w:r w:rsidRPr="0012709B">
        <w:rPr>
          <w:b/>
          <w:bCs/>
          <w:noProof/>
          <w:color w:val="auto"/>
          <w:sz w:val="22"/>
          <w:szCs w:val="22"/>
        </w:rPr>
        <w:t>(Li</w:t>
      </w:r>
      <w:r w:rsidRPr="0012709B">
        <w:rPr>
          <w:b/>
          <w:bCs/>
          <w:i/>
          <w:noProof/>
          <w:color w:val="auto"/>
          <w:sz w:val="22"/>
          <w:szCs w:val="22"/>
        </w:rPr>
        <w:t xml:space="preserve"> et al.</w:t>
      </w:r>
      <w:r w:rsidRPr="0012709B">
        <w:rPr>
          <w:b/>
          <w:bCs/>
          <w:noProof/>
          <w:color w:val="auto"/>
          <w:sz w:val="22"/>
          <w:szCs w:val="22"/>
        </w:rPr>
        <w:t>, 2020)</w:t>
      </w:r>
      <w:r w:rsidRPr="0012709B">
        <w:rPr>
          <w:b/>
          <w:bCs/>
          <w:color w:val="auto"/>
          <w:sz w:val="22"/>
          <w:szCs w:val="22"/>
        </w:rPr>
        <w:fldChar w:fldCharType="end"/>
      </w:r>
      <w:r>
        <w:rPr>
          <w:color w:val="auto"/>
          <w:sz w:val="22"/>
          <w:szCs w:val="22"/>
        </w:rPr>
        <w:t>. These studies highlight the different mechanisms by which the stringent response is important in the development of antibiotic tolerance and therefore persistence. Further studying this phenomenon is necessary to understand the negative effect that induction of the stringent response can have on patient treatment options and prognosis.</w:t>
      </w:r>
    </w:p>
    <w:p w14:paraId="3E0F42E3" w14:textId="77777777" w:rsidR="00033564" w:rsidRDefault="00033564" w:rsidP="00033564">
      <w:pPr>
        <w:pStyle w:val="Default"/>
        <w:spacing w:line="360" w:lineRule="auto"/>
        <w:jc w:val="both"/>
        <w:rPr>
          <w:color w:val="auto"/>
          <w:sz w:val="22"/>
          <w:szCs w:val="22"/>
        </w:rPr>
      </w:pPr>
    </w:p>
    <w:p w14:paraId="6A85DA8D" w14:textId="77777777" w:rsidR="00033564" w:rsidRDefault="00033564" w:rsidP="00033564">
      <w:pPr>
        <w:pStyle w:val="Heading4"/>
      </w:pPr>
      <w:r>
        <w:t xml:space="preserve">1.2.3.4. Antibiotic resistance </w:t>
      </w:r>
    </w:p>
    <w:p w14:paraId="2C1E3621" w14:textId="77777777" w:rsidR="00033564" w:rsidRPr="00DE0BF5" w:rsidRDefault="00033564" w:rsidP="00033564">
      <w:pPr>
        <w:pStyle w:val="Default"/>
        <w:spacing w:line="360" w:lineRule="auto"/>
        <w:jc w:val="both"/>
        <w:rPr>
          <w:color w:val="auto"/>
          <w:sz w:val="22"/>
          <w:szCs w:val="22"/>
        </w:rPr>
      </w:pPr>
    </w:p>
    <w:p w14:paraId="1E0F60D7" w14:textId="612BCB41" w:rsidR="00033564" w:rsidRDefault="00033564" w:rsidP="00033564">
      <w:pPr>
        <w:spacing w:line="360" w:lineRule="auto"/>
        <w:jc w:val="both"/>
        <w:rPr>
          <w:rFonts w:ascii="Times New Roman" w:hAnsi="Times New Roman" w:cs="Times New Roman"/>
        </w:rPr>
      </w:pPr>
      <w:r>
        <w:rPr>
          <w:rFonts w:ascii="Times New Roman" w:hAnsi="Times New Roman" w:cs="Times New Roman"/>
        </w:rPr>
        <w:t>The stringent response has also been associated with</w:t>
      </w:r>
      <w:r w:rsidRPr="002541E9">
        <w:rPr>
          <w:rFonts w:ascii="Times New Roman" w:hAnsi="Times New Roman" w:cs="Times New Roman"/>
        </w:rPr>
        <w:t xml:space="preserve"> </w:t>
      </w:r>
      <w:r>
        <w:rPr>
          <w:rFonts w:ascii="Times New Roman" w:hAnsi="Times New Roman" w:cs="Times New Roman"/>
        </w:rPr>
        <w:t xml:space="preserve">antibiotic </w:t>
      </w:r>
      <w:r w:rsidRPr="002541E9">
        <w:rPr>
          <w:rFonts w:ascii="Times New Roman" w:hAnsi="Times New Roman" w:cs="Times New Roman"/>
        </w:rPr>
        <w:t xml:space="preserve">resistance. Through whole genome sequencing of an MRSA strain, a </w:t>
      </w:r>
      <w:r w:rsidRPr="002541E9">
        <w:rPr>
          <w:rFonts w:ascii="Times New Roman" w:hAnsi="Times New Roman" w:cs="Times New Roman"/>
          <w:i/>
          <w:iCs/>
        </w:rPr>
        <w:t>rel</w:t>
      </w:r>
      <w:r w:rsidRPr="002541E9">
        <w:rPr>
          <w:rFonts w:ascii="Times New Roman" w:hAnsi="Times New Roman" w:cs="Times New Roman"/>
        </w:rPr>
        <w:t xml:space="preserve"> mutation that introduced a stop codon after the NTD was identified in β-lactam resistant strains</w:t>
      </w:r>
      <w:r>
        <w:rPr>
          <w:rFonts w:ascii="Times New Roman" w:hAnsi="Times New Roman" w:cs="Times New Roman"/>
        </w:rPr>
        <w:t xml:space="preserve"> </w:t>
      </w:r>
      <w:r w:rsidRPr="00273F0A">
        <w:rPr>
          <w:rFonts w:ascii="Times New Roman" w:hAnsi="Times New Roman" w:cs="Times New Roman"/>
          <w:b/>
          <w:bCs/>
        </w:rPr>
        <w:fldChar w:fldCharType="begin"/>
      </w:r>
      <w:r w:rsidRPr="00273F0A">
        <w:rPr>
          <w:rFonts w:ascii="Times New Roman" w:hAnsi="Times New Roman" w:cs="Times New Roman"/>
          <w:b/>
          <w:bCs/>
        </w:rPr>
        <w:instrText xml:space="preserve"> ADDIN EN.CITE &lt;EndNote&gt;&lt;Cite&gt;&lt;Author&gt;Mwangi&lt;/Author&gt;&lt;Year&gt;2013&lt;/Year&gt;&lt;IDText&gt;Whole-Genome Sequencing Reveals a Link Between beta-Lactam Resistance and Synthetases of the Alarmone (p)ppGpp in Staphylococcus aureus&lt;/IDText&gt;&lt;DisplayText&gt;(Mwangi&lt;style face="italic"&gt; et al.&lt;/style&gt;, 2013)&lt;/DisplayText&gt;&lt;record&gt;&lt;dates&gt;&lt;pub-dates&gt;&lt;date&gt;Jun&lt;/date&gt;&lt;/pub-dates&gt;&lt;year&gt;2013&lt;/year&gt;&lt;/dates&gt;&lt;urls&gt;&lt;related-urls&gt;&lt;url&gt;&amp;lt;Go to ISI&amp;gt;://WOS:000319399900001&lt;/url&gt;&lt;/related-urls&gt;&lt;/urls&gt;&lt;isbn&gt;1076-6294&lt;/isbn&gt;&lt;titles&gt;&lt;title&gt;Whole-Genome Sequencing Reveals a Link Between beta-Lactam Resistance and Synthetases of the Alarmone (p)ppGpp in Staphylococcus aureus&lt;/title&gt;&lt;secondary-title&gt;Microbial Drug Resistance&lt;/secondary-title&gt;&lt;/titles&gt;&lt;pages&gt;153-159&lt;/pages&gt;&lt;number&gt;3&lt;/number&gt;&lt;contributors&gt;&lt;authors&gt;&lt;author&gt;Mwangi, Michael M.&lt;/author&gt;&lt;author&gt;Kim, Choonkeun&lt;/author&gt;&lt;author&gt;Chung, Marilyn&lt;/author&gt;&lt;author&gt;Tsai, Jennifer&lt;/author&gt;&lt;author&gt;Vijayadamodar, Govindan&lt;/author&gt;&lt;author&gt;Benitez, Michelle&lt;/author&gt;&lt;author&gt;Jarvie, Thomas P.&lt;/author&gt;&lt;author&gt;Du, Lei&lt;/author&gt;&lt;author&gt;Tomasz, Alexander&lt;/author&gt;&lt;/authors&gt;&lt;/contributors&gt;&lt;added-date format="utc"&gt;1663624118&lt;/added-date&gt;&lt;ref-type name="Journal Article"&gt;17&lt;/ref-type&gt;&lt;rec-number&gt;141&lt;/rec-number&gt;&lt;last-updated-date format="utc"&gt;1678058042&lt;/last-updated-date&gt;&lt;accession-num&gt;WOS:000319399900001&lt;/accession-num&gt;&lt;electronic-resource-num&gt;10.1089/mdr.2013.0053&lt;/electronic-resource-num&gt;&lt;volume&gt;19&lt;/volume&gt;&lt;/record&gt;&lt;/Cite&gt;&lt;/EndNote&gt;</w:instrText>
      </w:r>
      <w:r w:rsidRPr="00273F0A">
        <w:rPr>
          <w:rFonts w:ascii="Times New Roman" w:hAnsi="Times New Roman" w:cs="Times New Roman"/>
          <w:b/>
          <w:bCs/>
        </w:rPr>
        <w:fldChar w:fldCharType="separate"/>
      </w:r>
      <w:r w:rsidRPr="00273F0A">
        <w:rPr>
          <w:rFonts w:ascii="Times New Roman" w:hAnsi="Times New Roman" w:cs="Times New Roman"/>
          <w:b/>
          <w:bCs/>
          <w:noProof/>
        </w:rPr>
        <w:t>(Mwangi</w:t>
      </w:r>
      <w:r w:rsidRPr="00273F0A">
        <w:rPr>
          <w:rFonts w:ascii="Times New Roman" w:hAnsi="Times New Roman" w:cs="Times New Roman"/>
          <w:b/>
          <w:bCs/>
          <w:i/>
          <w:noProof/>
        </w:rPr>
        <w:t xml:space="preserve"> et al.</w:t>
      </w:r>
      <w:r w:rsidRPr="00273F0A">
        <w:rPr>
          <w:rFonts w:ascii="Times New Roman" w:hAnsi="Times New Roman" w:cs="Times New Roman"/>
          <w:b/>
          <w:bCs/>
          <w:noProof/>
        </w:rPr>
        <w:t>, 2013)</w:t>
      </w:r>
      <w:r w:rsidRPr="00273F0A">
        <w:rPr>
          <w:rFonts w:ascii="Times New Roman" w:hAnsi="Times New Roman" w:cs="Times New Roman"/>
          <w:b/>
          <w:bCs/>
        </w:rPr>
        <w:fldChar w:fldCharType="end"/>
      </w:r>
      <w:r>
        <w:rPr>
          <w:rFonts w:ascii="Times New Roman" w:hAnsi="Times New Roman" w:cs="Times New Roman"/>
        </w:rPr>
        <w:t>. As the CTD negatively regulates the NTD, uncontrolled (p)ppGpp production occurs</w:t>
      </w:r>
      <w:r w:rsidR="005071FB">
        <w:rPr>
          <w:rFonts w:ascii="Times New Roman" w:hAnsi="Times New Roman" w:cs="Times New Roman"/>
        </w:rPr>
        <w:t xml:space="preserve"> in the</w:t>
      </w:r>
      <w:r>
        <w:rPr>
          <w:rFonts w:ascii="Times New Roman" w:hAnsi="Times New Roman" w:cs="Times New Roman"/>
        </w:rPr>
        <w:t xml:space="preserve"> a</w:t>
      </w:r>
      <w:r w:rsidRPr="002541E9">
        <w:rPr>
          <w:rFonts w:ascii="Times New Roman" w:hAnsi="Times New Roman" w:cs="Times New Roman"/>
        </w:rPr>
        <w:t>bsence of the CTD</w:t>
      </w:r>
      <w:r>
        <w:rPr>
          <w:rFonts w:ascii="Times New Roman" w:hAnsi="Times New Roman" w:cs="Times New Roman"/>
        </w:rPr>
        <w:t xml:space="preserve"> </w:t>
      </w:r>
      <w:r w:rsidRPr="004F6968">
        <w:rPr>
          <w:rFonts w:ascii="Times New Roman" w:hAnsi="Times New Roman" w:cs="Times New Roman"/>
          <w:b/>
          <w:bCs/>
        </w:rPr>
        <w:fldChar w:fldCharType="begin"/>
      </w:r>
      <w:r w:rsidRPr="004F6968">
        <w:rPr>
          <w:rFonts w:ascii="Times New Roman" w:hAnsi="Times New Roman" w:cs="Times New Roman"/>
          <w:b/>
          <w:bCs/>
        </w:rPr>
        <w:instrText xml:space="preserve"> ADDIN EN.CITE &lt;EndNote&gt;&lt;Cite&gt;&lt;Author&gt;Gratani&lt;/Author&gt;&lt;Year&gt;2018&lt;/Year&gt;&lt;IDText&gt;Regulation of the opposing (p)ppGpp synthetase and hydrolase activities in a bifunctional RelA/SpoT homologue from Staphylococcus aureus&lt;/IDText&gt;&lt;DisplayText&gt;(Gratani&lt;style face="italic"&gt; et al.&lt;/style&gt;, 2018)&lt;/DisplayText&gt;&lt;record&gt;&lt;dates&gt;&lt;pub-dates&gt;&lt;date&gt;Jul&lt;/date&gt;&lt;/pub-dates&gt;&lt;year&gt;2018&lt;/year&gt;&lt;/dates&gt;&lt;urls&gt;&lt;related-urls&gt;&lt;url&gt;&amp;lt;Go to ISI&amp;gt;://WOS:000440556300027&lt;/url&gt;&lt;/related-urls&gt;&lt;/urls&gt;&lt;isbn&gt;1553-7404&lt;/isbn&gt;&lt;titles&gt;&lt;title&gt;Regulation of the opposing (p)ppGpp synthetase and hydrolase activities in a bifunctional RelA/SpoT homologue from Staphylococcus aureus&lt;/title&gt;&lt;secondary-title&gt;Plos Genetics&lt;/secondary-title&gt;&lt;/titles&gt;&lt;number&gt;7&lt;/number&gt;&lt;contributors&gt;&lt;authors&gt;&lt;author&gt;Gratani, F. L.&lt;/author&gt;&lt;author&gt;Horvatek, P.&lt;/author&gt;&lt;author&gt;Geiger, T.&lt;/author&gt;&lt;author&gt;Borisova, M.&lt;/author&gt;&lt;author&gt;Mayer, C.&lt;/author&gt;&lt;author&gt;Grin, I.&lt;/author&gt;&lt;author&gt;Wagner, S.&lt;/author&gt;&lt;author&gt;Steinchen, W.&lt;/author&gt;&lt;author&gt;Bange, G.&lt;/author&gt;&lt;author&gt;Velic, A.&lt;/author&gt;&lt;author&gt;Macek, B.&lt;/author&gt;&lt;author&gt;Wolz, C.&lt;/author&gt;&lt;/authors&gt;&lt;/contributors&gt;&lt;custom7&gt;e1007514&lt;/custom7&gt;&lt;added-date format="utc"&gt;1677470615&lt;/added-date&gt;&lt;ref-type name="Journal Article"&gt;17&lt;/ref-type&gt;&lt;rec-number&gt;565&lt;/rec-number&gt;&lt;last-updated-date format="utc"&gt;1678058042&lt;/last-updated-date&gt;&lt;accession-num&gt;WOS:000440556300027&lt;/accession-num&gt;&lt;electronic-resource-num&gt;10.1371/journal.pgen.1007514&lt;/electronic-resource-num&gt;&lt;volume&gt;14&lt;/volume&gt;&lt;/record&gt;&lt;/Cite&gt;&lt;/EndNote&gt;</w:instrText>
      </w:r>
      <w:r w:rsidRPr="004F6968">
        <w:rPr>
          <w:rFonts w:ascii="Times New Roman" w:hAnsi="Times New Roman" w:cs="Times New Roman"/>
          <w:b/>
          <w:bCs/>
        </w:rPr>
        <w:fldChar w:fldCharType="separate"/>
      </w:r>
      <w:r w:rsidRPr="004F6968">
        <w:rPr>
          <w:rFonts w:ascii="Times New Roman" w:hAnsi="Times New Roman" w:cs="Times New Roman"/>
          <w:b/>
          <w:bCs/>
          <w:noProof/>
        </w:rPr>
        <w:t>(Gratani</w:t>
      </w:r>
      <w:r w:rsidRPr="004F6968">
        <w:rPr>
          <w:rFonts w:ascii="Times New Roman" w:hAnsi="Times New Roman" w:cs="Times New Roman"/>
          <w:b/>
          <w:bCs/>
          <w:i/>
          <w:noProof/>
        </w:rPr>
        <w:t xml:space="preserve"> et al.</w:t>
      </w:r>
      <w:r w:rsidRPr="004F6968">
        <w:rPr>
          <w:rFonts w:ascii="Times New Roman" w:hAnsi="Times New Roman" w:cs="Times New Roman"/>
          <w:b/>
          <w:bCs/>
          <w:noProof/>
        </w:rPr>
        <w:t>, 2018)</w:t>
      </w:r>
      <w:r w:rsidRPr="004F6968">
        <w:rPr>
          <w:rFonts w:ascii="Times New Roman" w:hAnsi="Times New Roman" w:cs="Times New Roman"/>
          <w:b/>
          <w:bCs/>
        </w:rPr>
        <w:fldChar w:fldCharType="end"/>
      </w:r>
      <w:r w:rsidRPr="002541E9">
        <w:rPr>
          <w:rFonts w:ascii="Times New Roman" w:hAnsi="Times New Roman" w:cs="Times New Roman"/>
        </w:rPr>
        <w:t xml:space="preserve"> </w:t>
      </w:r>
      <w:r>
        <w:rPr>
          <w:rFonts w:ascii="Times New Roman" w:hAnsi="Times New Roman" w:cs="Times New Roman"/>
        </w:rPr>
        <w:t xml:space="preserve">and therefore </w:t>
      </w:r>
      <w:r w:rsidRPr="002541E9">
        <w:rPr>
          <w:rFonts w:ascii="Times New Roman" w:hAnsi="Times New Roman" w:cs="Times New Roman"/>
        </w:rPr>
        <w:t xml:space="preserve"> this strain is likely to overexpress (p)ppGpp </w:t>
      </w:r>
      <w:r w:rsidRPr="004F6968">
        <w:rPr>
          <w:rFonts w:ascii="Times New Roman" w:hAnsi="Times New Roman" w:cs="Times New Roman"/>
          <w:b/>
          <w:bCs/>
        </w:rPr>
        <w:fldChar w:fldCharType="begin"/>
      </w:r>
      <w:r w:rsidRPr="004F6968">
        <w:rPr>
          <w:rFonts w:ascii="Times New Roman" w:hAnsi="Times New Roman" w:cs="Times New Roman"/>
          <w:b/>
          <w:bCs/>
        </w:rPr>
        <w:instrText xml:space="preserve"> ADDIN EN.CITE &lt;EndNote&gt;&lt;Cite&gt;&lt;Author&gt;Mwangi&lt;/Author&gt;&lt;Year&gt;2013&lt;/Year&gt;&lt;IDText&gt;Whole-Genome Sequencing Reveals a Link Between beta-Lactam Resistance and Synthetases of the Alarmone (p)ppGpp in Staphylococcus aureus&lt;/IDText&gt;&lt;DisplayText&gt;(Mwangi&lt;style face="italic"&gt; et al.&lt;/style&gt;, 2013)&lt;/DisplayText&gt;&lt;record&gt;&lt;dates&gt;&lt;pub-dates&gt;&lt;date&gt;Jun&lt;/date&gt;&lt;/pub-dates&gt;&lt;year&gt;2013&lt;/year&gt;&lt;/dates&gt;&lt;urls&gt;&lt;related-urls&gt;&lt;url&gt;&amp;lt;Go to ISI&amp;gt;://WOS:000319399900001&lt;/url&gt;&lt;/related-urls&gt;&lt;/urls&gt;&lt;isbn&gt;1076-6294&lt;/isbn&gt;&lt;titles&gt;&lt;title&gt;Whole-Genome Sequencing Reveals a Link Between beta-Lactam Resistance and Synthetases of the Alarmone (p)ppGpp in Staphylococcus aureus&lt;/title&gt;&lt;secondary-title&gt;Microbial Drug Resistance&lt;/secondary-title&gt;&lt;/titles&gt;&lt;pages&gt;153-159&lt;/pages&gt;&lt;number&gt;3&lt;/number&gt;&lt;contributors&gt;&lt;authors&gt;&lt;author&gt;Mwangi, Michael M.&lt;/author&gt;&lt;author&gt;Kim, Choonkeun&lt;/author&gt;&lt;author&gt;Chung, Marilyn&lt;/author&gt;&lt;author&gt;Tsai, Jennifer&lt;/author&gt;&lt;author&gt;Vijayadamodar, Govindan&lt;/author&gt;&lt;author&gt;Benitez, Michelle&lt;/author&gt;&lt;author&gt;Jarvie, Thomas P.&lt;/author&gt;&lt;author&gt;Du, Lei&lt;/author&gt;&lt;author&gt;Tomasz, Alexander&lt;/author&gt;&lt;/authors&gt;&lt;/contributors&gt;&lt;added-date format="utc"&gt;1663624118&lt;/added-date&gt;&lt;ref-type name="Journal Article"&gt;17&lt;/ref-type&gt;&lt;rec-number&gt;141&lt;/rec-number&gt;&lt;last-updated-date format="utc"&gt;1678058042&lt;/last-updated-date&gt;&lt;accession-num&gt;WOS:000319399900001&lt;/accession-num&gt;&lt;electronic-resource-num&gt;10.1089/mdr.2013.0053&lt;/electronic-resource-num&gt;&lt;volume&gt;19&lt;/volume&gt;&lt;/record&gt;&lt;/Cite&gt;&lt;/EndNote&gt;</w:instrText>
      </w:r>
      <w:r w:rsidRPr="004F6968">
        <w:rPr>
          <w:rFonts w:ascii="Times New Roman" w:hAnsi="Times New Roman" w:cs="Times New Roman"/>
          <w:b/>
          <w:bCs/>
        </w:rPr>
        <w:fldChar w:fldCharType="separate"/>
      </w:r>
      <w:r w:rsidRPr="004F6968">
        <w:rPr>
          <w:rFonts w:ascii="Times New Roman" w:hAnsi="Times New Roman" w:cs="Times New Roman"/>
          <w:b/>
          <w:bCs/>
          <w:noProof/>
        </w:rPr>
        <w:t>(Mwangi</w:t>
      </w:r>
      <w:r w:rsidRPr="004F6968">
        <w:rPr>
          <w:rFonts w:ascii="Times New Roman" w:hAnsi="Times New Roman" w:cs="Times New Roman"/>
          <w:b/>
          <w:bCs/>
          <w:i/>
          <w:noProof/>
        </w:rPr>
        <w:t xml:space="preserve"> et al.</w:t>
      </w:r>
      <w:r w:rsidRPr="004F6968">
        <w:rPr>
          <w:rFonts w:ascii="Times New Roman" w:hAnsi="Times New Roman" w:cs="Times New Roman"/>
          <w:b/>
          <w:bCs/>
          <w:noProof/>
        </w:rPr>
        <w:t>, 2013)</w:t>
      </w:r>
      <w:r w:rsidRPr="004F6968">
        <w:rPr>
          <w:rFonts w:ascii="Times New Roman" w:hAnsi="Times New Roman" w:cs="Times New Roman"/>
          <w:b/>
          <w:bCs/>
        </w:rPr>
        <w:fldChar w:fldCharType="end"/>
      </w:r>
      <w:r>
        <w:rPr>
          <w:rFonts w:ascii="Times New Roman" w:hAnsi="Times New Roman" w:cs="Times New Roman"/>
        </w:rPr>
        <w:t xml:space="preserve">. </w:t>
      </w:r>
      <w:r w:rsidRPr="002541E9">
        <w:rPr>
          <w:rFonts w:ascii="Times New Roman" w:hAnsi="Times New Roman" w:cs="Times New Roman"/>
        </w:rPr>
        <w:t xml:space="preserve">Thus, elevated (p)ppGpp levels due to acquired </w:t>
      </w:r>
      <w:r w:rsidRPr="002541E9">
        <w:rPr>
          <w:rFonts w:ascii="Times New Roman" w:hAnsi="Times New Roman" w:cs="Times New Roman"/>
          <w:i/>
          <w:iCs/>
        </w:rPr>
        <w:t>rel</w:t>
      </w:r>
      <w:r w:rsidRPr="002541E9">
        <w:rPr>
          <w:rFonts w:ascii="Times New Roman" w:hAnsi="Times New Roman" w:cs="Times New Roman"/>
        </w:rPr>
        <w:t xml:space="preserve"> mutations may lead to resistance</w:t>
      </w:r>
      <w:r>
        <w:rPr>
          <w:rFonts w:ascii="Times New Roman" w:hAnsi="Times New Roman" w:cs="Times New Roman"/>
        </w:rPr>
        <w:t xml:space="preserve">. This has been demonstrated in a clinical setting where </w:t>
      </w:r>
      <w:r w:rsidRPr="005C01DB">
        <w:rPr>
          <w:rFonts w:ascii="Times New Roman" w:hAnsi="Times New Roman" w:cs="Times New Roman"/>
        </w:rPr>
        <w:t>an MRSA isolate with a</w:t>
      </w:r>
      <w:r>
        <w:rPr>
          <w:rFonts w:ascii="Times New Roman" w:hAnsi="Times New Roman" w:cs="Times New Roman"/>
        </w:rPr>
        <w:t>n F128Y</w:t>
      </w:r>
      <w:r w:rsidRPr="005C01DB">
        <w:rPr>
          <w:rFonts w:ascii="Times New Roman" w:hAnsi="Times New Roman" w:cs="Times New Roman"/>
        </w:rPr>
        <w:t xml:space="preserve"> </w:t>
      </w:r>
      <w:r w:rsidR="005071FB">
        <w:rPr>
          <w:rFonts w:ascii="Times New Roman" w:hAnsi="Times New Roman" w:cs="Times New Roman"/>
        </w:rPr>
        <w:t xml:space="preserve">substitution mutation in the </w:t>
      </w:r>
      <w:r w:rsidRPr="005C01DB">
        <w:rPr>
          <w:rFonts w:ascii="Times New Roman" w:hAnsi="Times New Roman" w:cs="Times New Roman"/>
        </w:rPr>
        <w:t>HD domain</w:t>
      </w:r>
      <w:r>
        <w:rPr>
          <w:rFonts w:ascii="Times New Roman" w:hAnsi="Times New Roman" w:cs="Times New Roman"/>
        </w:rPr>
        <w:t xml:space="preserve"> resulted in constitutive Rel synthetase activity </w:t>
      </w:r>
      <w:r w:rsidRPr="00AC308B">
        <w:rPr>
          <w:rFonts w:ascii="Times New Roman" w:hAnsi="Times New Roman" w:cs="Times New Roman"/>
          <w:b/>
          <w:bCs/>
        </w:rPr>
        <w:fldChar w:fldCharType="begin"/>
      </w:r>
      <w:r w:rsidRPr="00AC308B">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related-urls&gt;&lt;/urls&gt;&lt;isbn&gt;1553-7366&lt;/isbn&gt;&lt;titles&gt;&lt;title&gt;&lt;style font="default" size="100%"&gt;Two Novel Point Mutations in Clinical &lt;/style&gt;&lt;style face="italic" font="default" size="100%"&gt;Staphylococcus aureus&lt;/style&gt;&lt;style font="default" size="100%"&gt; Reduce Linezolid Susceptibility and Switch on the Stringent Response to Promote Persistent Infection&lt;/style&gt;&lt;/title&gt;&lt;secondary-title&gt;Plos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format="utc"&gt;1678058042&lt;/last-updated-date&gt;&lt;accession-num&gt;WOS:000279806300018&lt;/accession-num&gt;&lt;electronic-resource-num&gt;10.1371/journal.ppat.1000944&lt;/electronic-resource-num&gt;&lt;volume&gt;6&lt;/volume&gt;&lt;/record&gt;&lt;/Cite&gt;&lt;/EndNote&gt;</w:instrText>
      </w:r>
      <w:r w:rsidRPr="00AC308B">
        <w:rPr>
          <w:rFonts w:ascii="Times New Roman" w:hAnsi="Times New Roman" w:cs="Times New Roman"/>
          <w:b/>
          <w:bCs/>
        </w:rPr>
        <w:fldChar w:fldCharType="separate"/>
      </w:r>
      <w:r w:rsidRPr="00AC308B">
        <w:rPr>
          <w:rFonts w:ascii="Times New Roman" w:hAnsi="Times New Roman" w:cs="Times New Roman"/>
          <w:b/>
          <w:bCs/>
          <w:noProof/>
        </w:rPr>
        <w:t>(Gao</w:t>
      </w:r>
      <w:r w:rsidRPr="00AC308B">
        <w:rPr>
          <w:rFonts w:ascii="Times New Roman" w:hAnsi="Times New Roman" w:cs="Times New Roman"/>
          <w:b/>
          <w:bCs/>
          <w:i/>
          <w:noProof/>
        </w:rPr>
        <w:t xml:space="preserve"> et al.</w:t>
      </w:r>
      <w:r w:rsidRPr="00AC308B">
        <w:rPr>
          <w:rFonts w:ascii="Times New Roman" w:hAnsi="Times New Roman" w:cs="Times New Roman"/>
          <w:b/>
          <w:bCs/>
          <w:noProof/>
        </w:rPr>
        <w:t>, 2010)</w:t>
      </w:r>
      <w:r w:rsidRPr="00AC308B">
        <w:rPr>
          <w:rFonts w:ascii="Times New Roman" w:hAnsi="Times New Roman" w:cs="Times New Roman"/>
          <w:b/>
          <w:bCs/>
        </w:rPr>
        <w:fldChar w:fldCharType="end"/>
      </w:r>
      <w:r>
        <w:rPr>
          <w:rFonts w:ascii="Times New Roman" w:hAnsi="Times New Roman" w:cs="Times New Roman"/>
        </w:rPr>
        <w:t xml:space="preserve">. The </w:t>
      </w:r>
      <w:r>
        <w:rPr>
          <w:rFonts w:ascii="Times New Roman" w:hAnsi="Times New Roman" w:cs="Times New Roman"/>
          <w:i/>
          <w:iCs/>
        </w:rPr>
        <w:t xml:space="preserve">agr </w:t>
      </w:r>
      <w:r>
        <w:rPr>
          <w:rFonts w:ascii="Times New Roman" w:hAnsi="Times New Roman" w:cs="Times New Roman"/>
        </w:rPr>
        <w:t>locus was upregulated in this strain and ultimately resulted in the formation of small colony variants (SCVs). Due to increased synthetase activity, h</w:t>
      </w:r>
      <w:r w:rsidRPr="005C01DB">
        <w:rPr>
          <w:rFonts w:ascii="Times New Roman" w:hAnsi="Times New Roman" w:cs="Times New Roman"/>
        </w:rPr>
        <w:t xml:space="preserve">igher levels of (p)ppGpp </w:t>
      </w:r>
      <w:r>
        <w:rPr>
          <w:rFonts w:ascii="Times New Roman" w:hAnsi="Times New Roman" w:cs="Times New Roman"/>
        </w:rPr>
        <w:t xml:space="preserve">were reported </w:t>
      </w:r>
      <w:r w:rsidRPr="005C01DB">
        <w:rPr>
          <w:rFonts w:ascii="Times New Roman" w:hAnsi="Times New Roman" w:cs="Times New Roman"/>
        </w:rPr>
        <w:t xml:space="preserve">and </w:t>
      </w:r>
      <w:r>
        <w:rPr>
          <w:rFonts w:ascii="Times New Roman" w:hAnsi="Times New Roman" w:cs="Times New Roman"/>
        </w:rPr>
        <w:t>SCV formation resulted in</w:t>
      </w:r>
      <w:r w:rsidRPr="005C01DB">
        <w:rPr>
          <w:rFonts w:ascii="Times New Roman" w:hAnsi="Times New Roman" w:cs="Times New Roman"/>
        </w:rPr>
        <w:t xml:space="preserve"> persistent </w:t>
      </w:r>
      <w:r>
        <w:rPr>
          <w:rFonts w:ascii="Times New Roman" w:hAnsi="Times New Roman" w:cs="Times New Roman"/>
        </w:rPr>
        <w:t xml:space="preserve">and chronic </w:t>
      </w:r>
      <w:r w:rsidRPr="005C01DB">
        <w:rPr>
          <w:rFonts w:ascii="Times New Roman" w:hAnsi="Times New Roman" w:cs="Times New Roman"/>
        </w:rPr>
        <w:t>infection and lengthy treatment</w:t>
      </w:r>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related-urls&gt;&lt;/urls&gt;&lt;isbn&gt;1553-7366&lt;/isbn&gt;&lt;titles&gt;&lt;title&gt;&lt;style font="default" size="100%"&gt;Two Novel Point Mutations in Clinical &lt;/style&gt;&lt;style face="italic" font="default" size="100%"&gt;Staphylococcus aureus&lt;/style&gt;&lt;style font="default" size="100%"&gt; Reduce Linezolid Susceptibility and Switch on the Stringent Response to Promote Persistent Infection&lt;/style&gt;&lt;/title&gt;&lt;secondary-title&gt;Plos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format="utc"&gt;1678058042&lt;/last-updated-date&gt;&lt;accession-num&gt;WOS:000279806300018&lt;/accession-num&gt;&lt;electronic-resource-num&gt;10.1371/journal.ppat.1000944&lt;/electronic-resource-num&gt;&lt;volume&gt;6&lt;/volume&gt;&lt;/record&gt;&lt;/Cite&gt;&lt;/EndNote&gt;</w:instrText>
      </w:r>
      <w:r>
        <w:rPr>
          <w:rFonts w:ascii="Times New Roman" w:hAnsi="Times New Roman" w:cs="Times New Roman"/>
          <w:b/>
          <w:bCs/>
        </w:rPr>
        <w:fldChar w:fldCharType="separate"/>
      </w:r>
      <w:r>
        <w:rPr>
          <w:rFonts w:ascii="Times New Roman" w:hAnsi="Times New Roman" w:cs="Times New Roman"/>
          <w:b/>
          <w:bCs/>
          <w:noProof/>
        </w:rPr>
        <w:t>(Gao</w:t>
      </w:r>
      <w:r w:rsidRPr="00AC308B">
        <w:rPr>
          <w:rFonts w:ascii="Times New Roman" w:hAnsi="Times New Roman" w:cs="Times New Roman"/>
          <w:b/>
          <w:bCs/>
          <w:i/>
          <w:noProof/>
        </w:rPr>
        <w:t xml:space="preserve"> et al.</w:t>
      </w:r>
      <w:r>
        <w:rPr>
          <w:rFonts w:ascii="Times New Roman" w:hAnsi="Times New Roman" w:cs="Times New Roman"/>
          <w:b/>
          <w:bCs/>
          <w:noProof/>
        </w:rPr>
        <w:t>, 2010)</w:t>
      </w:r>
      <w:r>
        <w:rPr>
          <w:rFonts w:ascii="Times New Roman" w:hAnsi="Times New Roman" w:cs="Times New Roman"/>
          <w:b/>
          <w:bCs/>
        </w:rPr>
        <w:fldChar w:fldCharType="end"/>
      </w:r>
      <w:r>
        <w:rPr>
          <w:rFonts w:ascii="Times New Roman" w:hAnsi="Times New Roman" w:cs="Times New Roman"/>
        </w:rPr>
        <w:t>. This study emphasises how (p)ppGpp overproduction can be beneficial for the survival of bacteria. As well as Rel</w:t>
      </w:r>
      <w:r>
        <w:rPr>
          <w:rFonts w:ascii="Times New Roman" w:hAnsi="Times New Roman" w:cs="Times New Roman"/>
          <w:i/>
          <w:iCs/>
          <w:vertAlign w:val="subscript"/>
        </w:rPr>
        <w:t>Sau</w:t>
      </w:r>
      <w:r>
        <w:rPr>
          <w:rFonts w:ascii="Times New Roman" w:hAnsi="Times New Roman" w:cs="Times New Roman"/>
        </w:rPr>
        <w:t>, RelQ</w:t>
      </w:r>
      <w:r>
        <w:rPr>
          <w:rFonts w:ascii="Times New Roman" w:hAnsi="Times New Roman" w:cs="Times New Roman"/>
          <w:i/>
          <w:iCs/>
          <w:vertAlign w:val="subscript"/>
        </w:rPr>
        <w:t>Sau</w:t>
      </w:r>
      <w:r>
        <w:rPr>
          <w:rFonts w:ascii="Times New Roman" w:hAnsi="Times New Roman" w:cs="Times New Roman"/>
        </w:rPr>
        <w:t xml:space="preserve"> has also b</w:t>
      </w:r>
      <w:r w:rsidR="00B02DCE">
        <w:rPr>
          <w:rFonts w:ascii="Times New Roman" w:hAnsi="Times New Roman" w:cs="Times New Roman"/>
        </w:rPr>
        <w:t>e</w:t>
      </w:r>
      <w:r>
        <w:rPr>
          <w:rFonts w:ascii="Times New Roman" w:hAnsi="Times New Roman" w:cs="Times New Roman"/>
        </w:rPr>
        <w:t>e</w:t>
      </w:r>
      <w:r w:rsidR="00B02DCE">
        <w:rPr>
          <w:rFonts w:ascii="Times New Roman" w:hAnsi="Times New Roman" w:cs="Times New Roman"/>
        </w:rPr>
        <w:t>n</w:t>
      </w:r>
      <w:r>
        <w:rPr>
          <w:rFonts w:ascii="Times New Roman" w:hAnsi="Times New Roman" w:cs="Times New Roman"/>
        </w:rPr>
        <w:t xml:space="preserve"> implicated in </w:t>
      </w:r>
      <w:r w:rsidRPr="002541E9">
        <w:rPr>
          <w:rFonts w:ascii="Times New Roman" w:hAnsi="Times New Roman" w:cs="Times New Roman"/>
        </w:rPr>
        <w:t>β-lactam resistan</w:t>
      </w:r>
      <w:r>
        <w:rPr>
          <w:rFonts w:ascii="Times New Roman" w:hAnsi="Times New Roman" w:cs="Times New Roman"/>
        </w:rPr>
        <w:t xml:space="preserve">ce, as the absence of RelQ has led to downregulation of </w:t>
      </w:r>
      <w:r>
        <w:rPr>
          <w:rFonts w:ascii="Times New Roman" w:hAnsi="Times New Roman" w:cs="Times New Roman"/>
          <w:i/>
          <w:iCs/>
        </w:rPr>
        <w:t xml:space="preserve">mecA </w:t>
      </w:r>
      <w:r>
        <w:rPr>
          <w:rFonts w:ascii="Times New Roman" w:hAnsi="Times New Roman" w:cs="Times New Roman"/>
        </w:rPr>
        <w:t xml:space="preserve">expression </w:t>
      </w:r>
      <w:r w:rsidRPr="00AC308B">
        <w:rPr>
          <w:rFonts w:ascii="Times New Roman" w:hAnsi="Times New Roman" w:cs="Times New Roman"/>
          <w:b/>
          <w:bCs/>
        </w:rPr>
        <w:fldChar w:fldCharType="begin"/>
      </w:r>
      <w:r w:rsidRPr="00AC308B">
        <w:rPr>
          <w:rFonts w:ascii="Times New Roman" w:hAnsi="Times New Roman" w:cs="Times New Roman"/>
          <w:b/>
          <w:bCs/>
        </w:rPr>
        <w:instrText xml:space="preserve"> ADDIN EN.CITE &lt;EndNote&gt;&lt;Cite&gt;&lt;Author&gt;Bhawini&lt;/Author&gt;&lt;Year&gt;2019&lt;/Year&gt;&lt;IDText&gt;RelQ Mediates the Expression of beta-Lactam Resistance in Methicillin-Resistant Staphylococcus aureus&lt;/IDText&gt;&lt;DisplayText&gt;(Bhawini&lt;style face="italic"&gt; et al.&lt;/style&gt;, 2019)&lt;/DisplayText&gt;&lt;record&gt;&lt;dates&gt;&lt;pub-dates&gt;&lt;date&gt;Mar 11&lt;/date&gt;&lt;/pub-dates&gt;&lt;year&gt;2019&lt;/year&gt;&lt;/dates&gt;&lt;urls&gt;&lt;related-urls&gt;&lt;url&gt;&amp;lt;Go to ISI&amp;gt;://WOS:000460773400001&lt;/url&gt;&lt;/related-urls&gt;&lt;/urls&gt;&lt;isbn&gt;1664-302X&lt;/isbn&gt;&lt;titles&gt;&lt;title&gt;&lt;style font="default" size="100%"&gt;RelQ Mediates the Expression of beta-Lactam Resistance in Methicillin-Resistant &lt;/style&gt;&lt;style face="italic" font="default" size="100%"&gt;Staphylococcus aureus&lt;/style&gt;&lt;/title&gt;&lt;secondary-title&gt;Frontiers in Microbiology&lt;/secondary-title&gt;&lt;/titles&gt;&lt;contributors&gt;&lt;authors&gt;&lt;author&gt;Bhawini, Ajita&lt;/author&gt;&lt;author&gt;Pandey, Parul&lt;/author&gt;&lt;author&gt;Dubey, Ashutosh Prakash&lt;/author&gt;&lt;author&gt;Zehra, Aafreen&lt;/author&gt;&lt;author&gt;Nath, Gopal&lt;/author&gt;&lt;author&gt;Mishra, Mukti Nath&lt;/author&gt;&lt;/authors&gt;&lt;/contributors&gt;&lt;custom7&gt;339&lt;/custom7&gt;&lt;added-date format="utc"&gt;1668279916&lt;/added-date&gt;&lt;ref-type name="Journal Article"&gt;17&lt;/ref-type&gt;&lt;rec-number&gt;174&lt;/rec-number&gt;&lt;last-updated-date format="utc"&gt;1678058042&lt;/last-updated-date&gt;&lt;accession-num&gt;WOS:000460773400001&lt;/accession-num&gt;&lt;electronic-resource-num&gt;10.3389/fmicb.2019.00339&lt;/electronic-resource-num&gt;&lt;volume&gt;10&lt;/volume&gt;&lt;/record&gt;&lt;/Cite&gt;&lt;/EndNote&gt;</w:instrText>
      </w:r>
      <w:r w:rsidRPr="00AC308B">
        <w:rPr>
          <w:rFonts w:ascii="Times New Roman" w:hAnsi="Times New Roman" w:cs="Times New Roman"/>
          <w:b/>
          <w:bCs/>
        </w:rPr>
        <w:fldChar w:fldCharType="separate"/>
      </w:r>
      <w:r w:rsidRPr="00AC308B">
        <w:rPr>
          <w:rFonts w:ascii="Times New Roman" w:hAnsi="Times New Roman" w:cs="Times New Roman"/>
          <w:b/>
          <w:bCs/>
          <w:noProof/>
        </w:rPr>
        <w:t>(Bhawini</w:t>
      </w:r>
      <w:r w:rsidRPr="00AC308B">
        <w:rPr>
          <w:rFonts w:ascii="Times New Roman" w:hAnsi="Times New Roman" w:cs="Times New Roman"/>
          <w:b/>
          <w:bCs/>
          <w:i/>
          <w:noProof/>
        </w:rPr>
        <w:t xml:space="preserve"> et al.</w:t>
      </w:r>
      <w:r w:rsidRPr="00AC308B">
        <w:rPr>
          <w:rFonts w:ascii="Times New Roman" w:hAnsi="Times New Roman" w:cs="Times New Roman"/>
          <w:b/>
          <w:bCs/>
          <w:noProof/>
        </w:rPr>
        <w:t>, 2019)</w:t>
      </w:r>
      <w:r w:rsidRPr="00AC308B">
        <w:rPr>
          <w:rFonts w:ascii="Times New Roman" w:hAnsi="Times New Roman" w:cs="Times New Roman"/>
          <w:b/>
          <w:bCs/>
        </w:rPr>
        <w:fldChar w:fldCharType="end"/>
      </w:r>
      <w:r>
        <w:rPr>
          <w:rFonts w:ascii="Times New Roman" w:hAnsi="Times New Roman" w:cs="Times New Roman"/>
        </w:rPr>
        <w:t xml:space="preserve">. Due to the propensity of </w:t>
      </w:r>
      <w:r>
        <w:rPr>
          <w:rFonts w:ascii="Times New Roman" w:hAnsi="Times New Roman" w:cs="Times New Roman"/>
          <w:i/>
          <w:iCs/>
        </w:rPr>
        <w:t xml:space="preserve">S. aureus </w:t>
      </w:r>
      <w:r>
        <w:rPr>
          <w:rFonts w:ascii="Times New Roman" w:hAnsi="Times New Roman" w:cs="Times New Roman"/>
        </w:rPr>
        <w:t xml:space="preserve">to rapidly evolve and become resistant to multiple antibiotics, it is important to understand how the stringent response impacts </w:t>
      </w:r>
      <w:r w:rsidR="00D40DC1">
        <w:rPr>
          <w:rFonts w:ascii="Times New Roman" w:hAnsi="Times New Roman" w:cs="Times New Roman"/>
        </w:rPr>
        <w:t>this</w:t>
      </w:r>
      <w:r>
        <w:rPr>
          <w:rFonts w:ascii="Times New Roman" w:hAnsi="Times New Roman" w:cs="Times New Roman"/>
        </w:rPr>
        <w:t xml:space="preserve">. This is necessary for the development of </w:t>
      </w:r>
      <w:r w:rsidR="005071FB">
        <w:rPr>
          <w:rFonts w:ascii="Times New Roman" w:hAnsi="Times New Roman" w:cs="Times New Roman"/>
        </w:rPr>
        <w:t xml:space="preserve">more efficacious </w:t>
      </w:r>
      <w:r>
        <w:rPr>
          <w:rFonts w:ascii="Times New Roman" w:hAnsi="Times New Roman" w:cs="Times New Roman"/>
        </w:rPr>
        <w:t xml:space="preserve">stringent response inhibitors. </w:t>
      </w:r>
    </w:p>
    <w:p w14:paraId="4F02CB35" w14:textId="77777777" w:rsidR="00033564" w:rsidRPr="0012709B" w:rsidRDefault="00033564" w:rsidP="00033564">
      <w:pPr>
        <w:pStyle w:val="Heading3"/>
      </w:pPr>
      <w:bookmarkStart w:id="35" w:name="_Toc142043574"/>
      <w:r>
        <w:t>1.2.4. Stringent response inhibitors</w:t>
      </w:r>
      <w:bookmarkEnd w:id="35"/>
      <w:r>
        <w:t xml:space="preserve"> </w:t>
      </w:r>
    </w:p>
    <w:p w14:paraId="393A8573" w14:textId="77777777" w:rsidR="00033564" w:rsidRDefault="00033564" w:rsidP="00033564">
      <w:pPr>
        <w:spacing w:line="360" w:lineRule="auto"/>
        <w:jc w:val="both"/>
        <w:rPr>
          <w:rFonts w:ascii="Times New Roman" w:hAnsi="Times New Roman" w:cs="Times New Roman"/>
        </w:rPr>
      </w:pPr>
    </w:p>
    <w:p w14:paraId="151E5469" w14:textId="342FDB91" w:rsidR="00033564" w:rsidRDefault="00033564" w:rsidP="00033564">
      <w:pPr>
        <w:spacing w:line="360" w:lineRule="auto"/>
        <w:jc w:val="both"/>
        <w:rPr>
          <w:rFonts w:ascii="Times New Roman" w:hAnsi="Times New Roman" w:cs="Times New Roman"/>
        </w:rPr>
      </w:pPr>
      <w:r>
        <w:rPr>
          <w:rFonts w:ascii="Times New Roman" w:hAnsi="Times New Roman" w:cs="Times New Roman"/>
        </w:rPr>
        <w:t>Research into the stringent response has resulted in the development of drug compounds designed to inhibit the effects of (p)ppGpp</w:t>
      </w:r>
      <w:r w:rsidRPr="002541E9">
        <w:rPr>
          <w:rFonts w:ascii="Times New Roman" w:hAnsi="Times New Roman" w:cs="Times New Roman"/>
        </w:rPr>
        <w:t xml:space="preserve">. </w:t>
      </w:r>
      <w:r>
        <w:rPr>
          <w:rFonts w:ascii="Times New Roman" w:hAnsi="Times New Roman" w:cs="Times New Roman"/>
        </w:rPr>
        <w:t xml:space="preserve">After the initial discoveries of ppGpp analogues with anti-stringent response activity in both Gram-negative and Gram-positive bacteria </w:t>
      </w:r>
      <w:r w:rsidRPr="00DB3B82">
        <w:rPr>
          <w:rFonts w:ascii="Times New Roman" w:hAnsi="Times New Roman" w:cs="Times New Roman"/>
          <w:b/>
          <w:bCs/>
        </w:rPr>
        <w:fldChar w:fldCharType="begin"/>
      </w:r>
      <w:r w:rsidRPr="00DB3B82">
        <w:rPr>
          <w:rFonts w:ascii="Times New Roman" w:hAnsi="Times New Roman" w:cs="Times New Roman"/>
          <w:b/>
          <w:bCs/>
        </w:rPr>
        <w:instrText xml:space="preserve"> ADDIN EN.CITE &lt;EndNote&gt;&lt;Cite&gt;&lt;Author&gt;Wexselblatt&lt;/Author&gt;&lt;Year&gt;2010&lt;/Year&gt;&lt;IDText&gt;ppGpp analogues inhibit synthetase activity of Rel proteins from Gram-negative and Gram-positive bacteria&lt;/IDText&gt;&lt;DisplayText&gt;(Wexselblatt&lt;style face="italic"&gt; et al.&lt;/style&gt;, 2010)&lt;/DisplayText&gt;&lt;record&gt;&lt;dates&gt;&lt;pub-dates&gt;&lt;date&gt;Jun&lt;/date&gt;&lt;/pub-dates&gt;&lt;year&gt;2010&lt;/year&gt;&lt;/dates&gt;&lt;urls&gt;&lt;related-urls&gt;&lt;url&gt;&amp;lt;Go to ISI&amp;gt;://WOS:000278480900034&lt;/url&gt;&lt;/related-urls&gt;&lt;/urls&gt;&lt;isbn&gt;0968-0896&lt;/isbn&gt;&lt;titles&gt;&lt;title&gt;ppGpp analogues inhibit synthetase activity of Rel proteins from Gram-negative and Gram-positive bacteria&lt;/title&gt;&lt;secondary-title&gt;Bioorganic &amp;amp; Medicinal Chemistry&lt;/secondary-title&gt;&lt;/titles&gt;&lt;pages&gt;4485-4497&lt;/pages&gt;&lt;number&gt;12&lt;/number&gt;&lt;contributors&gt;&lt;authors&gt;&lt;author&gt;Wexselblatt, E.&lt;/author&gt;&lt;author&gt;Katzhendler, J.&lt;/author&gt;&lt;author&gt;Saleem-Batcha, R.&lt;/author&gt;&lt;author&gt;Hansen, G.&lt;/author&gt;&lt;author&gt;Hilgenfeld, R.&lt;/author&gt;&lt;author&gt;Glaser, G.&lt;/author&gt;&lt;author&gt;Vidavski, R. R.&lt;/author&gt;&lt;/authors&gt;&lt;/contributors&gt;&lt;added-date format="utc"&gt;1678217359&lt;/added-date&gt;&lt;ref-type name="Journal Article"&gt;17&lt;/ref-type&gt;&lt;rec-number&gt;738&lt;/rec-number&gt;&lt;last-updated-date format="utc"&gt;1678217359&lt;/last-updated-date&gt;&lt;accession-num&gt;WOS:000278480900034&lt;/accession-num&gt;&lt;electronic-resource-num&gt;10.1016/j.bmc.2010.04.064&lt;/electronic-resource-num&gt;&lt;volume&gt;18&lt;/volume&gt;&lt;/record&gt;&lt;/Cite&gt;&lt;/EndNote&gt;</w:instrText>
      </w:r>
      <w:r w:rsidRPr="00DB3B82">
        <w:rPr>
          <w:rFonts w:ascii="Times New Roman" w:hAnsi="Times New Roman" w:cs="Times New Roman"/>
          <w:b/>
          <w:bCs/>
        </w:rPr>
        <w:fldChar w:fldCharType="separate"/>
      </w:r>
      <w:r w:rsidRPr="00DB3B82">
        <w:rPr>
          <w:rFonts w:ascii="Times New Roman" w:hAnsi="Times New Roman" w:cs="Times New Roman"/>
          <w:b/>
          <w:bCs/>
          <w:noProof/>
        </w:rPr>
        <w:t>(Wexselblatt</w:t>
      </w:r>
      <w:r w:rsidRPr="00DB3B82">
        <w:rPr>
          <w:rFonts w:ascii="Times New Roman" w:hAnsi="Times New Roman" w:cs="Times New Roman"/>
          <w:b/>
          <w:bCs/>
          <w:i/>
          <w:noProof/>
        </w:rPr>
        <w:t xml:space="preserve"> et al.</w:t>
      </w:r>
      <w:r w:rsidRPr="00DB3B82">
        <w:rPr>
          <w:rFonts w:ascii="Times New Roman" w:hAnsi="Times New Roman" w:cs="Times New Roman"/>
          <w:b/>
          <w:bCs/>
          <w:noProof/>
        </w:rPr>
        <w:t>, 2010)</w:t>
      </w:r>
      <w:r w:rsidRPr="00DB3B82">
        <w:rPr>
          <w:rFonts w:ascii="Times New Roman" w:hAnsi="Times New Roman" w:cs="Times New Roman"/>
          <w:b/>
          <w:bCs/>
        </w:rPr>
        <w:fldChar w:fldCharType="end"/>
      </w:r>
      <w:r>
        <w:rPr>
          <w:rFonts w:ascii="Times New Roman" w:hAnsi="Times New Roman" w:cs="Times New Roman"/>
        </w:rPr>
        <w:t xml:space="preserve">, </w:t>
      </w:r>
      <w:r w:rsidRPr="002541E9">
        <w:rPr>
          <w:rFonts w:ascii="Times New Roman" w:hAnsi="Times New Roman" w:cs="Times New Roman"/>
        </w:rPr>
        <w:t>Relacin, a</w:t>
      </w:r>
      <w:r>
        <w:rPr>
          <w:rFonts w:ascii="Times New Roman" w:hAnsi="Times New Roman" w:cs="Times New Roman"/>
        </w:rPr>
        <w:t xml:space="preserve"> </w:t>
      </w:r>
      <w:r w:rsidRPr="00FA2D98">
        <w:rPr>
          <w:rFonts w:ascii="Times New Roman" w:hAnsi="Times New Roman" w:cs="Times New Roman"/>
        </w:rPr>
        <w:t xml:space="preserve">2′-deoxyguanosine-based </w:t>
      </w:r>
      <w:r w:rsidRPr="002541E9">
        <w:rPr>
          <w:rFonts w:ascii="Times New Roman" w:hAnsi="Times New Roman" w:cs="Times New Roman"/>
        </w:rPr>
        <w:t>ppGpp</w:t>
      </w:r>
      <w:r w:rsidRPr="00FA2D98">
        <w:rPr>
          <w:rFonts w:ascii="Times New Roman" w:hAnsi="Times New Roman" w:cs="Times New Roman"/>
        </w:rPr>
        <w:t xml:space="preserve"> analogue</w:t>
      </w:r>
      <w:r>
        <w:rPr>
          <w:rFonts w:ascii="Times New Roman" w:hAnsi="Times New Roman" w:cs="Times New Roman"/>
        </w:rPr>
        <w:t xml:space="preserve"> </w:t>
      </w:r>
      <w:r w:rsidRPr="002541E9">
        <w:rPr>
          <w:rFonts w:ascii="Times New Roman" w:hAnsi="Times New Roman" w:cs="Times New Roman"/>
        </w:rPr>
        <w:t xml:space="preserve">was synthesised based on the crystal structures of </w:t>
      </w:r>
      <w:r w:rsidRPr="002541E9">
        <w:rPr>
          <w:rFonts w:ascii="Times New Roman" w:hAnsi="Times New Roman" w:cs="Times New Roman"/>
          <w:i/>
          <w:iCs/>
        </w:rPr>
        <w:t xml:space="preserve">Streptomyces equisimilis </w:t>
      </w:r>
      <w:r w:rsidRPr="002541E9">
        <w:rPr>
          <w:rFonts w:ascii="Times New Roman" w:hAnsi="Times New Roman" w:cs="Times New Roman"/>
        </w:rPr>
        <w:t>long RSH Rel</w:t>
      </w:r>
      <w:r w:rsidRPr="002541E9">
        <w:rPr>
          <w:rFonts w:ascii="Times New Roman" w:hAnsi="Times New Roman" w:cs="Times New Roman"/>
          <w:i/>
          <w:iCs/>
          <w:vertAlign w:val="subscript"/>
        </w:rPr>
        <w:t>Seq</w:t>
      </w:r>
      <w:r>
        <w:rPr>
          <w:rFonts w:ascii="Times New Roman" w:hAnsi="Times New Roman" w:cs="Times New Roman"/>
        </w:rPr>
        <w:t xml:space="preserve"> </w:t>
      </w:r>
      <w:r w:rsidRPr="009B42CA">
        <w:rPr>
          <w:rFonts w:ascii="Times New Roman" w:hAnsi="Times New Roman" w:cs="Times New Roman"/>
          <w:b/>
          <w:bCs/>
        </w:rPr>
        <w:fldChar w:fldCharType="begin"/>
      </w:r>
      <w:r w:rsidRPr="009B42CA">
        <w:rPr>
          <w:rFonts w:ascii="Times New Roman" w:hAnsi="Times New Roman" w:cs="Times New Roman"/>
          <w:b/>
          <w:bCs/>
        </w:rPr>
        <w:instrText xml:space="preserve"> ADDIN EN.CITE &lt;EndNote&gt;&lt;Cite&gt;&lt;Author&gt;Wexselblatt&lt;/Author&gt;&lt;Year&gt;2012&lt;/Year&gt;&lt;IDText&gt;Relacin, a Novel Antibacterial Agent Targeting the Stringent Response&lt;/IDText&gt;&lt;DisplayText&gt;(Wexselblatt&lt;style face="italic"&gt; et al.&lt;/style&gt;, 2012)&lt;/DisplayText&gt;&lt;record&gt;&lt;dates&gt;&lt;pub-dates&gt;&lt;date&gt;Sep&lt;/date&gt;&lt;/pub-dates&gt;&lt;year&gt;2012&lt;/year&gt;&lt;/dates&gt;&lt;urls&gt;&lt;related-urls&gt;&lt;url&gt;&amp;lt;Go to ISI&amp;gt;://WOS:000309816500031&lt;/url&gt;&lt;/related-urls&gt;&lt;/urls&gt;&lt;isbn&gt;1553-7366&lt;/isbn&gt;&lt;titles&gt;&lt;title&gt;Relacin, a Novel Antibacterial Agent Targeting the Stringent Response&lt;/title&gt;&lt;secondary-title&gt;Plos Pathogens&lt;/secondary-title&gt;&lt;/titles&gt;&lt;number&gt;9&lt;/number&gt;&lt;contributors&gt;&lt;authors&gt;&lt;author&gt;Wexselblatt, Ezequiel&lt;/author&gt;&lt;author&gt;Oppenheimer-Shaanan, Yaara&lt;/author&gt;&lt;author&gt;Kaspy, Ilana&lt;/author&gt;&lt;author&gt;London, Nir&lt;/author&gt;&lt;author&gt;Schueler-Furman, Ora&lt;/author&gt;&lt;author&gt;Yavin, Eylon&lt;/author&gt;&lt;author&gt;Glaser, Gad&lt;/author&gt;&lt;author&gt;Katzhendler, Joshua&lt;/author&gt;&lt;author&gt;Ben-Yehuda, Sigal&lt;/author&gt;&lt;/authors&gt;&lt;/contributors&gt;&lt;custom7&gt;e1002925&lt;/custom7&gt;&lt;added-date format="utc"&gt;1663626373&lt;/added-date&gt;&lt;ref-type name="Journal Article"&gt;17&lt;/ref-type&gt;&lt;rec-number&gt;162&lt;/rec-number&gt;&lt;last-updated-date format="utc"&gt;1678058042&lt;/last-updated-date&gt;&lt;accession-num&gt;WOS:000309816500031&lt;/accession-num&gt;&lt;electronic-resource-num&gt;10.1371/journal.ppat.1002925&lt;/electronic-resource-num&gt;&lt;volume&gt;8&lt;/volume&gt;&lt;/record&gt;&lt;/Cite&gt;&lt;/EndNote&gt;</w:instrText>
      </w:r>
      <w:r w:rsidRPr="009B42CA">
        <w:rPr>
          <w:rFonts w:ascii="Times New Roman" w:hAnsi="Times New Roman" w:cs="Times New Roman"/>
          <w:b/>
          <w:bCs/>
        </w:rPr>
        <w:fldChar w:fldCharType="separate"/>
      </w:r>
      <w:r w:rsidRPr="009B42CA">
        <w:rPr>
          <w:rFonts w:ascii="Times New Roman" w:hAnsi="Times New Roman" w:cs="Times New Roman"/>
          <w:b/>
          <w:bCs/>
          <w:noProof/>
        </w:rPr>
        <w:t>(Wexselblatt</w:t>
      </w:r>
      <w:r w:rsidRPr="009B42CA">
        <w:rPr>
          <w:rFonts w:ascii="Times New Roman" w:hAnsi="Times New Roman" w:cs="Times New Roman"/>
          <w:b/>
          <w:bCs/>
          <w:i/>
          <w:noProof/>
        </w:rPr>
        <w:t xml:space="preserve"> et al.</w:t>
      </w:r>
      <w:r w:rsidRPr="009B42CA">
        <w:rPr>
          <w:rFonts w:ascii="Times New Roman" w:hAnsi="Times New Roman" w:cs="Times New Roman"/>
          <w:b/>
          <w:bCs/>
          <w:noProof/>
        </w:rPr>
        <w:t>, 2012)</w:t>
      </w:r>
      <w:r w:rsidRPr="009B42CA">
        <w:rPr>
          <w:rFonts w:ascii="Times New Roman" w:hAnsi="Times New Roman" w:cs="Times New Roman"/>
          <w:b/>
          <w:bCs/>
        </w:rPr>
        <w:fldChar w:fldCharType="end"/>
      </w:r>
      <w:r w:rsidR="00B02DCE">
        <w:rPr>
          <w:rFonts w:ascii="Times New Roman" w:hAnsi="Times New Roman" w:cs="Times New Roman"/>
          <w:b/>
          <w:bCs/>
        </w:rPr>
        <w:t xml:space="preserve"> </w:t>
      </w:r>
      <w:bookmarkStart w:id="36" w:name="_Hlk130690307"/>
      <w:r w:rsidR="00B02DCE">
        <w:rPr>
          <w:rFonts w:ascii="Times New Roman" w:hAnsi="Times New Roman" w:cs="Times New Roman"/>
          <w:b/>
          <w:bCs/>
        </w:rPr>
        <w:t>(Fig. 1.2.4</w:t>
      </w:r>
      <w:r w:rsidR="005071FB">
        <w:rPr>
          <w:rFonts w:ascii="Times New Roman" w:hAnsi="Times New Roman" w:cs="Times New Roman"/>
          <w:b/>
          <w:bCs/>
        </w:rPr>
        <w:t>b</w:t>
      </w:r>
      <w:r w:rsidR="00B02DCE">
        <w:rPr>
          <w:rFonts w:ascii="Times New Roman" w:hAnsi="Times New Roman" w:cs="Times New Roman"/>
          <w:b/>
          <w:bCs/>
        </w:rPr>
        <w:t>)</w:t>
      </w:r>
      <w:bookmarkEnd w:id="36"/>
      <w:r w:rsidRPr="002541E9">
        <w:rPr>
          <w:rFonts w:ascii="Times New Roman" w:hAnsi="Times New Roman" w:cs="Times New Roman"/>
        </w:rPr>
        <w:t xml:space="preserve">. </w:t>
      </w:r>
      <w:r>
        <w:rPr>
          <w:rFonts w:ascii="Times New Roman" w:hAnsi="Times New Roman" w:cs="Times New Roman"/>
        </w:rPr>
        <w:t xml:space="preserve">Here, relacin was synthesised </w:t>
      </w:r>
      <w:r w:rsidRPr="002541E9">
        <w:rPr>
          <w:rFonts w:ascii="Times New Roman" w:hAnsi="Times New Roman" w:cs="Times New Roman"/>
        </w:rPr>
        <w:t xml:space="preserve">so that the </w:t>
      </w:r>
      <w:r>
        <w:rPr>
          <w:rFonts w:ascii="Times New Roman" w:hAnsi="Times New Roman" w:cs="Times New Roman"/>
        </w:rPr>
        <w:t>5</w:t>
      </w:r>
      <w:r w:rsidRPr="00FA2D98">
        <w:rPr>
          <w:rFonts w:ascii="Times New Roman" w:hAnsi="Times New Roman" w:cs="Times New Roman"/>
        </w:rPr>
        <w:t>′</w:t>
      </w:r>
      <w:r>
        <w:rPr>
          <w:rFonts w:ascii="Times New Roman" w:hAnsi="Times New Roman" w:cs="Times New Roman"/>
        </w:rPr>
        <w:t xml:space="preserve"> and 3</w:t>
      </w:r>
      <w:r w:rsidRPr="00FA2D98">
        <w:rPr>
          <w:rFonts w:ascii="Times New Roman" w:hAnsi="Times New Roman" w:cs="Times New Roman"/>
        </w:rPr>
        <w:t>′</w:t>
      </w:r>
      <w:r>
        <w:rPr>
          <w:rFonts w:ascii="Times New Roman" w:hAnsi="Times New Roman" w:cs="Times New Roman"/>
        </w:rPr>
        <w:t xml:space="preserve"> </w:t>
      </w:r>
      <w:r w:rsidRPr="002541E9">
        <w:rPr>
          <w:rFonts w:ascii="Times New Roman" w:hAnsi="Times New Roman" w:cs="Times New Roman"/>
        </w:rPr>
        <w:t>pyrophosphate groups</w:t>
      </w:r>
      <w:r>
        <w:rPr>
          <w:rFonts w:ascii="Times New Roman" w:hAnsi="Times New Roman" w:cs="Times New Roman"/>
        </w:rPr>
        <w:t xml:space="preserve"> of ppGpp</w:t>
      </w:r>
      <w:r w:rsidRPr="002541E9">
        <w:rPr>
          <w:rFonts w:ascii="Times New Roman" w:hAnsi="Times New Roman" w:cs="Times New Roman"/>
        </w:rPr>
        <w:t xml:space="preserve"> are replaced with glycyl-glycine dipeptides</w:t>
      </w:r>
      <w:r>
        <w:rPr>
          <w:rFonts w:ascii="Times New Roman" w:hAnsi="Times New Roman" w:cs="Times New Roman"/>
        </w:rPr>
        <w:t xml:space="preserve"> and t</w:t>
      </w:r>
      <w:r w:rsidRPr="002541E9">
        <w:rPr>
          <w:rFonts w:ascii="Times New Roman" w:hAnsi="Times New Roman" w:cs="Times New Roman"/>
        </w:rPr>
        <w:t>his structure was shown to bind to the Rel</w:t>
      </w:r>
      <w:r w:rsidRPr="002541E9">
        <w:rPr>
          <w:rFonts w:ascii="Times New Roman" w:hAnsi="Times New Roman" w:cs="Times New Roman"/>
          <w:i/>
          <w:iCs/>
          <w:vertAlign w:val="subscript"/>
        </w:rPr>
        <w:t>Seq</w:t>
      </w:r>
      <w:r w:rsidRPr="002541E9">
        <w:rPr>
          <w:rFonts w:ascii="Times New Roman" w:hAnsi="Times New Roman" w:cs="Times New Roman"/>
        </w:rPr>
        <w:t xml:space="preserve"> GDP-binding domain via hydrophobic interactions and hydrogen bonds</w:t>
      </w:r>
      <w:r>
        <w:rPr>
          <w:rFonts w:ascii="Times New Roman" w:hAnsi="Times New Roman" w:cs="Times New Roman"/>
        </w:rPr>
        <w:t xml:space="preserve">. </w:t>
      </w:r>
      <w:r w:rsidRPr="002541E9">
        <w:rPr>
          <w:rFonts w:ascii="Times New Roman" w:hAnsi="Times New Roman" w:cs="Times New Roman"/>
        </w:rPr>
        <w:t xml:space="preserve">Therefore, by </w:t>
      </w:r>
      <w:r>
        <w:rPr>
          <w:rFonts w:ascii="Times New Roman" w:hAnsi="Times New Roman" w:cs="Times New Roman"/>
        </w:rPr>
        <w:t>competitively inhibiting</w:t>
      </w:r>
      <w:r w:rsidRPr="002541E9">
        <w:rPr>
          <w:rFonts w:ascii="Times New Roman" w:hAnsi="Times New Roman" w:cs="Times New Roman"/>
        </w:rPr>
        <w:t xml:space="preserve"> GDP binding, relacin can reduce RelA/Rel-mediated (p)ppGpp production. While relacin is effective against RelA/Rel from </w:t>
      </w:r>
      <w:r w:rsidRPr="002541E9">
        <w:rPr>
          <w:rFonts w:ascii="Times New Roman" w:hAnsi="Times New Roman" w:cs="Times New Roman"/>
          <w:i/>
          <w:iCs/>
        </w:rPr>
        <w:t>E. coli</w:t>
      </w:r>
      <w:r>
        <w:rPr>
          <w:rFonts w:ascii="Times New Roman" w:hAnsi="Times New Roman" w:cs="Times New Roman"/>
          <w:i/>
          <w:iCs/>
        </w:rPr>
        <w:t xml:space="preserve"> </w:t>
      </w:r>
      <w:r>
        <w:rPr>
          <w:rFonts w:ascii="Times New Roman" w:hAnsi="Times New Roman" w:cs="Times New Roman"/>
        </w:rPr>
        <w:t xml:space="preserve">and </w:t>
      </w:r>
      <w:r>
        <w:rPr>
          <w:rFonts w:ascii="Times New Roman" w:hAnsi="Times New Roman" w:cs="Times New Roman"/>
          <w:i/>
          <w:iCs/>
        </w:rPr>
        <w:t xml:space="preserve">B. subtilis in vitro, </w:t>
      </w:r>
      <w:r w:rsidRPr="002541E9">
        <w:rPr>
          <w:rFonts w:ascii="Times New Roman" w:hAnsi="Times New Roman" w:cs="Times New Roman"/>
        </w:rPr>
        <w:t>studies</w:t>
      </w:r>
      <w:r>
        <w:rPr>
          <w:rFonts w:ascii="Times New Roman" w:hAnsi="Times New Roman" w:cs="Times New Roman"/>
        </w:rPr>
        <w:t xml:space="preserve"> at the cellular level</w:t>
      </w:r>
      <w:r w:rsidRPr="002541E9">
        <w:rPr>
          <w:rFonts w:ascii="Times New Roman" w:hAnsi="Times New Roman" w:cs="Times New Roman"/>
        </w:rPr>
        <w:t xml:space="preserve"> </w:t>
      </w:r>
      <w:r>
        <w:rPr>
          <w:rFonts w:ascii="Times New Roman" w:hAnsi="Times New Roman" w:cs="Times New Roman"/>
        </w:rPr>
        <w:t>revealed</w:t>
      </w:r>
      <w:r w:rsidRPr="002541E9">
        <w:rPr>
          <w:rFonts w:ascii="Times New Roman" w:hAnsi="Times New Roman" w:cs="Times New Roman"/>
        </w:rPr>
        <w:t xml:space="preserve"> that there was no effect on survival of </w:t>
      </w:r>
      <w:r w:rsidRPr="002541E9">
        <w:rPr>
          <w:rFonts w:ascii="Times New Roman" w:hAnsi="Times New Roman" w:cs="Times New Roman"/>
          <w:i/>
          <w:iCs/>
        </w:rPr>
        <w:t xml:space="preserve">E. coli </w:t>
      </w:r>
      <w:r w:rsidRPr="002541E9">
        <w:rPr>
          <w:rFonts w:ascii="Times New Roman" w:hAnsi="Times New Roman" w:cs="Times New Roman"/>
        </w:rPr>
        <w:t>after drug treatment</w:t>
      </w:r>
      <w:r>
        <w:rPr>
          <w:rFonts w:ascii="Times New Roman" w:hAnsi="Times New Roman" w:cs="Times New Roman"/>
        </w:rPr>
        <w:t>,</w:t>
      </w:r>
      <w:r w:rsidRPr="002541E9">
        <w:rPr>
          <w:rFonts w:ascii="Times New Roman" w:hAnsi="Times New Roman" w:cs="Times New Roman"/>
        </w:rPr>
        <w:t xml:space="preserve"> which was suggested to be due to cell penetrability</w:t>
      </w:r>
      <w:r>
        <w:rPr>
          <w:rFonts w:ascii="Times New Roman" w:hAnsi="Times New Roman" w:cs="Times New Roman"/>
        </w:rPr>
        <w:t xml:space="preserve"> </w:t>
      </w:r>
      <w:r w:rsidRPr="009B42CA">
        <w:rPr>
          <w:rFonts w:ascii="Times New Roman" w:hAnsi="Times New Roman" w:cs="Times New Roman"/>
          <w:b/>
          <w:bCs/>
        </w:rPr>
        <w:fldChar w:fldCharType="begin"/>
      </w:r>
      <w:r w:rsidRPr="009B42CA">
        <w:rPr>
          <w:rFonts w:ascii="Times New Roman" w:hAnsi="Times New Roman" w:cs="Times New Roman"/>
          <w:b/>
          <w:bCs/>
        </w:rPr>
        <w:instrText xml:space="preserve"> ADDIN EN.CITE &lt;EndNote&gt;&lt;Cite&gt;&lt;Author&gt;Wexselblatt&lt;/Author&gt;&lt;Year&gt;2012&lt;/Year&gt;&lt;IDText&gt;Relacin, a Novel Antibacterial Agent Targeting the Stringent Response&lt;/IDText&gt;&lt;DisplayText&gt;(Wexselblatt&lt;style face="italic"&gt; et al.&lt;/style&gt;, 2012)&lt;/DisplayText&gt;&lt;record&gt;&lt;dates&gt;&lt;pub-dates&gt;&lt;date&gt;Sep&lt;/date&gt;&lt;/pub-dates&gt;&lt;year&gt;2012&lt;/year&gt;&lt;/dates&gt;&lt;urls&gt;&lt;related-urls&gt;&lt;url&gt;&amp;lt;Go to ISI&amp;gt;://WOS:000309816500031&lt;/url&gt;&lt;/related-urls&gt;&lt;/urls&gt;&lt;isbn&gt;1553-7366&lt;/isbn&gt;&lt;titles&gt;&lt;title&gt;Relacin, a Novel Antibacterial Agent Targeting the Stringent Response&lt;/title&gt;&lt;secondary-title&gt;Plos Pathogens&lt;/secondary-title&gt;&lt;/titles&gt;&lt;number&gt;9&lt;/number&gt;&lt;contributors&gt;&lt;authors&gt;&lt;author&gt;Wexselblatt, Ezequiel&lt;/author&gt;&lt;author&gt;Oppenheimer-Shaanan, Yaara&lt;/author&gt;&lt;author&gt;Kaspy, Ilana&lt;/author&gt;&lt;author&gt;London, Nir&lt;/author&gt;&lt;author&gt;Schueler-Furman, Ora&lt;/author&gt;&lt;author&gt;Yavin, Eylon&lt;/author&gt;&lt;author&gt;Glaser, Gad&lt;/author&gt;&lt;author&gt;Katzhendler, Joshua&lt;/author&gt;&lt;author&gt;Ben-Yehuda, Sigal&lt;/author&gt;&lt;/authors&gt;&lt;/contributors&gt;&lt;custom7&gt;e1002925&lt;/custom7&gt;&lt;added-date format="utc"&gt;1663626373&lt;/added-date&gt;&lt;ref-type name="Journal Article"&gt;17&lt;/ref-type&gt;&lt;rec-number&gt;162&lt;/rec-number&gt;&lt;last-updated-date format="utc"&gt;1678058042&lt;/last-updated-date&gt;&lt;accession-num&gt;WOS:000309816500031&lt;/accession-num&gt;&lt;electronic-resource-num&gt;10.1371/journal.ppat.1002925&lt;/electronic-resource-num&gt;&lt;volume&gt;8&lt;/volume&gt;&lt;/record&gt;&lt;/Cite&gt;&lt;/EndNote&gt;</w:instrText>
      </w:r>
      <w:r w:rsidRPr="009B42CA">
        <w:rPr>
          <w:rFonts w:ascii="Times New Roman" w:hAnsi="Times New Roman" w:cs="Times New Roman"/>
          <w:b/>
          <w:bCs/>
        </w:rPr>
        <w:fldChar w:fldCharType="separate"/>
      </w:r>
      <w:r w:rsidRPr="009B42CA">
        <w:rPr>
          <w:rFonts w:ascii="Times New Roman" w:hAnsi="Times New Roman" w:cs="Times New Roman"/>
          <w:b/>
          <w:bCs/>
          <w:noProof/>
        </w:rPr>
        <w:t>(Wexselblatt</w:t>
      </w:r>
      <w:r w:rsidRPr="009B42CA">
        <w:rPr>
          <w:rFonts w:ascii="Times New Roman" w:hAnsi="Times New Roman" w:cs="Times New Roman"/>
          <w:b/>
          <w:bCs/>
          <w:i/>
          <w:noProof/>
        </w:rPr>
        <w:t xml:space="preserve"> et al.</w:t>
      </w:r>
      <w:r w:rsidRPr="009B42CA">
        <w:rPr>
          <w:rFonts w:ascii="Times New Roman" w:hAnsi="Times New Roman" w:cs="Times New Roman"/>
          <w:b/>
          <w:bCs/>
          <w:noProof/>
        </w:rPr>
        <w:t>, 2012)</w:t>
      </w:r>
      <w:r w:rsidRPr="009B42CA">
        <w:rPr>
          <w:rFonts w:ascii="Times New Roman" w:hAnsi="Times New Roman" w:cs="Times New Roman"/>
          <w:b/>
          <w:bCs/>
        </w:rPr>
        <w:fldChar w:fldCharType="end"/>
      </w:r>
      <w:r w:rsidRPr="002541E9">
        <w:rPr>
          <w:rFonts w:ascii="Times New Roman" w:hAnsi="Times New Roman" w:cs="Times New Roman"/>
        </w:rPr>
        <w:t xml:space="preserve">. </w:t>
      </w:r>
      <w:r>
        <w:rPr>
          <w:rFonts w:ascii="Times New Roman" w:hAnsi="Times New Roman" w:cs="Times New Roman"/>
        </w:rPr>
        <w:t xml:space="preserve">However, relacin inhibited </w:t>
      </w:r>
      <w:r>
        <w:rPr>
          <w:rFonts w:ascii="Times New Roman" w:hAnsi="Times New Roman" w:cs="Times New Roman"/>
          <w:i/>
          <w:iCs/>
        </w:rPr>
        <w:t xml:space="preserve">B. subtilis </w:t>
      </w:r>
      <w:r>
        <w:rPr>
          <w:rFonts w:ascii="Times New Roman" w:hAnsi="Times New Roman" w:cs="Times New Roman"/>
        </w:rPr>
        <w:t xml:space="preserve">sporulation and biofilm formation </w:t>
      </w:r>
      <w:r w:rsidRPr="00DF6615">
        <w:rPr>
          <w:rFonts w:ascii="Times New Roman" w:hAnsi="Times New Roman" w:cs="Times New Roman"/>
          <w:b/>
          <w:bCs/>
        </w:rPr>
        <w:fldChar w:fldCharType="begin"/>
      </w:r>
      <w:r w:rsidRPr="00DF6615">
        <w:rPr>
          <w:rFonts w:ascii="Times New Roman" w:hAnsi="Times New Roman" w:cs="Times New Roman"/>
          <w:b/>
          <w:bCs/>
        </w:rPr>
        <w:instrText xml:space="preserve"> ADDIN EN.CITE &lt;EndNote&gt;&lt;Cite&gt;&lt;Author&gt;Wexselblatt&lt;/Author&gt;&lt;Year&gt;2012&lt;/Year&gt;&lt;IDText&gt;Relacin, a Novel Antibacterial Agent Targeting the Stringent Response&lt;/IDText&gt;&lt;DisplayText&gt;(Wexselblatt&lt;style face="italic"&gt; et al.&lt;/style&gt;, 2012)&lt;/DisplayText&gt;&lt;record&gt;&lt;dates&gt;&lt;pub-dates&gt;&lt;date&gt;Sep&lt;/date&gt;&lt;/pub-dates&gt;&lt;year&gt;2012&lt;/year&gt;&lt;/dates&gt;&lt;urls&gt;&lt;related-urls&gt;&lt;url&gt;&amp;lt;Go to ISI&amp;gt;://WOS:000309816500031&lt;/url&gt;&lt;/related-urls&gt;&lt;/urls&gt;&lt;isbn&gt;1553-7366&lt;/isbn&gt;&lt;titles&gt;&lt;title&gt;Relacin, a Novel Antibacterial Agent Targeting the Stringent Response&lt;/title&gt;&lt;secondary-title&gt;Plos Pathogens&lt;/secondary-title&gt;&lt;/titles&gt;&lt;number&gt;9&lt;/number&gt;&lt;contributors&gt;&lt;authors&gt;&lt;author&gt;Wexselblatt, Ezequiel&lt;/author&gt;&lt;author&gt;Oppenheimer-Shaanan, Yaara&lt;/author&gt;&lt;author&gt;Kaspy, Ilana&lt;/author&gt;&lt;author&gt;London, Nir&lt;/author&gt;&lt;author&gt;Schueler-Furman, Ora&lt;/author&gt;&lt;author&gt;Yavin, Eylon&lt;/author&gt;&lt;author&gt;Glaser, Gad&lt;/author&gt;&lt;author&gt;Katzhendler, Joshua&lt;/author&gt;&lt;author&gt;Ben-Yehuda, Sigal&lt;/author&gt;&lt;/authors&gt;&lt;/contributors&gt;&lt;custom7&gt;e1002925&lt;/custom7&gt;&lt;added-date format="utc"&gt;1663626373&lt;/added-date&gt;&lt;ref-type name="Journal Article"&gt;17&lt;/ref-type&gt;&lt;rec-number&gt;162&lt;/rec-number&gt;&lt;last-updated-date format="utc"&gt;1678058042&lt;/last-updated-date&gt;&lt;accession-num&gt;WOS:000309816500031&lt;/accession-num&gt;&lt;electronic-resource-num&gt;10.1371/journal.ppat.1002925&lt;/electronic-resource-num&gt;&lt;volume&gt;8&lt;/volume&gt;&lt;/record&gt;&lt;/Cite&gt;&lt;/EndNote&gt;</w:instrText>
      </w:r>
      <w:r w:rsidRPr="00DF6615">
        <w:rPr>
          <w:rFonts w:ascii="Times New Roman" w:hAnsi="Times New Roman" w:cs="Times New Roman"/>
          <w:b/>
          <w:bCs/>
        </w:rPr>
        <w:fldChar w:fldCharType="separate"/>
      </w:r>
      <w:r w:rsidRPr="00DF6615">
        <w:rPr>
          <w:rFonts w:ascii="Times New Roman" w:hAnsi="Times New Roman" w:cs="Times New Roman"/>
          <w:b/>
          <w:bCs/>
          <w:noProof/>
        </w:rPr>
        <w:t>(Wexselblatt</w:t>
      </w:r>
      <w:r w:rsidRPr="00DF6615">
        <w:rPr>
          <w:rFonts w:ascii="Times New Roman" w:hAnsi="Times New Roman" w:cs="Times New Roman"/>
          <w:b/>
          <w:bCs/>
          <w:i/>
          <w:noProof/>
        </w:rPr>
        <w:t xml:space="preserve"> et al.</w:t>
      </w:r>
      <w:r w:rsidRPr="00DF6615">
        <w:rPr>
          <w:rFonts w:ascii="Times New Roman" w:hAnsi="Times New Roman" w:cs="Times New Roman"/>
          <w:b/>
          <w:bCs/>
          <w:noProof/>
        </w:rPr>
        <w:t>, 2012)</w:t>
      </w:r>
      <w:r w:rsidRPr="00DF6615">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R</w:t>
      </w:r>
      <w:r w:rsidRPr="002541E9">
        <w:rPr>
          <w:rFonts w:ascii="Times New Roman" w:hAnsi="Times New Roman" w:cs="Times New Roman"/>
        </w:rPr>
        <w:t>elacin is RelA/Rel-specific and does not inhibit SAS</w:t>
      </w:r>
      <w:r>
        <w:rPr>
          <w:rFonts w:ascii="Times New Roman" w:hAnsi="Times New Roman" w:cs="Times New Roman"/>
        </w:rPr>
        <w:t>,</w:t>
      </w:r>
      <w:r w:rsidRPr="002541E9">
        <w:rPr>
          <w:rFonts w:ascii="Times New Roman" w:hAnsi="Times New Roman" w:cs="Times New Roman"/>
        </w:rPr>
        <w:t xml:space="preserve"> p</w:t>
      </w:r>
      <w:r>
        <w:rPr>
          <w:rFonts w:ascii="Times New Roman" w:hAnsi="Times New Roman" w:cs="Times New Roman"/>
        </w:rPr>
        <w:t xml:space="preserve">erhaps </w:t>
      </w:r>
      <w:r w:rsidRPr="002541E9">
        <w:rPr>
          <w:rFonts w:ascii="Times New Roman" w:hAnsi="Times New Roman" w:cs="Times New Roman"/>
        </w:rPr>
        <w:t>due to low sequence identity</w:t>
      </w:r>
      <w:r>
        <w:rPr>
          <w:rFonts w:ascii="Times New Roman" w:hAnsi="Times New Roman" w:cs="Times New Roman"/>
        </w:rPr>
        <w:t xml:space="preserve"> </w:t>
      </w:r>
      <w:r w:rsidRPr="009B42CA">
        <w:rPr>
          <w:rFonts w:ascii="Times New Roman" w:hAnsi="Times New Roman" w:cs="Times New Roman"/>
          <w:b/>
          <w:bCs/>
        </w:rPr>
        <w:fldChar w:fldCharType="begin">
          <w:fldData xml:space="preserve">PEVuZE5vdGU+PENpdGU+PEF1dGhvcj5HYWNhPC9BdXRob3I+PFllYXI+MjAxNTwvWWVhcj48SURU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</w:fldData>
        </w:fldChar>
      </w:r>
      <w:r w:rsidRPr="009B42CA">
        <w:rPr>
          <w:rFonts w:ascii="Times New Roman" w:hAnsi="Times New Roman" w:cs="Times New Roman"/>
          <w:b/>
          <w:bCs/>
        </w:rPr>
        <w:instrText xml:space="preserve"> ADDIN EN.CITE </w:instrText>
      </w:r>
      <w:r w:rsidRPr="009B42CA">
        <w:rPr>
          <w:rFonts w:ascii="Times New Roman" w:hAnsi="Times New Roman" w:cs="Times New Roman"/>
          <w:b/>
          <w:bCs/>
        </w:rPr>
        <w:fldChar w:fldCharType="begin">
          <w:fldData xml:space="preserve">PEVuZE5vdGU+PENpdGU+PEF1dGhvcj5HYWNhPC9BdXRob3I+PFllYXI+MjAxNTwvWWVhcj48SURU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</w:fldData>
        </w:fldChar>
      </w:r>
      <w:r w:rsidRPr="009B42CA">
        <w:rPr>
          <w:rFonts w:ascii="Times New Roman" w:hAnsi="Times New Roman" w:cs="Times New Roman"/>
          <w:b/>
          <w:bCs/>
        </w:rPr>
        <w:instrText xml:space="preserve"> ADDIN EN.CITE.DATA </w:instrText>
      </w:r>
      <w:r w:rsidRPr="009B42CA">
        <w:rPr>
          <w:rFonts w:ascii="Times New Roman" w:hAnsi="Times New Roman" w:cs="Times New Roman"/>
          <w:b/>
          <w:bCs/>
        </w:rPr>
      </w:r>
      <w:r w:rsidRPr="009B42CA">
        <w:rPr>
          <w:rFonts w:ascii="Times New Roman" w:hAnsi="Times New Roman" w:cs="Times New Roman"/>
          <w:b/>
          <w:bCs/>
        </w:rPr>
        <w:fldChar w:fldCharType="end"/>
      </w:r>
      <w:r w:rsidRPr="009B42CA">
        <w:rPr>
          <w:rFonts w:ascii="Times New Roman" w:hAnsi="Times New Roman" w:cs="Times New Roman"/>
          <w:b/>
          <w:bCs/>
        </w:rPr>
      </w:r>
      <w:r w:rsidRPr="009B42CA">
        <w:rPr>
          <w:rFonts w:ascii="Times New Roman" w:hAnsi="Times New Roman" w:cs="Times New Roman"/>
          <w:b/>
          <w:bCs/>
        </w:rPr>
        <w:fldChar w:fldCharType="separate"/>
      </w:r>
      <w:r w:rsidRPr="009B42CA">
        <w:rPr>
          <w:rFonts w:ascii="Times New Roman" w:hAnsi="Times New Roman" w:cs="Times New Roman"/>
          <w:b/>
          <w:bCs/>
          <w:noProof/>
        </w:rPr>
        <w:t>(Gaca</w:t>
      </w:r>
      <w:r w:rsidRPr="009B42CA">
        <w:rPr>
          <w:rFonts w:ascii="Times New Roman" w:hAnsi="Times New Roman" w:cs="Times New Roman"/>
          <w:b/>
          <w:bCs/>
          <w:i/>
          <w:noProof/>
        </w:rPr>
        <w:t xml:space="preserve"> et al.</w:t>
      </w:r>
      <w:r w:rsidRPr="009B42CA">
        <w:rPr>
          <w:rFonts w:ascii="Times New Roman" w:hAnsi="Times New Roman" w:cs="Times New Roman"/>
          <w:b/>
          <w:bCs/>
          <w:noProof/>
        </w:rPr>
        <w:t>, 2015; Geiger</w:t>
      </w:r>
      <w:r w:rsidRPr="009B42CA">
        <w:rPr>
          <w:rFonts w:ascii="Times New Roman" w:hAnsi="Times New Roman" w:cs="Times New Roman"/>
          <w:b/>
          <w:bCs/>
          <w:i/>
          <w:noProof/>
        </w:rPr>
        <w:t xml:space="preserve"> et al.</w:t>
      </w:r>
      <w:r w:rsidRPr="009B42CA">
        <w:rPr>
          <w:rFonts w:ascii="Times New Roman" w:hAnsi="Times New Roman" w:cs="Times New Roman"/>
          <w:b/>
          <w:bCs/>
          <w:noProof/>
        </w:rPr>
        <w:t>, 2014)</w:t>
      </w:r>
      <w:r w:rsidRPr="009B42CA">
        <w:rPr>
          <w:rFonts w:ascii="Times New Roman" w:hAnsi="Times New Roman" w:cs="Times New Roman"/>
          <w:b/>
          <w:bCs/>
        </w:rPr>
        <w:fldChar w:fldCharType="end"/>
      </w:r>
      <w:r>
        <w:rPr>
          <w:rFonts w:ascii="Times New Roman" w:hAnsi="Times New Roman" w:cs="Times New Roman"/>
        </w:rPr>
        <w:t>.</w:t>
      </w:r>
      <w:r w:rsidRPr="002541E9">
        <w:rPr>
          <w:rFonts w:ascii="Times New Roman" w:hAnsi="Times New Roman" w:cs="Times New Roman"/>
        </w:rPr>
        <w:t xml:space="preserve"> </w:t>
      </w:r>
      <w:r>
        <w:rPr>
          <w:rFonts w:ascii="Times New Roman" w:hAnsi="Times New Roman" w:cs="Times New Roman"/>
        </w:rPr>
        <w:t xml:space="preserve">Since then, relacin has been improved by replacing the glycyl-glycine dipeptide with glutamyl-glutamine, creating relacin-2d, which demonstrated higher efficacy than relacin </w:t>
      </w:r>
      <w:r w:rsidRPr="0023445B">
        <w:rPr>
          <w:rFonts w:ascii="Times New Roman" w:hAnsi="Times New Roman" w:cs="Times New Roman"/>
          <w:b/>
          <w:bCs/>
        </w:rPr>
        <w:fldChar w:fldCharType="begin"/>
      </w:r>
      <w:r w:rsidRPr="0023445B">
        <w:rPr>
          <w:rFonts w:ascii="Times New Roman" w:hAnsi="Times New Roman" w:cs="Times New Roman"/>
          <w:b/>
          <w:bCs/>
        </w:rPr>
        <w:instrText xml:space="preserve"> ADDIN EN.CITE &lt;EndNote&gt;&lt;Cite&gt;&lt;Author&gt;Wexselblatt&lt;/Author&gt;&lt;Year&gt;2013&lt;/Year&gt;&lt;IDText&gt;Design, synthesis and structure-activity relationship of novel Relacin analogs as inhibitors of Rel proteins&lt;/IDText&gt;&lt;DisplayText&gt;(Wexselblatt&lt;style face="italic"&gt; et al.&lt;/style&gt;, 2013)&lt;/DisplayText&gt;&lt;record&gt;&lt;dates&gt;&lt;pub-dates&gt;&lt;date&gt;Dec&lt;/date&gt;&lt;/pub-dates&gt;&lt;year&gt;2013&lt;/year&gt;&lt;/dates&gt;&lt;urls&gt;&lt;related-urls&gt;&lt;url&gt;&amp;lt;Go to ISI&amp;gt;://WOS:000330554400046&lt;/url&gt;&lt;/related-urls&gt;&lt;/urls&gt;&lt;isbn&gt;0223-5234&lt;/isbn&gt;&lt;titles&gt;&lt;title&gt;Design, synthesis and structure-activity relationship of novel Relacin analogs as inhibitors of Rel proteins&lt;/title&gt;&lt;secondary-title&gt;European Journal of Medicinal Chemistry&lt;/secondary-title&gt;&lt;/titles&gt;&lt;pages&gt;497-504&lt;/pages&gt;&lt;contributors&gt;&lt;authors&gt;&lt;author&gt;Wexselblatt, E.&lt;/author&gt;&lt;author&gt;Kaspy, I.&lt;/author&gt;&lt;author&gt;Glaser, G.&lt;/author&gt;&lt;author&gt;Katzhendler, J.&lt;/author&gt;&lt;author&gt;Yavin, E.&lt;/author&gt;&lt;/authors&gt;&lt;/contributors&gt;&lt;added-date format="utc"&gt;1678218009&lt;/added-date&gt;&lt;ref-type name="Journal Article"&gt;17&lt;/ref-type&gt;&lt;rec-number&gt;739&lt;/rec-number&gt;&lt;last-updated-date format="utc"&gt;1678218009&lt;/last-updated-date&gt;&lt;accession-num&gt;WOS:000330554400046&lt;/accession-num&gt;&lt;electronic-resource-num&gt;10.1016/j.ejmech.2013.10.036&lt;/electronic-resource-num&gt;&lt;volume&gt;70&lt;/volume&gt;&lt;/record&gt;&lt;/Cite&gt;&lt;/EndNote&gt;</w:instrText>
      </w:r>
      <w:r w:rsidRPr="0023445B">
        <w:rPr>
          <w:rFonts w:ascii="Times New Roman" w:hAnsi="Times New Roman" w:cs="Times New Roman"/>
          <w:b/>
          <w:bCs/>
        </w:rPr>
        <w:fldChar w:fldCharType="separate"/>
      </w:r>
      <w:r w:rsidRPr="0023445B">
        <w:rPr>
          <w:rFonts w:ascii="Times New Roman" w:hAnsi="Times New Roman" w:cs="Times New Roman"/>
          <w:b/>
          <w:bCs/>
          <w:noProof/>
        </w:rPr>
        <w:t>(Wexselblatt</w:t>
      </w:r>
      <w:r w:rsidRPr="0023445B">
        <w:rPr>
          <w:rFonts w:ascii="Times New Roman" w:hAnsi="Times New Roman" w:cs="Times New Roman"/>
          <w:b/>
          <w:bCs/>
          <w:i/>
          <w:noProof/>
        </w:rPr>
        <w:t xml:space="preserve"> et al.</w:t>
      </w:r>
      <w:r w:rsidRPr="0023445B">
        <w:rPr>
          <w:rFonts w:ascii="Times New Roman" w:hAnsi="Times New Roman" w:cs="Times New Roman"/>
          <w:b/>
          <w:bCs/>
          <w:noProof/>
        </w:rPr>
        <w:t>, 2013)</w:t>
      </w:r>
      <w:r w:rsidRPr="0023445B">
        <w:rPr>
          <w:rFonts w:ascii="Times New Roman" w:hAnsi="Times New Roman" w:cs="Times New Roman"/>
          <w:b/>
          <w:bCs/>
        </w:rPr>
        <w:fldChar w:fldCharType="end"/>
      </w:r>
      <w:r>
        <w:rPr>
          <w:rFonts w:ascii="Times New Roman" w:hAnsi="Times New Roman" w:cs="Times New Roman"/>
        </w:rPr>
        <w:t xml:space="preserve">. However, the millimolar concentrations required for the potency of this drug may not be appropriate in the clinical setting </w:t>
      </w:r>
      <w:r w:rsidRPr="00C336A6">
        <w:rPr>
          <w:rFonts w:ascii="Times New Roman" w:hAnsi="Times New Roman" w:cs="Times New Roman"/>
          <w:b/>
          <w:bCs/>
        </w:rPr>
        <w:fldChar w:fldCharType="begin"/>
      </w:r>
      <w:r w:rsidRPr="00C336A6">
        <w:rPr>
          <w:rFonts w:ascii="Times New Roman" w:hAnsi="Times New Roman" w:cs="Times New Roman"/>
          <w:b/>
          <w:bCs/>
        </w:rPr>
        <w:instrText xml:space="preserve"> ADDIN EN.CITE &lt;EndNote&gt;&lt;Cite&gt;&lt;Author&gt;Hobbs&lt;/Author&gt;&lt;Year&gt;2019&lt;/Year&gt;&lt;IDText&gt;(p)ppGpp and the Stringent Response: An Emerging Threat to Antibiotic Therapy&lt;/IDText&gt;&lt;DisplayText&gt;(Hobbs and Boraston, 2019)&lt;/DisplayText&gt;&lt;record&gt;&lt;dates&gt;&lt;pub-dates&gt;&lt;date&gt;Sep&lt;/date&gt;&lt;/pub-dates&gt;&lt;year&gt;2019&lt;/year&gt;&lt;/dates&gt;&lt;urls&gt;&lt;related-urls&gt;&lt;url&gt;&amp;lt;Go to ISI&amp;gt;://WOS:000486361600003&lt;/url&gt;&lt;/related-urls&gt;&lt;/urls&gt;&lt;isbn&gt;2373-8227&lt;/isbn&gt;&lt;titles&gt;&lt;title&gt;(p)ppGpp and the Stringent Response: An Emerging Threat to Antibiotic Therapy&lt;/title&gt;&lt;secondary-title&gt;Acs Infectious Diseases&lt;/secondary-title&gt;&lt;/titles&gt;&lt;pages&gt;1505-1517&lt;/pages&gt;&lt;number&gt;9&lt;/number&gt;&lt;contributors&gt;&lt;authors&gt;&lt;author&gt;Hobbs, J. K.&lt;/author&gt;&lt;author&gt;Boraston, A. B.&lt;/author&gt;&lt;/authors&gt;&lt;/contributors&gt;&lt;added-date format="utc"&gt;1678218105&lt;/added-date&gt;&lt;ref-type name="Journal Article"&gt;17&lt;/ref-type&gt;&lt;rec-number&gt;740&lt;/rec-number&gt;&lt;last-updated-date format="utc"&gt;1678218105&lt;/last-updated-date&gt;&lt;accession-num&gt;WOS:000486361600003&lt;/accession-num&gt;&lt;electronic-resource-num&gt;10.1021/acsinfecdis.9b00204&lt;/electronic-resource-num&gt;&lt;volume&gt;5&lt;/volume&gt;&lt;/record&gt;&lt;/Cite&gt;&lt;/EndNote&gt;</w:instrText>
      </w:r>
      <w:r w:rsidRPr="00C336A6">
        <w:rPr>
          <w:rFonts w:ascii="Times New Roman" w:hAnsi="Times New Roman" w:cs="Times New Roman"/>
          <w:b/>
          <w:bCs/>
        </w:rPr>
        <w:fldChar w:fldCharType="separate"/>
      </w:r>
      <w:r w:rsidRPr="00C336A6">
        <w:rPr>
          <w:rFonts w:ascii="Times New Roman" w:hAnsi="Times New Roman" w:cs="Times New Roman"/>
          <w:b/>
          <w:bCs/>
          <w:noProof/>
        </w:rPr>
        <w:t>(Hobbs and Boraston, 2019)</w:t>
      </w:r>
      <w:r w:rsidRPr="00C336A6">
        <w:rPr>
          <w:rFonts w:ascii="Times New Roman" w:hAnsi="Times New Roman" w:cs="Times New Roman"/>
          <w:b/>
          <w:bCs/>
        </w:rPr>
        <w:fldChar w:fldCharType="end"/>
      </w:r>
      <w:r>
        <w:rPr>
          <w:rFonts w:ascii="Times New Roman" w:hAnsi="Times New Roman" w:cs="Times New Roman"/>
        </w:rPr>
        <w:t>. By acetylating the amine group of the guanine moiety (compounds AC and AB)</w:t>
      </w:r>
      <w:r w:rsidR="00B02DCE">
        <w:rPr>
          <w:rFonts w:ascii="Times New Roman" w:hAnsi="Times New Roman" w:cs="Times New Roman"/>
        </w:rPr>
        <w:t xml:space="preserve"> </w:t>
      </w:r>
      <w:r w:rsidR="00B02DCE">
        <w:rPr>
          <w:rFonts w:ascii="Times New Roman" w:hAnsi="Times New Roman" w:cs="Times New Roman"/>
          <w:b/>
          <w:bCs/>
        </w:rPr>
        <w:t>(Fig. 1.2.4</w:t>
      </w:r>
      <w:r w:rsidR="005071FB">
        <w:rPr>
          <w:rFonts w:ascii="Times New Roman" w:hAnsi="Times New Roman" w:cs="Times New Roman"/>
          <w:b/>
          <w:bCs/>
        </w:rPr>
        <w:t>c</w:t>
      </w:r>
      <w:r w:rsidR="00B02DCE">
        <w:rPr>
          <w:rFonts w:ascii="Times New Roman" w:hAnsi="Times New Roman" w:cs="Times New Roman"/>
          <w:b/>
          <w:bCs/>
        </w:rPr>
        <w:t>)</w:t>
      </w:r>
      <w:r>
        <w:rPr>
          <w:rFonts w:ascii="Times New Roman" w:hAnsi="Times New Roman" w:cs="Times New Roman"/>
        </w:rPr>
        <w:t xml:space="preserve">, </w:t>
      </w:r>
      <w:r w:rsidRPr="005F7C5A">
        <w:rPr>
          <w:rFonts w:ascii="Times New Roman" w:hAnsi="Times New Roman" w:cs="Times New Roman"/>
        </w:rPr>
        <w:t>Syal and colleagues</w:t>
      </w:r>
      <w:r>
        <w:rPr>
          <w:rFonts w:ascii="Times New Roman" w:hAnsi="Times New Roman" w:cs="Times New Roman"/>
        </w:rPr>
        <w:t xml:space="preserve"> were able to demonstrate anti-mycobacterial activity through inhibition of biofilm formation and formation of an elongated cell phenotype resembling a</w:t>
      </w:r>
      <w:r w:rsidR="005071FB">
        <w:rPr>
          <w:rFonts w:ascii="Times New Roman" w:hAnsi="Times New Roman" w:cs="Times New Roman"/>
        </w:rPr>
        <w:t xml:space="preserve">n </w:t>
      </w:r>
      <w:r w:rsidR="005071FB">
        <w:rPr>
          <w:rFonts w:ascii="Times New Roman" w:hAnsi="Times New Roman" w:cs="Times New Roman"/>
          <w:i/>
          <w:iCs/>
        </w:rPr>
        <w:t>M. smegmatis</w:t>
      </w:r>
      <w:r>
        <w:rPr>
          <w:rFonts w:ascii="Times New Roman" w:hAnsi="Times New Roman" w:cs="Times New Roman"/>
        </w:rPr>
        <w:t xml:space="preserve"> </w:t>
      </w:r>
      <w:r w:rsidRPr="004508B6">
        <w:rPr>
          <w:rFonts w:ascii="Times New Roman" w:hAnsi="Times New Roman" w:cs="Times New Roman"/>
        </w:rPr>
        <w:t>∆</w:t>
      </w:r>
      <w:r>
        <w:rPr>
          <w:rFonts w:ascii="Times New Roman" w:hAnsi="Times New Roman" w:cs="Times New Roman"/>
          <w:i/>
          <w:iCs/>
        </w:rPr>
        <w:t>rel</w:t>
      </w:r>
      <w:r>
        <w:rPr>
          <w:rFonts w:ascii="Times New Roman" w:hAnsi="Times New Roman" w:cs="Times New Roman"/>
        </w:rPr>
        <w:t xml:space="preserve"> mutant </w:t>
      </w:r>
      <w:r w:rsidRPr="002C654A">
        <w:rPr>
          <w:rFonts w:ascii="Times New Roman" w:hAnsi="Times New Roman" w:cs="Times New Roman"/>
          <w:b/>
          <w:bCs/>
        </w:rPr>
        <w:fldChar w:fldCharType="begin"/>
      </w:r>
      <w:r w:rsidRPr="002C654A">
        <w:rPr>
          <w:rFonts w:ascii="Times New Roman" w:hAnsi="Times New Roman" w:cs="Times New Roman"/>
          <w:b/>
          <w:bCs/>
        </w:rPr>
        <w:instrText xml:space="preserve"> ADDIN EN.CITE &lt;EndNote&gt;&lt;Cite&gt;&lt;Author&gt;Syal&lt;/Author&gt;&lt;Year&gt;2017&lt;/Year&gt;&lt;IDText&gt;Synthetic (p)ppGpp Analogue Is an Inhibitor of Stringent Response in Mycobacteria&lt;/IDText&gt;&lt;DisplayText&gt;(Syal&lt;style face="italic"&gt; et al.&lt;/style&gt;, 2017)&lt;/DisplayText&gt;&lt;record&gt;&lt;dates&gt;&lt;pub-dates&gt;&lt;date&gt;Jun&lt;/date&gt;&lt;/pub-dates&gt;&lt;year&gt;2017&lt;/year&gt;&lt;/dates&gt;&lt;urls&gt;&lt;related-urls&gt;&lt;url&gt;&amp;lt;Go to ISI&amp;gt;://WOS:000403783400063&lt;/url&gt;&lt;/related-urls&gt;&lt;/urls&gt;&lt;isbn&gt;0066-4804&lt;/isbn&gt;&lt;titles&gt;&lt;title&gt;Synthetic (p)ppGpp Analogue Is an Inhibitor of Stringent Response in Mycobacteria&lt;/title&gt;&lt;secondary-title&gt;Antimicrobial Agents and Chemotherapy&lt;/secondary-title&gt;&lt;/titles&gt;&lt;number&gt;6&lt;/number&gt;&lt;contributors&gt;&lt;authors&gt;&lt;author&gt;Syal, K.&lt;/author&gt;&lt;author&gt;Flentie, K.&lt;/author&gt;&lt;author&gt;Bhardwaj, N.&lt;/author&gt;&lt;author&gt;Maiti, K.&lt;/author&gt;&lt;author&gt;Jayaraman, N.&lt;/author&gt;&lt;author&gt;Stallings, C. L.&lt;/author&gt;&lt;author&gt;Chatterji, D.&lt;/author&gt;&lt;/authors&gt;&lt;/contributors&gt;&lt;custom7&gt;e00443-17&lt;/custom7&gt;&lt;added-date format="utc"&gt;1678220255&lt;/added-date&gt;&lt;ref-type name="Journal Article"&gt;17&lt;/ref-type&gt;&lt;rec-number&gt;741&lt;/rec-number&gt;&lt;last-updated-date format="utc"&gt;1678220255&lt;/last-updated-date&gt;&lt;accession-num&gt;WOS:000403783400063&lt;/accession-num&gt;&lt;electronic-resource-num&gt;10.1128/aac.00443-17&lt;/electronic-resource-num&gt;&lt;volume&gt;61&lt;/volume&gt;&lt;/record&gt;&lt;/Cite&gt;&lt;/EndNote&gt;</w:instrText>
      </w:r>
      <w:r w:rsidRPr="002C654A">
        <w:rPr>
          <w:rFonts w:ascii="Times New Roman" w:hAnsi="Times New Roman" w:cs="Times New Roman"/>
          <w:b/>
          <w:bCs/>
        </w:rPr>
        <w:fldChar w:fldCharType="separate"/>
      </w:r>
      <w:r w:rsidRPr="002C654A">
        <w:rPr>
          <w:rFonts w:ascii="Times New Roman" w:hAnsi="Times New Roman" w:cs="Times New Roman"/>
          <w:b/>
          <w:bCs/>
          <w:noProof/>
        </w:rPr>
        <w:t>(Syal</w:t>
      </w:r>
      <w:r w:rsidRPr="002C654A">
        <w:rPr>
          <w:rFonts w:ascii="Times New Roman" w:hAnsi="Times New Roman" w:cs="Times New Roman"/>
          <w:b/>
          <w:bCs/>
          <w:i/>
          <w:noProof/>
        </w:rPr>
        <w:t xml:space="preserve"> et al.</w:t>
      </w:r>
      <w:r w:rsidRPr="002C654A">
        <w:rPr>
          <w:rFonts w:ascii="Times New Roman" w:hAnsi="Times New Roman" w:cs="Times New Roman"/>
          <w:b/>
          <w:bCs/>
          <w:noProof/>
        </w:rPr>
        <w:t>, 2017)</w:t>
      </w:r>
      <w:r w:rsidRPr="002C654A">
        <w:rPr>
          <w:rFonts w:ascii="Times New Roman" w:hAnsi="Times New Roman" w:cs="Times New Roman"/>
          <w:b/>
          <w:bCs/>
        </w:rPr>
        <w:fldChar w:fldCharType="end"/>
      </w:r>
      <w:r>
        <w:rPr>
          <w:rFonts w:ascii="Times New Roman" w:hAnsi="Times New Roman" w:cs="Times New Roman"/>
        </w:rPr>
        <w:t xml:space="preserve">. In comparison to the millimolar range concentration required by relacin-2d, </w:t>
      </w:r>
      <w:r w:rsidR="005071FB">
        <w:rPr>
          <w:rFonts w:ascii="Times New Roman" w:hAnsi="Times New Roman" w:cs="Times New Roman"/>
        </w:rPr>
        <w:t xml:space="preserve">the </w:t>
      </w:r>
      <w:r>
        <w:rPr>
          <w:rFonts w:ascii="Times New Roman" w:hAnsi="Times New Roman" w:cs="Times New Roman"/>
        </w:rPr>
        <w:t xml:space="preserve">efficacy of compounds AC and AB was observed at approximately 40 </w:t>
      </w:r>
      <w:r w:rsidRPr="004508B6">
        <w:rPr>
          <w:rFonts w:ascii="Times New Roman" w:hAnsi="Times New Roman" w:cs="Times New Roman"/>
        </w:rPr>
        <w:t>μM</w:t>
      </w:r>
      <w:r>
        <w:rPr>
          <w:rFonts w:ascii="Times New Roman" w:hAnsi="Times New Roman" w:cs="Times New Roman"/>
        </w:rPr>
        <w:t xml:space="preserve"> </w:t>
      </w:r>
      <w:r w:rsidRPr="002C654A">
        <w:rPr>
          <w:rFonts w:ascii="Times New Roman" w:hAnsi="Times New Roman" w:cs="Times New Roman"/>
          <w:b/>
          <w:bCs/>
        </w:rPr>
        <w:fldChar w:fldCharType="begin"/>
      </w:r>
      <w:r w:rsidRPr="002C654A">
        <w:rPr>
          <w:rFonts w:ascii="Times New Roman" w:hAnsi="Times New Roman" w:cs="Times New Roman"/>
          <w:b/>
          <w:bCs/>
        </w:rPr>
        <w:instrText xml:space="preserve"> ADDIN EN.CITE &lt;EndNote&gt;&lt;Cite&gt;&lt;Author&gt;Syal&lt;/Author&gt;&lt;Year&gt;2017&lt;/Year&gt;&lt;IDText&gt;Synthetic (p)ppGpp Analogue Is an Inhibitor of Stringent Response in Mycobacteria&lt;/IDText&gt;&lt;DisplayText&gt;(Syal&lt;style face="italic"&gt; et al.&lt;/style&gt;, 2017)&lt;/DisplayText&gt;&lt;record&gt;&lt;dates&gt;&lt;pub-dates&gt;&lt;date&gt;Jun&lt;/date&gt;&lt;/pub-dates&gt;&lt;year&gt;2017&lt;/year&gt;&lt;/dates&gt;&lt;urls&gt;&lt;related-urls&gt;&lt;url&gt;&amp;lt;Go to ISI&amp;gt;://WOS:000403783400063&lt;/url&gt;&lt;/related-urls&gt;&lt;/urls&gt;&lt;isbn&gt;0066-4804&lt;/isbn&gt;&lt;titles&gt;&lt;title&gt;Synthetic (p)ppGpp Analogue Is an Inhibitor of Stringent Response in Mycobacteria&lt;/title&gt;&lt;secondary-title&gt;Antimicrobial Agents and Chemotherapy&lt;/secondary-title&gt;&lt;/titles&gt;&lt;number&gt;6&lt;/number&gt;&lt;contributors&gt;&lt;authors&gt;&lt;author&gt;Syal, K.&lt;/author&gt;&lt;author&gt;Flentie, K.&lt;/author&gt;&lt;author&gt;Bhardwaj, N.&lt;/author&gt;&lt;author&gt;Maiti, K.&lt;/author&gt;&lt;author&gt;Jayaraman, N.&lt;/author&gt;&lt;author&gt;Stallings, C. L.&lt;/author&gt;&lt;author&gt;Chatterji, D.&lt;/author&gt;&lt;/authors&gt;&lt;/contributors&gt;&lt;custom7&gt;e00443-17&lt;/custom7&gt;&lt;added-date format="utc"&gt;1678220255&lt;/added-date&gt;&lt;ref-type name="Journal Article"&gt;17&lt;/ref-type&gt;&lt;rec-number&gt;741&lt;/rec-number&gt;&lt;last-updated-date format="utc"&gt;1678220255&lt;/last-updated-date&gt;&lt;accession-num&gt;WOS:000403783400063&lt;/accession-num&gt;&lt;electronic-resource-num&gt;10.1128/aac.00443-17&lt;/electronic-resource-num&gt;&lt;volume&gt;61&lt;/volume&gt;&lt;/record&gt;&lt;/Cite&gt;&lt;/EndNote&gt;</w:instrText>
      </w:r>
      <w:r w:rsidRPr="002C654A">
        <w:rPr>
          <w:rFonts w:ascii="Times New Roman" w:hAnsi="Times New Roman" w:cs="Times New Roman"/>
          <w:b/>
          <w:bCs/>
        </w:rPr>
        <w:fldChar w:fldCharType="separate"/>
      </w:r>
      <w:r w:rsidRPr="002C654A">
        <w:rPr>
          <w:rFonts w:ascii="Times New Roman" w:hAnsi="Times New Roman" w:cs="Times New Roman"/>
          <w:b/>
          <w:bCs/>
          <w:noProof/>
        </w:rPr>
        <w:t>(Syal</w:t>
      </w:r>
      <w:r w:rsidRPr="002C654A">
        <w:rPr>
          <w:rFonts w:ascii="Times New Roman" w:hAnsi="Times New Roman" w:cs="Times New Roman"/>
          <w:b/>
          <w:bCs/>
          <w:i/>
          <w:noProof/>
        </w:rPr>
        <w:t xml:space="preserve"> et al.</w:t>
      </w:r>
      <w:r w:rsidRPr="002C654A">
        <w:rPr>
          <w:rFonts w:ascii="Times New Roman" w:hAnsi="Times New Roman" w:cs="Times New Roman"/>
          <w:b/>
          <w:bCs/>
          <w:noProof/>
        </w:rPr>
        <w:t>, 2017)</w:t>
      </w:r>
      <w:r w:rsidRPr="002C654A">
        <w:rPr>
          <w:rFonts w:ascii="Times New Roman" w:hAnsi="Times New Roman" w:cs="Times New Roman"/>
          <w:b/>
          <w:bCs/>
        </w:rPr>
        <w:fldChar w:fldCharType="end"/>
      </w:r>
      <w:r>
        <w:rPr>
          <w:rFonts w:ascii="Times New Roman" w:hAnsi="Times New Roman" w:cs="Times New Roman"/>
        </w:rPr>
        <w:t xml:space="preserve">. Additionally, a nucleotide library of guanosine phosphonate compounds has been screened </w:t>
      </w:r>
      <w:r w:rsidR="00B02DCE">
        <w:rPr>
          <w:rFonts w:ascii="Times New Roman" w:hAnsi="Times New Roman" w:cs="Times New Roman"/>
          <w:b/>
          <w:bCs/>
        </w:rPr>
        <w:t>(Fig. 1.2.4</w:t>
      </w:r>
      <w:r w:rsidR="005071FB">
        <w:rPr>
          <w:rFonts w:ascii="Times New Roman" w:hAnsi="Times New Roman" w:cs="Times New Roman"/>
          <w:b/>
          <w:bCs/>
        </w:rPr>
        <w:t>d</w:t>
      </w:r>
      <w:r w:rsidR="00B02DCE">
        <w:rPr>
          <w:rFonts w:ascii="Times New Roman" w:hAnsi="Times New Roman" w:cs="Times New Roman"/>
          <w:b/>
          <w:bCs/>
        </w:rPr>
        <w:t>)</w:t>
      </w:r>
      <w:r>
        <w:rPr>
          <w:rFonts w:ascii="Times New Roman" w:hAnsi="Times New Roman" w:cs="Times New Roman"/>
        </w:rPr>
        <w:t xml:space="preserve">– the most potent candidate was </w:t>
      </w:r>
      <w:r w:rsidRPr="0084086E">
        <w:rPr>
          <w:rFonts w:ascii="Times New Roman" w:hAnsi="Times New Roman" w:cs="Times New Roman"/>
        </w:rPr>
        <w:t>DR-M014 with an IC</w:t>
      </w:r>
      <w:r w:rsidRPr="0084086E">
        <w:rPr>
          <w:rFonts w:ascii="Times New Roman" w:hAnsi="Times New Roman" w:cs="Times New Roman"/>
          <w:vertAlign w:val="subscript"/>
        </w:rPr>
        <w:t>50 </w:t>
      </w:r>
      <w:r>
        <w:rPr>
          <w:rFonts w:ascii="Times New Roman" w:hAnsi="Times New Roman" w:cs="Times New Roman"/>
        </w:rPr>
        <w:t xml:space="preserve">value in the micromolar range </w:t>
      </w:r>
      <w:r w:rsidRPr="0084086E">
        <w:rPr>
          <w:rFonts w:ascii="Times New Roman" w:hAnsi="Times New Roman" w:cs="Times New Roman"/>
          <w:b/>
          <w:bCs/>
        </w:rPr>
        <w:fldChar w:fldCharType="begin"/>
      </w:r>
      <w:r w:rsidRPr="0084086E">
        <w:rPr>
          <w:rFonts w:ascii="Times New Roman" w:hAnsi="Times New Roman" w:cs="Times New Roman"/>
          <w:b/>
          <w:bCs/>
        </w:rPr>
        <w:instrText xml:space="preserve"> ADDIN EN.CITE &lt;EndNote&gt;&lt;Cite&gt;&lt;Author&gt;Beljantseva&lt;/Author&gt;&lt;Year&gt;2017&lt;/Year&gt;&lt;IDText&gt;Molecular mutagenesis of ppGpp: turning a RelA activator into an inhibitor&lt;/IDText&gt;&lt;DisplayText&gt;(Beljantseva&lt;style face="italic"&gt; et al.&lt;/style&gt;, 2017)&lt;/DisplayText&gt;&lt;record&gt;&lt;dates&gt;&lt;pub-dates&gt;&lt;date&gt;Feb 3&lt;/date&gt;&lt;/pub-dates&gt;&lt;year&gt;2017&lt;/year&gt;&lt;/dates&gt;&lt;urls&gt;&lt;related-urls&gt;&lt;url&gt;&amp;lt;Go to ISI&amp;gt;://WOS:000393552300001&lt;/url&gt;&lt;/related-urls&gt;&lt;/urls&gt;&lt;isbn&gt;2045-2322&lt;/isbn&gt;&lt;titles&gt;&lt;title&gt;Molecular mutagenesis of ppGpp: turning a RelA activator into an inhibitor&lt;/title&gt;&lt;secondary-title&gt;Scientific Reports&lt;/secondary-title&gt;&lt;/titles&gt;&lt;contributors&gt;&lt;authors&gt;&lt;author&gt;Beljantseva, Jelena&lt;/author&gt;&lt;author&gt;Kudrin, Pavel&lt;/author&gt;&lt;author&gt;Jimmy, Steffi&lt;/author&gt;&lt;author&gt;Ehn, Marcel&lt;/author&gt;&lt;author&gt;Pohl, Radek&lt;/author&gt;&lt;author&gt;Varik, Vallo&lt;/author&gt;&lt;author&gt;Tozawa, Yuzuru&lt;/author&gt;&lt;author&gt;Shingler, Victoria&lt;/author&gt;&lt;author&gt;Tenson, Tanel&lt;/author&gt;&lt;author&gt;Rejman, Dominik&lt;/author&gt;&lt;author&gt;Hauryliuk, Vasili&lt;/author&gt;&lt;/authors&gt;&lt;/contributors&gt;&lt;custom7&gt;41839&lt;/custom7&gt;&lt;added-date format="utc"&gt;1663621836&lt;/added-date&gt;&lt;ref-type name="Journal Article"&gt;17&lt;/ref-type&gt;&lt;rec-number&gt;109&lt;/rec-number&gt;&lt;last-updated-date format="utc"&gt;1678058042&lt;/last-updated-date&gt;&lt;accession-num&gt;WOS:000393552300001&lt;/accession-num&gt;&lt;electronic-resource-num&gt;10.1038/srep41839&lt;/electronic-resource-num&gt;&lt;volume&gt;7&lt;/volume&gt;&lt;/record&gt;&lt;/Cite&gt;&lt;/EndNote&gt;</w:instrText>
      </w:r>
      <w:r w:rsidRPr="0084086E">
        <w:rPr>
          <w:rFonts w:ascii="Times New Roman" w:hAnsi="Times New Roman" w:cs="Times New Roman"/>
          <w:b/>
          <w:bCs/>
        </w:rPr>
        <w:fldChar w:fldCharType="separate"/>
      </w:r>
      <w:r w:rsidRPr="0084086E">
        <w:rPr>
          <w:rFonts w:ascii="Times New Roman" w:hAnsi="Times New Roman" w:cs="Times New Roman"/>
          <w:b/>
          <w:bCs/>
          <w:noProof/>
        </w:rPr>
        <w:t>(Beljantseva</w:t>
      </w:r>
      <w:r w:rsidRPr="0084086E">
        <w:rPr>
          <w:rFonts w:ascii="Times New Roman" w:hAnsi="Times New Roman" w:cs="Times New Roman"/>
          <w:b/>
          <w:bCs/>
          <w:i/>
          <w:noProof/>
        </w:rPr>
        <w:t xml:space="preserve"> et al.</w:t>
      </w:r>
      <w:r w:rsidRPr="0084086E">
        <w:rPr>
          <w:rFonts w:ascii="Times New Roman" w:hAnsi="Times New Roman" w:cs="Times New Roman"/>
          <w:b/>
          <w:bCs/>
          <w:noProof/>
        </w:rPr>
        <w:t>, 2017)</w:t>
      </w:r>
      <w:r w:rsidRPr="0084086E">
        <w:rPr>
          <w:rFonts w:ascii="Times New Roman" w:hAnsi="Times New Roman" w:cs="Times New Roman"/>
          <w:b/>
          <w:bCs/>
        </w:rPr>
        <w:fldChar w:fldCharType="end"/>
      </w:r>
      <w:r>
        <w:rPr>
          <w:rFonts w:ascii="Times New Roman" w:hAnsi="Times New Roman" w:cs="Times New Roman"/>
        </w:rPr>
        <w:t>. These compounds were able to inhibit RelA</w:t>
      </w:r>
      <w:r w:rsidRPr="005F7C5A">
        <w:rPr>
          <w:rFonts w:ascii="Times New Roman" w:hAnsi="Times New Roman" w:cs="Times New Roman"/>
          <w:i/>
          <w:iCs/>
          <w:vertAlign w:val="subscript"/>
        </w:rPr>
        <w:t>Ec</w:t>
      </w:r>
      <w:r w:rsidRPr="0084086E">
        <w:rPr>
          <w:rFonts w:ascii="Times New Roman" w:hAnsi="Times New Roman" w:cs="Times New Roman"/>
        </w:rPr>
        <w:t xml:space="preserve"> </w:t>
      </w:r>
      <w:r>
        <w:rPr>
          <w:rFonts w:ascii="Times New Roman" w:hAnsi="Times New Roman" w:cs="Times New Roman"/>
        </w:rPr>
        <w:t xml:space="preserve">and one compound, </w:t>
      </w:r>
      <w:r w:rsidRPr="0084086E">
        <w:rPr>
          <w:rFonts w:ascii="Times New Roman" w:hAnsi="Times New Roman" w:cs="Times New Roman"/>
        </w:rPr>
        <w:t>DR-4250 inhibited RelQ</w:t>
      </w:r>
      <w:r w:rsidRPr="0084086E">
        <w:rPr>
          <w:rFonts w:ascii="Times New Roman" w:hAnsi="Times New Roman" w:cs="Times New Roman"/>
          <w:i/>
          <w:iCs/>
          <w:vertAlign w:val="subscript"/>
        </w:rPr>
        <w:t>Ef</w:t>
      </w:r>
      <w:r>
        <w:rPr>
          <w:rFonts w:ascii="Times New Roman" w:hAnsi="Times New Roman" w:cs="Times New Roman"/>
        </w:rPr>
        <w:t xml:space="preserve">, however DR-M014 showed no activity against </w:t>
      </w:r>
      <w:r w:rsidRPr="0084086E">
        <w:rPr>
          <w:rFonts w:ascii="Times New Roman" w:hAnsi="Times New Roman" w:cs="Times New Roman"/>
        </w:rPr>
        <w:t>RelQ</w:t>
      </w:r>
      <w:r w:rsidRPr="0084086E">
        <w:rPr>
          <w:rFonts w:ascii="Times New Roman" w:hAnsi="Times New Roman" w:cs="Times New Roman"/>
          <w:i/>
          <w:iCs/>
          <w:vertAlign w:val="subscript"/>
        </w:rPr>
        <w:t>Ef</w:t>
      </w:r>
      <w:r>
        <w:rPr>
          <w:rFonts w:ascii="Times New Roman" w:hAnsi="Times New Roman" w:cs="Times New Roman"/>
          <w:i/>
          <w:iCs/>
          <w:vertAlign w:val="subscript"/>
        </w:rPr>
        <w:t xml:space="preserve">  </w:t>
      </w:r>
      <w:r>
        <w:rPr>
          <w:rFonts w:ascii="Times New Roman" w:hAnsi="Times New Roman" w:cs="Times New Roman"/>
        </w:rPr>
        <w:t xml:space="preserve">and no activity was measured for either compound in </w:t>
      </w:r>
      <w:r>
        <w:rPr>
          <w:rFonts w:ascii="Times New Roman" w:hAnsi="Times New Roman" w:cs="Times New Roman"/>
          <w:i/>
          <w:iCs/>
        </w:rPr>
        <w:t>B. subtilis</w:t>
      </w:r>
      <w:r>
        <w:rPr>
          <w:rFonts w:ascii="Times New Roman" w:hAnsi="Times New Roman" w:cs="Times New Roman"/>
        </w:rPr>
        <w:t xml:space="preserve"> </w:t>
      </w:r>
      <w:r w:rsidRPr="0084086E">
        <w:rPr>
          <w:rFonts w:ascii="Times New Roman" w:hAnsi="Times New Roman" w:cs="Times New Roman"/>
          <w:b/>
          <w:bCs/>
        </w:rPr>
        <w:fldChar w:fldCharType="begin"/>
      </w:r>
      <w:r w:rsidRPr="0084086E">
        <w:rPr>
          <w:rFonts w:ascii="Times New Roman" w:hAnsi="Times New Roman" w:cs="Times New Roman"/>
          <w:b/>
          <w:bCs/>
        </w:rPr>
        <w:instrText xml:space="preserve"> ADDIN EN.CITE &lt;EndNote&gt;&lt;Cite&gt;&lt;Author&gt;Beljantseva&lt;/Author&gt;&lt;Year&gt;2017&lt;/Year&gt;&lt;IDText&gt;Molecular mutagenesis of ppGpp: turning a RelA activator into an inhibitor&lt;/IDText&gt;&lt;DisplayText&gt;(Beljantseva&lt;style face="italic"&gt; et al.&lt;/style&gt;, 2017)&lt;/DisplayText&gt;&lt;record&gt;&lt;dates&gt;&lt;pub-dates&gt;&lt;date&gt;Feb 3&lt;/date&gt;&lt;/pub-dates&gt;&lt;year&gt;2017&lt;/year&gt;&lt;/dates&gt;&lt;urls&gt;&lt;related-urls&gt;&lt;url&gt;&amp;lt;Go to ISI&amp;gt;://WOS:000393552300001&lt;/url&gt;&lt;/related-urls&gt;&lt;/urls&gt;&lt;isbn&gt;2045-2322&lt;/isbn&gt;&lt;titles&gt;&lt;title&gt;Molecular mutagenesis of ppGpp: turning a RelA activator into an inhibitor&lt;/title&gt;&lt;secondary-title&gt;Scientific Reports&lt;/secondary-title&gt;&lt;/titles&gt;&lt;contributors&gt;&lt;authors&gt;&lt;author&gt;Beljantseva, Jelena&lt;/author&gt;&lt;author&gt;Kudrin, Pavel&lt;/author&gt;&lt;author&gt;Jimmy, Steffi&lt;/author&gt;&lt;author&gt;Ehn, Marcel&lt;/author&gt;&lt;author&gt;Pohl, Radek&lt;/author&gt;&lt;author&gt;Varik, Vallo&lt;/author&gt;&lt;author&gt;Tozawa, Yuzuru&lt;/author&gt;&lt;author&gt;Shingler, Victoria&lt;/author&gt;&lt;author&gt;Tenson, Tanel&lt;/author&gt;&lt;author&gt;Rejman, Dominik&lt;/author&gt;&lt;author&gt;Hauryliuk, Vasili&lt;/author&gt;&lt;/authors&gt;&lt;/contributors&gt;&lt;custom7&gt;41839&lt;/custom7&gt;&lt;added-date format="utc"&gt;1663621836&lt;/added-date&gt;&lt;ref-type name="Journal Article"&gt;17&lt;/ref-type&gt;&lt;rec-number&gt;109&lt;/rec-number&gt;&lt;last-updated-date format="utc"&gt;1678058042&lt;/last-updated-date&gt;&lt;accession-num&gt;WOS:000393552300001&lt;/accession-num&gt;&lt;electronic-resource-num&gt;10.1038/srep41839&lt;/electronic-resource-num&gt;&lt;volume&gt;7&lt;/volume&gt;&lt;/record&gt;&lt;/Cite&gt;&lt;/EndNote&gt;</w:instrText>
      </w:r>
      <w:r w:rsidRPr="0084086E">
        <w:rPr>
          <w:rFonts w:ascii="Times New Roman" w:hAnsi="Times New Roman" w:cs="Times New Roman"/>
          <w:b/>
          <w:bCs/>
        </w:rPr>
        <w:fldChar w:fldCharType="separate"/>
      </w:r>
      <w:r w:rsidRPr="0084086E">
        <w:rPr>
          <w:rFonts w:ascii="Times New Roman" w:hAnsi="Times New Roman" w:cs="Times New Roman"/>
          <w:b/>
          <w:bCs/>
          <w:noProof/>
        </w:rPr>
        <w:t>(Beljantseva</w:t>
      </w:r>
      <w:r w:rsidRPr="0084086E">
        <w:rPr>
          <w:rFonts w:ascii="Times New Roman" w:hAnsi="Times New Roman" w:cs="Times New Roman"/>
          <w:b/>
          <w:bCs/>
          <w:i/>
          <w:noProof/>
        </w:rPr>
        <w:t xml:space="preserve"> et al.</w:t>
      </w:r>
      <w:r w:rsidRPr="0084086E">
        <w:rPr>
          <w:rFonts w:ascii="Times New Roman" w:hAnsi="Times New Roman" w:cs="Times New Roman"/>
          <w:b/>
          <w:bCs/>
          <w:noProof/>
        </w:rPr>
        <w:t>, 2017)</w:t>
      </w:r>
      <w:r w:rsidRPr="0084086E">
        <w:rPr>
          <w:rFonts w:ascii="Times New Roman" w:hAnsi="Times New Roman" w:cs="Times New Roman"/>
          <w:b/>
          <w:bCs/>
        </w:rPr>
        <w:fldChar w:fldCharType="end"/>
      </w:r>
      <w:r>
        <w:rPr>
          <w:rFonts w:ascii="Times New Roman" w:hAnsi="Times New Roman" w:cs="Times New Roman"/>
        </w:rPr>
        <w:t>.</w:t>
      </w:r>
      <w:r w:rsidR="00B02DCE">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33564" w14:paraId="5581417F" w14:textId="77777777" w:rsidTr="00A74445">
        <w:tc>
          <w:tcPr>
            <w:tcW w:w="9016" w:type="dxa"/>
          </w:tcPr>
          <w:p w14:paraId="47990C7F" w14:textId="77777777" w:rsidR="00033564" w:rsidRDefault="00033564"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C03CFFB" wp14:editId="594E80D0">
                  <wp:extent cx="5283464"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610" cy="4460354"/>
                          </a:xfrm>
                          <a:prstGeom prst="rect">
                            <a:avLst/>
                          </a:prstGeom>
                          <a:noFill/>
                        </pic:spPr>
                      </pic:pic>
                    </a:graphicData>
                  </a:graphic>
                </wp:inline>
              </w:drawing>
            </w:r>
          </w:p>
        </w:tc>
      </w:tr>
      <w:tr w:rsidR="00033564" w14:paraId="41833906" w14:textId="77777777" w:rsidTr="00A74445">
        <w:tc>
          <w:tcPr>
            <w:tcW w:w="9016" w:type="dxa"/>
          </w:tcPr>
          <w:p w14:paraId="5ABA8B6A" w14:textId="494C76BB" w:rsidR="00033564" w:rsidRDefault="00033564" w:rsidP="00A74445">
            <w:pPr>
              <w:jc w:val="both"/>
              <w:rPr>
                <w:rFonts w:ascii="Times New Roman" w:hAnsi="Times New Roman" w:cs="Times New Roman"/>
              </w:rPr>
            </w:pPr>
            <w:r w:rsidRPr="00635CDE">
              <w:rPr>
                <w:rFonts w:ascii="Times New Roman" w:hAnsi="Times New Roman" w:cs="Times New Roman"/>
                <w:b/>
                <w:bCs/>
                <w:sz w:val="18"/>
                <w:szCs w:val="18"/>
              </w:rPr>
              <w:t xml:space="preserve">Figure 1.2.4. Structures of stringent inhibitors. </w:t>
            </w:r>
            <w:r w:rsidRPr="00635CDE">
              <w:rPr>
                <w:rFonts w:ascii="Times New Roman" w:hAnsi="Times New Roman" w:cs="Times New Roman"/>
                <w:sz w:val="18"/>
                <w:szCs w:val="18"/>
              </w:rPr>
              <w:t xml:space="preserve">The structures of </w:t>
            </w:r>
            <w:r w:rsidRPr="00635CDE">
              <w:rPr>
                <w:rFonts w:ascii="Times New Roman" w:hAnsi="Times New Roman" w:cs="Times New Roman"/>
                <w:b/>
                <w:bCs/>
                <w:sz w:val="18"/>
                <w:szCs w:val="18"/>
              </w:rPr>
              <w:t>a)</w:t>
            </w:r>
            <w:r w:rsidRPr="00635CDE">
              <w:rPr>
                <w:rFonts w:ascii="Times New Roman" w:hAnsi="Times New Roman" w:cs="Times New Roman"/>
                <w:sz w:val="18"/>
                <w:szCs w:val="18"/>
              </w:rPr>
              <w:t xml:space="preserve"> ppGpp with the phosphate groups coloured blue and orange </w:t>
            </w:r>
            <w:r w:rsidR="00270331">
              <w:rPr>
                <w:rFonts w:ascii="Times New Roman" w:hAnsi="Times New Roman" w:cs="Times New Roman"/>
                <w:sz w:val="18"/>
                <w:szCs w:val="18"/>
              </w:rPr>
              <w:t xml:space="preserve">to </w:t>
            </w:r>
            <w:r w:rsidRPr="00635CDE">
              <w:rPr>
                <w:rFonts w:ascii="Times New Roman" w:hAnsi="Times New Roman" w:cs="Times New Roman"/>
                <w:sz w:val="18"/>
                <w:szCs w:val="18"/>
              </w:rPr>
              <w:t xml:space="preserve">indicate whether </w:t>
            </w:r>
            <w:r w:rsidR="00270331">
              <w:rPr>
                <w:rFonts w:ascii="Times New Roman" w:hAnsi="Times New Roman" w:cs="Times New Roman"/>
                <w:sz w:val="18"/>
                <w:szCs w:val="18"/>
              </w:rPr>
              <w:t xml:space="preserve">the </w:t>
            </w:r>
            <w:r w:rsidRPr="00635CDE">
              <w:rPr>
                <w:rFonts w:ascii="Times New Roman" w:hAnsi="Times New Roman" w:cs="Times New Roman"/>
                <w:sz w:val="18"/>
                <w:szCs w:val="18"/>
              </w:rPr>
              <w:t xml:space="preserve">molecule is ppGpp or pGpp; </w:t>
            </w:r>
            <w:r w:rsidRPr="00635CDE">
              <w:rPr>
                <w:rFonts w:ascii="Times New Roman" w:hAnsi="Times New Roman" w:cs="Times New Roman"/>
                <w:b/>
                <w:bCs/>
                <w:sz w:val="18"/>
                <w:szCs w:val="18"/>
              </w:rPr>
              <w:t>b)</w:t>
            </w:r>
            <w:r w:rsidRPr="00635CDE">
              <w:rPr>
                <w:rFonts w:ascii="Times New Roman" w:hAnsi="Times New Roman" w:cs="Times New Roman"/>
                <w:sz w:val="18"/>
                <w:szCs w:val="18"/>
              </w:rPr>
              <w:t xml:space="preserve"> Relacin with the glycyl-glycine bridges replacing the 5’ and 3’ phosphate groups found in ppGpp;</w:t>
            </w:r>
            <w:r w:rsidRPr="00635CDE">
              <w:rPr>
                <w:rFonts w:ascii="Times New Roman" w:hAnsi="Times New Roman" w:cs="Times New Roman"/>
                <w:b/>
                <w:bCs/>
                <w:sz w:val="18"/>
                <w:szCs w:val="18"/>
              </w:rPr>
              <w:t xml:space="preserve"> c) </w:t>
            </w:r>
            <w:r w:rsidRPr="00635CDE">
              <w:rPr>
                <w:rFonts w:ascii="Times New Roman" w:hAnsi="Times New Roman" w:cs="Times New Roman"/>
                <w:sz w:val="18"/>
                <w:szCs w:val="18"/>
              </w:rPr>
              <w:t xml:space="preserve">compound AB and compound AC showing acetylation of the ribose moiety in both compounds and benzoylation in compound AB; </w:t>
            </w:r>
            <w:r w:rsidRPr="00635CDE">
              <w:rPr>
                <w:rFonts w:ascii="Times New Roman" w:hAnsi="Times New Roman" w:cs="Times New Roman"/>
                <w:b/>
                <w:bCs/>
                <w:sz w:val="18"/>
                <w:szCs w:val="18"/>
              </w:rPr>
              <w:t>d)</w:t>
            </w:r>
            <w:r w:rsidRPr="00635CDE">
              <w:rPr>
                <w:rFonts w:ascii="Times New Roman" w:hAnsi="Times New Roman" w:cs="Times New Roman"/>
                <w:sz w:val="18"/>
                <w:szCs w:val="18"/>
              </w:rPr>
              <w:t xml:space="preserve"> DR-M014 and DR-4520 with phosphonate groups highlighted in blue.</w:t>
            </w:r>
          </w:p>
        </w:tc>
      </w:tr>
    </w:tbl>
    <w:p w14:paraId="622F7B03" w14:textId="77777777" w:rsidR="00033564" w:rsidRPr="0084086E" w:rsidRDefault="00033564" w:rsidP="00033564">
      <w:pPr>
        <w:spacing w:line="360" w:lineRule="auto"/>
        <w:jc w:val="both"/>
        <w:rPr>
          <w:rFonts w:ascii="Times New Roman" w:hAnsi="Times New Roman" w:cs="Times New Roman"/>
        </w:rPr>
      </w:pPr>
    </w:p>
    <w:p w14:paraId="528F0824" w14:textId="2F7178A5" w:rsidR="00033564" w:rsidRDefault="00033564" w:rsidP="00033564">
      <w:pPr>
        <w:spacing w:line="360" w:lineRule="auto"/>
        <w:jc w:val="both"/>
        <w:rPr>
          <w:rFonts w:ascii="Times New Roman" w:hAnsi="Times New Roman" w:cs="Times New Roman"/>
        </w:rPr>
      </w:pPr>
      <w:r>
        <w:rPr>
          <w:rFonts w:ascii="Times New Roman" w:hAnsi="Times New Roman" w:cs="Times New Roman"/>
        </w:rPr>
        <w:tab/>
        <w:t xml:space="preserve">AMPs have also been considered as stringent response inhibitors and are not designed with RSH enzymes as a target. A cationic anti-biofilm peptide 1018, thought to target (p)ppGpp for degradation, was shown to inhibit biofilm formation by many species including </w:t>
      </w:r>
      <w:r>
        <w:rPr>
          <w:rFonts w:ascii="Times New Roman" w:hAnsi="Times New Roman" w:cs="Times New Roman"/>
          <w:i/>
          <w:iCs/>
        </w:rPr>
        <w:t>E. coli</w:t>
      </w:r>
      <w:r>
        <w:rPr>
          <w:rFonts w:ascii="Times New Roman" w:hAnsi="Times New Roman" w:cs="Times New Roman"/>
        </w:rPr>
        <w:t xml:space="preserve">, MRSA, </w:t>
      </w:r>
      <w:r>
        <w:rPr>
          <w:rFonts w:ascii="Times New Roman" w:hAnsi="Times New Roman" w:cs="Times New Roman"/>
          <w:i/>
          <w:iCs/>
        </w:rPr>
        <w:t>P. aeruginosa</w:t>
      </w:r>
      <w:r>
        <w:rPr>
          <w:rFonts w:ascii="Times New Roman" w:hAnsi="Times New Roman" w:cs="Times New Roman"/>
        </w:rPr>
        <w:t xml:space="preserve"> and </w:t>
      </w:r>
      <w:r>
        <w:rPr>
          <w:rFonts w:ascii="Times New Roman" w:hAnsi="Times New Roman" w:cs="Times New Roman"/>
          <w:i/>
          <w:iCs/>
        </w:rPr>
        <w:t xml:space="preserve">S. </w:t>
      </w:r>
      <w:r>
        <w:rPr>
          <w:rFonts w:ascii="Times New Roman" w:hAnsi="Times New Roman" w:cs="Times New Roman"/>
        </w:rPr>
        <w:t xml:space="preserve">Typhimurium </w:t>
      </w:r>
      <w:r w:rsidRPr="00C741D8">
        <w:rPr>
          <w:rFonts w:ascii="Times New Roman" w:hAnsi="Times New Roman" w:cs="Times New Roman"/>
          <w:b/>
          <w:bCs/>
        </w:rPr>
        <w:fldChar w:fldCharType="begin"/>
      </w:r>
      <w:r w:rsidRPr="00C741D8">
        <w:rPr>
          <w:rFonts w:ascii="Times New Roman" w:hAnsi="Times New Roman" w:cs="Times New Roman"/>
          <w:b/>
          <w:bCs/>
        </w:rPr>
        <w:instrText xml:space="preserve"> ADDIN EN.CITE &lt;EndNote&gt;&lt;Cite&gt;&lt;Author&gt;de la Fuente-Núñez &lt;/Author&gt;&lt;Year&gt;2014&lt;/Year&gt;&lt;IDText&gt;Broad-Spectrum Anti-biofilm Peptide That Targets a Cellular Stress Response&lt;/IDText&gt;&lt;DisplayText&gt;(de la Fuente-Núñez &lt;style face="italic"&gt; et al.&lt;/style&gt;, 2014)&lt;/DisplayText&gt;&lt;record&gt;&lt;dates&gt;&lt;pub-dates&gt;&lt;date&gt;May&lt;/date&gt;&lt;/pub-dates&gt;&lt;year&gt;2014&lt;/year&gt;&lt;/dates&gt;&lt;urls&gt;&lt;related-urls&gt;&lt;/related-urls&gt;&lt;/urls&gt;&lt;isbn&gt;1553-7366&lt;/isbn&gt;&lt;work-type&gt;Article&lt;/work-type&gt;&lt;titles&gt;&lt;title&gt;Broad-Spectrum Anti-biofilm Peptide That Targets a Cellular Stress Response&lt;/title&gt;&lt;secondary-title&gt;Plos Pathogens&lt;/secondary-title&gt;&lt;/titles&gt;&lt;number&gt;5&lt;/number&gt;&lt;contributors&gt;&lt;authors&gt;&lt;author&gt;de la Fuente-Núñez , Cesar&lt;/author&gt;&lt;author&gt;Reffuveille, Fany&lt;/author&gt;&lt;author&gt;Haney, Evan F.&lt;/author&gt;&lt;author&gt;Straus, Suzana K.&lt;/author&gt;&lt;author&gt;Hancock, Robert E. W.&lt;/author&gt;&lt;/authors&gt;&lt;/contributors&gt;&lt;custom7&gt;e1004152&lt;/custom7&gt;&lt;added-date format="utc"&gt;1674318479&lt;/added-date&gt;&lt;ref-type name="Journal Article"&gt;17&lt;/ref-type&gt;&lt;rec-number&gt;229&lt;/rec-number&gt;&lt;last-updated-date format="utc"&gt;1678227033&lt;/last-updated-date&gt;&lt;accession-num&gt;WOS:000337732300052&lt;/accession-num&gt;&lt;electronic-resource-num&gt;10.1371/journal.ppat.1004152&lt;/electronic-resource-num&gt;&lt;volume&gt;10&lt;/volume&gt;&lt;/record&gt;&lt;/Cite&gt;&lt;/EndNote&gt;</w:instrText>
      </w:r>
      <w:r w:rsidRPr="00C741D8">
        <w:rPr>
          <w:rFonts w:ascii="Times New Roman" w:hAnsi="Times New Roman" w:cs="Times New Roman"/>
          <w:b/>
          <w:bCs/>
        </w:rPr>
        <w:fldChar w:fldCharType="separate"/>
      </w:r>
      <w:r w:rsidRPr="00C741D8">
        <w:rPr>
          <w:rFonts w:ascii="Times New Roman" w:hAnsi="Times New Roman" w:cs="Times New Roman"/>
          <w:b/>
          <w:bCs/>
          <w:noProof/>
        </w:rPr>
        <w:t xml:space="preserve">(de la Fuente-Núñez </w:t>
      </w:r>
      <w:r w:rsidRPr="00C741D8">
        <w:rPr>
          <w:rFonts w:ascii="Times New Roman" w:hAnsi="Times New Roman" w:cs="Times New Roman"/>
          <w:b/>
          <w:bCs/>
          <w:i/>
          <w:noProof/>
        </w:rPr>
        <w:t xml:space="preserve"> et al.</w:t>
      </w:r>
      <w:r w:rsidRPr="00C741D8">
        <w:rPr>
          <w:rFonts w:ascii="Times New Roman" w:hAnsi="Times New Roman" w:cs="Times New Roman"/>
          <w:b/>
          <w:bCs/>
          <w:noProof/>
        </w:rPr>
        <w:t>, 2014)</w:t>
      </w:r>
      <w:r w:rsidRPr="00C741D8">
        <w:rPr>
          <w:rFonts w:ascii="Times New Roman" w:hAnsi="Times New Roman" w:cs="Times New Roman"/>
          <w:b/>
          <w:bCs/>
        </w:rPr>
        <w:fldChar w:fldCharType="end"/>
      </w:r>
      <w:r>
        <w:rPr>
          <w:rFonts w:ascii="Times New Roman" w:hAnsi="Times New Roman" w:cs="Times New Roman"/>
        </w:rPr>
        <w:t xml:space="preserve">. Low concentrations of 1018 elicited biofilm dispersal and higher concentrations led to cell death. Furthermore, RelA/SpoT overproduction led to reduced susceptibility, while RelA/SpoT-deficient strains exhibited a phenotype similar to the presence of the 1018 peptide </w:t>
      </w:r>
      <w:r w:rsidRPr="00C741D8">
        <w:rPr>
          <w:rFonts w:ascii="Times New Roman" w:hAnsi="Times New Roman" w:cs="Times New Roman"/>
          <w:b/>
          <w:bCs/>
        </w:rPr>
        <w:fldChar w:fldCharType="begin"/>
      </w:r>
      <w:r w:rsidRPr="00C741D8">
        <w:rPr>
          <w:rFonts w:ascii="Times New Roman" w:hAnsi="Times New Roman" w:cs="Times New Roman"/>
          <w:b/>
          <w:bCs/>
        </w:rPr>
        <w:instrText xml:space="preserve"> ADDIN EN.CITE &lt;EndNote&gt;&lt;Cite&gt;&lt;Author&gt;de la Fuente-Núñez &lt;/Author&gt;&lt;Year&gt;2014&lt;/Year&gt;&lt;IDText&gt;Broad-Spectrum Anti-biofilm Peptide That Targets a Cellular Stress Response&lt;/IDText&gt;&lt;DisplayText&gt;(de la Fuente-Núñez &lt;style face="italic"&gt; et al.&lt;/style&gt;, 2014)&lt;/DisplayText&gt;&lt;record&gt;&lt;dates&gt;&lt;pub-dates&gt;&lt;date&gt;May&lt;/date&gt;&lt;/pub-dates&gt;&lt;year&gt;2014&lt;/year&gt;&lt;/dates&gt;&lt;urls&gt;&lt;related-urls&gt;&lt;/related-urls&gt;&lt;/urls&gt;&lt;isbn&gt;1553-7366&lt;/isbn&gt;&lt;work-type&gt;Article&lt;/work-type&gt;&lt;titles&gt;&lt;title&gt;Broad-Spectrum Anti-biofilm Peptide That Targets a Cellular Stress Response&lt;/title&gt;&lt;secondary-title&gt;Plos Pathogens&lt;/secondary-title&gt;&lt;/titles&gt;&lt;number&gt;5&lt;/number&gt;&lt;contributors&gt;&lt;authors&gt;&lt;author&gt;de la Fuente-Núñez , Cesar&lt;/author&gt;&lt;author&gt;Reffuveille, Fany&lt;/author&gt;&lt;author&gt;Haney, Evan F.&lt;/author&gt;&lt;author&gt;Straus, Suzana K.&lt;/author&gt;&lt;author&gt;Hancock, Robert E. W.&lt;/author&gt;&lt;/authors&gt;&lt;/contributors&gt;&lt;custom7&gt;e1004152&lt;/custom7&gt;&lt;added-date format="utc"&gt;1674318479&lt;/added-date&gt;&lt;ref-type name="Journal Article"&gt;17&lt;/ref-type&gt;&lt;rec-number&gt;229&lt;/rec-number&gt;&lt;last-updated-date format="utc"&gt;1678227033&lt;/last-updated-date&gt;&lt;accession-num&gt;WOS:000337732300052&lt;/accession-num&gt;&lt;electronic-resource-num&gt;10.1371/journal.ppat.1004152&lt;/electronic-resource-num&gt;&lt;volume&gt;10&lt;/volume&gt;&lt;/record&gt;&lt;/Cite&gt;&lt;/EndNote&gt;</w:instrText>
      </w:r>
      <w:r w:rsidRPr="00C741D8">
        <w:rPr>
          <w:rFonts w:ascii="Times New Roman" w:hAnsi="Times New Roman" w:cs="Times New Roman"/>
          <w:b/>
          <w:bCs/>
        </w:rPr>
        <w:fldChar w:fldCharType="separate"/>
      </w:r>
      <w:r w:rsidRPr="00C741D8">
        <w:rPr>
          <w:rFonts w:ascii="Times New Roman" w:hAnsi="Times New Roman" w:cs="Times New Roman"/>
          <w:b/>
          <w:bCs/>
          <w:noProof/>
        </w:rPr>
        <w:t xml:space="preserve">(de la Fuente-Núñez </w:t>
      </w:r>
      <w:r w:rsidRPr="00C741D8">
        <w:rPr>
          <w:rFonts w:ascii="Times New Roman" w:hAnsi="Times New Roman" w:cs="Times New Roman"/>
          <w:b/>
          <w:bCs/>
          <w:i/>
          <w:noProof/>
        </w:rPr>
        <w:t xml:space="preserve"> et al.</w:t>
      </w:r>
      <w:r w:rsidRPr="00C741D8">
        <w:rPr>
          <w:rFonts w:ascii="Times New Roman" w:hAnsi="Times New Roman" w:cs="Times New Roman"/>
          <w:b/>
          <w:bCs/>
          <w:noProof/>
        </w:rPr>
        <w:t>, 2014)</w:t>
      </w:r>
      <w:r w:rsidRPr="00C741D8">
        <w:rPr>
          <w:rFonts w:ascii="Times New Roman" w:hAnsi="Times New Roman" w:cs="Times New Roman"/>
          <w:b/>
          <w:bCs/>
        </w:rPr>
        <w:fldChar w:fldCharType="end"/>
      </w:r>
      <w:r>
        <w:rPr>
          <w:rFonts w:ascii="Times New Roman" w:hAnsi="Times New Roman" w:cs="Times New Roman"/>
        </w:rPr>
        <w:t xml:space="preserve">. However, it was suggested that peptide 1018 does not specifically target (p)ppGpp, and that physicochemical properties such as hydrophobicity rather than direct interaction of the peptide with (p)ppGpp, are responsible for the results reported by de la Fuente-Nunez and colleagues </w:t>
      </w:r>
      <w:r w:rsidRPr="00BD3D13">
        <w:rPr>
          <w:rFonts w:ascii="Times New Roman" w:hAnsi="Times New Roman" w:cs="Times New Roman"/>
          <w:b/>
          <w:bCs/>
        </w:rPr>
        <w:fldChar w:fldCharType="begin"/>
      </w:r>
      <w:r w:rsidRPr="00BD3D13">
        <w:rPr>
          <w:rFonts w:ascii="Times New Roman" w:hAnsi="Times New Roman" w:cs="Times New Roman"/>
          <w:b/>
          <w:bCs/>
        </w:rPr>
        <w:instrText xml:space="preserve"> ADDIN EN.CITE &lt;EndNote&gt;&lt;Cite&gt;&lt;Author&gt;Andreson&lt;/Author&gt;&lt;Year&gt;2016&lt;/Year&gt;&lt;IDText&gt;Cationic bactericidal peptide 1018 does not specifically target the stringent response alarmone (p)ppGpp&lt;/IDText&gt;&lt;DisplayText&gt;(Andreson, Tenson and Hauryliuk, 2016)&lt;/DisplayText&gt;&lt;record&gt;&lt;titles&gt;&lt;title&gt;Cationic bactericidal peptide 1018 does not specifically target the stringent response alarmone (p)ppGpp&lt;/title&gt;&lt;secondary-title&gt;Scientific Reports&lt;/secondary-title&gt;&lt;/titles&gt;&lt;contributors&gt;&lt;authors&gt;&lt;author&gt;Andreson, L&lt;/author&gt;&lt;author&gt;Tenson, T&lt;/author&gt;&lt;author&gt;Hauryliuk, V&lt;/author&gt;&lt;/authors&gt;&lt;/contributors&gt;&lt;added-date format="utc"&gt;1678227613&lt;/added-date&gt;&lt;ref-type name="Journal Article"&gt;17&lt;/ref-type&gt;&lt;dates&gt;&lt;year&gt;2016&lt;/year&gt;&lt;/dates&gt;&lt;rec-number&gt;742&lt;/rec-number&gt;&lt;last-updated-date format="utc"&gt;1678227682&lt;/last-updated-date&gt;&lt;volume&gt;6&lt;/volume&gt;&lt;/record&gt;&lt;/Cite&gt;&lt;/EndNote&gt;</w:instrText>
      </w:r>
      <w:r w:rsidRPr="00BD3D13">
        <w:rPr>
          <w:rFonts w:ascii="Times New Roman" w:hAnsi="Times New Roman" w:cs="Times New Roman"/>
          <w:b/>
          <w:bCs/>
        </w:rPr>
        <w:fldChar w:fldCharType="separate"/>
      </w:r>
      <w:r w:rsidRPr="00BD3D13">
        <w:rPr>
          <w:rFonts w:ascii="Times New Roman" w:hAnsi="Times New Roman" w:cs="Times New Roman"/>
          <w:b/>
          <w:bCs/>
          <w:noProof/>
        </w:rPr>
        <w:t>(Andreson, Tenson and Hauryliuk, 2016)</w:t>
      </w:r>
      <w:r w:rsidRPr="00BD3D13">
        <w:rPr>
          <w:rFonts w:ascii="Times New Roman" w:hAnsi="Times New Roman" w:cs="Times New Roman"/>
          <w:b/>
          <w:bCs/>
        </w:rPr>
        <w:fldChar w:fldCharType="end"/>
      </w:r>
      <w:r>
        <w:rPr>
          <w:rFonts w:ascii="Times New Roman" w:hAnsi="Times New Roman" w:cs="Times New Roman"/>
        </w:rPr>
        <w:t xml:space="preserve">. Peptide 1018 has recently been modified to produce 1018M, a peptide that prevented the formation of MRSA biofilms and was more potent than peptide 1018 </w:t>
      </w:r>
      <w:r w:rsidRPr="00391AC4">
        <w:rPr>
          <w:rFonts w:ascii="Times New Roman" w:hAnsi="Times New Roman" w:cs="Times New Roman"/>
          <w:b/>
          <w:bCs/>
        </w:rPr>
        <w:fldChar w:fldCharType="begin"/>
      </w:r>
      <w:r w:rsidRPr="00391AC4">
        <w:rPr>
          <w:rFonts w:ascii="Times New Roman" w:hAnsi="Times New Roman" w:cs="Times New Roman"/>
          <w:b/>
          <w:bCs/>
        </w:rPr>
        <w:instrText xml:space="preserve"> ADDIN EN.CITE &lt;EndNote&gt;&lt;Cite&gt;&lt;Author&gt;Jiale&lt;/Author&gt;&lt;Year&gt;2021&lt;/Year&gt;&lt;IDText&gt;Design of a novel antimicrobial peptide 1018M targeted ppGpp to inhibit MRSA biofilm formation&lt;/IDText&gt;&lt;DisplayText&gt;(Jiale&lt;style face="italic"&gt; et al.&lt;/style&gt;, 2021)&lt;/DisplayText&gt;&lt;record&gt;&lt;dates&gt;&lt;pub-dates&gt;&lt;date&gt;Mar&lt;/date&gt;&lt;/pub-dates&gt;&lt;year&gt;2021&lt;/year&gt;&lt;/dates&gt;&lt;urls&gt;&lt;related-urls&gt;&lt;url&gt;&amp;lt;Go to ISI&amp;gt;://WOS:000633384900001&lt;/url&gt;&lt;/related-urls&gt;&lt;/urls&gt;&lt;isbn&gt;2191-0855&lt;/isbn&gt;&lt;titles&gt;&lt;title&gt;Design of a novel antimicrobial peptide 1018M targeted ppGpp to inhibit MRSA biofilm formation&lt;/title&gt;&lt;secondary-title&gt;Amb Express&lt;/secondary-title&gt;&lt;/titles&gt;&lt;number&gt;1&lt;/number&gt;&lt;contributors&gt;&lt;authors&gt;&lt;author&gt;Jiale, Zhou&lt;/author&gt;&lt;author&gt;Jian, Jiao&lt;/author&gt;&lt;author&gt;Xinyi, Tan&lt;/author&gt;&lt;author&gt;Haoji, Xie&lt;/author&gt;&lt;author&gt;Xueqin, Huang&lt;/author&gt;&lt;author&gt;Xiao, Wang&lt;/author&gt;&lt;/authors&gt;&lt;/contributors&gt;&lt;custom7&gt;49&lt;/custom7&gt;&lt;added-date format="utc"&gt;1678229090&lt;/added-date&gt;&lt;ref-type name="Journal Article"&gt;17&lt;/ref-type&gt;&lt;rec-number&gt;743&lt;/rec-number&gt;&lt;last-updated-date format="utc"&gt;1678229175&lt;/last-updated-date&gt;&lt;accession-num&gt;WOS:000633384900001&lt;/accession-num&gt;&lt;electronic-resource-num&gt;10.1186/s13568-021-01208-6&lt;/electronic-resource-num&gt;&lt;volume&gt;11&lt;/volume&gt;&lt;/record&gt;&lt;/Cite&gt;&lt;/EndNote&gt;</w:instrText>
      </w:r>
      <w:r w:rsidRPr="00391AC4">
        <w:rPr>
          <w:rFonts w:ascii="Times New Roman" w:hAnsi="Times New Roman" w:cs="Times New Roman"/>
          <w:b/>
          <w:bCs/>
        </w:rPr>
        <w:fldChar w:fldCharType="separate"/>
      </w:r>
      <w:r w:rsidRPr="00391AC4">
        <w:rPr>
          <w:rFonts w:ascii="Times New Roman" w:hAnsi="Times New Roman" w:cs="Times New Roman"/>
          <w:b/>
          <w:bCs/>
          <w:noProof/>
        </w:rPr>
        <w:t>(Jiale</w:t>
      </w:r>
      <w:r w:rsidRPr="00391AC4">
        <w:rPr>
          <w:rFonts w:ascii="Times New Roman" w:hAnsi="Times New Roman" w:cs="Times New Roman"/>
          <w:b/>
          <w:bCs/>
          <w:i/>
          <w:noProof/>
        </w:rPr>
        <w:t xml:space="preserve"> et al.</w:t>
      </w:r>
      <w:r w:rsidRPr="00391AC4">
        <w:rPr>
          <w:rFonts w:ascii="Times New Roman" w:hAnsi="Times New Roman" w:cs="Times New Roman"/>
          <w:b/>
          <w:bCs/>
          <w:noProof/>
        </w:rPr>
        <w:t>, 2021)</w:t>
      </w:r>
      <w:r w:rsidRPr="00391AC4">
        <w:rPr>
          <w:rFonts w:ascii="Times New Roman" w:hAnsi="Times New Roman" w:cs="Times New Roman"/>
          <w:b/>
          <w:bCs/>
        </w:rPr>
        <w:fldChar w:fldCharType="end"/>
      </w:r>
      <w:r>
        <w:rPr>
          <w:rFonts w:ascii="Times New Roman" w:hAnsi="Times New Roman" w:cs="Times New Roman"/>
        </w:rPr>
        <w:t xml:space="preserve">. All three RSH gene transcripts were modulated upon exposure to the 1018M </w:t>
      </w:r>
      <w:r w:rsidR="00270331">
        <w:rPr>
          <w:rFonts w:ascii="Times New Roman" w:hAnsi="Times New Roman" w:cs="Times New Roman"/>
        </w:rPr>
        <w:t xml:space="preserve">peptide </w:t>
      </w:r>
      <w:r>
        <w:rPr>
          <w:rFonts w:ascii="Times New Roman" w:hAnsi="Times New Roman" w:cs="Times New Roman"/>
        </w:rPr>
        <w:t xml:space="preserve">in order to reduce MRSA biofilm formation </w:t>
      </w:r>
      <w:r w:rsidRPr="00391AC4">
        <w:rPr>
          <w:rFonts w:ascii="Times New Roman" w:hAnsi="Times New Roman" w:cs="Times New Roman"/>
          <w:b/>
          <w:bCs/>
        </w:rPr>
        <w:fldChar w:fldCharType="begin"/>
      </w:r>
      <w:r w:rsidRPr="00391AC4">
        <w:rPr>
          <w:rFonts w:ascii="Times New Roman" w:hAnsi="Times New Roman" w:cs="Times New Roman"/>
          <w:b/>
          <w:bCs/>
        </w:rPr>
        <w:instrText xml:space="preserve"> ADDIN EN.CITE &lt;EndNote&gt;&lt;Cite&gt;&lt;Author&gt;Jiale&lt;/Author&gt;&lt;Year&gt;2021&lt;/Year&gt;&lt;IDText&gt;Design of a novel antimicrobial peptide 1018M targeted ppGpp to inhibit MRSA biofilm formation&lt;/IDText&gt;&lt;DisplayText&gt;(Jiale&lt;style face="italic"&gt; et al.&lt;/style&gt;, 2021)&lt;/DisplayText&gt;&lt;record&gt;&lt;dates&gt;&lt;pub-dates&gt;&lt;date&gt;Mar&lt;/date&gt;&lt;/pub-dates&gt;&lt;year&gt;2021&lt;/year&gt;&lt;/dates&gt;&lt;urls&gt;&lt;related-urls&gt;&lt;url&gt;&amp;lt;Go to ISI&amp;gt;://WOS:000633384900001&lt;/url&gt;&lt;/related-urls&gt;&lt;/urls&gt;&lt;isbn&gt;2191-0855&lt;/isbn&gt;&lt;titles&gt;&lt;title&gt;Design of a novel antimicrobial peptide 1018M targeted ppGpp to inhibit MRSA biofilm formation&lt;/title&gt;&lt;secondary-title&gt;Amb Express&lt;/secondary-title&gt;&lt;/titles&gt;&lt;number&gt;1&lt;/number&gt;&lt;contributors&gt;&lt;authors&gt;&lt;author&gt;Jiale, Zhou&lt;/author&gt;&lt;author&gt;Jian, Jiao&lt;/author&gt;&lt;author&gt;Xinyi, Tan&lt;/author&gt;&lt;author&gt;Haoji, Xie&lt;/author&gt;&lt;author&gt;Xueqin, Huang&lt;/author&gt;&lt;author&gt;Xiao, Wang&lt;/author&gt;&lt;/authors&gt;&lt;/contributors&gt;&lt;custom7&gt;49&lt;/custom7&gt;&lt;added-date format="utc"&gt;1678229090&lt;/added-date&gt;&lt;ref-type name="Journal Article"&gt;17&lt;/ref-type&gt;&lt;rec-number&gt;743&lt;/rec-number&gt;&lt;last-updated-date format="utc"&gt;1678229175&lt;/last-updated-date&gt;&lt;accession-num&gt;WOS:000633384900001&lt;/accession-num&gt;&lt;electronic-resource-num&gt;10.1186/s13568-021-01208-6&lt;/electronic-resource-num&gt;&lt;volume&gt;11&lt;/volume&gt;&lt;/record&gt;&lt;/Cite&gt;&lt;/EndNote&gt;</w:instrText>
      </w:r>
      <w:r w:rsidRPr="00391AC4">
        <w:rPr>
          <w:rFonts w:ascii="Times New Roman" w:hAnsi="Times New Roman" w:cs="Times New Roman"/>
          <w:b/>
          <w:bCs/>
        </w:rPr>
        <w:fldChar w:fldCharType="separate"/>
      </w:r>
      <w:r w:rsidRPr="00391AC4">
        <w:rPr>
          <w:rFonts w:ascii="Times New Roman" w:hAnsi="Times New Roman" w:cs="Times New Roman"/>
          <w:b/>
          <w:bCs/>
          <w:noProof/>
        </w:rPr>
        <w:t>(Jiale</w:t>
      </w:r>
      <w:r w:rsidRPr="00391AC4">
        <w:rPr>
          <w:rFonts w:ascii="Times New Roman" w:hAnsi="Times New Roman" w:cs="Times New Roman"/>
          <w:b/>
          <w:bCs/>
          <w:i/>
          <w:noProof/>
        </w:rPr>
        <w:t xml:space="preserve"> et al.</w:t>
      </w:r>
      <w:r w:rsidRPr="00391AC4">
        <w:rPr>
          <w:rFonts w:ascii="Times New Roman" w:hAnsi="Times New Roman" w:cs="Times New Roman"/>
          <w:b/>
          <w:bCs/>
          <w:noProof/>
        </w:rPr>
        <w:t>, 2021)</w:t>
      </w:r>
      <w:r w:rsidRPr="00391AC4">
        <w:rPr>
          <w:rFonts w:ascii="Times New Roman" w:hAnsi="Times New Roman" w:cs="Times New Roman"/>
          <w:b/>
          <w:bCs/>
        </w:rPr>
        <w:fldChar w:fldCharType="end"/>
      </w:r>
      <w:r>
        <w:rPr>
          <w:rFonts w:ascii="Times New Roman" w:hAnsi="Times New Roman" w:cs="Times New Roman"/>
        </w:rPr>
        <w:t xml:space="preserve">. Nevertheless, further research into the exact mechanism by which this peptide functions is required. </w:t>
      </w:r>
    </w:p>
    <w:p w14:paraId="5438360D" w14:textId="53A0862C" w:rsidR="00033564" w:rsidRPr="00175687" w:rsidRDefault="00033564" w:rsidP="00033564">
      <w:pPr>
        <w:spacing w:line="360" w:lineRule="auto"/>
        <w:jc w:val="both"/>
        <w:rPr>
          <w:rStyle w:val="Emphasis"/>
          <w:rFonts w:ascii="Times New Roman" w:hAnsi="Times New Roman" w:cs="Times New Roman"/>
          <w:i w:val="0"/>
          <w:iCs w:val="0"/>
        </w:rPr>
      </w:pPr>
      <w:r>
        <w:rPr>
          <w:rFonts w:ascii="Times New Roman" w:hAnsi="Times New Roman" w:cs="Times New Roman"/>
        </w:rPr>
        <w:tab/>
        <w:t xml:space="preserve">Lastly, as the stringent response is required for the long-term survival of </w:t>
      </w:r>
      <w:r>
        <w:rPr>
          <w:rFonts w:ascii="Times New Roman" w:hAnsi="Times New Roman" w:cs="Times New Roman"/>
          <w:i/>
          <w:iCs/>
        </w:rPr>
        <w:t xml:space="preserve">Mycobacterium tuberculosis </w:t>
      </w:r>
      <w:r w:rsidRPr="00A30139">
        <w:rPr>
          <w:rFonts w:ascii="Times New Roman" w:hAnsi="Times New Roman" w:cs="Times New Roman"/>
          <w:b/>
          <w:bCs/>
        </w:rPr>
        <w:fldChar w:fldCharType="begin"/>
      </w:r>
      <w:r w:rsidRPr="00A30139">
        <w:rPr>
          <w:rFonts w:ascii="Times New Roman" w:hAnsi="Times New Roman" w:cs="Times New Roman"/>
          <w:b/>
          <w:bCs/>
        </w:rPr>
        <w:instrText xml:space="preserve"> ADDIN EN.CITE &lt;EndNote&gt;&lt;Cite&gt;&lt;Author&gt;Primm&lt;/Author&gt;&lt;Year&gt;2000&lt;/Year&gt;&lt;IDText&gt;The stringent response of Mycobacterium tuberculosis is required for long-term survival&lt;/IDText&gt;&lt;DisplayText&gt;(Primm&lt;style face="italic"&gt; et al.&lt;/style&gt;, 2000)&lt;/DisplayText&gt;&lt;record&gt;&lt;dates&gt;&lt;pub-dates&gt;&lt;date&gt;Sep&lt;/date&gt;&lt;/pub-dates&gt;&lt;year&gt;2000&lt;/year&gt;&lt;/dates&gt;&lt;urls&gt;&lt;related-urls&gt;&lt;url&gt;&amp;lt;Go to ISI&amp;gt;://WOS:000088703400029&lt;/url&gt;&lt;/related-urls&gt;&lt;/urls&gt;&lt;isbn&gt;0021-9193&lt;/isbn&gt;&lt;titles&gt;&lt;title&gt;The stringent response of Mycobacterium tuberculosis is required for long-term survival&lt;/title&gt;&lt;secondary-title&gt;Journal of Bacteriology&lt;/secondary-title&gt;&lt;/titles&gt;&lt;pages&gt;4889-4898&lt;/pages&gt;&lt;number&gt;17&lt;/number&gt;&lt;contributors&gt;&lt;authors&gt;&lt;author&gt;Primm, T. P.&lt;/author&gt;&lt;author&gt;Andersen, S. J.&lt;/author&gt;&lt;author&gt;Mizrahi, V.&lt;/author&gt;&lt;author&gt;Avarbock, D.&lt;/author&gt;&lt;author&gt;Rubin, H.&lt;/author&gt;&lt;author&gt;Barry, C. E.&lt;/author&gt;&lt;/authors&gt;&lt;/contributors&gt;&lt;added-date format="utc"&gt;1678229415&lt;/added-date&gt;&lt;ref-type name="Journal Article"&gt;17&lt;/ref-type&gt;&lt;rec-number&gt;744&lt;/rec-number&gt;&lt;last-updated-date format="utc"&gt;1678229415&lt;/last-updated-date&gt;&lt;accession-num&gt;WOS:000088703400029&lt;/accession-num&gt;&lt;electronic-resource-num&gt;10.1128/jb.182.17.4889-4898.2000&lt;/electronic-resource-num&gt;&lt;volume&gt;182&lt;/volume&gt;&lt;/record&gt;&lt;/Cite&gt;&lt;/EndNote&gt;</w:instrText>
      </w:r>
      <w:r w:rsidRPr="00A30139">
        <w:rPr>
          <w:rFonts w:ascii="Times New Roman" w:hAnsi="Times New Roman" w:cs="Times New Roman"/>
          <w:b/>
          <w:bCs/>
        </w:rPr>
        <w:fldChar w:fldCharType="separate"/>
      </w:r>
      <w:r w:rsidRPr="00A30139">
        <w:rPr>
          <w:rFonts w:ascii="Times New Roman" w:hAnsi="Times New Roman" w:cs="Times New Roman"/>
          <w:b/>
          <w:bCs/>
          <w:noProof/>
        </w:rPr>
        <w:t>(Primm et al., 2000)</w:t>
      </w:r>
      <w:r w:rsidRPr="00A30139">
        <w:rPr>
          <w:rFonts w:ascii="Times New Roman" w:hAnsi="Times New Roman" w:cs="Times New Roman"/>
          <w:b/>
          <w:bCs/>
        </w:rPr>
        <w:fldChar w:fldCharType="end"/>
      </w:r>
      <w:r>
        <w:rPr>
          <w:rFonts w:ascii="Times New Roman" w:hAnsi="Times New Roman" w:cs="Times New Roman"/>
        </w:rPr>
        <w:t xml:space="preserve">, different vaccine candidates have been developed. </w:t>
      </w:r>
      <w:r w:rsidR="00270331">
        <w:rPr>
          <w:rFonts w:ascii="Times New Roman" w:hAnsi="Times New Roman" w:cs="Times New Roman"/>
        </w:rPr>
        <w:t>The i</w:t>
      </w:r>
      <w:r>
        <w:rPr>
          <w:rFonts w:ascii="Times New Roman" w:hAnsi="Times New Roman" w:cs="Times New Roman"/>
        </w:rPr>
        <w:t>mmunity of mice and guinea pigs to Rel</w:t>
      </w:r>
      <w:r>
        <w:rPr>
          <w:rFonts w:ascii="Times New Roman" w:hAnsi="Times New Roman" w:cs="Times New Roman"/>
          <w:i/>
          <w:iCs/>
          <w:vertAlign w:val="subscript"/>
        </w:rPr>
        <w:t>Mtb</w:t>
      </w:r>
      <w:r>
        <w:rPr>
          <w:rFonts w:ascii="Times New Roman" w:hAnsi="Times New Roman" w:cs="Times New Roman"/>
          <w:i/>
          <w:iCs/>
        </w:rPr>
        <w:t xml:space="preserve"> </w:t>
      </w:r>
      <w:r>
        <w:rPr>
          <w:rFonts w:ascii="Times New Roman" w:hAnsi="Times New Roman" w:cs="Times New Roman"/>
        </w:rPr>
        <w:t>via a DNA vaccine was revealed to enhance the activity of the first-line drug isoniazid as Rel</w:t>
      </w:r>
      <w:r>
        <w:rPr>
          <w:rFonts w:ascii="Times New Roman" w:hAnsi="Times New Roman" w:cs="Times New Roman"/>
          <w:i/>
          <w:iCs/>
          <w:vertAlign w:val="subscript"/>
        </w:rPr>
        <w:t>Mtb</w:t>
      </w:r>
      <w:r>
        <w:rPr>
          <w:rFonts w:ascii="Times New Roman" w:hAnsi="Times New Roman" w:cs="Times New Roman"/>
        </w:rPr>
        <w:t xml:space="preserve"> is an antigen during mycobacterial infections </w:t>
      </w:r>
      <w:r w:rsidRPr="007F5D3F">
        <w:rPr>
          <w:rFonts w:ascii="Times New Roman" w:hAnsi="Times New Roman" w:cs="Times New Roman"/>
          <w:b/>
          <w:bCs/>
        </w:rPr>
        <w:fldChar w:fldCharType="begin"/>
      </w:r>
      <w:r w:rsidRPr="007F5D3F">
        <w:rPr>
          <w:rFonts w:ascii="Times New Roman" w:hAnsi="Times New Roman" w:cs="Times New Roman"/>
          <w:b/>
          <w:bCs/>
        </w:rPr>
        <w:instrText xml:space="preserve"> ADDIN EN.CITE &lt;EndNote&gt;&lt;Cite&gt;&lt;Author&gt;Chuang&lt;/Author&gt;&lt;Year&gt;2020&lt;/Year&gt;&lt;IDText&gt;Antibiotic Treatment Shapes the Antigenic Environment During Chronic TB Infection, Offering Novel Targets for Therapeutic Vaccination&lt;/IDText&gt;&lt;DisplayText&gt;(Chuang&lt;style face="italic"&gt; et al.&lt;/style&gt;, 2020)&lt;/DisplayText&gt;&lt;record&gt;&lt;dates&gt;&lt;pub-dates&gt;&lt;date&gt;Apr&lt;/date&gt;&lt;/pub-dates&gt;&lt;year&gt;2020&lt;/year&gt;&lt;/dates&gt;&lt;urls&gt;&lt;related-urls&gt;&lt;url&gt;&amp;lt;Go to ISI&amp;gt;://WOS:000533334300001&lt;/url&gt;&lt;/related-urls&gt;&lt;/urls&gt;&lt;isbn&gt;1664-3224&lt;/isbn&gt;&lt;titles&gt;&lt;title&gt;Antibiotic Treatment Shapes the Antigenic Environment During Chronic TB Infection, Offering Novel Targets for Therapeutic Vaccination&lt;/title&gt;&lt;secondary-title&gt;Frontiers in Immunology&lt;/secondary-title&gt;&lt;/titles&gt;&lt;contributors&gt;&lt;authors&gt;&lt;author&gt;Chuang, Y. M.&lt;/author&gt;&lt;author&gt;Dutta, N. K.&lt;/author&gt;&lt;author&gt;Gordy, J. T.&lt;/author&gt;&lt;author&gt;Campodonico, V. L.&lt;/author&gt;&lt;author&gt;Pinn, M. L.&lt;/author&gt;&lt;author&gt;Markham, R. B.&lt;/author&gt;&lt;author&gt;Hung, C. F.&lt;/author&gt;&lt;author&gt;Karakousis, P. C.&lt;/author&gt;&lt;/authors&gt;&lt;/contributors&gt;&lt;custom7&gt;680&lt;/custom7&gt;&lt;added-date format="utc"&gt;1678229923&lt;/added-date&gt;&lt;ref-type name="Journal Article"&gt;17&lt;/ref-type&gt;&lt;rec-number&gt;745&lt;/rec-number&gt;&lt;last-updated-date format="utc"&gt;1678229923&lt;/last-updated-date&gt;&lt;accession-num&gt;WOS:000533334300001&lt;/accession-num&gt;&lt;electronic-resource-num&gt;10.3389/fimmu.2020.00680&lt;/electronic-resource-num&gt;&lt;volume&gt;11&lt;/volume&gt;&lt;/record&gt;&lt;/Cite&gt;&lt;/EndNote&gt;</w:instrText>
      </w:r>
      <w:r w:rsidRPr="007F5D3F">
        <w:rPr>
          <w:rFonts w:ascii="Times New Roman" w:hAnsi="Times New Roman" w:cs="Times New Roman"/>
          <w:b/>
          <w:bCs/>
        </w:rPr>
        <w:fldChar w:fldCharType="separate"/>
      </w:r>
      <w:r w:rsidRPr="007F5D3F">
        <w:rPr>
          <w:rFonts w:ascii="Times New Roman" w:hAnsi="Times New Roman" w:cs="Times New Roman"/>
          <w:b/>
          <w:bCs/>
          <w:noProof/>
        </w:rPr>
        <w:t>(Chuang</w:t>
      </w:r>
      <w:r w:rsidRPr="007F5D3F">
        <w:rPr>
          <w:rFonts w:ascii="Times New Roman" w:hAnsi="Times New Roman" w:cs="Times New Roman"/>
          <w:b/>
          <w:bCs/>
          <w:i/>
          <w:noProof/>
        </w:rPr>
        <w:t xml:space="preserve"> et al.</w:t>
      </w:r>
      <w:r w:rsidRPr="007F5D3F">
        <w:rPr>
          <w:rFonts w:ascii="Times New Roman" w:hAnsi="Times New Roman" w:cs="Times New Roman"/>
          <w:b/>
          <w:bCs/>
          <w:noProof/>
        </w:rPr>
        <w:t>, 2020)</w:t>
      </w:r>
      <w:r w:rsidRPr="007F5D3F">
        <w:rPr>
          <w:rFonts w:ascii="Times New Roman" w:hAnsi="Times New Roman" w:cs="Times New Roman"/>
          <w:b/>
          <w:bCs/>
        </w:rPr>
        <w:fldChar w:fldCharType="end"/>
      </w:r>
      <w:r>
        <w:rPr>
          <w:rFonts w:ascii="Times New Roman" w:hAnsi="Times New Roman" w:cs="Times New Roman"/>
        </w:rPr>
        <w:t>. The vaccine was enhanced by fusing Rel</w:t>
      </w:r>
      <w:r w:rsidRPr="00732ADC">
        <w:rPr>
          <w:rFonts w:ascii="Times New Roman" w:hAnsi="Times New Roman" w:cs="Times New Roman"/>
          <w:i/>
          <w:iCs/>
          <w:vertAlign w:val="subscript"/>
        </w:rPr>
        <w:t>Mtb</w:t>
      </w:r>
      <w:r>
        <w:rPr>
          <w:rFonts w:ascii="Times New Roman" w:hAnsi="Times New Roman" w:cs="Times New Roman"/>
        </w:rPr>
        <w:t xml:space="preserve"> to a chemokine </w:t>
      </w:r>
      <w:bookmarkStart w:id="37" w:name="_Hlk129124007"/>
      <w:r w:rsidRPr="00732ADC">
        <w:rPr>
          <w:rFonts w:ascii="Times New Roman" w:hAnsi="Times New Roman" w:cs="Times New Roman"/>
        </w:rPr>
        <w:t xml:space="preserve">Macrophage Inflammatory Protein-3 α </w:t>
      </w:r>
      <w:bookmarkEnd w:id="37"/>
      <w:r w:rsidRPr="00732ADC">
        <w:rPr>
          <w:rFonts w:ascii="Times New Roman" w:hAnsi="Times New Roman" w:cs="Times New Roman"/>
        </w:rPr>
        <w:t>that targets antigens</w:t>
      </w:r>
      <w:r>
        <w:rPr>
          <w:rFonts w:ascii="Times New Roman" w:hAnsi="Times New Roman" w:cs="Times New Roman"/>
        </w:rPr>
        <w:t xml:space="preserve">, </w:t>
      </w:r>
      <w:r w:rsidRPr="00732ADC">
        <w:rPr>
          <w:rFonts w:ascii="Times New Roman" w:hAnsi="Times New Roman" w:cs="Times New Roman"/>
        </w:rPr>
        <w:t xml:space="preserve">in this case, </w:t>
      </w:r>
      <w:r>
        <w:rPr>
          <w:rFonts w:ascii="Times New Roman" w:hAnsi="Times New Roman" w:cs="Times New Roman"/>
        </w:rPr>
        <w:t>Rel</w:t>
      </w:r>
      <w:r w:rsidRPr="00732ADC">
        <w:rPr>
          <w:rFonts w:ascii="Times New Roman" w:hAnsi="Times New Roman" w:cs="Times New Roman"/>
          <w:i/>
          <w:iCs/>
          <w:vertAlign w:val="subscript"/>
        </w:rPr>
        <w:t>Mtb</w:t>
      </w:r>
      <w:r>
        <w:rPr>
          <w:rFonts w:ascii="Times New Roman" w:hAnsi="Times New Roman" w:cs="Times New Roman"/>
        </w:rPr>
        <w:t xml:space="preserve"> </w:t>
      </w:r>
      <w:r w:rsidRPr="00732ADC">
        <w:rPr>
          <w:rFonts w:ascii="Times New Roman" w:hAnsi="Times New Roman" w:cs="Times New Roman"/>
        </w:rPr>
        <w:t xml:space="preserve">to dendritic cells and this method </w:t>
      </w:r>
      <w:r>
        <w:rPr>
          <w:rFonts w:ascii="Times New Roman" w:hAnsi="Times New Roman" w:cs="Times New Roman"/>
        </w:rPr>
        <w:t>has been shown to</w:t>
      </w:r>
      <w:r w:rsidRPr="00732ADC">
        <w:rPr>
          <w:rFonts w:ascii="Times New Roman" w:hAnsi="Times New Roman" w:cs="Times New Roman"/>
        </w:rPr>
        <w:t xml:space="preserve"> improve immune responses</w:t>
      </w:r>
      <w:r>
        <w:rPr>
          <w:rFonts w:ascii="Times New Roman" w:hAnsi="Times New Roman" w:cs="Times New Roman"/>
        </w:rPr>
        <w:t xml:space="preserve"> </w:t>
      </w:r>
      <w:r w:rsidRPr="00732ADC">
        <w:rPr>
          <w:rFonts w:ascii="Times New Roman" w:hAnsi="Times New Roman" w:cs="Times New Roman"/>
          <w:b/>
          <w:bCs/>
        </w:rPr>
        <w:fldChar w:fldCharType="begin">
          <w:fldData xml:space="preserve">PEVuZE5vdGU+PENpdGU+PEF1dGhvcj5Hb3JkeTwvQXV0aG9yPjxZZWFyPjIwMTY8L1llYXI+PElE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=
</w:fldData>
        </w:fldChar>
      </w:r>
      <w:r w:rsidRPr="00732ADC">
        <w:rPr>
          <w:rFonts w:ascii="Times New Roman" w:hAnsi="Times New Roman" w:cs="Times New Roman"/>
          <w:b/>
          <w:bCs/>
        </w:rPr>
        <w:instrText xml:space="preserve"> ADDIN EN.CITE </w:instrText>
      </w:r>
      <w:r w:rsidRPr="00732ADC">
        <w:rPr>
          <w:rFonts w:ascii="Times New Roman" w:hAnsi="Times New Roman" w:cs="Times New Roman"/>
          <w:b/>
          <w:bCs/>
        </w:rPr>
        <w:fldChar w:fldCharType="begin">
          <w:fldData xml:space="preserve">PEVuZE5vdGU+PENpdGU+PEF1dGhvcj5Hb3JkeTwvQXV0aG9yPjxZZWFyPjIwMTY8L1llYXI+PElE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=
</w:fldData>
        </w:fldChar>
      </w:r>
      <w:r w:rsidRPr="00732ADC">
        <w:rPr>
          <w:rFonts w:ascii="Times New Roman" w:hAnsi="Times New Roman" w:cs="Times New Roman"/>
          <w:b/>
          <w:bCs/>
        </w:rPr>
        <w:instrText xml:space="preserve"> ADDIN EN.CITE.DATA </w:instrText>
      </w:r>
      <w:r w:rsidRPr="00732ADC">
        <w:rPr>
          <w:rFonts w:ascii="Times New Roman" w:hAnsi="Times New Roman" w:cs="Times New Roman"/>
          <w:b/>
          <w:bCs/>
        </w:rPr>
      </w:r>
      <w:r w:rsidRPr="00732ADC">
        <w:rPr>
          <w:rFonts w:ascii="Times New Roman" w:hAnsi="Times New Roman" w:cs="Times New Roman"/>
          <w:b/>
          <w:bCs/>
        </w:rPr>
        <w:fldChar w:fldCharType="end"/>
      </w:r>
      <w:r w:rsidRPr="00732ADC">
        <w:rPr>
          <w:rFonts w:ascii="Times New Roman" w:hAnsi="Times New Roman" w:cs="Times New Roman"/>
          <w:b/>
          <w:bCs/>
        </w:rPr>
      </w:r>
      <w:r w:rsidRPr="00732ADC">
        <w:rPr>
          <w:rFonts w:ascii="Times New Roman" w:hAnsi="Times New Roman" w:cs="Times New Roman"/>
          <w:b/>
          <w:bCs/>
        </w:rPr>
        <w:fldChar w:fldCharType="separate"/>
      </w:r>
      <w:r w:rsidRPr="00732ADC">
        <w:rPr>
          <w:rFonts w:ascii="Times New Roman" w:hAnsi="Times New Roman" w:cs="Times New Roman"/>
          <w:b/>
          <w:bCs/>
          <w:noProof/>
        </w:rPr>
        <w:t>(Gordy</w:t>
      </w:r>
      <w:r w:rsidRPr="00732ADC">
        <w:rPr>
          <w:rFonts w:ascii="Times New Roman" w:hAnsi="Times New Roman" w:cs="Times New Roman"/>
          <w:b/>
          <w:bCs/>
          <w:i/>
          <w:noProof/>
        </w:rPr>
        <w:t xml:space="preserve"> et al.</w:t>
      </w:r>
      <w:r w:rsidRPr="00732ADC">
        <w:rPr>
          <w:rFonts w:ascii="Times New Roman" w:hAnsi="Times New Roman" w:cs="Times New Roman"/>
          <w:b/>
          <w:bCs/>
          <w:noProof/>
        </w:rPr>
        <w:t>, 2016; Karanika</w:t>
      </w:r>
      <w:r w:rsidRPr="00732ADC">
        <w:rPr>
          <w:rFonts w:ascii="Times New Roman" w:hAnsi="Times New Roman" w:cs="Times New Roman"/>
          <w:b/>
          <w:bCs/>
          <w:i/>
          <w:noProof/>
        </w:rPr>
        <w:t xml:space="preserve"> et al.</w:t>
      </w:r>
      <w:r w:rsidRPr="00732ADC">
        <w:rPr>
          <w:rFonts w:ascii="Times New Roman" w:hAnsi="Times New Roman" w:cs="Times New Roman"/>
          <w:b/>
          <w:bCs/>
          <w:noProof/>
        </w:rPr>
        <w:t>, 2022)</w:t>
      </w:r>
      <w:r w:rsidRPr="00732ADC">
        <w:rPr>
          <w:rFonts w:ascii="Times New Roman" w:hAnsi="Times New Roman" w:cs="Times New Roman"/>
          <w:b/>
          <w:bCs/>
        </w:rPr>
        <w:fldChar w:fldCharType="end"/>
      </w:r>
      <w:r w:rsidRPr="00732ADC">
        <w:rPr>
          <w:rFonts w:ascii="Times New Roman" w:hAnsi="Times New Roman" w:cs="Times New Roman"/>
        </w:rPr>
        <w:t xml:space="preserve">. </w:t>
      </w:r>
      <w:r>
        <w:rPr>
          <w:rFonts w:ascii="Times New Roman" w:hAnsi="Times New Roman" w:cs="Times New Roman"/>
        </w:rPr>
        <w:t xml:space="preserve">Intramuscular injection of the </w:t>
      </w:r>
      <w:r w:rsidRPr="00732ADC">
        <w:rPr>
          <w:rStyle w:val="Emphasis"/>
          <w:rFonts w:ascii="Times New Roman" w:hAnsi="Times New Roman" w:cs="Times New Roman"/>
          <w:color w:val="212121"/>
          <w:shd w:val="clear" w:color="auto" w:fill="FFFFFF"/>
        </w:rPr>
        <w:t>MIP-3α</w:t>
      </w:r>
      <w:r w:rsidRPr="00732ADC">
        <w:rPr>
          <w:rFonts w:ascii="Times New Roman" w:hAnsi="Times New Roman" w:cs="Times New Roman"/>
          <w:color w:val="212121"/>
          <w:shd w:val="clear" w:color="auto" w:fill="FFFFFF"/>
        </w:rPr>
        <w:t>/</w:t>
      </w:r>
      <w:r w:rsidRPr="00732ADC">
        <w:rPr>
          <w:rStyle w:val="Emphasis"/>
          <w:rFonts w:ascii="Times New Roman" w:hAnsi="Times New Roman" w:cs="Times New Roman"/>
          <w:color w:val="212121"/>
          <w:shd w:val="clear" w:color="auto" w:fill="FFFFFF"/>
        </w:rPr>
        <w:t>rel</w:t>
      </w:r>
      <w:r w:rsidRPr="00732ADC">
        <w:rPr>
          <w:rStyle w:val="Emphasis"/>
          <w:rFonts w:ascii="Times New Roman" w:hAnsi="Times New Roman" w:cs="Times New Roman"/>
          <w:color w:val="212121"/>
          <w:shd w:val="clear" w:color="auto" w:fill="FFFFFF"/>
          <w:vertAlign w:val="subscript"/>
        </w:rPr>
        <w:t>Mtb</w:t>
      </w:r>
      <w:r>
        <w:rPr>
          <w:rStyle w:val="Emphasis"/>
          <w:rFonts w:ascii="Times New Roman" w:hAnsi="Times New Roman" w:cs="Times New Roman"/>
          <w:i w:val="0"/>
          <w:iCs w:val="0"/>
          <w:color w:val="212121"/>
          <w:shd w:val="clear" w:color="auto" w:fill="FFFFFF"/>
        </w:rPr>
        <w:t xml:space="preserve"> fusion and intranasal administration of </w:t>
      </w:r>
      <w:r w:rsidRPr="00732ADC">
        <w:rPr>
          <w:rStyle w:val="Emphasis"/>
          <w:rFonts w:ascii="Times New Roman" w:hAnsi="Times New Roman" w:cs="Times New Roman"/>
          <w:color w:val="212121"/>
          <w:shd w:val="clear" w:color="auto" w:fill="FFFFFF"/>
        </w:rPr>
        <w:t>rel</w:t>
      </w:r>
      <w:r w:rsidRPr="00732ADC">
        <w:rPr>
          <w:rStyle w:val="Emphasis"/>
          <w:rFonts w:ascii="Times New Roman" w:hAnsi="Times New Roman" w:cs="Times New Roman"/>
          <w:color w:val="212121"/>
          <w:shd w:val="clear" w:color="auto" w:fill="FFFFFF"/>
          <w:vertAlign w:val="subscript"/>
        </w:rPr>
        <w:t>Mtb</w:t>
      </w:r>
      <w:r>
        <w:rPr>
          <w:rStyle w:val="Emphasis"/>
          <w:rFonts w:ascii="Times New Roman" w:hAnsi="Times New Roman" w:cs="Times New Roman"/>
          <w:i w:val="0"/>
          <w:iCs w:val="0"/>
          <w:color w:val="212121"/>
          <w:shd w:val="clear" w:color="auto" w:fill="FFFFFF"/>
        </w:rPr>
        <w:t xml:space="preserve"> also potentiated isoniazid activity </w:t>
      </w:r>
      <w:r w:rsidRPr="00732ADC">
        <w:rPr>
          <w:rStyle w:val="Emphasis"/>
          <w:rFonts w:ascii="Times New Roman" w:hAnsi="Times New Roman" w:cs="Times New Roman"/>
          <w:b/>
          <w:bCs/>
          <w:i w:val="0"/>
          <w:iCs w:val="0"/>
          <w:color w:val="212121"/>
          <w:shd w:val="clear" w:color="auto" w:fill="FFFFFF"/>
        </w:rPr>
        <w:fldChar w:fldCharType="begin"/>
      </w:r>
      <w:r w:rsidRPr="00732ADC">
        <w:rPr>
          <w:rStyle w:val="Emphasis"/>
          <w:rFonts w:ascii="Times New Roman" w:hAnsi="Times New Roman" w:cs="Times New Roman"/>
          <w:b/>
          <w:bCs/>
          <w:i w:val="0"/>
          <w:iCs w:val="0"/>
          <w:color w:val="212121"/>
          <w:shd w:val="clear" w:color="auto" w:fill="FFFFFF"/>
        </w:rPr>
        <w:instrText xml:space="preserve"> ADDIN EN.CITE &lt;EndNote&gt;&lt;Cite&gt;&lt;Author&gt;Karanika&lt;/Author&gt;&lt;Year&gt;2022&lt;/Year&gt;&lt;IDText&gt;An intranasal stringent response vaccine targeting dendritic cells as a novel adjunctive therapy against tuberculosis&lt;/IDText&gt;&lt;DisplayText&gt;(Karanika&lt;style face="italic"&gt; et al.&lt;/style&gt;, 2022)&lt;/DisplayText&gt;&lt;record&gt;&lt;dates&gt;&lt;pub-dates&gt;&lt;date&gt;Sep&lt;/date&gt;&lt;/pub-dates&gt;&lt;year&gt;2022&lt;/year&gt;&lt;/dates&gt;&lt;urls&gt;&lt;related-urls&gt;&lt;url&gt;&amp;lt;Go to ISI&amp;gt;://WOS:000862636100001&lt;/url&gt;&lt;/related-urls&gt;&lt;/urls&gt;&lt;isbn&gt;1664-3224&lt;/isbn&gt;&lt;titles&gt;&lt;title&gt;An intranasal stringent response vaccine targeting dendritic cells as a novel adjunctive therapy against tuberculosis&lt;/title&gt;&lt;secondary-title&gt;Frontiers in Immunology&lt;/secondary-title&gt;&lt;/titles&gt;&lt;contributors&gt;&lt;authors&gt;&lt;author&gt;Karanika, S.&lt;/author&gt;&lt;author&gt;Gordy, J. T.&lt;/author&gt;&lt;author&gt;Neupane, P.&lt;/author&gt;&lt;author&gt;Karantanos, T.&lt;/author&gt;&lt;author&gt;Castillo, J. R.&lt;/author&gt;&lt;author&gt;Quijada, D.&lt;/author&gt;&lt;author&gt;Comstock, K.&lt;/author&gt;&lt;author&gt;Sandhu, A. K.&lt;/author&gt;&lt;author&gt;Kapoor, A. R.&lt;/author&gt;&lt;author&gt;Hui, Y. A.&lt;/author&gt;&lt;author&gt;Ayeh, S. K.&lt;/author&gt;&lt;author&gt;Tasneen, R.&lt;/author&gt;&lt;author&gt;Krug, S.&lt;/author&gt;&lt;author&gt;Danchik, C.&lt;/author&gt;&lt;author&gt;Wang, T. Y.&lt;/author&gt;&lt;author&gt;Schill, C.&lt;/author&gt;&lt;author&gt;Markham, R. B.&lt;/author&gt;&lt;author&gt;Karakousis, P. C.&lt;/author&gt;&lt;/authors&gt;&lt;/contributors&gt;&lt;custom7&gt;972266&lt;/custom7&gt;&lt;added-date format="utc"&gt;1678230282&lt;/added-date&gt;&lt;ref-type name="Journal Article"&gt;17&lt;/ref-type&gt;&lt;rec-number&gt;747&lt;/rec-number&gt;&lt;last-updated-date format="utc"&gt;1678230282&lt;/last-updated-date&gt;&lt;accession-num&gt;WOS:000862636100001&lt;/accession-num&gt;&lt;electronic-resource-num&gt;10.3389/fimmu.2022.972266&lt;/electronic-resource-num&gt;&lt;volume&gt;13&lt;/volume&gt;&lt;/record&gt;&lt;/Cite&gt;&lt;/EndNote&gt;</w:instrText>
      </w:r>
      <w:r w:rsidRPr="00732ADC">
        <w:rPr>
          <w:rStyle w:val="Emphasis"/>
          <w:rFonts w:ascii="Times New Roman" w:hAnsi="Times New Roman" w:cs="Times New Roman"/>
          <w:b/>
          <w:bCs/>
          <w:i w:val="0"/>
          <w:iCs w:val="0"/>
          <w:color w:val="212121"/>
          <w:shd w:val="clear" w:color="auto" w:fill="FFFFFF"/>
        </w:rPr>
        <w:fldChar w:fldCharType="separate"/>
      </w:r>
      <w:r w:rsidRPr="00732ADC">
        <w:rPr>
          <w:rStyle w:val="Emphasis"/>
          <w:rFonts w:ascii="Times New Roman" w:hAnsi="Times New Roman" w:cs="Times New Roman"/>
          <w:b/>
          <w:bCs/>
          <w:i w:val="0"/>
          <w:iCs w:val="0"/>
          <w:noProof/>
          <w:color w:val="212121"/>
          <w:shd w:val="clear" w:color="auto" w:fill="FFFFFF"/>
        </w:rPr>
        <w:t>(Karanika</w:t>
      </w:r>
      <w:r w:rsidRPr="00732ADC">
        <w:rPr>
          <w:rStyle w:val="Emphasis"/>
          <w:rFonts w:ascii="Times New Roman" w:hAnsi="Times New Roman" w:cs="Times New Roman"/>
          <w:b/>
          <w:bCs/>
          <w:iCs w:val="0"/>
          <w:noProof/>
          <w:color w:val="212121"/>
          <w:shd w:val="clear" w:color="auto" w:fill="FFFFFF"/>
        </w:rPr>
        <w:t xml:space="preserve"> et al.</w:t>
      </w:r>
      <w:r w:rsidRPr="00732ADC">
        <w:rPr>
          <w:rStyle w:val="Emphasis"/>
          <w:rFonts w:ascii="Times New Roman" w:hAnsi="Times New Roman" w:cs="Times New Roman"/>
          <w:b/>
          <w:bCs/>
          <w:i w:val="0"/>
          <w:iCs w:val="0"/>
          <w:noProof/>
          <w:color w:val="212121"/>
          <w:shd w:val="clear" w:color="auto" w:fill="FFFFFF"/>
        </w:rPr>
        <w:t>, 2022)</w:t>
      </w:r>
      <w:r w:rsidRPr="00732ADC">
        <w:rPr>
          <w:rStyle w:val="Emphasis"/>
          <w:rFonts w:ascii="Times New Roman" w:hAnsi="Times New Roman" w:cs="Times New Roman"/>
          <w:b/>
          <w:bCs/>
          <w:i w:val="0"/>
          <w:iCs w:val="0"/>
          <w:color w:val="212121"/>
          <w:shd w:val="clear" w:color="auto" w:fill="FFFFFF"/>
        </w:rPr>
        <w:fldChar w:fldCharType="end"/>
      </w:r>
      <w:r>
        <w:rPr>
          <w:rStyle w:val="Emphasis"/>
          <w:rFonts w:ascii="Times New Roman" w:hAnsi="Times New Roman" w:cs="Times New Roman"/>
          <w:i w:val="0"/>
          <w:iCs w:val="0"/>
          <w:color w:val="212121"/>
          <w:shd w:val="clear" w:color="auto" w:fill="FFFFFF"/>
        </w:rPr>
        <w:t>, demonstrating how vaccines may be a useful adjunct to long-term therapies such as those associated with tuberculosis.</w:t>
      </w:r>
    </w:p>
    <w:p w14:paraId="0B7E7CEC" w14:textId="4317BF46" w:rsidR="00033564" w:rsidRDefault="00033564" w:rsidP="00033564">
      <w:pPr>
        <w:pStyle w:val="Heading2"/>
      </w:pPr>
      <w:bookmarkStart w:id="38" w:name="_Toc142043575"/>
      <w:r>
        <w:t xml:space="preserve">1.3. </w:t>
      </w:r>
      <w:r w:rsidR="00270331">
        <w:t>The r</w:t>
      </w:r>
      <w:r>
        <w:t>ole of phagocytes during</w:t>
      </w:r>
      <w:r>
        <w:rPr>
          <w:i/>
          <w:iCs/>
        </w:rPr>
        <w:t xml:space="preserve"> S. aureus</w:t>
      </w:r>
      <w:r>
        <w:t xml:space="preserve"> infection</w:t>
      </w:r>
      <w:bookmarkEnd w:id="38"/>
    </w:p>
    <w:p w14:paraId="0E8B284E" w14:textId="77777777" w:rsidR="00033564" w:rsidRDefault="00033564" w:rsidP="00033564"/>
    <w:p w14:paraId="0B95DF27" w14:textId="77777777" w:rsidR="00033564" w:rsidRDefault="00033564" w:rsidP="00033564">
      <w:pPr>
        <w:pStyle w:val="Default"/>
        <w:spacing w:line="360" w:lineRule="auto"/>
        <w:jc w:val="both"/>
        <w:rPr>
          <w:color w:val="000000" w:themeColor="text1"/>
          <w:sz w:val="22"/>
          <w:szCs w:val="22"/>
        </w:rPr>
      </w:pPr>
      <w:r>
        <w:rPr>
          <w:color w:val="000000" w:themeColor="text1"/>
          <w:sz w:val="22"/>
          <w:szCs w:val="22"/>
        </w:rPr>
        <w:t xml:space="preserve">Upon breach of host physical barriers through damage, injury or surgery, </w:t>
      </w:r>
      <w:r>
        <w:rPr>
          <w:i/>
          <w:iCs/>
          <w:color w:val="000000" w:themeColor="text1"/>
          <w:sz w:val="22"/>
          <w:szCs w:val="22"/>
        </w:rPr>
        <w:t xml:space="preserve">S. aureus </w:t>
      </w:r>
      <w:r>
        <w:rPr>
          <w:color w:val="000000" w:themeColor="text1"/>
          <w:sz w:val="22"/>
          <w:szCs w:val="22"/>
        </w:rPr>
        <w:t xml:space="preserve">can be exposed to and infect layers of the skin, deep tissues and even the bloodstream which allows the development of various infections. Here, bacteria will encounter the innate immune system, which is the first line of defence against pathogens. </w:t>
      </w:r>
      <w:r w:rsidRPr="00F720C0">
        <w:rPr>
          <w:i/>
          <w:iCs/>
          <w:color w:val="000000" w:themeColor="text1"/>
          <w:sz w:val="22"/>
          <w:szCs w:val="22"/>
        </w:rPr>
        <w:t xml:space="preserve">S. aureus </w:t>
      </w:r>
      <w:r w:rsidRPr="00F720C0">
        <w:rPr>
          <w:color w:val="000000" w:themeColor="text1"/>
          <w:sz w:val="22"/>
          <w:szCs w:val="22"/>
        </w:rPr>
        <w:t xml:space="preserve">was considered an extracellular pathogen until it was shown that this bacterium was able to survive and proliferate within neutrophils </w:t>
      </w:r>
      <w:r w:rsidRPr="00F720C0">
        <w:rPr>
          <w:b/>
          <w:bCs/>
          <w:color w:val="000000" w:themeColor="text1"/>
          <w:sz w:val="22"/>
          <w:szCs w:val="22"/>
        </w:rPr>
        <w:fldChar w:fldCharType="begin"/>
      </w:r>
      <w:r w:rsidRPr="00F720C0">
        <w:rPr>
          <w:b/>
          <w:bCs/>
          <w:color w:val="000000" w:themeColor="text1"/>
          <w:sz w:val="22"/>
          <w:szCs w:val="22"/>
        </w:rPr>
        <w:instrText xml:space="preserve"> ADDIN EN.CITE &lt;EndNote&gt;&lt;Cite&gt;&lt;Author&gt;Gresham&lt;/Author&gt;&lt;Year&gt;2000&lt;/Year&gt;&lt;IDText&gt;Survival of Staphylococcus aureus inside neutrophils contributes to infection&lt;/IDText&gt;&lt;DisplayText&gt;(Gresham&lt;style face="italic"&gt; et al.&lt;/style&gt;, 2000)&lt;/DisplayText&gt;&lt;record&gt;&lt;dates&gt;&lt;pub-dates&gt;&lt;date&gt;Apr 1&lt;/date&gt;&lt;/pub-dates&gt;&lt;year&gt;2000&lt;/year&gt;&lt;/dates&gt;&lt;urls&gt;&lt;related-urls&gt;&lt;/related-urls&gt;&lt;/urls&gt;&lt;isbn&gt;0022-1767&lt;/isbn&gt;&lt;work-type&gt;Article&lt;/work-type&gt;&lt;titles&gt;&lt;title&gt;&lt;style font="default" size="100%"&gt;Survival of &lt;/style&gt;&lt;style face="italic" font="default" size="100%"&gt;Staphylococcus aureus&lt;/style&gt;&lt;style font="default" size="100%"&gt; inside neutrophils contributes to infection&lt;/style&gt;&lt;/title&gt;&lt;secondary-title&gt;Journal of Immunology&lt;/secondary-title&gt;&lt;/titles&gt;&lt;pages&gt;3713-3722&lt;/pages&gt;&lt;number&gt;7&lt;/number&gt;&lt;contributors&gt;&lt;authors&gt;&lt;author&gt;Gresham, H. D.&lt;/author&gt;&lt;author&gt;Lowrance, J. H.&lt;/author&gt;&lt;author&gt;Caver, T. E.&lt;/author&gt;&lt;author&gt;Wilson, B. S.&lt;/author&gt;&lt;author&gt;Cheung, A. L.&lt;/author&gt;&lt;author&gt;Lindberg, F. P.&lt;/author&gt;&lt;/authors&gt;&lt;/contributors&gt;&lt;added-date format="utc"&gt;1672501039&lt;/added-date&gt;&lt;ref-type name="Journal Article"&gt;17&lt;/ref-type&gt;&lt;rec-number&gt;193&lt;/rec-number&gt;&lt;last-updated-date format="utc"&gt;1675730015&lt;/last-updated-date&gt;&lt;accession-num&gt;WOS:000086020700036&lt;/accession-num&gt;&lt;electronic-resource-num&gt;10.4049/jimmunol.164.7.3713&lt;/electronic-resource-num&gt;&lt;volume&gt;164&lt;/volume&gt;&lt;/record&gt;&lt;/Cite&gt;&lt;/EndNote&gt;</w:instrText>
      </w:r>
      <w:r w:rsidRPr="00F720C0">
        <w:rPr>
          <w:b/>
          <w:bCs/>
          <w:color w:val="000000" w:themeColor="text1"/>
          <w:sz w:val="22"/>
          <w:szCs w:val="22"/>
        </w:rPr>
        <w:fldChar w:fldCharType="separate"/>
      </w:r>
      <w:r w:rsidRPr="00F720C0">
        <w:rPr>
          <w:b/>
          <w:bCs/>
          <w:noProof/>
          <w:color w:val="000000" w:themeColor="text1"/>
          <w:sz w:val="22"/>
          <w:szCs w:val="22"/>
        </w:rPr>
        <w:t>(Gresham</w:t>
      </w:r>
      <w:r w:rsidRPr="00F720C0">
        <w:rPr>
          <w:b/>
          <w:bCs/>
          <w:i/>
          <w:noProof/>
          <w:color w:val="000000" w:themeColor="text1"/>
          <w:sz w:val="22"/>
          <w:szCs w:val="22"/>
        </w:rPr>
        <w:t xml:space="preserve"> et al.</w:t>
      </w:r>
      <w:r w:rsidRPr="00F720C0">
        <w:rPr>
          <w:b/>
          <w:bCs/>
          <w:noProof/>
          <w:color w:val="000000" w:themeColor="text1"/>
          <w:sz w:val="22"/>
          <w:szCs w:val="22"/>
        </w:rPr>
        <w:t>, 2000)</w:t>
      </w:r>
      <w:r w:rsidRPr="00F720C0">
        <w:rPr>
          <w:b/>
          <w:bCs/>
          <w:color w:val="000000" w:themeColor="text1"/>
          <w:sz w:val="22"/>
          <w:szCs w:val="22"/>
        </w:rPr>
        <w:fldChar w:fldCharType="end"/>
      </w:r>
      <w:r w:rsidRPr="00F720C0">
        <w:rPr>
          <w:color w:val="000000" w:themeColor="text1"/>
          <w:sz w:val="22"/>
          <w:szCs w:val="22"/>
        </w:rPr>
        <w:t xml:space="preserve">, thus contradicting previous views. It is now known that </w:t>
      </w:r>
      <w:r w:rsidRPr="00F720C0">
        <w:rPr>
          <w:i/>
          <w:iCs/>
          <w:color w:val="000000" w:themeColor="text1"/>
          <w:sz w:val="22"/>
          <w:szCs w:val="22"/>
        </w:rPr>
        <w:t xml:space="preserve">S. aureus </w:t>
      </w:r>
      <w:r w:rsidRPr="00F720C0">
        <w:rPr>
          <w:color w:val="000000" w:themeColor="text1"/>
          <w:sz w:val="22"/>
          <w:szCs w:val="22"/>
        </w:rPr>
        <w:t xml:space="preserve">can be taken up by and invade a variety of cells including both professional and non-professional phagocytes </w:t>
      </w:r>
      <w:r w:rsidRPr="00F720C0">
        <w:rPr>
          <w:b/>
          <w:bCs/>
          <w:color w:val="000000" w:themeColor="text1"/>
          <w:sz w:val="22"/>
          <w:szCs w:val="22"/>
        </w:rPr>
        <w:fldChar w:fldCharType="begin"/>
      </w:r>
      <w:r w:rsidRPr="00F720C0">
        <w:rPr>
          <w:b/>
          <w:bCs/>
          <w:color w:val="000000" w:themeColor="text1"/>
          <w:sz w:val="22"/>
          <w:szCs w:val="22"/>
        </w:rPr>
        <w:instrText xml:space="preserve"> ADDIN EN.CITE &lt;EndNote&gt;&lt;Cite&gt;&lt;Author&gt;Strobel&lt;/Author&gt;&lt;Year&gt;2016&lt;/Year&gt;&lt;IDText&gt;Post-invasion events after infection with Staphylococcus aureus are strongly dependent on both the host cell type and the infecting S. aureus strain&lt;/IDText&gt;&lt;DisplayText&gt;(Strobel&lt;style face="italic"&gt; et al.&lt;/style&gt;, 2016)&lt;/DisplayText&gt;&lt;record&gt;&lt;dates&gt;&lt;pub-dates&gt;&lt;date&gt;Sep&lt;/date&gt;&lt;/pub-dates&gt;&lt;year&gt;2016&lt;/year&gt;&lt;/dates&gt;&lt;urls&gt;&lt;related-urls&gt;&lt;url&gt;&amp;lt;Go to ISI&amp;gt;://WOS:000388118300012&lt;/url&gt;&lt;/related-urls&gt;&lt;/urls&gt;&lt;isbn&gt;1198-743X&lt;/isbn&gt;&lt;titles&gt;&lt;title&gt;Post-invasion events after infection with Staphylococcus aureus are strongly dependent on both the host cell type and the infecting S. aureus strain&lt;/title&gt;&lt;secondary-title&gt;Clinical Microbiology and Infection&lt;/secondary-title&gt;&lt;/titles&gt;&lt;pages&gt;799-809&lt;/pages&gt;&lt;number&gt;9&lt;/number&gt;&lt;contributors&gt;&lt;authors&gt;&lt;author&gt;Strobel, M.&lt;/author&gt;&lt;author&gt;Pfoertner, H.&lt;/author&gt;&lt;author&gt;Tuchscherr, L.&lt;/author&gt;&lt;author&gt;Voelker, U.&lt;/author&gt;&lt;author&gt;Schmidt, F.&lt;/author&gt;&lt;author&gt;Kramko, N.&lt;/author&gt;&lt;author&gt;Schnittler, H. J.&lt;/author&gt;&lt;author&gt;Fraunholz, M. J.&lt;/author&gt;&lt;author&gt;Loeffler, B.&lt;/author&gt;&lt;author&gt;Peters, G.&lt;/author&gt;&lt;author&gt;Niemann, S.&lt;/author&gt;&lt;/authors&gt;&lt;/contributors&gt;&lt;added-date format="utc"&gt;1663623743&lt;/added-date&gt;&lt;ref-type name="Journal Article"&gt;17&lt;/ref-type&gt;&lt;rec-number&gt;133&lt;/rec-number&gt;&lt;last-updated-date format="utc"&gt;1663624413&lt;/last-updated-date&gt;&lt;accession-num&gt;WOS:000388118300012&lt;/accession-num&gt;&lt;electronic-resource-num&gt;10.1016/j.cmi.2016.06.020&lt;/electronic-resource-num&gt;&lt;volume&gt;22&lt;/volume&gt;&lt;/record&gt;&lt;/Cite&gt;&lt;/EndNote&gt;</w:instrText>
      </w:r>
      <w:r w:rsidRPr="00F720C0">
        <w:rPr>
          <w:b/>
          <w:bCs/>
          <w:color w:val="000000" w:themeColor="text1"/>
          <w:sz w:val="22"/>
          <w:szCs w:val="22"/>
        </w:rPr>
        <w:fldChar w:fldCharType="separate"/>
      </w:r>
      <w:r w:rsidRPr="00F720C0">
        <w:rPr>
          <w:b/>
          <w:bCs/>
          <w:noProof/>
          <w:color w:val="000000" w:themeColor="text1"/>
          <w:sz w:val="22"/>
          <w:szCs w:val="22"/>
        </w:rPr>
        <w:t>(Strobel</w:t>
      </w:r>
      <w:r w:rsidRPr="00F720C0">
        <w:rPr>
          <w:b/>
          <w:bCs/>
          <w:i/>
          <w:noProof/>
          <w:color w:val="000000" w:themeColor="text1"/>
          <w:sz w:val="22"/>
          <w:szCs w:val="22"/>
        </w:rPr>
        <w:t xml:space="preserve"> et al.</w:t>
      </w:r>
      <w:r w:rsidRPr="00F720C0">
        <w:rPr>
          <w:b/>
          <w:bCs/>
          <w:noProof/>
          <w:color w:val="000000" w:themeColor="text1"/>
          <w:sz w:val="22"/>
          <w:szCs w:val="22"/>
        </w:rPr>
        <w:t>, 2016)</w:t>
      </w:r>
      <w:r w:rsidRPr="00F720C0">
        <w:rPr>
          <w:b/>
          <w:bCs/>
          <w:color w:val="000000" w:themeColor="text1"/>
          <w:sz w:val="22"/>
          <w:szCs w:val="22"/>
        </w:rPr>
        <w:fldChar w:fldCharType="end"/>
      </w:r>
      <w:r w:rsidRPr="00F720C0">
        <w:rPr>
          <w:b/>
          <w:bCs/>
          <w:color w:val="000000" w:themeColor="text1"/>
          <w:sz w:val="22"/>
          <w:szCs w:val="22"/>
        </w:rPr>
        <w:t xml:space="preserve">. </w:t>
      </w:r>
      <w:r>
        <w:rPr>
          <w:color w:val="000000" w:themeColor="text1"/>
          <w:sz w:val="22"/>
          <w:szCs w:val="22"/>
        </w:rPr>
        <w:t xml:space="preserve">Professional phagocytes encompass cells such as neutrophils and macrophages, important components of the innate immune system, that are required to take up and destroy foreign material such as pathogens. </w:t>
      </w:r>
      <w:r w:rsidRPr="00F720C0">
        <w:rPr>
          <w:i/>
          <w:iCs/>
          <w:color w:val="auto"/>
          <w:sz w:val="22"/>
          <w:szCs w:val="22"/>
        </w:rPr>
        <w:t xml:space="preserve">S. aureus </w:t>
      </w:r>
      <w:r>
        <w:rPr>
          <w:color w:val="auto"/>
          <w:sz w:val="22"/>
          <w:szCs w:val="22"/>
        </w:rPr>
        <w:t>can</w:t>
      </w:r>
      <w:r w:rsidRPr="00F720C0">
        <w:rPr>
          <w:color w:val="auto"/>
          <w:sz w:val="22"/>
          <w:szCs w:val="22"/>
        </w:rPr>
        <w:t xml:space="preserve"> tolerate </w:t>
      </w:r>
      <w:r>
        <w:rPr>
          <w:color w:val="auto"/>
          <w:sz w:val="22"/>
          <w:szCs w:val="22"/>
        </w:rPr>
        <w:t>the harsh environment of phagocytes,</w:t>
      </w:r>
      <w:r w:rsidRPr="00F720C0">
        <w:rPr>
          <w:color w:val="auto"/>
          <w:sz w:val="22"/>
          <w:szCs w:val="22"/>
        </w:rPr>
        <w:t xml:space="preserve"> whic</w:t>
      </w:r>
      <w:r>
        <w:rPr>
          <w:color w:val="auto"/>
          <w:sz w:val="22"/>
          <w:szCs w:val="22"/>
        </w:rPr>
        <w:t>h</w:t>
      </w:r>
      <w:r w:rsidRPr="00F720C0">
        <w:rPr>
          <w:color w:val="auto"/>
          <w:sz w:val="22"/>
          <w:szCs w:val="22"/>
        </w:rPr>
        <w:t xml:space="preserve"> allow</w:t>
      </w:r>
      <w:r>
        <w:rPr>
          <w:color w:val="auto"/>
          <w:sz w:val="22"/>
          <w:szCs w:val="22"/>
        </w:rPr>
        <w:t>s</w:t>
      </w:r>
      <w:r w:rsidRPr="00F720C0">
        <w:rPr>
          <w:color w:val="auto"/>
          <w:sz w:val="22"/>
          <w:szCs w:val="22"/>
        </w:rPr>
        <w:t xml:space="preserve"> survival and subsequent escape</w:t>
      </w:r>
      <w:r>
        <w:rPr>
          <w:color w:val="auto"/>
          <w:sz w:val="22"/>
          <w:szCs w:val="22"/>
        </w:rPr>
        <w:t xml:space="preserve"> </w:t>
      </w:r>
      <w:r w:rsidRPr="00920146">
        <w:rPr>
          <w:b/>
          <w:bCs/>
          <w:color w:val="auto"/>
          <w:sz w:val="22"/>
          <w:szCs w:val="22"/>
        </w:rPr>
        <w:fldChar w:fldCharType="begin">
          <w:fldData xml:space="preserve">PEVuZE5vdGU+PENpdGU+PEF1dGhvcj5Ib3JuPC9BdXRob3I+PFllYXI+MjAxODwvWWVhcj48SURU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==
</w:fldData>
        </w:fldChar>
      </w:r>
      <w:r w:rsidRPr="00920146">
        <w:rPr>
          <w:b/>
          <w:bCs/>
          <w:color w:val="auto"/>
          <w:sz w:val="22"/>
          <w:szCs w:val="22"/>
        </w:rPr>
        <w:instrText xml:space="preserve"> ADDIN EN.CITE </w:instrText>
      </w:r>
      <w:r w:rsidRPr="00920146">
        <w:rPr>
          <w:b/>
          <w:bCs/>
          <w:color w:val="auto"/>
          <w:sz w:val="22"/>
          <w:szCs w:val="22"/>
        </w:rPr>
        <w:fldChar w:fldCharType="begin">
          <w:fldData xml:space="preserve">PEVuZE5vdGU+PENpdGU+PEF1dGhvcj5Ib3JuPC9BdXRob3I+PFllYXI+MjAxODwvWWVhcj48SURU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==
</w:fldData>
        </w:fldChar>
      </w:r>
      <w:r w:rsidRPr="00920146">
        <w:rPr>
          <w:b/>
          <w:bCs/>
          <w:color w:val="auto"/>
          <w:sz w:val="22"/>
          <w:szCs w:val="22"/>
        </w:rPr>
        <w:instrText xml:space="preserve"> ADDIN EN.CITE.DATA </w:instrText>
      </w:r>
      <w:r w:rsidRPr="00920146">
        <w:rPr>
          <w:b/>
          <w:bCs/>
          <w:color w:val="auto"/>
          <w:sz w:val="22"/>
          <w:szCs w:val="22"/>
        </w:rPr>
      </w:r>
      <w:r w:rsidRPr="00920146">
        <w:rPr>
          <w:b/>
          <w:bCs/>
          <w:color w:val="auto"/>
          <w:sz w:val="22"/>
          <w:szCs w:val="22"/>
        </w:rPr>
        <w:fldChar w:fldCharType="end"/>
      </w:r>
      <w:r w:rsidRPr="00920146">
        <w:rPr>
          <w:b/>
          <w:bCs/>
          <w:color w:val="auto"/>
          <w:sz w:val="22"/>
          <w:szCs w:val="22"/>
        </w:rPr>
      </w:r>
      <w:r w:rsidRPr="00920146">
        <w:rPr>
          <w:b/>
          <w:bCs/>
          <w:color w:val="auto"/>
          <w:sz w:val="22"/>
          <w:szCs w:val="22"/>
        </w:rPr>
        <w:fldChar w:fldCharType="separate"/>
      </w:r>
      <w:r w:rsidRPr="00920146">
        <w:rPr>
          <w:b/>
          <w:bCs/>
          <w:noProof/>
          <w:color w:val="auto"/>
          <w:sz w:val="22"/>
          <w:szCs w:val="22"/>
        </w:rPr>
        <w:t>(Horn et al., 2018; Kubica et al., 2008)</w:t>
      </w:r>
      <w:r w:rsidRPr="00920146">
        <w:rPr>
          <w:b/>
          <w:bCs/>
          <w:color w:val="auto"/>
          <w:sz w:val="22"/>
          <w:szCs w:val="22"/>
        </w:rPr>
        <w:fldChar w:fldCharType="end"/>
      </w:r>
      <w:r w:rsidRPr="00F720C0">
        <w:rPr>
          <w:color w:val="auto"/>
          <w:sz w:val="22"/>
          <w:szCs w:val="22"/>
        </w:rPr>
        <w:t xml:space="preserve">, similar to other intracellular bacteria such as </w:t>
      </w:r>
      <w:r>
        <w:rPr>
          <w:i/>
          <w:iCs/>
          <w:color w:val="auto"/>
          <w:sz w:val="22"/>
          <w:szCs w:val="22"/>
        </w:rPr>
        <w:t xml:space="preserve">S. </w:t>
      </w:r>
      <w:r>
        <w:rPr>
          <w:color w:val="auto"/>
          <w:sz w:val="22"/>
          <w:szCs w:val="22"/>
        </w:rPr>
        <w:t>Typhi</w:t>
      </w:r>
      <w:r w:rsidRPr="00F720C0">
        <w:rPr>
          <w:i/>
          <w:iCs/>
          <w:color w:val="auto"/>
          <w:sz w:val="22"/>
          <w:szCs w:val="22"/>
        </w:rPr>
        <w:t xml:space="preserve"> </w:t>
      </w:r>
      <w:r w:rsidRPr="00F720C0">
        <w:rPr>
          <w:color w:val="auto"/>
          <w:sz w:val="22"/>
          <w:szCs w:val="22"/>
        </w:rPr>
        <w:t xml:space="preserve">and </w:t>
      </w:r>
      <w:r w:rsidRPr="00F720C0">
        <w:rPr>
          <w:i/>
          <w:iCs/>
          <w:color w:val="auto"/>
          <w:sz w:val="22"/>
          <w:szCs w:val="22"/>
        </w:rPr>
        <w:t>L</w:t>
      </w:r>
      <w:r>
        <w:rPr>
          <w:i/>
          <w:iCs/>
          <w:color w:val="auto"/>
          <w:sz w:val="22"/>
          <w:szCs w:val="22"/>
        </w:rPr>
        <w:t>.</w:t>
      </w:r>
      <w:r w:rsidRPr="00F720C0">
        <w:rPr>
          <w:i/>
          <w:iCs/>
          <w:color w:val="auto"/>
          <w:sz w:val="22"/>
          <w:szCs w:val="22"/>
        </w:rPr>
        <w:t xml:space="preserve"> monocytogenes</w:t>
      </w:r>
      <w:r w:rsidRPr="00F720C0">
        <w:rPr>
          <w:color w:val="auto"/>
          <w:sz w:val="22"/>
          <w:szCs w:val="22"/>
        </w:rPr>
        <w:t xml:space="preserve">. </w:t>
      </w:r>
      <w:r>
        <w:rPr>
          <w:color w:val="auto"/>
          <w:sz w:val="22"/>
          <w:szCs w:val="22"/>
        </w:rPr>
        <w:t xml:space="preserve">In this section, the role of neutrophils and macrophages are described and their contribution in the defence against </w:t>
      </w:r>
      <w:r>
        <w:rPr>
          <w:i/>
          <w:iCs/>
          <w:color w:val="auto"/>
          <w:sz w:val="22"/>
          <w:szCs w:val="22"/>
        </w:rPr>
        <w:t xml:space="preserve">S. aureus </w:t>
      </w:r>
      <w:r>
        <w:rPr>
          <w:color w:val="auto"/>
          <w:sz w:val="22"/>
          <w:szCs w:val="22"/>
        </w:rPr>
        <w:t>will be discussed.</w:t>
      </w:r>
    </w:p>
    <w:p w14:paraId="0F9E9218" w14:textId="77777777" w:rsidR="00033564" w:rsidRPr="00462547" w:rsidRDefault="00033564" w:rsidP="00033564">
      <w:pPr>
        <w:pStyle w:val="Default"/>
        <w:spacing w:line="360" w:lineRule="auto"/>
        <w:jc w:val="both"/>
        <w:rPr>
          <w:color w:val="000000" w:themeColor="text1"/>
          <w:sz w:val="22"/>
          <w:szCs w:val="22"/>
        </w:rPr>
      </w:pPr>
    </w:p>
    <w:p w14:paraId="51575BAA" w14:textId="77777777" w:rsidR="00033564" w:rsidRDefault="00033564" w:rsidP="00033564">
      <w:pPr>
        <w:pStyle w:val="Heading3"/>
        <w:rPr>
          <w:i/>
          <w:iCs/>
        </w:rPr>
      </w:pPr>
      <w:bookmarkStart w:id="39" w:name="_Toc142043576"/>
      <w:r>
        <w:t>1.3.1. The functions of neutrophils and macrophages</w:t>
      </w:r>
      <w:bookmarkEnd w:id="39"/>
      <w:r>
        <w:t xml:space="preserve"> </w:t>
      </w:r>
    </w:p>
    <w:p w14:paraId="1F646466" w14:textId="77777777" w:rsidR="00033564" w:rsidRDefault="00033564" w:rsidP="00033564">
      <w:pPr>
        <w:pStyle w:val="Default"/>
        <w:spacing w:line="360" w:lineRule="auto"/>
        <w:jc w:val="both"/>
        <w:rPr>
          <w:color w:val="auto"/>
          <w:sz w:val="22"/>
          <w:szCs w:val="22"/>
        </w:rPr>
      </w:pPr>
    </w:p>
    <w:p w14:paraId="696C5626" w14:textId="0AD33F85" w:rsidR="00033564" w:rsidRDefault="00033564" w:rsidP="00033564">
      <w:pPr>
        <w:pStyle w:val="Default"/>
        <w:spacing w:line="360" w:lineRule="auto"/>
        <w:jc w:val="both"/>
        <w:rPr>
          <w:color w:val="auto"/>
          <w:sz w:val="22"/>
          <w:szCs w:val="22"/>
        </w:rPr>
      </w:pPr>
      <w:r>
        <w:rPr>
          <w:color w:val="auto"/>
          <w:sz w:val="22"/>
          <w:szCs w:val="22"/>
        </w:rPr>
        <w:t xml:space="preserve">Phagocytic cells were first reported in 1875 by William Osler where he visualised the uptake of carbon particles by alveolar macrophages </w:t>
      </w:r>
      <w:r w:rsidRPr="00CA62EC">
        <w:rPr>
          <w:b/>
          <w:bCs/>
          <w:color w:val="auto"/>
          <w:sz w:val="22"/>
          <w:szCs w:val="22"/>
        </w:rPr>
        <w:fldChar w:fldCharType="begin"/>
      </w:r>
      <w:r w:rsidRPr="00CA62EC">
        <w:rPr>
          <w:b/>
          <w:bCs/>
          <w:color w:val="auto"/>
          <w:sz w:val="22"/>
          <w:szCs w:val="22"/>
        </w:rPr>
        <w:instrText xml:space="preserve"> ADDIN EN.CITE &lt;EndNote&gt;&lt;Cite&gt;&lt;Author&gt;Ambrose&lt;/Author&gt;&lt;Year&gt;2006&lt;/Year&gt;&lt;IDText&gt;The Osler slide, a demonstration of phagocytosis from 1876 Reports of phagocytosis before Metchnikoff&amp;apos;s 1880 paper&lt;/IDText&gt;&lt;DisplayText&gt;(Ambrose, 2006)&lt;/DisplayText&gt;&lt;record&gt;&lt;dates&gt;&lt;pub-dates&gt;&lt;date&gt;Mar&lt;/date&gt;&lt;/pub-dates&gt;&lt;year&gt;2006&lt;/year&gt;&lt;/dates&gt;&lt;urls&gt;&lt;related-urls&gt;&lt;url&gt;&amp;lt;Go to ISI&amp;gt;://WOS:000240486100001&lt;/url&gt;&lt;/related-urls&gt;&lt;/urls&gt;&lt;isbn&gt;0008-8749&lt;/isbn&gt;&lt;work-type&gt;Article&lt;/work-type&gt;&lt;titles&gt;&lt;title&gt;The Osler slide, a demonstration of phagocytosis from 1876 Reports of phagocytosis before Metchnikoff&amp;apos;s 1880 paper&lt;/title&gt;&lt;secondary-title&gt;Cellular Immunology&lt;/secondary-title&gt;&lt;/titles&gt;&lt;pages&gt;1-4&lt;/pages&gt;&lt;number&gt;1&lt;/number&gt;&lt;contributors&gt;&lt;authors&gt;&lt;author&gt;Ambrose, Charles T.&lt;/author&gt;&lt;/authors&gt;&lt;/contributors&gt;&lt;added-date format="utc"&gt;1676763208&lt;/added-date&gt;&lt;ref-type name="Journal Article"&gt;17&lt;/ref-type&gt;&lt;rec-number&gt;404&lt;/rec-number&gt;&lt;last-updated-date format="utc"&gt;1676763208&lt;/last-updated-date&gt;&lt;accession-num&gt;WOS:000240486100001&lt;/accession-num&gt;&lt;electronic-resource-num&gt;10.1016/j.cellimm.2006.05.008&lt;/electronic-resource-num&gt;&lt;volume&gt;240&lt;/volume&gt;&lt;/record&gt;&lt;/Cite&gt;&lt;/EndNote&gt;</w:instrText>
      </w:r>
      <w:r w:rsidRPr="00CA62EC">
        <w:rPr>
          <w:b/>
          <w:bCs/>
          <w:color w:val="auto"/>
          <w:sz w:val="22"/>
          <w:szCs w:val="22"/>
        </w:rPr>
        <w:fldChar w:fldCharType="separate"/>
      </w:r>
      <w:r w:rsidRPr="00CA62EC">
        <w:rPr>
          <w:b/>
          <w:bCs/>
          <w:noProof/>
          <w:color w:val="auto"/>
          <w:sz w:val="22"/>
          <w:szCs w:val="22"/>
        </w:rPr>
        <w:t>(Ambrose, 2006)</w:t>
      </w:r>
      <w:r w:rsidRPr="00CA62EC">
        <w:rPr>
          <w:b/>
          <w:bCs/>
          <w:color w:val="auto"/>
          <w:sz w:val="22"/>
          <w:szCs w:val="22"/>
        </w:rPr>
        <w:fldChar w:fldCharType="end"/>
      </w:r>
      <w:r>
        <w:rPr>
          <w:color w:val="auto"/>
          <w:sz w:val="22"/>
          <w:szCs w:val="22"/>
        </w:rPr>
        <w:t xml:space="preserve">. This phenomenon was then extensively studied by Ilya Metchnikoff for which he shared a Nobel Prize with Paul Ehrlich </w:t>
      </w:r>
      <w:r w:rsidRPr="00CA62EC">
        <w:rPr>
          <w:b/>
          <w:bCs/>
          <w:color w:val="auto"/>
          <w:sz w:val="22"/>
          <w:szCs w:val="22"/>
        </w:rPr>
        <w:fldChar w:fldCharType="begin"/>
      </w:r>
      <w:r w:rsidRPr="00CA62EC">
        <w:rPr>
          <w:b/>
          <w:bCs/>
          <w:color w:val="auto"/>
          <w:sz w:val="22"/>
          <w:szCs w:val="22"/>
        </w:rPr>
        <w:instrText xml:space="preserve"> ADDIN EN.CITE &lt;EndNote&gt;&lt;Cite&gt;&lt;Author&gt;Tauber&lt;/Author&gt;&lt;Year&gt;2003&lt;/Year&gt;&lt;IDText&gt;Metchnikoff and the phagocytosis theory&lt;/IDText&gt;&lt;DisplayText&gt;(Tauber, 2003)&lt;/DisplayText&gt;&lt;record&gt;&lt;dates&gt;&lt;pub-dates&gt;&lt;date&gt;Nov&lt;/date&gt;&lt;/pub-dates&gt;&lt;year&gt;2003&lt;/year&gt;&lt;/dates&gt;&lt;urls&gt;&lt;related-urls&gt;&lt;url&gt;&amp;lt;Go to ISI&amp;gt;://WOS:000186359800018&lt;/url&gt;&lt;/related-urls&gt;&lt;/urls&gt;&lt;isbn&gt;1471-0072&lt;/isbn&gt;&lt;work-type&gt;Biographical-Item&lt;/work-type&gt;&lt;titles&gt;&lt;title&gt;Metchnikoff and the phagocytosis theory&lt;/title&gt;&lt;secondary-title&gt;Nature Reviews Molecular Cell Biology&lt;/secondary-title&gt;&lt;/titles&gt;&lt;pages&gt;897-901&lt;/pages&gt;&lt;number&gt;11&lt;/number&gt;&lt;contributors&gt;&lt;authors&gt;&lt;author&gt;Tauber, A. I.&lt;/author&gt;&lt;/authors&gt;&lt;/contributors&gt;&lt;added-date format="utc"&gt;1676763380&lt;/added-date&gt;&lt;ref-type name="Journal Article"&gt;17&lt;/ref-type&gt;&lt;rec-number&gt;405&lt;/rec-number&gt;&lt;last-updated-date format="utc"&gt;1676763380&lt;/last-updated-date&gt;&lt;accession-num&gt;WOS:000186359800018&lt;/accession-num&gt;&lt;electronic-resource-num&gt;10.1038/nrm1244&lt;/electronic-resource-num&gt;&lt;volume&gt;4&lt;/volume&gt;&lt;/record&gt;&lt;/Cite&gt;&lt;/EndNote&gt;</w:instrText>
      </w:r>
      <w:r w:rsidRPr="00CA62EC">
        <w:rPr>
          <w:b/>
          <w:bCs/>
          <w:color w:val="auto"/>
          <w:sz w:val="22"/>
          <w:szCs w:val="22"/>
        </w:rPr>
        <w:fldChar w:fldCharType="separate"/>
      </w:r>
      <w:r w:rsidRPr="00CA62EC">
        <w:rPr>
          <w:b/>
          <w:bCs/>
          <w:noProof/>
          <w:color w:val="auto"/>
          <w:sz w:val="22"/>
          <w:szCs w:val="22"/>
        </w:rPr>
        <w:t>(Tauber, 2003)</w:t>
      </w:r>
      <w:r w:rsidRPr="00CA62EC">
        <w:rPr>
          <w:b/>
          <w:bCs/>
          <w:color w:val="auto"/>
          <w:sz w:val="22"/>
          <w:szCs w:val="22"/>
        </w:rPr>
        <w:fldChar w:fldCharType="end"/>
      </w:r>
      <w:r>
        <w:rPr>
          <w:color w:val="auto"/>
          <w:sz w:val="22"/>
          <w:szCs w:val="22"/>
        </w:rPr>
        <w:t>. Pluripotent haematopoietic stem cells (HSCs) in the bone marrow differentiate into either the myeloid or lymphoid progenitor. Cells of the myeloid progenitor that contribute to the innate immune system include the granulocytes: basophils, eosinophils, mast cells and neutrophils</w:t>
      </w:r>
      <w:r w:rsidR="00270331">
        <w:rPr>
          <w:color w:val="auto"/>
          <w:sz w:val="22"/>
          <w:szCs w:val="22"/>
        </w:rPr>
        <w:t>,</w:t>
      </w:r>
      <w:r>
        <w:rPr>
          <w:color w:val="auto"/>
          <w:sz w:val="22"/>
          <w:szCs w:val="22"/>
        </w:rPr>
        <w:t xml:space="preserve"> and the agranulocytes: monocytes/macrophages and dendritic cells </w:t>
      </w:r>
      <w:r w:rsidRPr="002D06A6">
        <w:rPr>
          <w:b/>
          <w:bCs/>
          <w:color w:val="auto"/>
          <w:sz w:val="22"/>
          <w:szCs w:val="22"/>
        </w:rPr>
        <w:fldChar w:fldCharType="begin"/>
      </w:r>
      <w:r w:rsidRPr="002D06A6">
        <w:rPr>
          <w:b/>
          <w:bCs/>
          <w:color w:val="auto"/>
          <w:sz w:val="22"/>
          <w:szCs w:val="22"/>
        </w:rPr>
        <w:instrText xml:space="preserve"> ADDIN EN.CITE &lt;EndNote&gt;&lt;Cite&gt;&lt;Author&gt;De Kleer&lt;/Author&gt;&lt;Year&gt;2014&lt;/Year&gt;&lt;IDText&gt;Ontogeny of myeloid cells&lt;/IDText&gt;&lt;DisplayText&gt;(De Kleer&lt;style face="italic"&gt; et al.&lt;/style&gt;, 2014)&lt;/DisplayText&gt;&lt;record&gt;&lt;dates&gt;&lt;pub-dates&gt;&lt;date&gt;Sep 3&lt;/date&gt;&lt;/pub-dates&gt;&lt;year&gt;2014&lt;/year&gt;&lt;/dates&gt;&lt;urls&gt;&lt;related-urls&gt;&lt;url&gt;&amp;lt;Go to ISI&amp;gt;://WOS:000354441900001&lt;/url&gt;&lt;/related-urls&gt;&lt;/urls&gt;&lt;isbn&gt;1664-3224&lt;/isbn&gt;&lt;work-type&gt;Review&lt;/work-type&gt;&lt;titles&gt;&lt;title&gt;Ontogeny of myeloid cells&lt;/title&gt;&lt;secondary-title&gt;Frontiers in Immunology&lt;/secondary-title&gt;&lt;/titles&gt;&lt;contributors&gt;&lt;authors&gt;&lt;author&gt;De Kleer, Isme&lt;/author&gt;&lt;author&gt;Willems, Fabienne&lt;/author&gt;&lt;author&gt;Lambrecht, Bart&lt;/author&gt;&lt;author&gt;Goriely, Stanislas&lt;/author&gt;&lt;/authors&gt;&lt;/contributors&gt;&lt;custom7&gt;423&lt;/custom7&gt;&lt;added-date format="utc"&gt;1676839387&lt;/added-date&gt;&lt;ref-type name="Journal Article"&gt;17&lt;/ref-type&gt;&lt;rec-number&gt;409&lt;/rec-number&gt;&lt;last-updated-date format="utc"&gt;1676839387&lt;/last-updated-date&gt;&lt;accession-num&gt;WOS:000354441900001&lt;/accession-num&gt;&lt;electronic-resource-num&gt;10.3389/fimmu.2014.00423&lt;/electronic-resource-num&gt;&lt;volume&gt;5&lt;/volume&gt;&lt;/record&gt;&lt;/Cite&gt;&lt;/EndNote&gt;</w:instrText>
      </w:r>
      <w:r w:rsidRPr="002D06A6">
        <w:rPr>
          <w:b/>
          <w:bCs/>
          <w:color w:val="auto"/>
          <w:sz w:val="22"/>
          <w:szCs w:val="22"/>
        </w:rPr>
        <w:fldChar w:fldCharType="separate"/>
      </w:r>
      <w:r w:rsidRPr="002D06A6">
        <w:rPr>
          <w:b/>
          <w:bCs/>
          <w:noProof/>
          <w:color w:val="auto"/>
          <w:sz w:val="22"/>
          <w:szCs w:val="22"/>
        </w:rPr>
        <w:t>(De Kleer</w:t>
      </w:r>
      <w:r w:rsidRPr="002D06A6">
        <w:rPr>
          <w:b/>
          <w:bCs/>
          <w:i/>
          <w:noProof/>
          <w:color w:val="auto"/>
          <w:sz w:val="22"/>
          <w:szCs w:val="22"/>
        </w:rPr>
        <w:t xml:space="preserve"> et al.</w:t>
      </w:r>
      <w:r w:rsidRPr="002D06A6">
        <w:rPr>
          <w:b/>
          <w:bCs/>
          <w:noProof/>
          <w:color w:val="auto"/>
          <w:sz w:val="22"/>
          <w:szCs w:val="22"/>
        </w:rPr>
        <w:t>, 2014)</w:t>
      </w:r>
      <w:r w:rsidRPr="002D06A6">
        <w:rPr>
          <w:b/>
          <w:bCs/>
          <w:color w:val="auto"/>
          <w:sz w:val="22"/>
          <w:szCs w:val="22"/>
        </w:rPr>
        <w:fldChar w:fldCharType="end"/>
      </w:r>
      <w:r>
        <w:rPr>
          <w:color w:val="auto"/>
          <w:sz w:val="22"/>
          <w:szCs w:val="22"/>
        </w:rPr>
        <w:t xml:space="preserve">. Of these cells, neutrophils, macrophages/monocytes, dendritic and mast cells comprise the professional phagocytes. These innate immune effector cells are </w:t>
      </w:r>
      <w:r w:rsidR="0089521A">
        <w:rPr>
          <w:color w:val="auto"/>
          <w:sz w:val="22"/>
          <w:szCs w:val="22"/>
        </w:rPr>
        <w:t>able to actively</w:t>
      </w:r>
      <w:r>
        <w:rPr>
          <w:color w:val="auto"/>
          <w:sz w:val="22"/>
          <w:szCs w:val="22"/>
        </w:rPr>
        <w:t xml:space="preserve"> detect and ingest pathogens in order to eliminate threats to the host and thus, form an important first line of defence. </w:t>
      </w:r>
    </w:p>
    <w:p w14:paraId="7C31D960" w14:textId="77777777" w:rsidR="00033564" w:rsidRDefault="00033564" w:rsidP="00033564">
      <w:pPr>
        <w:pStyle w:val="Default"/>
        <w:spacing w:line="360" w:lineRule="auto"/>
        <w:jc w:val="both"/>
        <w:rPr>
          <w:color w:val="auto"/>
          <w:sz w:val="22"/>
          <w:szCs w:val="22"/>
        </w:rPr>
      </w:pPr>
    </w:p>
    <w:p w14:paraId="1F6D3575" w14:textId="77777777" w:rsidR="00033564" w:rsidRPr="00DA4AC3" w:rsidRDefault="00033564" w:rsidP="00033564">
      <w:pPr>
        <w:pStyle w:val="Heading4"/>
      </w:pPr>
      <w:r>
        <w:t>1.3.1.1. Neutrophils</w:t>
      </w:r>
    </w:p>
    <w:p w14:paraId="3BA88D77" w14:textId="77777777" w:rsidR="00033564" w:rsidRDefault="00033564" w:rsidP="00033564">
      <w:pPr>
        <w:pStyle w:val="Default"/>
        <w:spacing w:line="360" w:lineRule="auto"/>
        <w:jc w:val="both"/>
        <w:rPr>
          <w:color w:val="auto"/>
          <w:sz w:val="22"/>
          <w:szCs w:val="22"/>
        </w:rPr>
      </w:pPr>
    </w:p>
    <w:p w14:paraId="4C47DE67" w14:textId="77777777" w:rsidR="00033564" w:rsidRDefault="00033564" w:rsidP="00033564">
      <w:pPr>
        <w:pStyle w:val="Default"/>
        <w:spacing w:line="360" w:lineRule="auto"/>
        <w:jc w:val="both"/>
        <w:rPr>
          <w:color w:val="auto"/>
          <w:sz w:val="22"/>
          <w:szCs w:val="22"/>
        </w:rPr>
      </w:pPr>
      <w:r>
        <w:rPr>
          <w:color w:val="auto"/>
          <w:sz w:val="22"/>
          <w:szCs w:val="22"/>
        </w:rPr>
        <w:tab/>
        <w:t>Neutrophils, also known as polymorphonuclear leukocytes (PMNs) are the most abundant circulating phagocyte</w:t>
      </w:r>
      <w:r w:rsidRPr="00CF3A08">
        <w:rPr>
          <w:b/>
          <w:bCs/>
          <w:color w:val="auto"/>
          <w:sz w:val="22"/>
          <w:szCs w:val="22"/>
        </w:rPr>
        <w:t xml:space="preserve"> </w:t>
      </w:r>
      <w:r w:rsidRPr="00CF3A08">
        <w:rPr>
          <w:b/>
          <w:bCs/>
          <w:color w:val="auto"/>
          <w:sz w:val="22"/>
          <w:szCs w:val="22"/>
        </w:rPr>
        <w:fldChar w:fldCharType="begin"/>
      </w:r>
      <w:r w:rsidRPr="00CF3A08">
        <w:rPr>
          <w:b/>
          <w:bCs/>
          <w:color w:val="auto"/>
          <w:sz w:val="22"/>
          <w:szCs w:val="22"/>
        </w:rPr>
        <w:instrText xml:space="preserve"> ADDIN EN.CITE &lt;EndNote&gt;&lt;Cite&gt;&lt;Author&gt;McGuinness&lt;/Author&gt;&lt;Year&gt;2016&lt;/Year&gt;&lt;IDText&gt;Evasion of Neutrophil Killing by Staphylococcus aureus&lt;/IDText&gt;&lt;DisplayText&gt;(McGuinness, Kobayashi and DeLeo, 2016)&lt;/DisplayText&gt;&lt;record&gt;&lt;dates&gt;&lt;pub-dates&gt;&lt;date&gt;Mar&lt;/date&gt;&lt;/pub-dates&gt;&lt;year&gt;2016&lt;/year&gt;&lt;/dates&gt;&lt;urls&gt;&lt;related-urls&gt;&lt;url&gt;&amp;lt;Go to ISI&amp;gt;://WOS:000373680700003&lt;/url&gt;&lt;/related-urls&gt;&lt;/urls&gt;&lt;work-type&gt;Review&lt;/work-type&gt;&lt;titles&gt;&lt;title&gt;Evasion of Neutrophil Killing by Staphylococcus aureus&lt;/title&gt;&lt;secondary-title&gt;Pathogens&lt;/secondary-title&gt;&lt;/titles&gt;&lt;number&gt;1&lt;/number&gt;&lt;contributors&gt;&lt;authors&gt;&lt;author&gt;McGuinness, Will A.&lt;/author&gt;&lt;author&gt;Kobayashi, Scott D.&lt;/author&gt;&lt;author&gt;DeLeo, Frank R.&lt;/author&gt;&lt;/authors&gt;&lt;/contributors&gt;&lt;custom7&gt;32&lt;/custom7&gt;&lt;added-date format="utc"&gt;1676766868&lt;/added-date&gt;&lt;ref-type name="Journal Article"&gt;17&lt;/ref-type&gt;&lt;rec-number&gt;406&lt;/rec-number&gt;&lt;last-updated-date format="utc"&gt;1676766868&lt;/last-updated-date&gt;&lt;accession-num&gt;WOS:000373680700003&lt;/accession-num&gt;&lt;electronic-resource-num&gt;10.3390/pathogens5010032&lt;/electronic-resource-num&gt;&lt;volume&gt;5&lt;/volume&gt;&lt;/record&gt;&lt;/Cite&gt;&lt;/EndNote&gt;</w:instrText>
      </w:r>
      <w:r w:rsidRPr="00CF3A08">
        <w:rPr>
          <w:b/>
          <w:bCs/>
          <w:color w:val="auto"/>
          <w:sz w:val="22"/>
          <w:szCs w:val="22"/>
        </w:rPr>
        <w:fldChar w:fldCharType="separate"/>
      </w:r>
      <w:r w:rsidRPr="00CF3A08">
        <w:rPr>
          <w:b/>
          <w:bCs/>
          <w:noProof/>
          <w:color w:val="auto"/>
          <w:sz w:val="22"/>
          <w:szCs w:val="22"/>
        </w:rPr>
        <w:t>(McGuinness, Kobayashi and DeLeo, 2016)</w:t>
      </w:r>
      <w:r w:rsidRPr="00CF3A08">
        <w:rPr>
          <w:b/>
          <w:bCs/>
          <w:color w:val="auto"/>
          <w:sz w:val="22"/>
          <w:szCs w:val="22"/>
        </w:rPr>
        <w:fldChar w:fldCharType="end"/>
      </w:r>
      <w:r>
        <w:rPr>
          <w:color w:val="auto"/>
          <w:sz w:val="22"/>
          <w:szCs w:val="22"/>
        </w:rPr>
        <w:t xml:space="preserve">. Due to their abundance, neutrophils are typically the first immune cell that a pathogen will encounter. Neutrophils are produced in the bone marrow and subsequently enter the peripheral vasculature for approximately 6-12 hours </w:t>
      </w:r>
      <w:r w:rsidRPr="006B6B18">
        <w:rPr>
          <w:b/>
          <w:bCs/>
          <w:color w:val="auto"/>
          <w:sz w:val="22"/>
          <w:szCs w:val="22"/>
        </w:rPr>
        <w:fldChar w:fldCharType="begin"/>
      </w:r>
      <w:r w:rsidRPr="006B6B18">
        <w:rPr>
          <w:b/>
          <w:bCs/>
          <w:color w:val="auto"/>
          <w:sz w:val="22"/>
          <w:szCs w:val="22"/>
        </w:rPr>
        <w:instrText xml:space="preserve"> ADDIN EN.CITE &lt;EndNote&gt;&lt;Cite&gt;&lt;Author&gt;Summers&lt;/Author&gt;&lt;Year&gt;2010&lt;/Year&gt;&lt;IDText&gt;Neutrophil kinetics in health and disease&lt;/IDText&gt;&lt;DisplayText&gt;(Summers&lt;style face="italic"&gt; et al.&lt;/style&gt;, 2010)&lt;/DisplayText&gt;&lt;record&gt;&lt;dates&gt;&lt;pub-dates&gt;&lt;date&gt;Aug&lt;/date&gt;&lt;/pub-dates&gt;&lt;year&gt;2010&lt;/year&gt;&lt;/dates&gt;&lt;urls&gt;&lt;related-urls&gt;&lt;url&gt;&amp;lt;Go to ISI&amp;gt;://WOS:000281177300005&lt;/url&gt;&lt;/related-urls&gt;&lt;/urls&gt;&lt;isbn&gt;1471-4906&lt;/isbn&gt;&lt;work-type&gt;Review&lt;/work-type&gt;&lt;titles&gt;&lt;title&gt;Neutrophil kinetics in health and disease&lt;/title&gt;&lt;secondary-title&gt;Trends in Immunology&lt;/secondary-title&gt;&lt;/titles&gt;&lt;pages&gt;318-324&lt;/pages&gt;&lt;number&gt;8&lt;/number&gt;&lt;contributors&gt;&lt;authors&gt;&lt;author&gt;Summers, Charlotte&lt;/author&gt;&lt;author&gt;Rankin, Sara M.&lt;/author&gt;&lt;author&gt;Condliffe, Alison M.&lt;/author&gt;&lt;author&gt;Singh, Nanak&lt;/author&gt;&lt;author&gt;Peters, A. Michael&lt;/author&gt;&lt;author&gt;Chilvers, Edwin R.&lt;/author&gt;&lt;/authors&gt;&lt;/contributors&gt;&lt;added-date format="utc"&gt;1676843539&lt;/added-date&gt;&lt;ref-type name="Journal Article"&gt;17&lt;/ref-type&gt;&lt;rec-number&gt;412&lt;/rec-number&gt;&lt;last-updated-date format="utc"&gt;1676843539&lt;/last-updated-date&gt;&lt;accession-num&gt;WOS:000281177300005&lt;/accession-num&gt;&lt;electronic-resource-num&gt;10.1016/j.it.2010.05.006&lt;/electronic-resource-num&gt;&lt;volume&gt;31&lt;/volume&gt;&lt;/record&gt;&lt;/Cite&gt;&lt;/EndNote&gt;</w:instrText>
      </w:r>
      <w:r w:rsidRPr="006B6B18">
        <w:rPr>
          <w:b/>
          <w:bCs/>
          <w:color w:val="auto"/>
          <w:sz w:val="22"/>
          <w:szCs w:val="22"/>
        </w:rPr>
        <w:fldChar w:fldCharType="separate"/>
      </w:r>
      <w:r w:rsidRPr="006B6B18">
        <w:rPr>
          <w:b/>
          <w:bCs/>
          <w:noProof/>
          <w:color w:val="auto"/>
          <w:sz w:val="22"/>
          <w:szCs w:val="22"/>
        </w:rPr>
        <w:t>(Summers</w:t>
      </w:r>
      <w:r w:rsidRPr="006B6B18">
        <w:rPr>
          <w:b/>
          <w:bCs/>
          <w:i/>
          <w:noProof/>
          <w:color w:val="auto"/>
          <w:sz w:val="22"/>
          <w:szCs w:val="22"/>
        </w:rPr>
        <w:t xml:space="preserve"> et al.</w:t>
      </w:r>
      <w:r w:rsidRPr="006B6B18">
        <w:rPr>
          <w:b/>
          <w:bCs/>
          <w:noProof/>
          <w:color w:val="auto"/>
          <w:sz w:val="22"/>
          <w:szCs w:val="22"/>
        </w:rPr>
        <w:t>, 2010)</w:t>
      </w:r>
      <w:r w:rsidRPr="006B6B18">
        <w:rPr>
          <w:b/>
          <w:bCs/>
          <w:color w:val="auto"/>
          <w:sz w:val="22"/>
          <w:szCs w:val="22"/>
        </w:rPr>
        <w:fldChar w:fldCharType="end"/>
      </w:r>
      <w:r>
        <w:rPr>
          <w:color w:val="auto"/>
          <w:sz w:val="22"/>
          <w:szCs w:val="22"/>
        </w:rPr>
        <w:t xml:space="preserve"> before they are recruited to tissues when required. They are short-lived cells and it has been suggested that the neutrophil half-life is approximately 24 hours </w:t>
      </w:r>
      <w:r w:rsidRPr="007C6D75">
        <w:rPr>
          <w:b/>
          <w:bCs/>
          <w:color w:val="auto"/>
          <w:sz w:val="22"/>
          <w:szCs w:val="22"/>
        </w:rPr>
        <w:fldChar w:fldCharType="begin"/>
      </w:r>
      <w:r w:rsidRPr="007C6D75">
        <w:rPr>
          <w:b/>
          <w:bCs/>
          <w:color w:val="auto"/>
          <w:sz w:val="22"/>
          <w:szCs w:val="22"/>
        </w:rPr>
        <w:instrText xml:space="preserve"> ADDIN EN.CITE &lt;EndNote&gt;&lt;Cite&gt;&lt;Author&gt;Lahoz-Beneytez&lt;/Author&gt;&lt;Year&gt;2016&lt;/Year&gt;&lt;IDText&gt;Human neutrophil kinetics: modeling of stable isotope labeling data supports short blood neutrophil half-lives&lt;/IDText&gt;&lt;DisplayText&gt;(Lahoz-Beneytez&lt;style face="italic"&gt; et al.&lt;/style&gt;, 2016)&lt;/DisplayText&gt;&lt;record&gt;&lt;dates&gt;&lt;pub-dates&gt;&lt;date&gt;Jun 30&lt;/date&gt;&lt;/pub-dates&gt;&lt;year&gt;2016&lt;/year&gt;&lt;/dates&gt;&lt;urls&gt;&lt;related-urls&gt;&lt;url&gt;&amp;lt;Go to ISI&amp;gt;://WOS:000379248500019&lt;/url&gt;&lt;/related-urls&gt;&lt;/urls&gt;&lt;isbn&gt;0006-4971&lt;/isbn&gt;&lt;work-type&gt;Article&lt;/work-type&gt;&lt;titles&gt;&lt;title&gt;Human neutrophil kinetics: modeling of stable isotope labeling data supports short blood neutrophil half-lives&lt;/title&gt;&lt;secondary-title&gt;Blood&lt;/secondary-title&gt;&lt;/titles&gt;&lt;pages&gt;3431-3438&lt;/pages&gt;&lt;number&gt;26&lt;/number&gt;&lt;contributors&gt;&lt;authors&gt;&lt;author&gt;Lahoz-Beneytez, Julio&lt;/author&gt;&lt;author&gt;Elemans, Marjet&lt;/author&gt;&lt;author&gt;Zhang, Yan&lt;/author&gt;&lt;author&gt;Ahmed, Raya&lt;/author&gt;&lt;author&gt;Salam, Arafa&lt;/author&gt;&lt;author&gt;Block, Michael&lt;/author&gt;&lt;author&gt;Niederalt, Christoph&lt;/author&gt;&lt;author&gt;Asquith, Becca&lt;/author&gt;&lt;author&gt;Macallan, Derek&lt;/author&gt;&lt;/authors&gt;&lt;/contributors&gt;&lt;added-date format="utc"&gt;1676844236&lt;/added-date&gt;&lt;ref-type name="Journal Article"&gt;17&lt;/ref-type&gt;&lt;rec-number&gt;413&lt;/rec-number&gt;&lt;last-updated-date format="utc"&gt;1676844236&lt;/last-updated-date&gt;&lt;accession-num&gt;WOS:000379248500019&lt;/accession-num&gt;&lt;electronic-resource-num&gt;10.1182/blood-2016-03-700336&lt;/electronic-resource-num&gt;&lt;volume&gt;127&lt;/volume&gt;&lt;/record&gt;&lt;/Cite&gt;&lt;/EndNote&gt;</w:instrText>
      </w:r>
      <w:r w:rsidRPr="007C6D75">
        <w:rPr>
          <w:b/>
          <w:bCs/>
          <w:color w:val="auto"/>
          <w:sz w:val="22"/>
          <w:szCs w:val="22"/>
        </w:rPr>
        <w:fldChar w:fldCharType="separate"/>
      </w:r>
      <w:r w:rsidRPr="007C6D75">
        <w:rPr>
          <w:b/>
          <w:bCs/>
          <w:noProof/>
          <w:color w:val="auto"/>
          <w:sz w:val="22"/>
          <w:szCs w:val="22"/>
        </w:rPr>
        <w:t>(Lahoz-Beneytez</w:t>
      </w:r>
      <w:r w:rsidRPr="007C6D75">
        <w:rPr>
          <w:b/>
          <w:bCs/>
          <w:i/>
          <w:noProof/>
          <w:color w:val="auto"/>
          <w:sz w:val="22"/>
          <w:szCs w:val="22"/>
        </w:rPr>
        <w:t xml:space="preserve"> et al.</w:t>
      </w:r>
      <w:r w:rsidRPr="007C6D75">
        <w:rPr>
          <w:b/>
          <w:bCs/>
          <w:noProof/>
          <w:color w:val="auto"/>
          <w:sz w:val="22"/>
          <w:szCs w:val="22"/>
        </w:rPr>
        <w:t>, 2016)</w:t>
      </w:r>
      <w:r w:rsidRPr="007C6D75">
        <w:rPr>
          <w:b/>
          <w:bCs/>
          <w:color w:val="auto"/>
          <w:sz w:val="22"/>
          <w:szCs w:val="22"/>
        </w:rPr>
        <w:fldChar w:fldCharType="end"/>
      </w:r>
      <w:r>
        <w:rPr>
          <w:b/>
          <w:bCs/>
          <w:color w:val="auto"/>
          <w:sz w:val="22"/>
          <w:szCs w:val="22"/>
        </w:rPr>
        <w:t xml:space="preserve">. </w:t>
      </w:r>
      <w:r>
        <w:rPr>
          <w:color w:val="auto"/>
          <w:sz w:val="22"/>
          <w:szCs w:val="22"/>
        </w:rPr>
        <w:t xml:space="preserve">Once fully activated, neutrophils have three main functions: phagocytosis, degranulation and the production of neutrophil extracellular traps (NETs), termed NETosis </w:t>
      </w:r>
      <w:r w:rsidRPr="005019A4">
        <w:rPr>
          <w:b/>
          <w:bCs/>
          <w:color w:val="auto"/>
          <w:sz w:val="22"/>
          <w:szCs w:val="22"/>
        </w:rPr>
        <w:fldChar w:fldCharType="begin">
          <w:fldData xml:space="preserve">PEVuZE5vdGU+PENpdGU+PEF1dGhvcj5Sb3NhbGVzPC9BdXRob3I+PFllYXI+MjAxODwvWWVhcj48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</w:fldData>
        </w:fldChar>
      </w:r>
      <w:r>
        <w:rPr>
          <w:b/>
          <w:bCs/>
          <w:color w:val="auto"/>
          <w:sz w:val="22"/>
          <w:szCs w:val="22"/>
        </w:rPr>
        <w:instrText xml:space="preserve"> ADDIN EN.CITE </w:instrText>
      </w:r>
      <w:r>
        <w:rPr>
          <w:b/>
          <w:bCs/>
          <w:color w:val="auto"/>
          <w:sz w:val="22"/>
          <w:szCs w:val="22"/>
        </w:rPr>
        <w:fldChar w:fldCharType="begin">
          <w:fldData xml:space="preserve">PEVuZE5vdGU+PENpdGU+PEF1dGhvcj5Sb3NhbGVzPC9BdXRob3I+PFllYXI+MjAxODwvWWVhcj48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</w:fldData>
        </w:fldChar>
      </w:r>
      <w:r>
        <w:rPr>
          <w:b/>
          <w:bCs/>
          <w:color w:val="auto"/>
          <w:sz w:val="22"/>
          <w:szCs w:val="22"/>
        </w:rPr>
        <w:instrText xml:space="preserve"> ADDIN EN.CITE.DATA </w:instrText>
      </w:r>
      <w:r>
        <w:rPr>
          <w:b/>
          <w:bCs/>
          <w:color w:val="auto"/>
          <w:sz w:val="22"/>
          <w:szCs w:val="22"/>
        </w:rPr>
      </w:r>
      <w:r>
        <w:rPr>
          <w:b/>
          <w:bCs/>
          <w:color w:val="auto"/>
          <w:sz w:val="22"/>
          <w:szCs w:val="22"/>
        </w:rPr>
        <w:fldChar w:fldCharType="end"/>
      </w:r>
      <w:r w:rsidRPr="005019A4">
        <w:rPr>
          <w:b/>
          <w:bCs/>
          <w:color w:val="auto"/>
          <w:sz w:val="22"/>
          <w:szCs w:val="22"/>
        </w:rPr>
      </w:r>
      <w:r w:rsidRPr="005019A4">
        <w:rPr>
          <w:b/>
          <w:bCs/>
          <w:color w:val="auto"/>
          <w:sz w:val="22"/>
          <w:szCs w:val="22"/>
        </w:rPr>
        <w:fldChar w:fldCharType="separate"/>
      </w:r>
      <w:r>
        <w:rPr>
          <w:b/>
          <w:bCs/>
          <w:noProof/>
          <w:color w:val="auto"/>
          <w:sz w:val="22"/>
          <w:szCs w:val="22"/>
        </w:rPr>
        <w:t>(Rosales, 2018; Mayadas, Cullere and Lowell, 2014; Papayannopoulos, 2018)</w:t>
      </w:r>
      <w:r w:rsidRPr="005019A4">
        <w:rPr>
          <w:b/>
          <w:bCs/>
          <w:color w:val="auto"/>
          <w:sz w:val="22"/>
          <w:szCs w:val="22"/>
        </w:rPr>
        <w:fldChar w:fldCharType="end"/>
      </w:r>
      <w:r w:rsidRPr="005019A4">
        <w:rPr>
          <w:color w:val="auto"/>
          <w:sz w:val="22"/>
          <w:szCs w:val="22"/>
        </w:rPr>
        <w:t>.</w:t>
      </w:r>
      <w:r>
        <w:rPr>
          <w:color w:val="auto"/>
          <w:sz w:val="22"/>
          <w:szCs w:val="22"/>
        </w:rPr>
        <w:t xml:space="preserve"> </w:t>
      </w:r>
    </w:p>
    <w:p w14:paraId="7C2BFCE4" w14:textId="77777777" w:rsidR="00033564" w:rsidRDefault="00033564" w:rsidP="00033564">
      <w:pPr>
        <w:pStyle w:val="Default"/>
        <w:spacing w:line="360" w:lineRule="auto"/>
        <w:jc w:val="both"/>
        <w:rPr>
          <w:color w:val="auto"/>
          <w:sz w:val="22"/>
          <w:szCs w:val="22"/>
        </w:rPr>
      </w:pPr>
    </w:p>
    <w:p w14:paraId="3E91B11D" w14:textId="0E430A73" w:rsidR="00033564" w:rsidRPr="00B501C8" w:rsidRDefault="00033564" w:rsidP="00033564">
      <w:pPr>
        <w:pStyle w:val="Default"/>
        <w:spacing w:line="360" w:lineRule="auto"/>
        <w:ind w:firstLine="720"/>
        <w:jc w:val="both"/>
        <w:rPr>
          <w:color w:val="auto"/>
          <w:sz w:val="22"/>
          <w:szCs w:val="22"/>
        </w:rPr>
      </w:pPr>
      <w:r>
        <w:rPr>
          <w:color w:val="auto"/>
          <w:sz w:val="22"/>
          <w:szCs w:val="22"/>
        </w:rPr>
        <w:t>Following uptake of foreign material by phagocytosis, as neutrophils are granulocytes, they degranulate. Granules are membrane-bound compartments that contain various antimicrobial agents and are stored within neutrophils. The process of granules fusing with microbe-containing phagosomes is termed degranulation</w:t>
      </w:r>
      <w:r w:rsidRPr="00BF63D1">
        <w:rPr>
          <w:b/>
          <w:bCs/>
          <w:color w:val="auto"/>
          <w:sz w:val="22"/>
          <w:szCs w:val="22"/>
        </w:rPr>
        <w:t xml:space="preserve"> </w:t>
      </w:r>
      <w:r w:rsidRPr="00BF63D1">
        <w:rPr>
          <w:b/>
          <w:bCs/>
          <w:color w:val="auto"/>
          <w:sz w:val="22"/>
          <w:szCs w:val="22"/>
        </w:rPr>
        <w:fldChar w:fldCharType="begin">
          <w:fldData xml:space="preserve">PEVuZE5vdGU+PENpdGU+PEF1dGhvcj5IaXJzY2g8L0F1dGhvcj48WWVhcj4xOTYwPC9ZZWFyPjxJ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</w:fldData>
        </w:fldChar>
      </w:r>
      <w:r w:rsidRPr="00BF63D1">
        <w:rPr>
          <w:b/>
          <w:bCs/>
          <w:color w:val="auto"/>
          <w:sz w:val="22"/>
          <w:szCs w:val="22"/>
        </w:rPr>
        <w:instrText xml:space="preserve"> ADDIN EN.CITE </w:instrText>
      </w:r>
      <w:r w:rsidRPr="00BF63D1">
        <w:rPr>
          <w:b/>
          <w:bCs/>
          <w:color w:val="auto"/>
          <w:sz w:val="22"/>
          <w:szCs w:val="22"/>
        </w:rPr>
        <w:fldChar w:fldCharType="begin">
          <w:fldData xml:space="preserve">PEVuZE5vdGU+PENpdGU+PEF1dGhvcj5IaXJzY2g8L0F1dGhvcj48WWVhcj4xOTYwPC9ZZWFyPjxJ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</w:fldData>
        </w:fldChar>
      </w:r>
      <w:r w:rsidRPr="00BF63D1">
        <w:rPr>
          <w:b/>
          <w:bCs/>
          <w:color w:val="auto"/>
          <w:sz w:val="22"/>
          <w:szCs w:val="22"/>
        </w:rPr>
        <w:instrText xml:space="preserve"> ADDIN EN.CITE.DATA </w:instrText>
      </w:r>
      <w:r w:rsidRPr="00BF63D1">
        <w:rPr>
          <w:b/>
          <w:bCs/>
          <w:color w:val="auto"/>
          <w:sz w:val="22"/>
          <w:szCs w:val="22"/>
        </w:rPr>
      </w:r>
      <w:r w:rsidRPr="00BF63D1">
        <w:rPr>
          <w:b/>
          <w:bCs/>
          <w:color w:val="auto"/>
          <w:sz w:val="22"/>
          <w:szCs w:val="22"/>
        </w:rPr>
        <w:fldChar w:fldCharType="end"/>
      </w:r>
      <w:r w:rsidRPr="00BF63D1">
        <w:rPr>
          <w:b/>
          <w:bCs/>
          <w:color w:val="auto"/>
          <w:sz w:val="22"/>
          <w:szCs w:val="22"/>
        </w:rPr>
      </w:r>
      <w:r w:rsidRPr="00BF63D1">
        <w:rPr>
          <w:b/>
          <w:bCs/>
          <w:color w:val="auto"/>
          <w:sz w:val="22"/>
          <w:szCs w:val="22"/>
        </w:rPr>
        <w:fldChar w:fldCharType="separate"/>
      </w:r>
      <w:r w:rsidRPr="00BF63D1">
        <w:rPr>
          <w:b/>
          <w:bCs/>
          <w:noProof/>
          <w:color w:val="auto"/>
          <w:sz w:val="22"/>
          <w:szCs w:val="22"/>
        </w:rPr>
        <w:t>(Hirsch and Cohn, 1960; Borregaard, Sorensen and Theilgaard-Wnchl, 2007)</w:t>
      </w:r>
      <w:r w:rsidRPr="00BF63D1">
        <w:rPr>
          <w:b/>
          <w:bCs/>
          <w:color w:val="auto"/>
          <w:sz w:val="22"/>
          <w:szCs w:val="22"/>
        </w:rPr>
        <w:fldChar w:fldCharType="end"/>
      </w:r>
      <w:r>
        <w:rPr>
          <w:color w:val="auto"/>
          <w:sz w:val="22"/>
          <w:szCs w:val="22"/>
        </w:rPr>
        <w:t>. Granules come in different forms: azurophilic, specific and gelatinase. Each granule contains a mixture of proteins and degradative enzymes including but not limited to: AMPs, cathepsins, elastases and defensins, depending on the type of granule, however all granules contain lysozyme</w:t>
      </w:r>
      <w:r>
        <w:rPr>
          <w:b/>
          <w:bCs/>
          <w:color w:val="auto"/>
          <w:sz w:val="22"/>
          <w:szCs w:val="22"/>
        </w:rPr>
        <w:t xml:space="preserve"> </w:t>
      </w:r>
      <w:r>
        <w:rPr>
          <w:b/>
          <w:bCs/>
          <w:color w:val="auto"/>
          <w:sz w:val="22"/>
          <w:szCs w:val="22"/>
        </w:rPr>
        <w:fldChar w:fldCharType="begin"/>
      </w:r>
      <w:r w:rsidR="00DD4283">
        <w:rPr>
          <w:b/>
          <w:bCs/>
          <w:color w:val="auto"/>
          <w:sz w:val="22"/>
          <w:szCs w:val="22"/>
        </w:rPr>
        <w:instrText xml:space="preserve"> ADDIN EN.CITE &lt;EndNote&gt;&lt;Cite&gt;&lt;Author&gt;Hirschho&lt;/Author&gt;&lt;Year&gt;1965&lt;/Year&gt;&lt;IDText&gt;ISOLATION AND PROPERTIES OF HUMAN LEUKOCYTE LYSOSOMES IN VITRO&lt;/IDText&gt;&lt;DisplayText&gt;(Hirschho and Weissman, 1965; Lollike&lt;style face="italic"&gt; et al.&lt;/style&gt;, 1995)&lt;/DisplayText&gt;&lt;record&gt;&lt;dates&gt;&lt;pub-dates&gt;&lt;date&gt;1965&lt;/date&gt;&lt;/pub-dates&gt;&lt;year&gt;1965&lt;/year&gt;&lt;/dates&gt;&lt;urls&gt;&lt;related-urls&gt;&lt;/related-urls&gt;&lt;/urls&gt;&lt;isbn&gt;0037-9727&lt;/isbn&gt;&lt;work-type&gt;Article&lt;/work-type&gt;&lt;titles&gt;&lt;title&gt;ISOLATION AND PROPERTIES OF HUMAN LEUKOCYTE LYSOSOMES IN VITRO&lt;/title&gt;&lt;secondary-title&gt;Proceedings of the Society for Experimental Biology and Medicine&lt;/secondary-title&gt;&lt;/titles&gt;&lt;pages&gt;36-+&lt;/pages&gt;&lt;number&gt;1&lt;/number&gt;&lt;contributors&gt;&lt;authors&gt;&lt;author&gt;Hirschho, R&lt;/author&gt;&lt;author&gt;Weissman, G&lt;/author&gt;&lt;/authors&gt;&lt;/contributors&gt;&lt;added-date format="utc"&gt;1676906336&lt;/added-date&gt;&lt;ref-type name="Journal Article"&gt;17&lt;/ref-type&gt;&lt;rec-number&gt;419&lt;/rec-number&gt;&lt;last-updated-date format="utc"&gt;1676909629&lt;/last-updated-date&gt;&lt;accession-num&gt;WOS:A19656501800011&lt;/accession-num&gt;&lt;volume&gt;119&lt;/volume&gt;&lt;/record&gt;&lt;/Cite&gt;&lt;Cite&gt;&lt;Author&gt;Lollike&lt;/Author&gt;&lt;Year&gt;1995&lt;/Year&gt;&lt;IDText&gt;LYSOZYME IN HUMAN NEUTROPHILS AND PLASMA - A PARAMETER OF MYELOPOIETIC ACTIVITY&lt;/IDText&gt;&lt;record&gt;&lt;dates&gt;&lt;pub-dates&gt;&lt;date&gt;Jan&lt;/date&gt;&lt;/pub-dates&gt;&lt;year&gt;1995&lt;/year&gt;&lt;/dates&gt;&lt;urls&gt;&lt;related-urls&gt;&lt;url&gt;&amp;lt;Go to ISI&amp;gt;://WOS:A1995QH98700025&lt;/url&gt;&lt;/related-urls&gt;&lt;/urls&gt;&lt;isbn&gt;0887-6924&lt;/isbn&gt;&lt;work-type&gt;Article&lt;/work-type&gt;&lt;titles&gt;&lt;title&gt;LYSOZYME IN HUMAN NEUTROPHILS AND PLASMA - A PARAMETER OF MYELOPOIETIC ACTIVITY&lt;/title&gt;&lt;secondary-title&gt;Leukemia&lt;/secondary-title&gt;&lt;/titles&gt;&lt;pages&gt;159-164&lt;/pages&gt;&lt;number&gt;1&lt;/number&gt;&lt;contributors&gt;&lt;authors&gt;&lt;author&gt;Lollike, K.&lt;/author&gt;&lt;author&gt;Kjeldsen, L.&lt;/author&gt;&lt;author&gt;Sengelov, H.&lt;/author&gt;&lt;author&gt;Borregaard, N.&lt;/author&gt;&lt;/authors&gt;&lt;/contributors&gt;&lt;added-date format="utc"&gt;1676905458&lt;/added-date&gt;&lt;ref-type name="Journal Article"&gt;17&lt;/ref-type&gt;&lt;rec-number&gt;417&lt;/rec-number&gt;&lt;last-updated-date format="utc"&gt;1676905458&lt;/last-updated-date&gt;&lt;accession-num&gt;WOS:A1995QH98700025&lt;/accession-num&gt;&lt;volume&gt;9&lt;/volume&gt;&lt;/record&gt;&lt;/Cite&gt;&lt;/EndNote&gt;</w:instrText>
      </w:r>
      <w:r>
        <w:rPr>
          <w:b/>
          <w:bCs/>
          <w:color w:val="auto"/>
          <w:sz w:val="22"/>
          <w:szCs w:val="22"/>
        </w:rPr>
        <w:fldChar w:fldCharType="separate"/>
      </w:r>
      <w:r w:rsidR="00DD4283">
        <w:rPr>
          <w:b/>
          <w:bCs/>
          <w:noProof/>
          <w:color w:val="auto"/>
          <w:sz w:val="22"/>
          <w:szCs w:val="22"/>
        </w:rPr>
        <w:t>(Hirschho and Weissman, 1965; Lollike</w:t>
      </w:r>
      <w:r w:rsidR="00DD4283" w:rsidRPr="00DD4283">
        <w:rPr>
          <w:b/>
          <w:bCs/>
          <w:i/>
          <w:noProof/>
          <w:color w:val="auto"/>
          <w:sz w:val="22"/>
          <w:szCs w:val="22"/>
        </w:rPr>
        <w:t xml:space="preserve"> et al.</w:t>
      </w:r>
      <w:r w:rsidR="00DD4283">
        <w:rPr>
          <w:b/>
          <w:bCs/>
          <w:noProof/>
          <w:color w:val="auto"/>
          <w:sz w:val="22"/>
          <w:szCs w:val="22"/>
        </w:rPr>
        <w:t>, 1995)</w:t>
      </w:r>
      <w:r>
        <w:rPr>
          <w:b/>
          <w:bCs/>
          <w:color w:val="auto"/>
          <w:sz w:val="22"/>
          <w:szCs w:val="22"/>
        </w:rPr>
        <w:fldChar w:fldCharType="end"/>
      </w:r>
      <w:r>
        <w:rPr>
          <w:color w:val="auto"/>
          <w:sz w:val="22"/>
          <w:szCs w:val="22"/>
        </w:rPr>
        <w:t xml:space="preserve">. Azurophilic granules are named as such due to their affinity to azure A, a dye component of the Romanowsky stain used to differentiate blood cells </w:t>
      </w:r>
      <w:r w:rsidRPr="004836A7">
        <w:rPr>
          <w:b/>
          <w:bCs/>
          <w:color w:val="auto"/>
          <w:sz w:val="22"/>
          <w:szCs w:val="22"/>
        </w:rPr>
        <w:fldChar w:fldCharType="begin"/>
      </w:r>
      <w:r w:rsidRPr="004836A7">
        <w:rPr>
          <w:b/>
          <w:bCs/>
          <w:color w:val="auto"/>
          <w:sz w:val="22"/>
          <w:szCs w:val="22"/>
        </w:rPr>
        <w:instrText xml:space="preserve"> ADDIN EN.CITE &lt;EndNote&gt;&lt;Cite&gt;&lt;Author&gt;Theil&lt;/Author&gt;&lt;Year&gt;2012&lt;/Year&gt;&lt;IDText&gt;Laboratory Hematology Practice, Bone Marrow Processing and Normal Morphology&lt;/IDText&gt;&lt;DisplayText&gt;(Theil, 2012)&lt;/DisplayText&gt;&lt;record&gt;&lt;titles&gt;&lt;title&gt;Laboratory Hematology Practice, Bone Marrow Processing and Normal Morphology&lt;/title&gt;&lt;/titles&gt;&lt;contributors&gt;&lt;authors&gt;&lt;author&gt;Theil, Karl S&lt;/author&gt;&lt;/authors&gt;&lt;/contributors&gt;&lt;section&gt;279-299&lt;/section&gt;&lt;added-date format="utc"&gt;1676904010&lt;/added-date&gt;&lt;ref-type name="Book"&gt;6&lt;/ref-type&gt;&lt;dates&gt;&lt;year&gt;2012&lt;/year&gt;&lt;/dates&gt;&lt;rec-number&gt;416&lt;/rec-number&gt;&lt;publisher&gt;Blackwell Publishing Ltd&lt;/publisher&gt;&lt;last-updated-date format="utc"&gt;1676904177&lt;/last-updated-date&gt;&lt;/record&gt;&lt;/Cite&gt;&lt;/EndNote&gt;</w:instrText>
      </w:r>
      <w:r w:rsidRPr="004836A7">
        <w:rPr>
          <w:b/>
          <w:bCs/>
          <w:color w:val="auto"/>
          <w:sz w:val="22"/>
          <w:szCs w:val="22"/>
        </w:rPr>
        <w:fldChar w:fldCharType="separate"/>
      </w:r>
      <w:r w:rsidRPr="004836A7">
        <w:rPr>
          <w:b/>
          <w:bCs/>
          <w:noProof/>
          <w:color w:val="auto"/>
          <w:sz w:val="22"/>
          <w:szCs w:val="22"/>
        </w:rPr>
        <w:t>(Theil, 2012)</w:t>
      </w:r>
      <w:r w:rsidRPr="004836A7">
        <w:rPr>
          <w:b/>
          <w:bCs/>
          <w:color w:val="auto"/>
          <w:sz w:val="22"/>
          <w:szCs w:val="22"/>
        </w:rPr>
        <w:fldChar w:fldCharType="end"/>
      </w:r>
      <w:r>
        <w:rPr>
          <w:color w:val="auto"/>
          <w:sz w:val="22"/>
          <w:szCs w:val="22"/>
        </w:rPr>
        <w:t xml:space="preserve">. Azurophilic granules contain a variety of proteins but are the only granule type to contain the enzyme MPO </w:t>
      </w:r>
      <w:r w:rsidRPr="001C06E3">
        <w:rPr>
          <w:b/>
          <w:bCs/>
          <w:color w:val="auto"/>
          <w:sz w:val="22"/>
          <w:szCs w:val="22"/>
        </w:rPr>
        <w:fldChar w:fldCharType="begin"/>
      </w:r>
      <w:r w:rsidRPr="001C06E3">
        <w:rPr>
          <w:b/>
          <w:bCs/>
          <w:color w:val="auto"/>
          <w:sz w:val="22"/>
          <w:szCs w:val="22"/>
        </w:rPr>
        <w:instrText xml:space="preserve"> ADDIN EN.CITE &lt;EndNote&gt;&lt;Cite&gt;&lt;Author&gt;Faurschou&lt;/Author&gt;&lt;Year&gt;2003&lt;/Year&gt;&lt;IDText&gt;Neutrophil granules and secretory vesicles in inflammation&lt;/IDText&gt;&lt;DisplayText&gt;(Faurschou and Borregaard, 2003)&lt;/DisplayText&gt;&lt;record&gt;&lt;dates&gt;&lt;pub-dates&gt;&lt;date&gt;Nov&lt;/date&gt;&lt;/pub-dates&gt;&lt;year&gt;2003&lt;/year&gt;&lt;/dates&gt;&lt;urls&gt;&lt;related-urls&gt;&lt;url&gt;&amp;lt;Go to ISI&amp;gt;://WOS:000186851900005&lt;/url&gt;&lt;/related-urls&gt;&lt;/urls&gt;&lt;isbn&gt;1286-4579&lt;/isbn&gt;&lt;work-type&gt;Review&lt;/work-type&gt;&lt;titles&gt;&lt;title&gt;Neutrophil granules and secretory vesicles in inflammation&lt;/title&gt;&lt;secondary-title&gt;Microbes and Infection&lt;/secondary-title&gt;&lt;/titles&gt;&lt;pages&gt;1317-1327&lt;/pages&gt;&lt;number&gt;14&lt;/number&gt;&lt;contributors&gt;&lt;authors&gt;&lt;author&gt;Faurschou, M.&lt;/author&gt;&lt;author&gt;Borregaard, N.&lt;/author&gt;&lt;/authors&gt;&lt;/contributors&gt;&lt;added-date format="utc"&gt;1676905858&lt;/added-date&gt;&lt;ref-type name="Journal Article"&gt;17&lt;/ref-type&gt;&lt;rec-number&gt;418&lt;/rec-number&gt;&lt;last-updated-date format="utc"&gt;1676905858&lt;/last-updated-date&gt;&lt;accession-num&gt;WOS:000186851900005&lt;/accession-num&gt;&lt;electronic-resource-num&gt;10.1016/j.micinf.2003.09.008&lt;/electronic-resource-num&gt;&lt;volume&gt;5&lt;/volume&gt;&lt;/record&gt;&lt;/Cite&gt;&lt;/EndNote&gt;</w:instrText>
      </w:r>
      <w:r w:rsidRPr="001C06E3">
        <w:rPr>
          <w:b/>
          <w:bCs/>
          <w:color w:val="auto"/>
          <w:sz w:val="22"/>
          <w:szCs w:val="22"/>
        </w:rPr>
        <w:fldChar w:fldCharType="separate"/>
      </w:r>
      <w:r w:rsidRPr="001C06E3">
        <w:rPr>
          <w:b/>
          <w:bCs/>
          <w:noProof/>
          <w:color w:val="auto"/>
          <w:sz w:val="22"/>
          <w:szCs w:val="22"/>
        </w:rPr>
        <w:t>(Faurschou and Borregaard, 2003)</w:t>
      </w:r>
      <w:r w:rsidRPr="001C06E3">
        <w:rPr>
          <w:b/>
          <w:bCs/>
          <w:color w:val="auto"/>
          <w:sz w:val="22"/>
          <w:szCs w:val="22"/>
        </w:rPr>
        <w:fldChar w:fldCharType="end"/>
      </w:r>
      <w:r>
        <w:rPr>
          <w:color w:val="auto"/>
          <w:sz w:val="22"/>
          <w:szCs w:val="22"/>
        </w:rPr>
        <w:t xml:space="preserve">. Specific granules are known to contain high concentrations of the iron sequestration protein lactoferrin </w:t>
      </w:r>
      <w:r w:rsidRPr="000D55EE">
        <w:rPr>
          <w:b/>
          <w:bCs/>
          <w:color w:val="auto"/>
          <w:sz w:val="22"/>
          <w:szCs w:val="22"/>
        </w:rPr>
        <w:fldChar w:fldCharType="begin"/>
      </w:r>
      <w:r w:rsidRPr="000D55EE">
        <w:rPr>
          <w:b/>
          <w:bCs/>
          <w:color w:val="auto"/>
          <w:sz w:val="22"/>
          <w:szCs w:val="22"/>
        </w:rPr>
        <w:instrText xml:space="preserve"> ADDIN EN.CITE &lt;EndNote&gt;&lt;Cite&gt;&lt;Author&gt;Masson&lt;/Author&gt;&lt;Year&gt;1969&lt;/Year&gt;&lt;IDText&gt;LACTOFERRIN, AN IRON-BINDING PROTEIN IN NEUTROPHILIC LEUKOCYTES&lt;/IDText&gt;&lt;DisplayText&gt;(Masson, Heremans and Schonne, 1969)&lt;/DisplayText&gt;&lt;record&gt;&lt;urls&gt;&lt;related-urls&gt;&lt;url&gt;&amp;lt;Go to ISI&amp;gt;://WOS:A1969E083000012&lt;/url&gt;&lt;/related-urls&gt;&lt;/urls&gt;&lt;isbn&gt;0022-1007&lt;/isbn&gt;&lt;titles&gt;&lt;title&gt;LACTOFERRIN, AN IRON-BINDING PROTEIN IN NEUTROPHILIC LEUKOCYTES&lt;/title&gt;&lt;secondary-title&gt;Journal of Experimental Medicine&lt;/secondary-title&gt;&lt;/titles&gt;&lt;pages&gt;643-&amp;amp;&lt;/pages&gt;&lt;number&gt;3&lt;/number&gt;&lt;contributors&gt;&lt;authors&gt;&lt;author&gt;Masson, P. L.&lt;/author&gt;&lt;author&gt;Heremans, J. F.&lt;/author&gt;&lt;author&gt;Schonne, E.&lt;/author&gt;&lt;/authors&gt;&lt;/contributors&gt;&lt;added-date format="utc"&gt;1676909934&lt;/added-date&gt;&lt;ref-type name="Journal Article"&gt;17&lt;/ref-type&gt;&lt;dates&gt;&lt;year&gt;1969&lt;/year&gt;&lt;/dates&gt;&lt;rec-number&gt;423&lt;/rec-number&gt;&lt;last-updated-date format="utc"&gt;1676909934&lt;/last-updated-date&gt;&lt;accession-num&gt;WOS:A1969E083000012&lt;/accession-num&gt;&lt;electronic-resource-num&gt;10.1084/jem.130.3.643&lt;/electronic-resource-num&gt;&lt;volume&gt;130&lt;/volume&gt;&lt;/record&gt;&lt;/Cite&gt;&lt;/EndNote&gt;</w:instrText>
      </w:r>
      <w:r w:rsidRPr="000D55EE">
        <w:rPr>
          <w:b/>
          <w:bCs/>
          <w:color w:val="auto"/>
          <w:sz w:val="22"/>
          <w:szCs w:val="22"/>
        </w:rPr>
        <w:fldChar w:fldCharType="separate"/>
      </w:r>
      <w:r w:rsidRPr="000D55EE">
        <w:rPr>
          <w:b/>
          <w:bCs/>
          <w:noProof/>
          <w:color w:val="auto"/>
          <w:sz w:val="22"/>
          <w:szCs w:val="22"/>
        </w:rPr>
        <w:t>(Masson, Heremans and Schonne, 1969)</w:t>
      </w:r>
      <w:r w:rsidRPr="000D55EE">
        <w:rPr>
          <w:b/>
          <w:bCs/>
          <w:color w:val="auto"/>
          <w:sz w:val="22"/>
          <w:szCs w:val="22"/>
        </w:rPr>
        <w:fldChar w:fldCharType="end"/>
      </w:r>
      <w:r>
        <w:rPr>
          <w:color w:val="auto"/>
          <w:sz w:val="22"/>
          <w:szCs w:val="22"/>
        </w:rPr>
        <w:t xml:space="preserve">, but low concentrations of gelatinase, while gelatinase granules display the opposite </w:t>
      </w:r>
      <w:r w:rsidRPr="002202F2">
        <w:rPr>
          <w:b/>
          <w:bCs/>
          <w:color w:val="auto"/>
          <w:sz w:val="22"/>
          <w:szCs w:val="22"/>
        </w:rPr>
        <w:fldChar w:fldCharType="begin">
          <w:fldData xml:space="preserve">PEVuZE5vdGU+PENpdGU+PEF1dGhvcj5CYWludG9uPC9BdXRob3I+PFllYXI+MTk3MTwvWWVhcj48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</w:fldData>
        </w:fldChar>
      </w:r>
      <w:r>
        <w:rPr>
          <w:b/>
          <w:bCs/>
          <w:color w:val="auto"/>
          <w:sz w:val="22"/>
          <w:szCs w:val="22"/>
        </w:rPr>
        <w:instrText xml:space="preserve"> ADDIN EN.CITE </w:instrText>
      </w:r>
      <w:r>
        <w:rPr>
          <w:b/>
          <w:bCs/>
          <w:color w:val="auto"/>
          <w:sz w:val="22"/>
          <w:szCs w:val="22"/>
        </w:rPr>
        <w:fldChar w:fldCharType="begin">
          <w:fldData xml:space="preserve">PEVuZE5vdGU+PENpdGU+PEF1dGhvcj5CYWludG9uPC9BdXRob3I+PFllYXI+MTk3MTwvWWVhcj48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</w:fldData>
        </w:fldChar>
      </w:r>
      <w:r>
        <w:rPr>
          <w:b/>
          <w:bCs/>
          <w:color w:val="auto"/>
          <w:sz w:val="22"/>
          <w:szCs w:val="22"/>
        </w:rPr>
        <w:instrText xml:space="preserve"> ADDIN EN.CITE.DATA </w:instrText>
      </w:r>
      <w:r>
        <w:rPr>
          <w:b/>
          <w:bCs/>
          <w:color w:val="auto"/>
          <w:sz w:val="22"/>
          <w:szCs w:val="22"/>
        </w:rPr>
      </w:r>
      <w:r>
        <w:rPr>
          <w:b/>
          <w:bCs/>
          <w:color w:val="auto"/>
          <w:sz w:val="22"/>
          <w:szCs w:val="22"/>
        </w:rPr>
        <w:fldChar w:fldCharType="end"/>
      </w:r>
      <w:r w:rsidRPr="002202F2">
        <w:rPr>
          <w:b/>
          <w:bCs/>
          <w:color w:val="auto"/>
          <w:sz w:val="22"/>
          <w:szCs w:val="22"/>
        </w:rPr>
      </w:r>
      <w:r w:rsidRPr="002202F2">
        <w:rPr>
          <w:b/>
          <w:bCs/>
          <w:color w:val="auto"/>
          <w:sz w:val="22"/>
          <w:szCs w:val="22"/>
        </w:rPr>
        <w:fldChar w:fldCharType="separate"/>
      </w:r>
      <w:r>
        <w:rPr>
          <w:b/>
          <w:bCs/>
          <w:noProof/>
          <w:color w:val="auto"/>
          <w:sz w:val="22"/>
          <w:szCs w:val="22"/>
        </w:rPr>
        <w:t>(Bainton, Ullyot and Farquhar, 1971; Kjeldsen</w:t>
      </w:r>
      <w:r w:rsidRPr="00DB64B2">
        <w:rPr>
          <w:b/>
          <w:bCs/>
          <w:i/>
          <w:noProof/>
          <w:color w:val="auto"/>
          <w:sz w:val="22"/>
          <w:szCs w:val="22"/>
        </w:rPr>
        <w:t xml:space="preserve"> et al.</w:t>
      </w:r>
      <w:r>
        <w:rPr>
          <w:b/>
          <w:bCs/>
          <w:noProof/>
          <w:color w:val="auto"/>
          <w:sz w:val="22"/>
          <w:szCs w:val="22"/>
        </w:rPr>
        <w:t>, 1993; Borregaard</w:t>
      </w:r>
      <w:r w:rsidRPr="00DB64B2">
        <w:rPr>
          <w:b/>
          <w:bCs/>
          <w:i/>
          <w:noProof/>
          <w:color w:val="auto"/>
          <w:sz w:val="22"/>
          <w:szCs w:val="22"/>
        </w:rPr>
        <w:t xml:space="preserve"> et al.</w:t>
      </w:r>
      <w:r>
        <w:rPr>
          <w:b/>
          <w:bCs/>
          <w:noProof/>
          <w:color w:val="auto"/>
          <w:sz w:val="22"/>
          <w:szCs w:val="22"/>
        </w:rPr>
        <w:t>, 1995)</w:t>
      </w:r>
      <w:r w:rsidRPr="002202F2">
        <w:rPr>
          <w:b/>
          <w:bCs/>
          <w:color w:val="auto"/>
          <w:sz w:val="22"/>
          <w:szCs w:val="22"/>
        </w:rPr>
        <w:fldChar w:fldCharType="end"/>
      </w:r>
      <w:r>
        <w:rPr>
          <w:color w:val="auto"/>
          <w:sz w:val="22"/>
          <w:szCs w:val="22"/>
        </w:rPr>
        <w:t xml:space="preserve">. </w:t>
      </w:r>
    </w:p>
    <w:p w14:paraId="764469CB" w14:textId="77777777" w:rsidR="00033564" w:rsidRDefault="00033564" w:rsidP="00033564">
      <w:pPr>
        <w:pStyle w:val="Default"/>
        <w:spacing w:line="360" w:lineRule="auto"/>
        <w:jc w:val="both"/>
        <w:rPr>
          <w:color w:val="auto"/>
          <w:sz w:val="22"/>
          <w:szCs w:val="22"/>
        </w:rPr>
      </w:pPr>
    </w:p>
    <w:p w14:paraId="399B7CCB" w14:textId="77777777" w:rsidR="00033564" w:rsidRDefault="00033564" w:rsidP="00033564">
      <w:pPr>
        <w:pStyle w:val="Default"/>
        <w:spacing w:line="360" w:lineRule="auto"/>
        <w:jc w:val="both"/>
        <w:rPr>
          <w:color w:val="auto"/>
          <w:sz w:val="22"/>
          <w:szCs w:val="22"/>
        </w:rPr>
      </w:pPr>
      <w:r>
        <w:rPr>
          <w:color w:val="auto"/>
          <w:sz w:val="22"/>
          <w:szCs w:val="22"/>
        </w:rPr>
        <w:tab/>
        <w:t xml:space="preserve">As part of its microbicidal arsenal, neutrophils are also able to form NETs. NETs consist of chromatin fibres including histones, modified with antimicrobial components such as MPO and neutrophil elastase (NE) found within the neutrophil, all of which are ejected from neutrophils via the process of NETosis </w:t>
      </w:r>
      <w:r w:rsidRPr="00862276">
        <w:rPr>
          <w:b/>
          <w:bCs/>
          <w:color w:val="auto"/>
          <w:sz w:val="22"/>
          <w:szCs w:val="22"/>
        </w:rPr>
        <w:fldChar w:fldCharType="begin"/>
      </w:r>
      <w:r w:rsidRPr="00862276">
        <w:rPr>
          <w:b/>
          <w:bCs/>
          <w:color w:val="auto"/>
          <w:sz w:val="22"/>
          <w:szCs w:val="22"/>
        </w:rPr>
        <w:instrText xml:space="preserve"> ADDIN EN.CITE &lt;EndNote&gt;&lt;Cite&gt;&lt;Author&gt;Brinkmann&lt;/Author&gt;&lt;Year&gt;2004&lt;/Year&gt;&lt;IDText&gt;Neutrophil extracellular traps kill bacteria&lt;/IDText&gt;&lt;DisplayText&gt;(Brinkmann&lt;style face="italic"&gt; et al.&lt;/style&gt;, 2004)&lt;/DisplayText&gt;&lt;record&gt;&lt;dates&gt;&lt;pub-dates&gt;&lt;date&gt;Mar&lt;/date&gt;&lt;/pub-dates&gt;&lt;year&gt;2004&lt;/year&gt;&lt;/dates&gt;&lt;urls&gt;&lt;related-urls&gt;&lt;url&gt;&amp;lt;Go to ISI&amp;gt;://WOS:000220000100047&lt;/url&gt;&lt;/related-urls&gt;&lt;/urls&gt;&lt;isbn&gt;0036-8075&lt;/isbn&gt;&lt;titles&gt;&lt;title&gt;Neutrophil extracellular traps kill bacteria&lt;/title&gt;&lt;secondary-title&gt;Science&lt;/secondary-title&gt;&lt;/titles&gt;&lt;pages&gt;1532-1535&lt;/pages&gt;&lt;number&gt;5663&lt;/number&gt;&lt;contributors&gt;&lt;authors&gt;&lt;author&gt;Brinkmann, V.&lt;/author&gt;&lt;author&gt;Reichard, U.&lt;/author&gt;&lt;author&gt;Goosmann, C.&lt;/author&gt;&lt;author&gt;Fauler, B.&lt;/author&gt;&lt;author&gt;Uhlemann, Y.&lt;/author&gt;&lt;author&gt;Weiss, D. S.&lt;/author&gt;&lt;author&gt;Weinrauch, Y.&lt;/author&gt;&lt;author&gt;Zychlinsky, A.&lt;/author&gt;&lt;/authors&gt;&lt;/contributors&gt;&lt;added-date format="utc"&gt;1676918956&lt;/added-date&gt;&lt;ref-type name="Journal Article"&gt;17&lt;/ref-type&gt;&lt;rec-number&gt;425&lt;/rec-number&gt;&lt;last-updated-date format="utc"&gt;1676918956&lt;/last-updated-date&gt;&lt;accession-num&gt;WOS:000220000100047&lt;/accession-num&gt;&lt;electronic-resource-num&gt;10.1126/science.1092385&lt;/electronic-resource-num&gt;&lt;volume&gt;303&lt;/volume&gt;&lt;/record&gt;&lt;/Cite&gt;&lt;/EndNote&gt;</w:instrText>
      </w:r>
      <w:r w:rsidRPr="00862276">
        <w:rPr>
          <w:b/>
          <w:bCs/>
          <w:color w:val="auto"/>
          <w:sz w:val="22"/>
          <w:szCs w:val="22"/>
        </w:rPr>
        <w:fldChar w:fldCharType="separate"/>
      </w:r>
      <w:r w:rsidRPr="00862276">
        <w:rPr>
          <w:b/>
          <w:bCs/>
          <w:noProof/>
          <w:color w:val="auto"/>
          <w:sz w:val="22"/>
          <w:szCs w:val="22"/>
        </w:rPr>
        <w:t>(Brinkmann</w:t>
      </w:r>
      <w:r w:rsidRPr="00862276">
        <w:rPr>
          <w:b/>
          <w:bCs/>
          <w:i/>
          <w:noProof/>
          <w:color w:val="auto"/>
          <w:sz w:val="22"/>
          <w:szCs w:val="22"/>
        </w:rPr>
        <w:t xml:space="preserve"> et al.</w:t>
      </w:r>
      <w:r w:rsidRPr="00862276">
        <w:rPr>
          <w:b/>
          <w:bCs/>
          <w:noProof/>
          <w:color w:val="auto"/>
          <w:sz w:val="22"/>
          <w:szCs w:val="22"/>
        </w:rPr>
        <w:t>, 2004)</w:t>
      </w:r>
      <w:r w:rsidRPr="00862276">
        <w:rPr>
          <w:b/>
          <w:bCs/>
          <w:color w:val="auto"/>
          <w:sz w:val="22"/>
          <w:szCs w:val="22"/>
        </w:rPr>
        <w:fldChar w:fldCharType="end"/>
      </w:r>
      <w:r>
        <w:rPr>
          <w:color w:val="auto"/>
          <w:sz w:val="22"/>
          <w:szCs w:val="22"/>
        </w:rPr>
        <w:t xml:space="preserve">. This phenomenon was first observed in 1996 </w:t>
      </w:r>
      <w:r w:rsidRPr="00B05BEE">
        <w:rPr>
          <w:b/>
          <w:bCs/>
          <w:color w:val="auto"/>
          <w:sz w:val="22"/>
          <w:szCs w:val="22"/>
        </w:rPr>
        <w:fldChar w:fldCharType="begin"/>
      </w:r>
      <w:r w:rsidRPr="00B05BEE">
        <w:rPr>
          <w:b/>
          <w:bCs/>
          <w:color w:val="auto"/>
          <w:sz w:val="22"/>
          <w:szCs w:val="22"/>
        </w:rPr>
        <w:instrText xml:space="preserve"> ADDIN EN.CITE &lt;EndNote&gt;&lt;Cite&gt;&lt;Author&gt;Takei&lt;/Author&gt;&lt;Year&gt;1996&lt;/Year&gt;&lt;IDText&gt;Rapid killing of human neutrophils by the potent activator phorbol 12-myristate 13-acetate (PMA) accompanied by changes different from typical apoptosis or necrosis&lt;/IDText&gt;&lt;DisplayText&gt;(Takei&lt;style face="italic"&gt; et al.&lt;/style&gt;, 1996)&lt;/DisplayText&gt;&lt;record&gt;&lt;dates&gt;&lt;pub-dates&gt;&lt;date&gt;Feb&lt;/date&gt;&lt;/pub-dates&gt;&lt;year&gt;1996&lt;/year&gt;&lt;/dates&gt;&lt;urls&gt;&lt;related-urls&gt;&lt;url&gt;&amp;lt;Go to ISI&amp;gt;://WOS:A1996TX17800012&lt;/url&gt;&lt;/related-urls&gt;&lt;/urls&gt;&lt;isbn&gt;0741-5400&lt;/isbn&gt;&lt;titles&gt;&lt;title&gt;Rapid killing of human neutrophils by the potent activator phorbol 12-myristate 13-acetate (PMA) accompanied by changes different from typical apoptosis or necrosis&lt;/title&gt;&lt;secondary-title&gt;Journal of Leukocyte Biology&lt;/secondary-title&gt;&lt;/titles&gt;&lt;pages&gt;229-240&lt;/pages&gt;&lt;number&gt;2&lt;/number&gt;&lt;contributors&gt;&lt;authors&gt;&lt;author&gt;Takei, H.&lt;/author&gt;&lt;author&gt;Araki, A.&lt;/author&gt;&lt;author&gt;Watanabe, H.&lt;/author&gt;&lt;author&gt;Ichinose, A.&lt;/author&gt;&lt;author&gt;Sendo, F.&lt;/author&gt;&lt;/authors&gt;&lt;/contributors&gt;&lt;added-date format="utc"&gt;1676918897&lt;/added-date&gt;&lt;ref-type name="Journal Article"&gt;17&lt;/ref-type&gt;&lt;rec-number&gt;424&lt;/rec-number&gt;&lt;last-updated-date format="utc"&gt;1676918897&lt;/last-updated-date&gt;&lt;accession-num&gt;WOS:A1996TX17800012&lt;/accession-num&gt;&lt;electronic-resource-num&gt;10.1002/jlb.59.2.229&lt;/electronic-resource-num&gt;&lt;volume&gt;59&lt;/volume&gt;&lt;/record&gt;&lt;/Cite&gt;&lt;/EndNote&gt;</w:instrText>
      </w:r>
      <w:r w:rsidRPr="00B05BEE">
        <w:rPr>
          <w:b/>
          <w:bCs/>
          <w:color w:val="auto"/>
          <w:sz w:val="22"/>
          <w:szCs w:val="22"/>
        </w:rPr>
        <w:fldChar w:fldCharType="separate"/>
      </w:r>
      <w:r w:rsidRPr="00B05BEE">
        <w:rPr>
          <w:b/>
          <w:bCs/>
          <w:noProof/>
          <w:color w:val="auto"/>
          <w:sz w:val="22"/>
          <w:szCs w:val="22"/>
        </w:rPr>
        <w:t>(Takei</w:t>
      </w:r>
      <w:r w:rsidRPr="00B05BEE">
        <w:rPr>
          <w:b/>
          <w:bCs/>
          <w:i/>
          <w:noProof/>
          <w:color w:val="auto"/>
          <w:sz w:val="22"/>
          <w:szCs w:val="22"/>
        </w:rPr>
        <w:t xml:space="preserve"> et al.</w:t>
      </w:r>
      <w:r w:rsidRPr="00B05BEE">
        <w:rPr>
          <w:b/>
          <w:bCs/>
          <w:noProof/>
          <w:color w:val="auto"/>
          <w:sz w:val="22"/>
          <w:szCs w:val="22"/>
        </w:rPr>
        <w:t>, 1996)</w:t>
      </w:r>
      <w:r w:rsidRPr="00B05BEE">
        <w:rPr>
          <w:b/>
          <w:bCs/>
          <w:color w:val="auto"/>
          <w:sz w:val="22"/>
          <w:szCs w:val="22"/>
        </w:rPr>
        <w:fldChar w:fldCharType="end"/>
      </w:r>
      <w:r>
        <w:rPr>
          <w:color w:val="auto"/>
          <w:sz w:val="22"/>
          <w:szCs w:val="22"/>
        </w:rPr>
        <w:t xml:space="preserve"> and further characterised in 2004 </w:t>
      </w:r>
      <w:r w:rsidRPr="00B05BEE">
        <w:rPr>
          <w:b/>
          <w:bCs/>
          <w:color w:val="auto"/>
          <w:sz w:val="22"/>
          <w:szCs w:val="22"/>
        </w:rPr>
        <w:fldChar w:fldCharType="begin"/>
      </w:r>
      <w:r w:rsidRPr="00B05BEE">
        <w:rPr>
          <w:b/>
          <w:bCs/>
          <w:color w:val="auto"/>
          <w:sz w:val="22"/>
          <w:szCs w:val="22"/>
        </w:rPr>
        <w:instrText xml:space="preserve"> ADDIN EN.CITE &lt;EndNote&gt;&lt;Cite&gt;&lt;Author&gt;Brinkmann&lt;/Author&gt;&lt;Year&gt;2004&lt;/Year&gt;&lt;IDText&gt;Neutrophil extracellular traps kill bacteria&lt;/IDText&gt;&lt;DisplayText&gt;(Brinkmann&lt;style face="italic"&gt; et al.&lt;/style&gt;, 2004)&lt;/DisplayText&gt;&lt;record&gt;&lt;dates&gt;&lt;pub-dates&gt;&lt;date&gt;Mar&lt;/date&gt;&lt;/pub-dates&gt;&lt;year&gt;2004&lt;/year&gt;&lt;/dates&gt;&lt;urls&gt;&lt;related-urls&gt;&lt;url&gt;&amp;lt;Go to ISI&amp;gt;://WOS:000220000100047&lt;/url&gt;&lt;/related-urls&gt;&lt;/urls&gt;&lt;isbn&gt;0036-8075&lt;/isbn&gt;&lt;titles&gt;&lt;title&gt;Neutrophil extracellular traps kill bacteria&lt;/title&gt;&lt;secondary-title&gt;Science&lt;/secondary-title&gt;&lt;/titles&gt;&lt;pages&gt;1532-1535&lt;/pages&gt;&lt;number&gt;5663&lt;/number&gt;&lt;contributors&gt;&lt;authors&gt;&lt;author&gt;Brinkmann, V.&lt;/author&gt;&lt;author&gt;Reichard, U.&lt;/author&gt;&lt;author&gt;Goosmann, C.&lt;/author&gt;&lt;author&gt;Fauler, B.&lt;/author&gt;&lt;author&gt;Uhlemann, Y.&lt;/author&gt;&lt;author&gt;Weiss, D. S.&lt;/author&gt;&lt;author&gt;Weinrauch, Y.&lt;/author&gt;&lt;author&gt;Zychlinsky, A.&lt;/author&gt;&lt;/authors&gt;&lt;/contributors&gt;&lt;added-date format="utc"&gt;1676918956&lt;/added-date&gt;&lt;ref-type name="Journal Article"&gt;17&lt;/ref-type&gt;&lt;rec-number&gt;425&lt;/rec-number&gt;&lt;last-updated-date format="utc"&gt;1676918956&lt;/last-updated-date&gt;&lt;accession-num&gt;WOS:000220000100047&lt;/accession-num&gt;&lt;electronic-resource-num&gt;10.1126/science.1092385&lt;/electronic-resource-num&gt;&lt;volume&gt;303&lt;/volume&gt;&lt;/record&gt;&lt;/Cite&gt;&lt;/EndNote&gt;</w:instrText>
      </w:r>
      <w:r w:rsidRPr="00B05BEE">
        <w:rPr>
          <w:b/>
          <w:bCs/>
          <w:color w:val="auto"/>
          <w:sz w:val="22"/>
          <w:szCs w:val="22"/>
        </w:rPr>
        <w:fldChar w:fldCharType="separate"/>
      </w:r>
      <w:r w:rsidRPr="00B05BEE">
        <w:rPr>
          <w:b/>
          <w:bCs/>
          <w:noProof/>
          <w:color w:val="auto"/>
          <w:sz w:val="22"/>
          <w:szCs w:val="22"/>
        </w:rPr>
        <w:t>(Brinkmann</w:t>
      </w:r>
      <w:r w:rsidRPr="00B05BEE">
        <w:rPr>
          <w:b/>
          <w:bCs/>
          <w:i/>
          <w:noProof/>
          <w:color w:val="auto"/>
          <w:sz w:val="22"/>
          <w:szCs w:val="22"/>
        </w:rPr>
        <w:t xml:space="preserve"> et al.</w:t>
      </w:r>
      <w:r w:rsidRPr="00B05BEE">
        <w:rPr>
          <w:b/>
          <w:bCs/>
          <w:noProof/>
          <w:color w:val="auto"/>
          <w:sz w:val="22"/>
          <w:szCs w:val="22"/>
        </w:rPr>
        <w:t>, 2004)</w:t>
      </w:r>
      <w:r w:rsidRPr="00B05BEE">
        <w:rPr>
          <w:b/>
          <w:bCs/>
          <w:color w:val="auto"/>
          <w:sz w:val="22"/>
          <w:szCs w:val="22"/>
        </w:rPr>
        <w:fldChar w:fldCharType="end"/>
      </w:r>
      <w:r>
        <w:rPr>
          <w:color w:val="auto"/>
          <w:sz w:val="22"/>
          <w:szCs w:val="22"/>
        </w:rPr>
        <w:t xml:space="preserve">. This process was termed NETosis, as Takei and colleagues reported neutrophil death post NET release, however it is now established that NET release does not always result in cell death. Accordingly, two types of NETosis have been described: classical/suicidal NETosis that results in a novel type of programmed cell death </w:t>
      </w:r>
      <w:r w:rsidRPr="002D3A27">
        <w:rPr>
          <w:b/>
          <w:bCs/>
          <w:color w:val="auto"/>
          <w:sz w:val="22"/>
          <w:szCs w:val="22"/>
        </w:rPr>
        <w:fldChar w:fldCharType="begin"/>
      </w:r>
      <w:r w:rsidRPr="002D3A27">
        <w:rPr>
          <w:b/>
          <w:bCs/>
          <w:color w:val="auto"/>
          <w:sz w:val="22"/>
          <w:szCs w:val="22"/>
        </w:rPr>
        <w:instrText xml:space="preserve"> ADDIN EN.CITE &lt;EndNote&gt;&lt;Cite&gt;&lt;Author&gt;Fuchs&lt;/Author&gt;&lt;Year&gt;2007&lt;/Year&gt;&lt;IDText&gt;Novel cell death program leads to neutrophil extracellular traps&lt;/IDText&gt;&lt;DisplayText&gt;(Fuchs&lt;style face="italic"&gt; et al.&lt;/style&gt;, 2007)&lt;/DisplayText&gt;&lt;record&gt;&lt;dates&gt;&lt;pub-dates&gt;&lt;date&gt;Jan&lt;/date&gt;&lt;/pub-dates&gt;&lt;year&gt;2007&lt;/year&gt;&lt;/dates&gt;&lt;urls&gt;&lt;related-urls&gt;&lt;url&gt;&amp;lt;Go to ISI&amp;gt;://WOS:000243665800012&lt;/url&gt;&lt;/related-urls&gt;&lt;/urls&gt;&lt;isbn&gt;0021-9525&lt;/isbn&gt;&lt;titles&gt;&lt;title&gt;Novel cell death program leads to neutrophil extracellular traps&lt;/title&gt;&lt;secondary-title&gt;Journal of Cell Biology&lt;/secondary-title&gt;&lt;/titles&gt;&lt;pages&gt;231-241&lt;/pages&gt;&lt;number&gt;2&lt;/number&gt;&lt;contributors&gt;&lt;authors&gt;&lt;author&gt;Fuchs, T. A.&lt;/author&gt;&lt;author&gt;Abed, U.&lt;/author&gt;&lt;author&gt;Goosmann, C.&lt;/author&gt;&lt;author&gt;Hurwitz, R.&lt;/author&gt;&lt;author&gt;Schulze, I.&lt;/author&gt;&lt;author&gt;Wahn, V.&lt;/author&gt;&lt;author&gt;Weinrauch, Y.&lt;/author&gt;&lt;author&gt;Brinkmann, V.&lt;/author&gt;&lt;author&gt;Zychlinsky, A.&lt;/author&gt;&lt;/authors&gt;&lt;/contributors&gt;&lt;added-date format="utc"&gt;1676932808&lt;/added-date&gt;&lt;ref-type name="Journal Article"&gt;17&lt;/ref-type&gt;&lt;rec-number&gt;428&lt;/rec-number&gt;&lt;last-updated-date format="utc"&gt;1676932808&lt;/last-updated-date&gt;&lt;accession-num&gt;WOS:000243665800012&lt;/accession-num&gt;&lt;electronic-resource-num&gt;10.1083/jcb.200606027&lt;/electronic-resource-num&gt;&lt;volume&gt;176&lt;/volume&gt;&lt;/record&gt;&lt;/Cite&gt;&lt;/EndNote&gt;</w:instrText>
      </w:r>
      <w:r w:rsidRPr="002D3A27">
        <w:rPr>
          <w:b/>
          <w:bCs/>
          <w:color w:val="auto"/>
          <w:sz w:val="22"/>
          <w:szCs w:val="22"/>
        </w:rPr>
        <w:fldChar w:fldCharType="separate"/>
      </w:r>
      <w:r w:rsidRPr="002D3A27">
        <w:rPr>
          <w:b/>
          <w:bCs/>
          <w:noProof/>
          <w:color w:val="auto"/>
          <w:sz w:val="22"/>
          <w:szCs w:val="22"/>
        </w:rPr>
        <w:t>(Fuchs</w:t>
      </w:r>
      <w:r w:rsidRPr="002D3A27">
        <w:rPr>
          <w:b/>
          <w:bCs/>
          <w:i/>
          <w:noProof/>
          <w:color w:val="auto"/>
          <w:sz w:val="22"/>
          <w:szCs w:val="22"/>
        </w:rPr>
        <w:t xml:space="preserve"> et al.</w:t>
      </w:r>
      <w:r w:rsidRPr="002D3A27">
        <w:rPr>
          <w:b/>
          <w:bCs/>
          <w:noProof/>
          <w:color w:val="auto"/>
          <w:sz w:val="22"/>
          <w:szCs w:val="22"/>
        </w:rPr>
        <w:t>, 2007)</w:t>
      </w:r>
      <w:r w:rsidRPr="002D3A27">
        <w:rPr>
          <w:b/>
          <w:bCs/>
          <w:color w:val="auto"/>
          <w:sz w:val="22"/>
          <w:szCs w:val="22"/>
        </w:rPr>
        <w:fldChar w:fldCharType="end"/>
      </w:r>
      <w:r>
        <w:rPr>
          <w:color w:val="auto"/>
          <w:sz w:val="22"/>
          <w:szCs w:val="22"/>
        </w:rPr>
        <w:t xml:space="preserve">; and vital/non-lytic NETosis where neutrophil viability is retained </w:t>
      </w:r>
      <w:r w:rsidRPr="00716138">
        <w:rPr>
          <w:b/>
          <w:bCs/>
          <w:color w:val="auto"/>
          <w:sz w:val="22"/>
          <w:szCs w:val="22"/>
        </w:rPr>
        <w:fldChar w:fldCharType="begin">
          <w:fldData xml:space="preserve">PEVuZE5vdGU+PENpdGU+PEF1dGhvcj5Wb3JvYmpldmE8L0F1dGhvcj48WWVhcj4yMDIwPC9ZZWFy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</w:fldData>
        </w:fldChar>
      </w:r>
      <w:r>
        <w:rPr>
          <w:b/>
          <w:bCs/>
          <w:color w:val="auto"/>
          <w:sz w:val="22"/>
          <w:szCs w:val="22"/>
        </w:rPr>
        <w:instrText xml:space="preserve"> ADDIN EN.CITE </w:instrText>
      </w:r>
      <w:r>
        <w:rPr>
          <w:b/>
          <w:bCs/>
          <w:color w:val="auto"/>
          <w:sz w:val="22"/>
          <w:szCs w:val="22"/>
        </w:rPr>
        <w:fldChar w:fldCharType="begin">
          <w:fldData xml:space="preserve">PEVuZE5vdGU+PENpdGU+PEF1dGhvcj5Wb3JvYmpldmE8L0F1dGhvcj48WWVhcj4yMDIwPC9ZZWFy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</w:fldData>
        </w:fldChar>
      </w:r>
      <w:r>
        <w:rPr>
          <w:b/>
          <w:bCs/>
          <w:color w:val="auto"/>
          <w:sz w:val="22"/>
          <w:szCs w:val="22"/>
        </w:rPr>
        <w:instrText xml:space="preserve"> ADDIN EN.CITE.DATA </w:instrText>
      </w:r>
      <w:r>
        <w:rPr>
          <w:b/>
          <w:bCs/>
          <w:color w:val="auto"/>
          <w:sz w:val="22"/>
          <w:szCs w:val="22"/>
        </w:rPr>
      </w:r>
      <w:r>
        <w:rPr>
          <w:b/>
          <w:bCs/>
          <w:color w:val="auto"/>
          <w:sz w:val="22"/>
          <w:szCs w:val="22"/>
        </w:rPr>
        <w:fldChar w:fldCharType="end"/>
      </w:r>
      <w:r w:rsidRPr="00716138">
        <w:rPr>
          <w:b/>
          <w:bCs/>
          <w:color w:val="auto"/>
          <w:sz w:val="22"/>
          <w:szCs w:val="22"/>
        </w:rPr>
      </w:r>
      <w:r w:rsidRPr="00716138">
        <w:rPr>
          <w:b/>
          <w:bCs/>
          <w:color w:val="auto"/>
          <w:sz w:val="22"/>
          <w:szCs w:val="22"/>
        </w:rPr>
        <w:fldChar w:fldCharType="separate"/>
      </w:r>
      <w:r>
        <w:rPr>
          <w:b/>
          <w:bCs/>
          <w:noProof/>
          <w:color w:val="auto"/>
          <w:sz w:val="22"/>
          <w:szCs w:val="22"/>
        </w:rPr>
        <w:t>(Vorobjeva and Chernyak, 2020; Pilsczek</w:t>
      </w:r>
      <w:r w:rsidRPr="00862276">
        <w:rPr>
          <w:b/>
          <w:bCs/>
          <w:i/>
          <w:noProof/>
          <w:color w:val="auto"/>
          <w:sz w:val="22"/>
          <w:szCs w:val="22"/>
        </w:rPr>
        <w:t xml:space="preserve"> et al.</w:t>
      </w:r>
      <w:r>
        <w:rPr>
          <w:b/>
          <w:bCs/>
          <w:noProof/>
          <w:color w:val="auto"/>
          <w:sz w:val="22"/>
          <w:szCs w:val="22"/>
        </w:rPr>
        <w:t>, 2010)</w:t>
      </w:r>
      <w:r w:rsidRPr="00716138">
        <w:rPr>
          <w:b/>
          <w:bCs/>
          <w:color w:val="auto"/>
          <w:sz w:val="22"/>
          <w:szCs w:val="22"/>
        </w:rPr>
        <w:fldChar w:fldCharType="end"/>
      </w:r>
      <w:r>
        <w:rPr>
          <w:color w:val="auto"/>
          <w:sz w:val="22"/>
          <w:szCs w:val="22"/>
        </w:rPr>
        <w:t xml:space="preserve">. Briefly, NETosis formation is initiated by the production of reactive oxygen species (ROS), and the signalling pathways that allow this, trigger MPO signalling pathways. MPO will activate NE, which is required to prevent phagocytosis and promote chromatin condensation </w:t>
      </w:r>
      <w:r w:rsidRPr="00781DB8">
        <w:rPr>
          <w:b/>
          <w:bCs/>
          <w:color w:val="auto"/>
          <w:sz w:val="22"/>
          <w:szCs w:val="22"/>
        </w:rPr>
        <w:fldChar w:fldCharType="begin">
          <w:fldData xml:space="preserve">PEVuZE5vdGU+PENpdGU+PEF1dGhvcj5QYXBheWFubm9wb3Vsb3M8L0F1dGhvcj48WWVhcj4yMDEw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</w:fldData>
        </w:fldChar>
      </w:r>
      <w:r w:rsidRPr="00781DB8">
        <w:rPr>
          <w:b/>
          <w:bCs/>
          <w:color w:val="auto"/>
          <w:sz w:val="22"/>
          <w:szCs w:val="22"/>
        </w:rPr>
        <w:instrText xml:space="preserve"> ADDIN EN.CITE </w:instrText>
      </w:r>
      <w:r w:rsidRPr="00781DB8">
        <w:rPr>
          <w:b/>
          <w:bCs/>
          <w:color w:val="auto"/>
          <w:sz w:val="22"/>
          <w:szCs w:val="22"/>
        </w:rPr>
        <w:fldChar w:fldCharType="begin">
          <w:fldData xml:space="preserve">PEVuZE5vdGU+PENpdGU+PEF1dGhvcj5QYXBheWFubm9wb3Vsb3M8L0F1dGhvcj48WWVhcj4yMDEw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</w:fldData>
        </w:fldChar>
      </w:r>
      <w:r w:rsidRPr="00781DB8">
        <w:rPr>
          <w:b/>
          <w:bCs/>
          <w:color w:val="auto"/>
          <w:sz w:val="22"/>
          <w:szCs w:val="22"/>
        </w:rPr>
        <w:instrText xml:space="preserve"> ADDIN EN.CITE.DATA </w:instrText>
      </w:r>
      <w:r w:rsidRPr="00781DB8">
        <w:rPr>
          <w:b/>
          <w:bCs/>
          <w:color w:val="auto"/>
          <w:sz w:val="22"/>
          <w:szCs w:val="22"/>
        </w:rPr>
      </w:r>
      <w:r w:rsidRPr="00781DB8">
        <w:rPr>
          <w:b/>
          <w:bCs/>
          <w:color w:val="auto"/>
          <w:sz w:val="22"/>
          <w:szCs w:val="22"/>
        </w:rPr>
        <w:fldChar w:fldCharType="end"/>
      </w:r>
      <w:r w:rsidRPr="00781DB8">
        <w:rPr>
          <w:b/>
          <w:bCs/>
          <w:color w:val="auto"/>
          <w:sz w:val="22"/>
          <w:szCs w:val="22"/>
        </w:rPr>
      </w:r>
      <w:r w:rsidRPr="00781DB8">
        <w:rPr>
          <w:b/>
          <w:bCs/>
          <w:color w:val="auto"/>
          <w:sz w:val="22"/>
          <w:szCs w:val="22"/>
        </w:rPr>
        <w:fldChar w:fldCharType="separate"/>
      </w:r>
      <w:r w:rsidRPr="00781DB8">
        <w:rPr>
          <w:b/>
          <w:bCs/>
          <w:noProof/>
          <w:color w:val="auto"/>
          <w:sz w:val="22"/>
          <w:szCs w:val="22"/>
        </w:rPr>
        <w:t>(Papayannopoulos</w:t>
      </w:r>
      <w:r w:rsidRPr="00781DB8">
        <w:rPr>
          <w:b/>
          <w:bCs/>
          <w:i/>
          <w:noProof/>
          <w:color w:val="auto"/>
          <w:sz w:val="22"/>
          <w:szCs w:val="22"/>
        </w:rPr>
        <w:t xml:space="preserve"> et al.</w:t>
      </w:r>
      <w:r w:rsidRPr="00781DB8">
        <w:rPr>
          <w:b/>
          <w:bCs/>
          <w:noProof/>
          <w:color w:val="auto"/>
          <w:sz w:val="22"/>
          <w:szCs w:val="22"/>
        </w:rPr>
        <w:t>, 2010; Papayannopoulos, 2018)</w:t>
      </w:r>
      <w:r w:rsidRPr="00781DB8">
        <w:rPr>
          <w:b/>
          <w:bCs/>
          <w:color w:val="auto"/>
          <w:sz w:val="22"/>
          <w:szCs w:val="22"/>
        </w:rPr>
        <w:fldChar w:fldCharType="end"/>
      </w:r>
      <w:r>
        <w:rPr>
          <w:color w:val="auto"/>
          <w:sz w:val="22"/>
          <w:szCs w:val="22"/>
        </w:rPr>
        <w:t xml:space="preserve">, ultimately resulting in NETosis. The purpose of NETosis is to trap extracellular pathogens with web-like chromatin and subsequently eliminate bacteria using antimicrobial proteins/enzymes, and is postulated to occur in order to prevent dissemination </w:t>
      </w:r>
      <w:r w:rsidRPr="002D3A27">
        <w:rPr>
          <w:b/>
          <w:bCs/>
          <w:color w:val="auto"/>
          <w:sz w:val="22"/>
          <w:szCs w:val="22"/>
        </w:rPr>
        <w:fldChar w:fldCharType="begin"/>
      </w:r>
      <w:r w:rsidRPr="002D3A27">
        <w:rPr>
          <w:b/>
          <w:bCs/>
          <w:color w:val="auto"/>
          <w:sz w:val="22"/>
          <w:szCs w:val="22"/>
        </w:rPr>
        <w:instrText xml:space="preserve"> ADDIN EN.CITE &lt;EndNote&gt;&lt;Cite&gt;&lt;Author&gt;Branzk&lt;/Author&gt;&lt;Year&gt;2014&lt;/Year&gt;&lt;IDText&gt;Neutrophils sense microbe size and selectively release neutrophil extracellular traps in response to large pathogens&lt;/IDText&gt;&lt;DisplayText&gt;(Branzk&lt;style face="italic"&gt; et al.&lt;/style&gt;, 2014)&lt;/DisplayText&gt;&lt;record&gt;&lt;dates&gt;&lt;pub-dates&gt;&lt;date&gt;Nov&lt;/date&gt;&lt;/pub-dates&gt;&lt;year&gt;2014&lt;/year&gt;&lt;/dates&gt;&lt;urls&gt;&lt;related-urls&gt;&lt;url&gt;&amp;lt;Go to ISI&amp;gt;://WOS:000343640700007&lt;/url&gt;&lt;/related-urls&gt;&lt;/urls&gt;&lt;isbn&gt;1529-2908&lt;/isbn&gt;&lt;titles&gt;&lt;title&gt;Neutrophils sense microbe size and selectively release neutrophil extracellular traps in response to large pathogens&lt;/title&gt;&lt;secondary-title&gt;Nature Immunology&lt;/secondary-title&gt;&lt;/titles&gt;&lt;pages&gt;1017-1025&lt;/pages&gt;&lt;number&gt;11&lt;/number&gt;&lt;contributors&gt;&lt;authors&gt;&lt;author&gt;Branzk, N.&lt;/author&gt;&lt;author&gt;Lubojemska, A.&lt;/author&gt;&lt;author&gt;Hardison, S. E.&lt;/author&gt;&lt;author&gt;Wang, Q.&lt;/author&gt;&lt;author&gt;Gutierrez, M. G.&lt;/author&gt;&lt;author&gt;Brown, G. D.&lt;/author&gt;&lt;author&gt;Papayannopoulos, V.&lt;/author&gt;&lt;/authors&gt;&lt;/contributors&gt;&lt;added-date format="utc"&gt;1676932696&lt;/added-date&gt;&lt;ref-type name="Journal Article"&gt;17&lt;/ref-type&gt;&lt;rec-number&gt;427&lt;/rec-number&gt;&lt;last-updated-date format="utc"&gt;1676932696&lt;/last-updated-date&gt;&lt;accession-num&gt;WOS:000343640700007&lt;/accession-num&gt;&lt;electronic-resource-num&gt;10.1038/ni.2987&lt;/electronic-resource-num&gt;&lt;volume&gt;15&lt;/volume&gt;&lt;/record&gt;&lt;/Cite&gt;&lt;/EndNote&gt;</w:instrText>
      </w:r>
      <w:r w:rsidRPr="002D3A27">
        <w:rPr>
          <w:b/>
          <w:bCs/>
          <w:color w:val="auto"/>
          <w:sz w:val="22"/>
          <w:szCs w:val="22"/>
        </w:rPr>
        <w:fldChar w:fldCharType="separate"/>
      </w:r>
      <w:r w:rsidRPr="002D3A27">
        <w:rPr>
          <w:b/>
          <w:bCs/>
          <w:noProof/>
          <w:color w:val="auto"/>
          <w:sz w:val="22"/>
          <w:szCs w:val="22"/>
        </w:rPr>
        <w:t>(Branzk</w:t>
      </w:r>
      <w:r w:rsidRPr="002D3A27">
        <w:rPr>
          <w:b/>
          <w:bCs/>
          <w:i/>
          <w:noProof/>
          <w:color w:val="auto"/>
          <w:sz w:val="22"/>
          <w:szCs w:val="22"/>
        </w:rPr>
        <w:t xml:space="preserve"> et al.</w:t>
      </w:r>
      <w:r w:rsidRPr="002D3A27">
        <w:rPr>
          <w:b/>
          <w:bCs/>
          <w:noProof/>
          <w:color w:val="auto"/>
          <w:sz w:val="22"/>
          <w:szCs w:val="22"/>
        </w:rPr>
        <w:t>, 2014)</w:t>
      </w:r>
      <w:r w:rsidRPr="002D3A27">
        <w:rPr>
          <w:b/>
          <w:bCs/>
          <w:color w:val="auto"/>
          <w:sz w:val="22"/>
          <w:szCs w:val="22"/>
        </w:rPr>
        <w:fldChar w:fldCharType="end"/>
      </w:r>
      <w:r>
        <w:rPr>
          <w:color w:val="auto"/>
          <w:sz w:val="22"/>
          <w:szCs w:val="22"/>
        </w:rPr>
        <w:t xml:space="preserve">. </w:t>
      </w:r>
    </w:p>
    <w:p w14:paraId="1D0F4EE4" w14:textId="77777777" w:rsidR="00033564" w:rsidRDefault="00033564" w:rsidP="00033564">
      <w:pPr>
        <w:pStyle w:val="Heading4"/>
      </w:pPr>
      <w:r>
        <w:t xml:space="preserve">1.3.1.2. Monocytes and Macrophages </w:t>
      </w:r>
    </w:p>
    <w:p w14:paraId="6F523DD1" w14:textId="77777777" w:rsidR="00033564" w:rsidRDefault="00033564" w:rsidP="00033564">
      <w:pPr>
        <w:pStyle w:val="Default"/>
        <w:spacing w:line="360" w:lineRule="auto"/>
        <w:jc w:val="both"/>
        <w:rPr>
          <w:color w:val="auto"/>
          <w:sz w:val="22"/>
          <w:szCs w:val="22"/>
        </w:rPr>
      </w:pPr>
    </w:p>
    <w:p w14:paraId="411A7595" w14:textId="77777777" w:rsidR="00033564" w:rsidRPr="001E03C7" w:rsidRDefault="00033564" w:rsidP="00033564">
      <w:pPr>
        <w:pStyle w:val="Default"/>
        <w:spacing w:line="360" w:lineRule="auto"/>
        <w:jc w:val="both"/>
        <w:rPr>
          <w:b/>
          <w:bCs/>
          <w:color w:val="auto"/>
          <w:sz w:val="22"/>
          <w:szCs w:val="22"/>
        </w:rPr>
      </w:pPr>
      <w:r>
        <w:rPr>
          <w:color w:val="auto"/>
          <w:sz w:val="22"/>
          <w:szCs w:val="22"/>
        </w:rPr>
        <w:t xml:space="preserve">Once produced in the bone marrow, monocytes, like neutrophils will enter the bloodstream and comprise approximately 3-8% of the circulating cell population, which increases in the event of inflammation  </w:t>
      </w:r>
      <w:r w:rsidRPr="000D41DD">
        <w:rPr>
          <w:b/>
          <w:bCs/>
          <w:color w:val="auto"/>
          <w:sz w:val="22"/>
          <w:szCs w:val="22"/>
        </w:rPr>
        <w:fldChar w:fldCharType="begin"/>
      </w:r>
      <w:r w:rsidRPr="000D41DD">
        <w:rPr>
          <w:b/>
          <w:bCs/>
          <w:color w:val="auto"/>
          <w:sz w:val="22"/>
          <w:szCs w:val="22"/>
        </w:rPr>
        <w:instrText xml:space="preserve"> ADDIN EN.CITE &lt;EndNote&gt;&lt;Cite&gt;&lt;Author&gt;Monie&lt;/Author&gt;&lt;Year&gt;2017&lt;/Year&gt;&lt;IDText&gt;The Innate Immune System&lt;/IDText&gt;&lt;DisplayText&gt;(Monie, 2017)&lt;/DisplayText&gt;&lt;record&gt;&lt;titles&gt;&lt;title&gt;The Innate Immune System&lt;/title&gt;&lt;/titles&gt;&lt;contributors&gt;&lt;authors&gt;&lt;author&gt;Monie, Tom P&lt;/author&gt;&lt;/authors&gt;&lt;/contributors&gt;&lt;section&gt;1-40&lt;/section&gt;&lt;added-date format="utc"&gt;1676941455&lt;/added-date&gt;&lt;ref-type name="Book"&gt;6&lt;/ref-type&gt;&lt;dates&gt;&lt;year&gt;2017&lt;/year&gt;&lt;/dates&gt;&lt;rec-number&gt;432&lt;/rec-number&gt;&lt;publisher&gt;Academic Press&lt;/publisher&gt;&lt;last-updated-date format="utc"&gt;1676941494&lt;/last-updated-date&gt;&lt;/record&gt;&lt;/Cite&gt;&lt;/EndNote&gt;</w:instrText>
      </w:r>
      <w:r w:rsidRPr="000D41DD">
        <w:rPr>
          <w:b/>
          <w:bCs/>
          <w:color w:val="auto"/>
          <w:sz w:val="22"/>
          <w:szCs w:val="22"/>
        </w:rPr>
        <w:fldChar w:fldCharType="separate"/>
      </w:r>
      <w:r w:rsidRPr="000D41DD">
        <w:rPr>
          <w:b/>
          <w:bCs/>
          <w:noProof/>
          <w:color w:val="auto"/>
          <w:sz w:val="22"/>
          <w:szCs w:val="22"/>
        </w:rPr>
        <w:t>(Monie, 2017)</w:t>
      </w:r>
      <w:r w:rsidRPr="000D41DD">
        <w:rPr>
          <w:b/>
          <w:bCs/>
          <w:color w:val="auto"/>
          <w:sz w:val="22"/>
          <w:szCs w:val="22"/>
        </w:rPr>
        <w:fldChar w:fldCharType="end"/>
      </w:r>
      <w:r>
        <w:rPr>
          <w:color w:val="auto"/>
          <w:sz w:val="22"/>
          <w:szCs w:val="22"/>
        </w:rPr>
        <w:t xml:space="preserve">. Monocytes will circulate for approximately 24-48 hours and unless they are recruited to specific tissues where they differentiate into tissue-resident macrophages (TRM), they will die </w:t>
      </w:r>
      <w:r w:rsidRPr="00C04F91">
        <w:rPr>
          <w:b/>
          <w:bCs/>
          <w:color w:val="auto"/>
          <w:sz w:val="22"/>
          <w:szCs w:val="22"/>
        </w:rPr>
        <w:fldChar w:fldCharType="begin"/>
      </w:r>
      <w:r w:rsidRPr="00C04F91">
        <w:rPr>
          <w:b/>
          <w:bCs/>
          <w:color w:val="auto"/>
          <w:sz w:val="22"/>
          <w:szCs w:val="22"/>
        </w:rPr>
        <w:instrText xml:space="preserve"> ADDIN EN.CITE &lt;EndNote&gt;&lt;Cite&gt;&lt;Author&gt;Davies&lt;/Author&gt;&lt;Year&gt;2013&lt;/Year&gt;&lt;IDText&gt;Tissue-resident macrophages&lt;/IDText&gt;&lt;DisplayText&gt;(Davies&lt;style face="italic"&gt; et al.&lt;/style&gt;, 2013)&lt;/DisplayText&gt;&lt;record&gt;&lt;dates&gt;&lt;pub-dates&gt;&lt;date&gt;Oct&lt;/date&gt;&lt;/pub-dates&gt;&lt;year&gt;2013&lt;/year&gt;&lt;/dates&gt;&lt;urls&gt;&lt;related-urls&gt;&lt;url&gt;&amp;lt;Go to ISI&amp;gt;://WOS:000324584700003&lt;/url&gt;&lt;/related-urls&gt;&lt;/urls&gt;&lt;isbn&gt;1529-2908&lt;/isbn&gt;&lt;titles&gt;&lt;title&gt;Tissue-resident macrophages&lt;/title&gt;&lt;secondary-title&gt;Nature Immunology&lt;/secondary-title&gt;&lt;/titles&gt;&lt;pages&gt;986-995&lt;/pages&gt;&lt;number&gt;10&lt;/number&gt;&lt;contributors&gt;&lt;authors&gt;&lt;author&gt;Davies, L. C.&lt;/author&gt;&lt;author&gt;Jenkins, S. J.&lt;/author&gt;&lt;author&gt;Allen, J. E.&lt;/author&gt;&lt;author&gt;Taylor, P. R.&lt;/author&gt;&lt;/authors&gt;&lt;/contributors&gt;&lt;added-date format="utc"&gt;1676942269&lt;/added-date&gt;&lt;ref-type name="Journal Article"&gt;17&lt;/ref-type&gt;&lt;rec-number&gt;434&lt;/rec-number&gt;&lt;last-updated-date format="utc"&gt;1676942269&lt;/last-updated-date&gt;&lt;accession-num&gt;WOS:000324584700003&lt;/accession-num&gt;&lt;electronic-resource-num&gt;10.1038/ni.2705&lt;/electronic-resource-num&gt;&lt;volume&gt;14&lt;/volume&gt;&lt;/record&gt;&lt;/Cite&gt;&lt;/EndNote&gt;</w:instrText>
      </w:r>
      <w:r w:rsidRPr="00C04F91">
        <w:rPr>
          <w:b/>
          <w:bCs/>
          <w:color w:val="auto"/>
          <w:sz w:val="22"/>
          <w:szCs w:val="22"/>
        </w:rPr>
        <w:fldChar w:fldCharType="separate"/>
      </w:r>
      <w:r w:rsidRPr="00C04F91">
        <w:rPr>
          <w:b/>
          <w:bCs/>
          <w:noProof/>
          <w:color w:val="auto"/>
          <w:sz w:val="22"/>
          <w:szCs w:val="22"/>
        </w:rPr>
        <w:t>(Davies</w:t>
      </w:r>
      <w:r w:rsidRPr="00C04F91">
        <w:rPr>
          <w:b/>
          <w:bCs/>
          <w:i/>
          <w:noProof/>
          <w:color w:val="auto"/>
          <w:sz w:val="22"/>
          <w:szCs w:val="22"/>
        </w:rPr>
        <w:t xml:space="preserve"> et al.</w:t>
      </w:r>
      <w:r w:rsidRPr="00C04F91">
        <w:rPr>
          <w:b/>
          <w:bCs/>
          <w:noProof/>
          <w:color w:val="auto"/>
          <w:sz w:val="22"/>
          <w:szCs w:val="22"/>
        </w:rPr>
        <w:t>, 2013)</w:t>
      </w:r>
      <w:r w:rsidRPr="00C04F91">
        <w:rPr>
          <w:b/>
          <w:bCs/>
          <w:color w:val="auto"/>
          <w:sz w:val="22"/>
          <w:szCs w:val="22"/>
        </w:rPr>
        <w:fldChar w:fldCharType="end"/>
      </w:r>
      <w:r>
        <w:rPr>
          <w:color w:val="auto"/>
          <w:sz w:val="22"/>
          <w:szCs w:val="22"/>
        </w:rPr>
        <w:t xml:space="preserve">. However, not all TRM are differentiated from monocytes – some TRM are able to self-renew and this ability is owed to primitive haematopoietic progenitors of an embryonic origin that reside within specific tissues </w:t>
      </w:r>
      <w:r w:rsidRPr="004E6B56">
        <w:rPr>
          <w:b/>
          <w:bCs/>
          <w:color w:val="auto"/>
          <w:sz w:val="22"/>
          <w:szCs w:val="22"/>
        </w:rPr>
        <w:fldChar w:fldCharType="begin">
          <w:fldData xml:space="preserve">PEVuZE5vdGU+PENpdGU+PEF1dGhvcj5BamFtaTwvQXV0aG9yPjxZZWFyPjIwMDc8L1llYXI+PElE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</w:fldData>
        </w:fldChar>
      </w:r>
      <w:r>
        <w:rPr>
          <w:b/>
          <w:bCs/>
          <w:color w:val="auto"/>
          <w:sz w:val="22"/>
          <w:szCs w:val="22"/>
        </w:rPr>
        <w:instrText xml:space="preserve"> ADDIN EN.CITE </w:instrText>
      </w:r>
      <w:r>
        <w:rPr>
          <w:b/>
          <w:bCs/>
          <w:color w:val="auto"/>
          <w:sz w:val="22"/>
          <w:szCs w:val="22"/>
        </w:rPr>
        <w:fldChar w:fldCharType="begin">
          <w:fldData xml:space="preserve">PEVuZE5vdGU+PENpdGU+PEF1dGhvcj5BamFtaTwvQXV0aG9yPjxZZWFyPjIwMDc8L1llYXI+PElE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</w:fldData>
        </w:fldChar>
      </w:r>
      <w:r>
        <w:rPr>
          <w:b/>
          <w:bCs/>
          <w:color w:val="auto"/>
          <w:sz w:val="22"/>
          <w:szCs w:val="22"/>
        </w:rPr>
        <w:instrText xml:space="preserve"> ADDIN EN.CITE.DATA </w:instrText>
      </w:r>
      <w:r>
        <w:rPr>
          <w:b/>
          <w:bCs/>
          <w:color w:val="auto"/>
          <w:sz w:val="22"/>
          <w:szCs w:val="22"/>
        </w:rPr>
      </w:r>
      <w:r>
        <w:rPr>
          <w:b/>
          <w:bCs/>
          <w:color w:val="auto"/>
          <w:sz w:val="22"/>
          <w:szCs w:val="22"/>
        </w:rPr>
        <w:fldChar w:fldCharType="end"/>
      </w:r>
      <w:r w:rsidRPr="004E6B56">
        <w:rPr>
          <w:b/>
          <w:bCs/>
          <w:color w:val="auto"/>
          <w:sz w:val="22"/>
          <w:szCs w:val="22"/>
        </w:rPr>
      </w:r>
      <w:r w:rsidRPr="004E6B56">
        <w:rPr>
          <w:b/>
          <w:bCs/>
          <w:color w:val="auto"/>
          <w:sz w:val="22"/>
          <w:szCs w:val="22"/>
        </w:rPr>
        <w:fldChar w:fldCharType="separate"/>
      </w:r>
      <w:r>
        <w:rPr>
          <w:b/>
          <w:bCs/>
          <w:noProof/>
          <w:color w:val="auto"/>
          <w:sz w:val="22"/>
          <w:szCs w:val="22"/>
        </w:rPr>
        <w:t>(Ajami</w:t>
      </w:r>
      <w:r w:rsidRPr="00A81002">
        <w:rPr>
          <w:b/>
          <w:bCs/>
          <w:i/>
          <w:noProof/>
          <w:color w:val="auto"/>
          <w:sz w:val="22"/>
          <w:szCs w:val="22"/>
        </w:rPr>
        <w:t xml:space="preserve"> et al.</w:t>
      </w:r>
      <w:r>
        <w:rPr>
          <w:b/>
          <w:bCs/>
          <w:noProof/>
          <w:color w:val="auto"/>
          <w:sz w:val="22"/>
          <w:szCs w:val="22"/>
        </w:rPr>
        <w:t>, 2007; Sieweke and Allen, 2013; Hashimoto</w:t>
      </w:r>
      <w:r w:rsidRPr="00A81002">
        <w:rPr>
          <w:b/>
          <w:bCs/>
          <w:i/>
          <w:noProof/>
          <w:color w:val="auto"/>
          <w:sz w:val="22"/>
          <w:szCs w:val="22"/>
        </w:rPr>
        <w:t xml:space="preserve"> et al.</w:t>
      </w:r>
      <w:r>
        <w:rPr>
          <w:b/>
          <w:bCs/>
          <w:noProof/>
          <w:color w:val="auto"/>
          <w:sz w:val="22"/>
          <w:szCs w:val="22"/>
        </w:rPr>
        <w:t>, 2013)</w:t>
      </w:r>
      <w:r w:rsidRPr="004E6B56">
        <w:rPr>
          <w:b/>
          <w:bCs/>
          <w:color w:val="auto"/>
          <w:sz w:val="22"/>
          <w:szCs w:val="22"/>
        </w:rPr>
        <w:fldChar w:fldCharType="end"/>
      </w:r>
      <w:r>
        <w:rPr>
          <w:color w:val="auto"/>
          <w:sz w:val="22"/>
          <w:szCs w:val="22"/>
        </w:rPr>
        <w:t xml:space="preserve">. These macrophages are seeded to tissues during embryonic development and thus, challenge the previous notion that all TRM are bone marrow-derived </w:t>
      </w:r>
      <w:r w:rsidRPr="00A81002">
        <w:rPr>
          <w:b/>
          <w:bCs/>
          <w:color w:val="auto"/>
          <w:sz w:val="22"/>
          <w:szCs w:val="22"/>
        </w:rPr>
        <w:fldChar w:fldCharType="begin"/>
      </w:r>
      <w:r w:rsidRPr="00A81002">
        <w:rPr>
          <w:b/>
          <w:bCs/>
          <w:color w:val="auto"/>
          <w:sz w:val="22"/>
          <w:szCs w:val="22"/>
        </w:rPr>
        <w:instrText xml:space="preserve"> ADDIN EN.CITE &lt;EndNote&gt;&lt;Cite&gt;&lt;Author&gt;Hashimoto&lt;/Author&gt;&lt;Year&gt;2013&lt;/Year&gt;&lt;IDText&gt;Tissue-Resident Macrophages Self-Maintain Locally throughout Adult Life with Minimal Contribution from Circulating Monocytes&lt;/IDText&gt;&lt;DisplayText&gt;(Hashimoto&lt;style face="italic"&gt; et al.&lt;/style&gt;, 2013)&lt;/DisplayText&gt;&lt;record&gt;&lt;dates&gt;&lt;pub-dates&gt;&lt;date&gt;Apr&lt;/date&gt;&lt;/pub-dates&gt;&lt;year&gt;2013&lt;/year&gt;&lt;/dates&gt;&lt;urls&gt;&lt;related-urls&gt;&lt;url&gt;&amp;lt;Go to ISI&amp;gt;://WOS:000330942100020&lt;/url&gt;&lt;/related-urls&gt;&lt;/urls&gt;&lt;isbn&gt;1074-7613&lt;/isbn&gt;&lt;titles&gt;&lt;title&gt;Tissue-Resident Macrophages Self-Maintain Locally throughout Adult Life with Minimal Contribution from Circulating Monocytes&lt;/title&gt;&lt;secondary-title&gt;Immunity&lt;/secondary-title&gt;&lt;/titles&gt;&lt;pages&gt;792-804&lt;/pages&gt;&lt;number&gt;4&lt;/number&gt;&lt;contributors&gt;&lt;authors&gt;&lt;author&gt;Hashimoto, D.&lt;/author&gt;&lt;author&gt;Chow, A.&lt;/author&gt;&lt;author&gt;Noizat, C.&lt;/author&gt;&lt;author&gt;Teo, P.&lt;/author&gt;&lt;author&gt;Beasley, M. B.&lt;/author&gt;&lt;author&gt;Leboeuf, M.&lt;/author&gt;&lt;author&gt;Becker, C. D.&lt;/author&gt;&lt;author&gt;See, P.&lt;/author&gt;&lt;author&gt;Price, J.&lt;/author&gt;&lt;author&gt;Lucas, D.&lt;/author&gt;&lt;author&gt;Greter, M.&lt;/author&gt;&lt;author&gt;Mortha, A.&lt;/author&gt;&lt;author&gt;Boyer, S. W.&lt;/author&gt;&lt;author&gt;Forsberg, E. C.&lt;/author&gt;&lt;author&gt;Tanaka, M.&lt;/author&gt;&lt;author&gt;van Rooijen, N.&lt;/author&gt;&lt;author&gt;Garcia-Sastre, A.&lt;/author&gt;&lt;author&gt;Stanley, E. R.&lt;/author&gt;&lt;author&gt;Ginhoux, F.&lt;/author&gt;&lt;author&gt;Frenette, P. S.&lt;/author&gt;&lt;author&gt;Merad, M.&lt;/author&gt;&lt;/authors&gt;&lt;/contributors&gt;&lt;added-date format="utc"&gt;1677006365&lt;/added-date&gt;&lt;ref-type name="Journal Article"&gt;17&lt;/ref-type&gt;&lt;rec-number&gt;438&lt;/rec-number&gt;&lt;last-updated-date format="utc"&gt;1677006365&lt;/last-updated-date&gt;&lt;accession-num&gt;WOS:000330942100020&lt;/accession-num&gt;&lt;electronic-resource-num&gt;10.1016/j.immuni.2013.04.004&lt;/electronic-resource-num&gt;&lt;volume&gt;38&lt;/volume&gt;&lt;/record&gt;&lt;/Cite&gt;&lt;/EndNote&gt;</w:instrText>
      </w:r>
      <w:r w:rsidRPr="00A81002">
        <w:rPr>
          <w:b/>
          <w:bCs/>
          <w:color w:val="auto"/>
          <w:sz w:val="22"/>
          <w:szCs w:val="22"/>
        </w:rPr>
        <w:fldChar w:fldCharType="separate"/>
      </w:r>
      <w:r w:rsidRPr="00A81002">
        <w:rPr>
          <w:b/>
          <w:bCs/>
          <w:noProof/>
          <w:color w:val="auto"/>
          <w:sz w:val="22"/>
          <w:szCs w:val="22"/>
        </w:rPr>
        <w:t>(Hashimoto</w:t>
      </w:r>
      <w:r w:rsidRPr="00A81002">
        <w:rPr>
          <w:b/>
          <w:bCs/>
          <w:i/>
          <w:noProof/>
          <w:color w:val="auto"/>
          <w:sz w:val="22"/>
          <w:szCs w:val="22"/>
        </w:rPr>
        <w:t xml:space="preserve"> et al.</w:t>
      </w:r>
      <w:r w:rsidRPr="00A81002">
        <w:rPr>
          <w:b/>
          <w:bCs/>
          <w:noProof/>
          <w:color w:val="auto"/>
          <w:sz w:val="22"/>
          <w:szCs w:val="22"/>
        </w:rPr>
        <w:t>, 2013)</w:t>
      </w:r>
      <w:r w:rsidRPr="00A81002">
        <w:rPr>
          <w:b/>
          <w:bCs/>
          <w:color w:val="auto"/>
          <w:sz w:val="22"/>
          <w:szCs w:val="22"/>
        </w:rPr>
        <w:fldChar w:fldCharType="end"/>
      </w:r>
      <w:r>
        <w:rPr>
          <w:color w:val="auto"/>
          <w:sz w:val="22"/>
          <w:szCs w:val="22"/>
        </w:rPr>
        <w:t xml:space="preserve">. Similar to neutrophils, bone marrow-derived macrophages (BMDMs) are short-lived and are able to differentiate from monocytes when necessary, while embryonically derived macrophages are long-lived and are able to self-maintain </w:t>
      </w:r>
      <w:r w:rsidRPr="00F56D60">
        <w:rPr>
          <w:b/>
          <w:bCs/>
          <w:color w:val="auto"/>
          <w:sz w:val="22"/>
          <w:szCs w:val="22"/>
        </w:rPr>
        <w:fldChar w:fldCharType="begin">
          <w:fldData xml:space="preserve">PEVuZE5vdGU+PENpdGU+PEF1dGhvcj5CYWluPC9BdXRob3I+PFllYXI+MjAxNDwvWWVhcj48SURU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=
</w:fldData>
        </w:fldChar>
      </w:r>
      <w:r w:rsidRPr="00F56D60">
        <w:rPr>
          <w:b/>
          <w:bCs/>
          <w:color w:val="auto"/>
          <w:sz w:val="22"/>
          <w:szCs w:val="22"/>
        </w:rPr>
        <w:instrText xml:space="preserve"> ADDIN EN.CITE </w:instrText>
      </w:r>
      <w:r w:rsidRPr="00F56D60">
        <w:rPr>
          <w:b/>
          <w:bCs/>
          <w:color w:val="auto"/>
          <w:sz w:val="22"/>
          <w:szCs w:val="22"/>
        </w:rPr>
        <w:fldChar w:fldCharType="begin">
          <w:fldData xml:space="preserve">PEVuZE5vdGU+PENpdGU+PEF1dGhvcj5CYWluPC9BdXRob3I+PFllYXI+MjAxNDwvWWVhcj48SURU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=
</w:fldData>
        </w:fldChar>
      </w:r>
      <w:r w:rsidRPr="00F56D60">
        <w:rPr>
          <w:b/>
          <w:bCs/>
          <w:color w:val="auto"/>
          <w:sz w:val="22"/>
          <w:szCs w:val="22"/>
        </w:rPr>
        <w:instrText xml:space="preserve"> ADDIN EN.CITE.DATA </w:instrText>
      </w:r>
      <w:r w:rsidRPr="00F56D60">
        <w:rPr>
          <w:b/>
          <w:bCs/>
          <w:color w:val="auto"/>
          <w:sz w:val="22"/>
          <w:szCs w:val="22"/>
        </w:rPr>
      </w:r>
      <w:r w:rsidRPr="00F56D60">
        <w:rPr>
          <w:b/>
          <w:bCs/>
          <w:color w:val="auto"/>
          <w:sz w:val="22"/>
          <w:szCs w:val="22"/>
        </w:rPr>
        <w:fldChar w:fldCharType="end"/>
      </w:r>
      <w:r w:rsidRPr="00F56D60">
        <w:rPr>
          <w:b/>
          <w:bCs/>
          <w:color w:val="auto"/>
          <w:sz w:val="22"/>
          <w:szCs w:val="22"/>
        </w:rPr>
      </w:r>
      <w:r w:rsidRPr="00F56D60">
        <w:rPr>
          <w:b/>
          <w:bCs/>
          <w:color w:val="auto"/>
          <w:sz w:val="22"/>
          <w:szCs w:val="22"/>
        </w:rPr>
        <w:fldChar w:fldCharType="separate"/>
      </w:r>
      <w:r w:rsidRPr="00F56D60">
        <w:rPr>
          <w:b/>
          <w:bCs/>
          <w:noProof/>
          <w:color w:val="auto"/>
          <w:sz w:val="22"/>
          <w:szCs w:val="22"/>
        </w:rPr>
        <w:t>(Bain</w:t>
      </w:r>
      <w:r w:rsidRPr="00F56D60">
        <w:rPr>
          <w:b/>
          <w:bCs/>
          <w:i/>
          <w:noProof/>
          <w:color w:val="auto"/>
          <w:sz w:val="22"/>
          <w:szCs w:val="22"/>
        </w:rPr>
        <w:t xml:space="preserve"> et al.</w:t>
      </w:r>
      <w:r w:rsidRPr="00F56D60">
        <w:rPr>
          <w:b/>
          <w:bCs/>
          <w:noProof/>
          <w:color w:val="auto"/>
          <w:sz w:val="22"/>
          <w:szCs w:val="22"/>
        </w:rPr>
        <w:t>, 2014; Guilliams and Scott, 2017)</w:t>
      </w:r>
      <w:r w:rsidRPr="00F56D60">
        <w:rPr>
          <w:b/>
          <w:bCs/>
          <w:color w:val="auto"/>
          <w:sz w:val="22"/>
          <w:szCs w:val="22"/>
        </w:rPr>
        <w:fldChar w:fldCharType="end"/>
      </w:r>
      <w:r>
        <w:rPr>
          <w:color w:val="auto"/>
          <w:sz w:val="22"/>
          <w:szCs w:val="22"/>
        </w:rPr>
        <w:t>. Monocytes/embryonic progenitors that give rise to TRM undergo major transcriptional changes in order to adapt to, and function appropriately in their resident tissue</w:t>
      </w:r>
      <w:r w:rsidRPr="008A18F8">
        <w:rPr>
          <w:b/>
          <w:bCs/>
          <w:color w:val="auto"/>
          <w:sz w:val="22"/>
          <w:szCs w:val="22"/>
        </w:rPr>
        <w:t xml:space="preserve"> </w:t>
      </w:r>
      <w:r w:rsidRPr="008A18F8">
        <w:rPr>
          <w:b/>
          <w:bCs/>
          <w:color w:val="auto"/>
          <w:sz w:val="22"/>
          <w:szCs w:val="22"/>
        </w:rPr>
        <w:fldChar w:fldCharType="begin"/>
      </w:r>
      <w:r w:rsidRPr="008A18F8">
        <w:rPr>
          <w:b/>
          <w:bCs/>
          <w:color w:val="auto"/>
          <w:sz w:val="22"/>
          <w:szCs w:val="22"/>
        </w:rPr>
        <w:instrText xml:space="preserve"> ADDIN EN.CITE &lt;EndNote&gt;&lt;Cite&gt;&lt;Author&gt;Gautier&lt;/Author&gt;&lt;Year&gt;2012&lt;/Year&gt;&lt;IDText&gt;Gene-expression profiles and transcriptional regulatory pathways that underlie the identity and diversity of mouse tissue macrophages&lt;/IDText&gt;&lt;DisplayText&gt;(Gautier&lt;style face="italic"&gt; et al.&lt;/style&gt;, 2012)&lt;/DisplayText&gt;&lt;record&gt;&lt;dates&gt;&lt;pub-dates&gt;&lt;date&gt;Nov&lt;/date&gt;&lt;/pub-dates&gt;&lt;year&gt;2012&lt;/year&gt;&lt;/dates&gt;&lt;urls&gt;&lt;related-urls&gt;&lt;url&gt;&amp;lt;Go to ISI&amp;gt;://WOS:000310091700015&lt;/url&gt;&lt;/related-urls&gt;&lt;/urls&gt;&lt;isbn&gt;1529-2908&lt;/isbn&gt;&lt;titles&gt;&lt;title&gt;Gene-expression profiles and transcriptional regulatory pathways that underlie the identity and diversity of mouse tissue macrophages&lt;/title&gt;&lt;secondary-title&gt;Nature Immunology&lt;/secondary-title&gt;&lt;/titles&gt;&lt;pages&gt;1118-1128&lt;/pages&gt;&lt;number&gt;11&lt;/number&gt;&lt;contributors&gt;&lt;authors&gt;&lt;author&gt;Gautier, E. L.&lt;/author&gt;&lt;author&gt;Shay, T.&lt;/author&gt;&lt;author&gt;Miller, J.&lt;/author&gt;&lt;author&gt;Greter, M.&lt;/author&gt;&lt;author&gt;Jakubzick, C.&lt;/author&gt;&lt;author&gt;Ivanov, S.&lt;/author&gt;&lt;author&gt;Helft, J.&lt;/author&gt;&lt;author&gt;Chow, A.&lt;/author&gt;&lt;author&gt;Elpek, K. G.&lt;/author&gt;&lt;author&gt;Gordonov, S.&lt;/author&gt;&lt;author&gt;Mazloom, A. R.&lt;/author&gt;&lt;author&gt;Ma&amp;apos;ayan, A.&lt;/author&gt;&lt;author&gt;Chua, W. J.&lt;/author&gt;&lt;author&gt;Hansen, T. H.&lt;/author&gt;&lt;author&gt;Turley, S. J.&lt;/author&gt;&lt;author&gt;Merad, M.&lt;/author&gt;&lt;author&gt;Randolph, G. J.&lt;/author&gt;&lt;author&gt;Immunological Genome, Consortium&lt;/author&gt;&lt;/authors&gt;&lt;/contributors&gt;&lt;added-date format="utc"&gt;1677005586&lt;/added-date&gt;&lt;ref-type name="Journal Article"&gt;17&lt;/ref-type&gt;&lt;rec-number&gt;437&lt;/rec-number&gt;&lt;last-updated-date format="utc"&gt;1677005586&lt;/last-updated-date&gt;&lt;accession-num&gt;WOS:000310091700015&lt;/accession-num&gt;&lt;electronic-resource-num&gt;10.1038/ni.2419&lt;/electronic-resource-num&gt;&lt;volume&gt;13&lt;/volume&gt;&lt;/record&gt;&lt;/Cite&gt;&lt;/EndNote&gt;</w:instrText>
      </w:r>
      <w:r w:rsidRPr="008A18F8">
        <w:rPr>
          <w:b/>
          <w:bCs/>
          <w:color w:val="auto"/>
          <w:sz w:val="22"/>
          <w:szCs w:val="22"/>
        </w:rPr>
        <w:fldChar w:fldCharType="separate"/>
      </w:r>
      <w:r w:rsidRPr="008A18F8">
        <w:rPr>
          <w:b/>
          <w:bCs/>
          <w:noProof/>
          <w:color w:val="auto"/>
          <w:sz w:val="22"/>
          <w:szCs w:val="22"/>
        </w:rPr>
        <w:t>(Gautier</w:t>
      </w:r>
      <w:r w:rsidRPr="008A18F8">
        <w:rPr>
          <w:b/>
          <w:bCs/>
          <w:i/>
          <w:noProof/>
          <w:color w:val="auto"/>
          <w:sz w:val="22"/>
          <w:szCs w:val="22"/>
        </w:rPr>
        <w:t xml:space="preserve"> et al.</w:t>
      </w:r>
      <w:r w:rsidRPr="008A18F8">
        <w:rPr>
          <w:b/>
          <w:bCs/>
          <w:noProof/>
          <w:color w:val="auto"/>
          <w:sz w:val="22"/>
          <w:szCs w:val="22"/>
        </w:rPr>
        <w:t>, 2012)</w:t>
      </w:r>
      <w:r w:rsidRPr="008A18F8">
        <w:rPr>
          <w:b/>
          <w:bCs/>
          <w:color w:val="auto"/>
          <w:sz w:val="22"/>
          <w:szCs w:val="22"/>
        </w:rPr>
        <w:fldChar w:fldCharType="end"/>
      </w:r>
      <w:r>
        <w:rPr>
          <w:color w:val="auto"/>
          <w:sz w:val="22"/>
          <w:szCs w:val="22"/>
        </w:rPr>
        <w:t xml:space="preserve">. The different types of TRM include Langerhans cells (skin), Kupffer cells (liver), microglia (brain), alveolar macrophages (lung alveoli) and red pulp macrophages (spleen). Macrophages are thus known for their plasticity, highlighted by their different functions depending on their resident tissue. While the transcriptional profile and cell surface markers of TRM differ between organs, the function of TRM/monocytes remains the same. Major functions of macrophages/monocytes include the development, maintenance and surveillance of tissues, as well as the ability to generate an immune response to invading pathogens and subsequently clear foreign material </w:t>
      </w:r>
      <w:r w:rsidRPr="006701A3">
        <w:rPr>
          <w:b/>
          <w:bCs/>
          <w:color w:val="auto"/>
          <w:sz w:val="22"/>
          <w:szCs w:val="22"/>
        </w:rPr>
        <w:fldChar w:fldCharType="begin">
          <w:fldData xml:space="preserve">PEVuZE5vdGU+PENpdGU+PEF1dGhvcj5JdGFsaWFuaTwvQXV0aG9yPjxZZWFyPjIwMTQ8L1llYXI+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</w:fldData>
        </w:fldChar>
      </w:r>
      <w:r w:rsidRPr="006701A3">
        <w:rPr>
          <w:b/>
          <w:bCs/>
          <w:color w:val="auto"/>
          <w:sz w:val="22"/>
          <w:szCs w:val="22"/>
        </w:rPr>
        <w:instrText xml:space="preserve"> ADDIN EN.CITE </w:instrText>
      </w:r>
      <w:r w:rsidRPr="006701A3">
        <w:rPr>
          <w:b/>
          <w:bCs/>
          <w:color w:val="auto"/>
          <w:sz w:val="22"/>
          <w:szCs w:val="22"/>
        </w:rPr>
        <w:fldChar w:fldCharType="begin">
          <w:fldData xml:space="preserve">PEVuZE5vdGU+PENpdGU+PEF1dGhvcj5JdGFsaWFuaTwvQXV0aG9yPjxZZWFyPjIwMTQ8L1llYXI+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</w:fldData>
        </w:fldChar>
      </w:r>
      <w:r w:rsidRPr="006701A3">
        <w:rPr>
          <w:b/>
          <w:bCs/>
          <w:color w:val="auto"/>
          <w:sz w:val="22"/>
          <w:szCs w:val="22"/>
        </w:rPr>
        <w:instrText xml:space="preserve"> ADDIN EN.CITE.DATA </w:instrText>
      </w:r>
      <w:r w:rsidRPr="006701A3">
        <w:rPr>
          <w:b/>
          <w:bCs/>
          <w:color w:val="auto"/>
          <w:sz w:val="22"/>
          <w:szCs w:val="22"/>
        </w:rPr>
      </w:r>
      <w:r w:rsidRPr="006701A3">
        <w:rPr>
          <w:b/>
          <w:bCs/>
          <w:color w:val="auto"/>
          <w:sz w:val="22"/>
          <w:szCs w:val="22"/>
        </w:rPr>
        <w:fldChar w:fldCharType="end"/>
      </w:r>
      <w:r w:rsidRPr="006701A3">
        <w:rPr>
          <w:b/>
          <w:bCs/>
          <w:color w:val="auto"/>
          <w:sz w:val="22"/>
          <w:szCs w:val="22"/>
        </w:rPr>
      </w:r>
      <w:r w:rsidRPr="006701A3">
        <w:rPr>
          <w:b/>
          <w:bCs/>
          <w:color w:val="auto"/>
          <w:sz w:val="22"/>
          <w:szCs w:val="22"/>
        </w:rPr>
        <w:fldChar w:fldCharType="separate"/>
      </w:r>
      <w:r w:rsidRPr="006701A3">
        <w:rPr>
          <w:b/>
          <w:bCs/>
          <w:noProof/>
          <w:color w:val="auto"/>
          <w:sz w:val="22"/>
          <w:szCs w:val="22"/>
        </w:rPr>
        <w:t>(Italiani and Boraschi, 2014; Pidwill</w:t>
      </w:r>
      <w:r w:rsidRPr="006701A3">
        <w:rPr>
          <w:b/>
          <w:bCs/>
          <w:i/>
          <w:noProof/>
          <w:color w:val="auto"/>
          <w:sz w:val="22"/>
          <w:szCs w:val="22"/>
        </w:rPr>
        <w:t xml:space="preserve"> et al.</w:t>
      </w:r>
      <w:r w:rsidRPr="006701A3">
        <w:rPr>
          <w:b/>
          <w:bCs/>
          <w:noProof/>
          <w:color w:val="auto"/>
          <w:sz w:val="22"/>
          <w:szCs w:val="22"/>
        </w:rPr>
        <w:t>, 2021)</w:t>
      </w:r>
      <w:r w:rsidRPr="006701A3">
        <w:rPr>
          <w:b/>
          <w:bCs/>
          <w:color w:val="auto"/>
          <w:sz w:val="22"/>
          <w:szCs w:val="22"/>
        </w:rPr>
        <w:fldChar w:fldCharType="end"/>
      </w:r>
      <w:r>
        <w:rPr>
          <w:color w:val="auto"/>
          <w:sz w:val="22"/>
          <w:szCs w:val="22"/>
        </w:rPr>
        <w:t>.</w:t>
      </w:r>
      <w:r>
        <w:rPr>
          <w:b/>
          <w:bCs/>
          <w:color w:val="auto"/>
          <w:sz w:val="22"/>
          <w:szCs w:val="22"/>
        </w:rPr>
        <w:t xml:space="preserve"> </w:t>
      </w:r>
      <w:r>
        <w:rPr>
          <w:color w:val="auto"/>
          <w:sz w:val="22"/>
          <w:szCs w:val="22"/>
        </w:rPr>
        <w:t xml:space="preserve">Tissue-specific functions of macrophages are important for tissue homeostasis. For example, red pulp macrophages and Kupffer cells are required for erythrocyte clearance and alveolar macrophages are required for surfactant clearance </w:t>
      </w:r>
      <w:r w:rsidRPr="00731789">
        <w:rPr>
          <w:b/>
          <w:bCs/>
          <w:color w:val="auto"/>
          <w:sz w:val="22"/>
          <w:szCs w:val="22"/>
        </w:rPr>
        <w:fldChar w:fldCharType="begin"/>
      </w:r>
      <w:r w:rsidRPr="00731789">
        <w:rPr>
          <w:b/>
          <w:bCs/>
          <w:color w:val="auto"/>
          <w:sz w:val="22"/>
          <w:szCs w:val="22"/>
        </w:rPr>
        <w:instrText xml:space="preserve"> ADDIN EN.CITE &lt;EndNote&gt;&lt;Cite&gt;&lt;Author&gt;Davies&lt;/Author&gt;&lt;Year&gt;2013&lt;/Year&gt;&lt;IDText&gt;Tissue-resident macrophages&lt;/IDText&gt;&lt;DisplayText&gt;(Davies&lt;style face="italic"&gt; et al.&lt;/style&gt;, 2013)&lt;/DisplayText&gt;&lt;record&gt;&lt;dates&gt;&lt;pub-dates&gt;&lt;date&gt;Oct&lt;/date&gt;&lt;/pub-dates&gt;&lt;year&gt;2013&lt;/year&gt;&lt;/dates&gt;&lt;urls&gt;&lt;related-urls&gt;&lt;url&gt;&amp;lt;Go to ISI&amp;gt;://WOS:000324584700003&lt;/url&gt;&lt;/related-urls&gt;&lt;/urls&gt;&lt;isbn&gt;1529-2908&lt;/isbn&gt;&lt;titles&gt;&lt;title&gt;Tissue-resident macrophages&lt;/title&gt;&lt;secondary-title&gt;Nature Immunology&lt;/secondary-title&gt;&lt;/titles&gt;&lt;pages&gt;986-995&lt;/pages&gt;&lt;number&gt;10&lt;/number&gt;&lt;contributors&gt;&lt;authors&gt;&lt;author&gt;Davies, L. C.&lt;/author&gt;&lt;author&gt;Jenkins, S. J.&lt;/author&gt;&lt;author&gt;Allen, J. E.&lt;/author&gt;&lt;author&gt;Taylor, P. R.&lt;/author&gt;&lt;/authors&gt;&lt;/contributors&gt;&lt;added-date format="utc"&gt;1676942269&lt;/added-date&gt;&lt;ref-type name="Journal Article"&gt;17&lt;/ref-type&gt;&lt;rec-number&gt;434&lt;/rec-number&gt;&lt;last-updated-date format="utc"&gt;1676942269&lt;/last-updated-date&gt;&lt;accession-num&gt;WOS:000324584700003&lt;/accession-num&gt;&lt;electronic-resource-num&gt;10.1038/ni.2705&lt;/electronic-resource-num&gt;&lt;volume&gt;14&lt;/volume&gt;&lt;/record&gt;&lt;/Cite&gt;&lt;/EndNote&gt;</w:instrText>
      </w:r>
      <w:r w:rsidRPr="00731789">
        <w:rPr>
          <w:b/>
          <w:bCs/>
          <w:color w:val="auto"/>
          <w:sz w:val="22"/>
          <w:szCs w:val="22"/>
        </w:rPr>
        <w:fldChar w:fldCharType="separate"/>
      </w:r>
      <w:r w:rsidRPr="00731789">
        <w:rPr>
          <w:b/>
          <w:bCs/>
          <w:noProof/>
          <w:color w:val="auto"/>
          <w:sz w:val="22"/>
          <w:szCs w:val="22"/>
        </w:rPr>
        <w:t>(Davies</w:t>
      </w:r>
      <w:r w:rsidRPr="00731789">
        <w:rPr>
          <w:b/>
          <w:bCs/>
          <w:i/>
          <w:noProof/>
          <w:color w:val="auto"/>
          <w:sz w:val="22"/>
          <w:szCs w:val="22"/>
        </w:rPr>
        <w:t xml:space="preserve"> et al.</w:t>
      </w:r>
      <w:r w:rsidRPr="00731789">
        <w:rPr>
          <w:b/>
          <w:bCs/>
          <w:noProof/>
          <w:color w:val="auto"/>
          <w:sz w:val="22"/>
          <w:szCs w:val="22"/>
        </w:rPr>
        <w:t>, 2013)</w:t>
      </w:r>
      <w:r w:rsidRPr="00731789">
        <w:rPr>
          <w:b/>
          <w:bCs/>
          <w:color w:val="auto"/>
          <w:sz w:val="22"/>
          <w:szCs w:val="22"/>
        </w:rPr>
        <w:fldChar w:fldCharType="end"/>
      </w:r>
      <w:r>
        <w:rPr>
          <w:color w:val="auto"/>
          <w:sz w:val="22"/>
          <w:szCs w:val="22"/>
        </w:rPr>
        <w:t xml:space="preserve">. Furthermore, cardiac macrophage-depleted mice displayed poor healing, implicating cardiac macrophages in wound healing following myocardial injury </w:t>
      </w:r>
      <w:r w:rsidRPr="005E1EA5">
        <w:rPr>
          <w:b/>
          <w:bCs/>
          <w:color w:val="auto"/>
          <w:sz w:val="22"/>
          <w:szCs w:val="22"/>
        </w:rPr>
        <w:fldChar w:fldCharType="begin"/>
      </w:r>
      <w:r w:rsidRPr="005E1EA5">
        <w:rPr>
          <w:b/>
          <w:bCs/>
          <w:color w:val="auto"/>
          <w:sz w:val="22"/>
          <w:szCs w:val="22"/>
        </w:rPr>
        <w:instrText xml:space="preserve"> ADDIN EN.CITE &lt;EndNote&gt;&lt;Cite&gt;&lt;Author&gt;van Amerongen&lt;/Author&gt;&lt;Year&gt;2007&lt;/Year&gt;&lt;IDText&gt;Macrophage depletion impairs wound healing and increases left ventricular remodeling after myocardial injury in mice&lt;/IDText&gt;&lt;DisplayText&gt;(van Amerongen&lt;style face="italic"&gt; et al.&lt;/style&gt;, 2007)&lt;/DisplayText&gt;&lt;record&gt;&lt;dates&gt;&lt;pub-dates&gt;&lt;date&gt;Mar&lt;/date&gt;&lt;/pub-dates&gt;&lt;year&gt;2007&lt;/year&gt;&lt;/dates&gt;&lt;urls&gt;&lt;related-urls&gt;&lt;url&gt;&amp;lt;Go to ISI&amp;gt;://WOS:000244574500005&lt;/url&gt;&lt;/related-urls&gt;&lt;/urls&gt;&lt;isbn&gt;0002-9440&lt;/isbn&gt;&lt;titles&gt;&lt;title&gt;Macrophage depletion impairs wound healing and increases left ventricular remodeling after myocardial injury in mice&lt;/title&gt;&lt;secondary-title&gt;American Journal of Pathology&lt;/secondary-title&gt;&lt;/titles&gt;&lt;pages&gt;818-829&lt;/pages&gt;&lt;number&gt;3&lt;/number&gt;&lt;contributors&gt;&lt;authors&gt;&lt;author&gt;van Amerongen, M. J.&lt;/author&gt;&lt;author&gt;Harmsen, M. C.&lt;/author&gt;&lt;author&gt;van Rooijen, N.&lt;/author&gt;&lt;author&gt;Petersen, A. H.&lt;/author&gt;&lt;author&gt;van Luyn, M. J. A.&lt;/author&gt;&lt;/authors&gt;&lt;/contributors&gt;&lt;added-date format="utc"&gt;1677019938&lt;/added-date&gt;&lt;ref-type name="Journal Article"&gt;17&lt;/ref-type&gt;&lt;rec-number&gt;445&lt;/rec-number&gt;&lt;last-updated-date format="utc"&gt;1677019938&lt;/last-updated-date&gt;&lt;accession-num&gt;WOS:000244574500005&lt;/accession-num&gt;&lt;electronic-resource-num&gt;10.2353/ajpath.2007.060547&lt;/electronic-resource-num&gt;&lt;volume&gt;170&lt;/volume&gt;&lt;/record&gt;&lt;/Cite&gt;&lt;/EndNote&gt;</w:instrText>
      </w:r>
      <w:r w:rsidRPr="005E1EA5">
        <w:rPr>
          <w:b/>
          <w:bCs/>
          <w:color w:val="auto"/>
          <w:sz w:val="22"/>
          <w:szCs w:val="22"/>
        </w:rPr>
        <w:fldChar w:fldCharType="separate"/>
      </w:r>
      <w:r w:rsidRPr="005E1EA5">
        <w:rPr>
          <w:b/>
          <w:bCs/>
          <w:noProof/>
          <w:color w:val="auto"/>
          <w:sz w:val="22"/>
          <w:szCs w:val="22"/>
        </w:rPr>
        <w:t>(van Amerongen</w:t>
      </w:r>
      <w:r w:rsidRPr="005E1EA5">
        <w:rPr>
          <w:b/>
          <w:bCs/>
          <w:i/>
          <w:noProof/>
          <w:color w:val="auto"/>
          <w:sz w:val="22"/>
          <w:szCs w:val="22"/>
        </w:rPr>
        <w:t xml:space="preserve"> et al.</w:t>
      </w:r>
      <w:r w:rsidRPr="005E1EA5">
        <w:rPr>
          <w:b/>
          <w:bCs/>
          <w:noProof/>
          <w:color w:val="auto"/>
          <w:sz w:val="22"/>
          <w:szCs w:val="22"/>
        </w:rPr>
        <w:t>, 2007)</w:t>
      </w:r>
      <w:r w:rsidRPr="005E1EA5">
        <w:rPr>
          <w:b/>
          <w:bCs/>
          <w:color w:val="auto"/>
          <w:sz w:val="22"/>
          <w:szCs w:val="22"/>
        </w:rPr>
        <w:fldChar w:fldCharType="end"/>
      </w:r>
      <w:r>
        <w:rPr>
          <w:color w:val="auto"/>
          <w:sz w:val="22"/>
          <w:szCs w:val="22"/>
        </w:rPr>
        <w:t>. The maintenance and development roles of macrophages demonstrate that phagocytosis occurs for reasons beyond immunity.</w:t>
      </w:r>
    </w:p>
    <w:p w14:paraId="2F1DBC4E" w14:textId="77777777" w:rsidR="00033564" w:rsidRDefault="00033564" w:rsidP="00033564">
      <w:pPr>
        <w:pStyle w:val="Default"/>
        <w:spacing w:line="360" w:lineRule="auto"/>
        <w:jc w:val="both"/>
        <w:rPr>
          <w:color w:val="auto"/>
          <w:sz w:val="22"/>
          <w:szCs w:val="22"/>
        </w:rPr>
      </w:pPr>
    </w:p>
    <w:p w14:paraId="22CDDABF" w14:textId="1F9021CD" w:rsidR="00033564" w:rsidRDefault="00033564" w:rsidP="00033564">
      <w:pPr>
        <w:pStyle w:val="Default"/>
        <w:spacing w:line="360" w:lineRule="auto"/>
        <w:jc w:val="both"/>
        <w:rPr>
          <w:color w:val="auto"/>
          <w:sz w:val="22"/>
          <w:szCs w:val="22"/>
        </w:rPr>
      </w:pPr>
      <w:r>
        <w:rPr>
          <w:color w:val="auto"/>
          <w:sz w:val="22"/>
          <w:szCs w:val="22"/>
        </w:rPr>
        <w:tab/>
        <w:t xml:space="preserve">Macrophages are often regarded as immune sentinels, as they actively phagocytose materials in the surrounding environment in order to identify possible threats </w:t>
      </w:r>
      <w:r w:rsidRPr="00314378">
        <w:rPr>
          <w:b/>
          <w:bCs/>
          <w:color w:val="auto"/>
          <w:sz w:val="22"/>
          <w:szCs w:val="22"/>
        </w:rPr>
        <w:fldChar w:fldCharType="begin"/>
      </w:r>
      <w:r w:rsidRPr="00314378">
        <w:rPr>
          <w:b/>
          <w:bCs/>
          <w:color w:val="auto"/>
          <w:sz w:val="22"/>
          <w:szCs w:val="22"/>
        </w:rPr>
        <w:instrText xml:space="preserve"> ADDIN EN.CITE &lt;EndNote&gt;&lt;Cite&gt;&lt;Author&gt;Mills&lt;/Author&gt;&lt;Year&gt;2012&lt;/Year&gt;&lt;IDText&gt;M1 and M2 Macrophages: Oracles of Health and Disease&lt;/IDText&gt;&lt;DisplayText&gt;(Mills, 2012)&lt;/DisplayText&gt;&lt;record&gt;&lt;urls&gt;&lt;related-urls&gt;&lt;url&gt;&amp;lt;Go to ISI&amp;gt;://WOS:000315172500001&lt;/url&gt;&lt;/related-urls&gt;&lt;/urls&gt;&lt;isbn&gt;1040-8401&lt;/isbn&gt;&lt;titles&gt;&lt;title&gt;M1 and M2 Macrophages: Oracles of Health and Disease&lt;/title&gt;&lt;secondary-title&gt;Critical Reviews in Immunology&lt;/secondary-title&gt;&lt;/titles&gt;&lt;pages&gt;463-488&lt;/pages&gt;&lt;number&gt;6&lt;/number&gt;&lt;contributors&gt;&lt;authors&gt;&lt;author&gt;Mills, C. D.&lt;/author&gt;&lt;/authors&gt;&lt;/contributors&gt;&lt;added-date format="utc"&gt;1677029334&lt;/added-date&gt;&lt;ref-type name="Journal Article"&gt;17&lt;/ref-type&gt;&lt;dates&gt;&lt;year&gt;2012&lt;/year&gt;&lt;/dates&gt;&lt;rec-number&gt;448&lt;/rec-number&gt;&lt;last-updated-date format="utc"&gt;1677029334&lt;/last-updated-date&gt;&lt;accession-num&gt;WOS:000315172500001&lt;/accession-num&gt;&lt;electronic-resource-num&gt;10.1615/CritRevImmunol.v32.i6.10&lt;/electronic-resource-num&gt;&lt;volume&gt;32&lt;/volume&gt;&lt;/record&gt;&lt;/Cite&gt;&lt;/EndNote&gt;</w:instrText>
      </w:r>
      <w:r w:rsidRPr="00314378">
        <w:rPr>
          <w:b/>
          <w:bCs/>
          <w:color w:val="auto"/>
          <w:sz w:val="22"/>
          <w:szCs w:val="22"/>
        </w:rPr>
        <w:fldChar w:fldCharType="separate"/>
      </w:r>
      <w:r w:rsidRPr="00314378">
        <w:rPr>
          <w:b/>
          <w:bCs/>
          <w:noProof/>
          <w:color w:val="auto"/>
          <w:sz w:val="22"/>
          <w:szCs w:val="22"/>
        </w:rPr>
        <w:t>(Mills, 2012)</w:t>
      </w:r>
      <w:r w:rsidRPr="00314378">
        <w:rPr>
          <w:b/>
          <w:bCs/>
          <w:color w:val="auto"/>
          <w:sz w:val="22"/>
          <w:szCs w:val="22"/>
        </w:rPr>
        <w:fldChar w:fldCharType="end"/>
      </w:r>
      <w:r>
        <w:rPr>
          <w:color w:val="auto"/>
          <w:sz w:val="22"/>
          <w:szCs w:val="22"/>
        </w:rPr>
        <w:t xml:space="preserve">.  Macrophages express multiple receptor types on their cell surface to do this, </w:t>
      </w:r>
      <w:r w:rsidR="00F96BCD">
        <w:rPr>
          <w:color w:val="auto"/>
          <w:sz w:val="22"/>
          <w:szCs w:val="22"/>
        </w:rPr>
        <w:t>which</w:t>
      </w:r>
      <w:r>
        <w:rPr>
          <w:color w:val="auto"/>
          <w:sz w:val="22"/>
          <w:szCs w:val="22"/>
        </w:rPr>
        <w:t xml:space="preserve"> aids the recognition of foreign bodies such as pathogens. These include pattern recognition receptors (PRRs) such as Toll-like receptors (TLRs) and C-type lectin receptors (CLRs). With monocytes circulating the bloodstream and TRMs traversing tissues and organs, these cells are well-equipped to deal with dead/dying cells and foreign materials that pose a threat </w:t>
      </w:r>
      <w:r w:rsidRPr="0022713D">
        <w:rPr>
          <w:b/>
          <w:bCs/>
          <w:color w:val="auto"/>
          <w:sz w:val="22"/>
          <w:szCs w:val="22"/>
        </w:rPr>
        <w:fldChar w:fldCharType="begin"/>
      </w:r>
      <w:r w:rsidRPr="0022713D">
        <w:rPr>
          <w:b/>
          <w:bCs/>
          <w:color w:val="auto"/>
          <w:sz w:val="22"/>
          <w:szCs w:val="22"/>
        </w:rPr>
        <w:instrText xml:space="preserve"> ADDIN EN.CITE &lt;EndNote&gt;&lt;Cite&gt;&lt;Author&gt;Franken&lt;/Author&gt;&lt;Year&gt;2016&lt;/Year&gt;&lt;IDText&gt;Macrophages: sentinels and regulators of the immune system&lt;/IDText&gt;&lt;DisplayText&gt;(Franken, Schiwon and Kurts, 2016)&lt;/DisplayText&gt;&lt;record&gt;&lt;dates&gt;&lt;pub-dates&gt;&lt;date&gt;Apr&lt;/date&gt;&lt;/pub-dates&gt;&lt;year&gt;2016&lt;/year&gt;&lt;/dates&gt;&lt;urls&gt;&lt;related-urls&gt;&lt;url&gt;&amp;lt;Go to ISI&amp;gt;://WOS:000373066100003&lt;/url&gt;&lt;/related-urls&gt;&lt;/urls&gt;&lt;isbn&gt;1462-5814&lt;/isbn&gt;&lt;titles&gt;&lt;title&gt;Macrophages: sentinels and regulators of the immune system&lt;/title&gt;&lt;secondary-title&gt;Cellular Microbiology&lt;/secondary-title&gt;&lt;/titles&gt;&lt;pages&gt;475-487&lt;/pages&gt;&lt;number&gt;4&lt;/number&gt;&lt;contributors&gt;&lt;authors&gt;&lt;author&gt;Franken, L.&lt;/author&gt;&lt;author&gt;Schiwon, M.&lt;/author&gt;&lt;author&gt;Kurts, C.&lt;/author&gt;&lt;/authors&gt;&lt;/contributors&gt;&lt;added-date format="utc"&gt;1677021659&lt;/added-date&gt;&lt;ref-type name="Journal Article"&gt;17&lt;/ref-type&gt;&lt;rec-number&gt;446&lt;/rec-number&gt;&lt;last-updated-date format="utc"&gt;1677021659&lt;/last-updated-date&gt;&lt;accession-num&gt;WOS:000373066100003&lt;/accession-num&gt;&lt;electronic-resource-num&gt;10.1111/cmi.12580&lt;/electronic-resource-num&gt;&lt;volume&gt;18&lt;/volume&gt;&lt;/record&gt;&lt;/Cite&gt;&lt;/EndNote&gt;</w:instrText>
      </w:r>
      <w:r w:rsidRPr="0022713D">
        <w:rPr>
          <w:b/>
          <w:bCs/>
          <w:color w:val="auto"/>
          <w:sz w:val="22"/>
          <w:szCs w:val="22"/>
        </w:rPr>
        <w:fldChar w:fldCharType="separate"/>
      </w:r>
      <w:r w:rsidRPr="0022713D">
        <w:rPr>
          <w:b/>
          <w:bCs/>
          <w:noProof/>
          <w:color w:val="auto"/>
          <w:sz w:val="22"/>
          <w:szCs w:val="22"/>
        </w:rPr>
        <w:t>(Franken, Schiwon and Kurts, 2016)</w:t>
      </w:r>
      <w:r w:rsidRPr="0022713D">
        <w:rPr>
          <w:b/>
          <w:bCs/>
          <w:color w:val="auto"/>
          <w:sz w:val="22"/>
          <w:szCs w:val="22"/>
        </w:rPr>
        <w:fldChar w:fldCharType="end"/>
      </w:r>
      <w:r w:rsidRPr="0022713D">
        <w:rPr>
          <w:color w:val="auto"/>
          <w:sz w:val="22"/>
          <w:szCs w:val="22"/>
        </w:rPr>
        <w:t xml:space="preserve">. </w:t>
      </w:r>
      <w:r>
        <w:rPr>
          <w:color w:val="auto"/>
          <w:sz w:val="22"/>
          <w:szCs w:val="22"/>
        </w:rPr>
        <w:t xml:space="preserve">While macrophages are considered an effector of the innate immune system, their ability to present antigens on their surface and thus act </w:t>
      </w:r>
      <w:r w:rsidR="00732174">
        <w:rPr>
          <w:color w:val="auto"/>
          <w:sz w:val="22"/>
          <w:szCs w:val="22"/>
        </w:rPr>
        <w:t xml:space="preserve">as </w:t>
      </w:r>
      <w:r>
        <w:rPr>
          <w:color w:val="auto"/>
          <w:sz w:val="22"/>
          <w:szCs w:val="22"/>
        </w:rPr>
        <w:t>a</w:t>
      </w:r>
      <w:r w:rsidR="00732174">
        <w:rPr>
          <w:color w:val="auto"/>
          <w:sz w:val="22"/>
          <w:szCs w:val="22"/>
        </w:rPr>
        <w:t>n</w:t>
      </w:r>
      <w:r>
        <w:rPr>
          <w:color w:val="auto"/>
          <w:sz w:val="22"/>
          <w:szCs w:val="22"/>
        </w:rPr>
        <w:t xml:space="preserve"> APC, indicate that they have an important role in initiating the adaptive immune response </w:t>
      </w:r>
      <w:r w:rsidRPr="0022713D">
        <w:rPr>
          <w:b/>
          <w:bCs/>
          <w:color w:val="auto"/>
          <w:sz w:val="22"/>
          <w:szCs w:val="22"/>
        </w:rPr>
        <w:fldChar w:fldCharType="begin"/>
      </w:r>
      <w:r w:rsidRPr="0022713D">
        <w:rPr>
          <w:b/>
          <w:bCs/>
          <w:color w:val="auto"/>
          <w:sz w:val="22"/>
          <w:szCs w:val="22"/>
        </w:rPr>
        <w:instrText xml:space="preserve"> ADDIN EN.CITE &lt;EndNote&gt;&lt;Cite&gt;&lt;Author&gt;Flannagan&lt;/Author&gt;&lt;Year&gt;2015&lt;/Year&gt;&lt;IDText&gt;Antimicrobial Mechanisms of Macrophages and the Immune Evasion Strategies of Staphylococcus aureus&lt;/IDText&gt;&lt;DisplayText&gt;(Flannagan, Heit and Heinrichs, 2015)&lt;/DisplayText&gt;&lt;record&gt;&lt;dates&gt;&lt;pub-dates&gt;&lt;date&gt;Dec&lt;/date&gt;&lt;/pub-dates&gt;&lt;year&gt;2015&lt;/year&gt;&lt;/dates&gt;&lt;urls&gt;&lt;related-urls&gt;&lt;url&gt;&amp;lt;Go to ISI&amp;gt;://WOS:000367538700009&lt;/url&gt;&lt;/related-urls&gt;&lt;/urls&gt;&lt;titles&gt;&lt;title&gt;Antimicrobial Mechanisms of Macrophages and the Immune Evasion Strategies of Staphylococcus aureus&lt;/title&gt;&lt;secondary-title&gt;Pathogens&lt;/secondary-title&gt;&lt;/titles&gt;&lt;pages&gt;826-868&lt;/pages&gt;&lt;number&gt;4&lt;/number&gt;&lt;contributors&gt;&lt;authors&gt;&lt;author&gt;Flannagan, R. S.&lt;/author&gt;&lt;author&gt;Heit, B.&lt;/author&gt;&lt;author&gt;Heinrichs, D. E.&lt;/author&gt;&lt;/authors&gt;&lt;/contributors&gt;&lt;added-date format="utc"&gt;1677021793&lt;/added-date&gt;&lt;ref-type name="Journal Article"&gt;17&lt;/ref-type&gt;&lt;rec-number&gt;447&lt;/rec-number&gt;&lt;last-updated-date format="utc"&gt;1677021793&lt;/last-updated-date&gt;&lt;accession-num&gt;WOS:000367538700009&lt;/accession-num&gt;&lt;electronic-resource-num&gt;10.3390/pathogens4040826&lt;/electronic-resource-num&gt;&lt;volume&gt;4&lt;/volume&gt;&lt;/record&gt;&lt;/Cite&gt;&lt;/EndNote&gt;</w:instrText>
      </w:r>
      <w:r w:rsidRPr="0022713D">
        <w:rPr>
          <w:b/>
          <w:bCs/>
          <w:color w:val="auto"/>
          <w:sz w:val="22"/>
          <w:szCs w:val="22"/>
        </w:rPr>
        <w:fldChar w:fldCharType="separate"/>
      </w:r>
      <w:r w:rsidRPr="0022713D">
        <w:rPr>
          <w:b/>
          <w:bCs/>
          <w:noProof/>
          <w:color w:val="auto"/>
          <w:sz w:val="22"/>
          <w:szCs w:val="22"/>
        </w:rPr>
        <w:t>(Flannagan, Heit and Heinrichs, 2015)</w:t>
      </w:r>
      <w:r w:rsidRPr="0022713D">
        <w:rPr>
          <w:b/>
          <w:bCs/>
          <w:color w:val="auto"/>
          <w:sz w:val="22"/>
          <w:szCs w:val="22"/>
        </w:rPr>
        <w:fldChar w:fldCharType="end"/>
      </w:r>
      <w:r>
        <w:rPr>
          <w:color w:val="auto"/>
          <w:sz w:val="22"/>
          <w:szCs w:val="22"/>
        </w:rPr>
        <w:t>.</w:t>
      </w:r>
    </w:p>
    <w:p w14:paraId="4E4DA621" w14:textId="77777777" w:rsidR="00033564" w:rsidRDefault="00033564" w:rsidP="00033564">
      <w:pPr>
        <w:pStyle w:val="Default"/>
        <w:spacing w:line="360" w:lineRule="auto"/>
        <w:jc w:val="both"/>
        <w:rPr>
          <w:color w:val="auto"/>
          <w:sz w:val="22"/>
          <w:szCs w:val="22"/>
        </w:rPr>
      </w:pPr>
    </w:p>
    <w:p w14:paraId="13EB2A8A" w14:textId="77777777" w:rsidR="00033564" w:rsidRPr="00ED574B" w:rsidRDefault="00033564" w:rsidP="00033564">
      <w:pPr>
        <w:pStyle w:val="Default"/>
        <w:spacing w:line="360" w:lineRule="auto"/>
        <w:jc w:val="both"/>
        <w:rPr>
          <w:color w:val="auto"/>
          <w:sz w:val="22"/>
          <w:szCs w:val="22"/>
        </w:rPr>
      </w:pPr>
      <w:r>
        <w:rPr>
          <w:color w:val="auto"/>
          <w:sz w:val="22"/>
          <w:szCs w:val="22"/>
        </w:rPr>
        <w:tab/>
        <w:t xml:space="preserve">Macrophage polarisation is a phenomenon that occurs following macrophage stimulation and allows the cell to carry out a specific function. M1 macrophages are primed to initiate a proinflammatory response e.g., in response to foreign bodies whereas, M2 macrophages are inclined towards tissue maintenance and repair </w:t>
      </w:r>
      <w:r w:rsidRPr="00BA402B">
        <w:rPr>
          <w:b/>
          <w:bCs/>
          <w:color w:val="auto"/>
          <w:sz w:val="22"/>
          <w:szCs w:val="22"/>
        </w:rPr>
        <w:fldChar w:fldCharType="begin"/>
      </w:r>
      <w:r w:rsidRPr="00BA402B">
        <w:rPr>
          <w:b/>
          <w:bCs/>
          <w:color w:val="auto"/>
          <w:sz w:val="22"/>
          <w:szCs w:val="22"/>
        </w:rPr>
        <w:instrText xml:space="preserve"> ADDIN EN.CITE &lt;EndNote&gt;&lt;Cite&gt;&lt;Author&gt;Mills&lt;/Author&gt;&lt;Year&gt;2012&lt;/Year&gt;&lt;IDText&gt;M1 and M2 Macrophages: Oracles of Health and Disease&lt;/IDText&gt;&lt;DisplayText&gt;(Mills, 2012)&lt;/DisplayText&gt;&lt;record&gt;&lt;urls&gt;&lt;related-urls&gt;&lt;url&gt;&amp;lt;Go to ISI&amp;gt;://WOS:000315172500001&lt;/url&gt;&lt;/related-urls&gt;&lt;/urls&gt;&lt;isbn&gt;1040-8401&lt;/isbn&gt;&lt;titles&gt;&lt;title&gt;M1 and M2 Macrophages: Oracles of Health and Disease&lt;/title&gt;&lt;secondary-title&gt;Critical Reviews in Immunology&lt;/secondary-title&gt;&lt;/titles&gt;&lt;pages&gt;463-488&lt;/pages&gt;&lt;number&gt;6&lt;/number&gt;&lt;contributors&gt;&lt;authors&gt;&lt;author&gt;Mills, C. D.&lt;/author&gt;&lt;/authors&gt;&lt;/contributors&gt;&lt;added-date format="utc"&gt;1677029334&lt;/added-date&gt;&lt;ref-type name="Journal Article"&gt;17&lt;/ref-type&gt;&lt;dates&gt;&lt;year&gt;2012&lt;/year&gt;&lt;/dates&gt;&lt;rec-number&gt;448&lt;/rec-number&gt;&lt;last-updated-date format="utc"&gt;1677029334&lt;/last-updated-date&gt;&lt;accession-num&gt;WOS:000315172500001&lt;/accession-num&gt;&lt;electronic-resource-num&gt;10.1615/CritRevImmunol.v32.i6.10&lt;/electronic-resource-num&gt;&lt;volume&gt;32&lt;/volume&gt;&lt;/record&gt;&lt;/Cite&gt;&lt;/EndNote&gt;</w:instrText>
      </w:r>
      <w:r w:rsidRPr="00BA402B">
        <w:rPr>
          <w:b/>
          <w:bCs/>
          <w:color w:val="auto"/>
          <w:sz w:val="22"/>
          <w:szCs w:val="22"/>
        </w:rPr>
        <w:fldChar w:fldCharType="separate"/>
      </w:r>
      <w:r w:rsidRPr="00BA402B">
        <w:rPr>
          <w:b/>
          <w:bCs/>
          <w:noProof/>
          <w:color w:val="auto"/>
          <w:sz w:val="22"/>
          <w:szCs w:val="22"/>
        </w:rPr>
        <w:t>(Mills, 2012)</w:t>
      </w:r>
      <w:r w:rsidRPr="00BA402B">
        <w:rPr>
          <w:b/>
          <w:bCs/>
          <w:color w:val="auto"/>
          <w:sz w:val="22"/>
          <w:szCs w:val="22"/>
        </w:rPr>
        <w:fldChar w:fldCharType="end"/>
      </w:r>
      <w:r>
        <w:rPr>
          <w:color w:val="auto"/>
          <w:sz w:val="22"/>
          <w:szCs w:val="22"/>
        </w:rPr>
        <w:t xml:space="preserve">. </w:t>
      </w:r>
      <w:r w:rsidRPr="00744041">
        <w:rPr>
          <w:color w:val="000000" w:themeColor="text1"/>
          <w:sz w:val="22"/>
          <w:szCs w:val="22"/>
        </w:rPr>
        <w:t>For example, macrophages are activated to the M1 phenotype by the recognition of pathogen associated molecular patterns (PAMPs)</w:t>
      </w:r>
      <w:r>
        <w:rPr>
          <w:color w:val="000000" w:themeColor="text1"/>
          <w:sz w:val="22"/>
          <w:szCs w:val="22"/>
        </w:rPr>
        <w:t>,</w:t>
      </w:r>
      <w:r w:rsidRPr="00744041">
        <w:rPr>
          <w:color w:val="000000" w:themeColor="text1"/>
          <w:sz w:val="22"/>
          <w:szCs w:val="22"/>
        </w:rPr>
        <w:t xml:space="preserve"> while the M2 phenotype is activated upon detection of danger associated molecular patterns (DAMPs) </w:t>
      </w:r>
      <w:r w:rsidRPr="00744041">
        <w:rPr>
          <w:b/>
          <w:bCs/>
          <w:color w:val="000000" w:themeColor="text1"/>
          <w:sz w:val="22"/>
          <w:szCs w:val="22"/>
        </w:rPr>
        <w:fldChar w:fldCharType="begin"/>
      </w:r>
      <w:r w:rsidRPr="00744041">
        <w:rPr>
          <w:b/>
          <w:bCs/>
          <w:color w:val="000000" w:themeColor="text1"/>
          <w:sz w:val="22"/>
          <w:szCs w:val="22"/>
        </w:rPr>
        <w:instrText xml:space="preserve"> ADDIN EN.CITE &lt;EndNote&gt;&lt;Cite&gt;&lt;Author&gt;Mills&lt;/Author&gt;&lt;Year&gt;2012&lt;/Year&gt;&lt;IDText&gt;M1 and M2 Macrophages: Oracles of Health and Disease&lt;/IDText&gt;&lt;DisplayText&gt;(Mills, 2012)&lt;/DisplayText&gt;&lt;record&gt;&lt;urls&gt;&lt;related-urls&gt;&lt;url&gt;&amp;lt;Go to ISI&amp;gt;://WOS:000315172500001&lt;/url&gt;&lt;/related-urls&gt;&lt;/urls&gt;&lt;isbn&gt;1040-8401&lt;/isbn&gt;&lt;titles&gt;&lt;title&gt;M1 and M2 Macrophages: Oracles of Health and Disease&lt;/title&gt;&lt;secondary-title&gt;Critical Reviews in Immunology&lt;/secondary-title&gt;&lt;/titles&gt;&lt;pages&gt;463-488&lt;/pages&gt;&lt;number&gt;6&lt;/number&gt;&lt;contributors&gt;&lt;authors&gt;&lt;author&gt;Mills, C. D.&lt;/author&gt;&lt;/authors&gt;&lt;/contributors&gt;&lt;added-date format="utc"&gt;1677029334&lt;/added-date&gt;&lt;ref-type name="Journal Article"&gt;17&lt;/ref-type&gt;&lt;dates&gt;&lt;year&gt;2012&lt;/year&gt;&lt;/dates&gt;&lt;rec-number&gt;448&lt;/rec-number&gt;&lt;last-updated-date format="utc"&gt;1677029334&lt;/last-updated-date&gt;&lt;accession-num&gt;WOS:000315172500001&lt;/accession-num&gt;&lt;electronic-resource-num&gt;10.1615/CritRevImmunol.v32.i6.10&lt;/electronic-resource-num&gt;&lt;volume&gt;32&lt;/volume&gt;&lt;/record&gt;&lt;/Cite&gt;&lt;/EndNote&gt;</w:instrText>
      </w:r>
      <w:r w:rsidRPr="00744041">
        <w:rPr>
          <w:b/>
          <w:bCs/>
          <w:color w:val="000000" w:themeColor="text1"/>
          <w:sz w:val="22"/>
          <w:szCs w:val="22"/>
        </w:rPr>
        <w:fldChar w:fldCharType="separate"/>
      </w:r>
      <w:r w:rsidRPr="00744041">
        <w:rPr>
          <w:b/>
          <w:bCs/>
          <w:noProof/>
          <w:color w:val="000000" w:themeColor="text1"/>
          <w:sz w:val="22"/>
          <w:szCs w:val="22"/>
        </w:rPr>
        <w:t>(Mills, 2012)</w:t>
      </w:r>
      <w:r w:rsidRPr="00744041">
        <w:rPr>
          <w:b/>
          <w:bCs/>
          <w:color w:val="000000" w:themeColor="text1"/>
          <w:sz w:val="22"/>
          <w:szCs w:val="22"/>
        </w:rPr>
        <w:fldChar w:fldCharType="end"/>
      </w:r>
      <w:r w:rsidRPr="00744041">
        <w:rPr>
          <w:color w:val="000000" w:themeColor="text1"/>
          <w:sz w:val="22"/>
          <w:szCs w:val="22"/>
        </w:rPr>
        <w:t xml:space="preserve">.  </w:t>
      </w:r>
      <w:r>
        <w:rPr>
          <w:color w:val="auto"/>
          <w:sz w:val="22"/>
          <w:szCs w:val="22"/>
        </w:rPr>
        <w:t xml:space="preserve">Regulation of macrophage polarisation is therefore paramount, as if the appropriate macrophage response is not established, pathologies can occur. Endotoxin tolerance can occur, which erroneously favours the M2 phenotype instead of M1 </w:t>
      </w:r>
      <w:r w:rsidRPr="009106DD">
        <w:rPr>
          <w:b/>
          <w:bCs/>
          <w:color w:val="auto"/>
          <w:sz w:val="22"/>
          <w:szCs w:val="22"/>
        </w:rPr>
        <w:fldChar w:fldCharType="begin"/>
      </w:r>
      <w:r w:rsidRPr="009106DD">
        <w:rPr>
          <w:b/>
          <w:bCs/>
          <w:color w:val="auto"/>
          <w:sz w:val="22"/>
          <w:szCs w:val="22"/>
        </w:rPr>
        <w:instrText xml:space="preserve"> ADDIN EN.CITE &lt;EndNote&gt;&lt;Cite&gt;&lt;Author&gt;Del&lt;/Author&gt;&lt;Year&gt;2009&lt;/Year&gt;&lt;IDText&gt;Potent phagocytic activity with impaired antigen presentation identifying lipopolysaccharide-tolerant human monocytes: demonstration in isolated monocytes from cystic fibrosis patients (vol 182, pg 6494, 2009)&lt;/IDText&gt;&lt;DisplayText&gt;(Del&lt;style face="italic"&gt; et al.&lt;/style&gt;, 2009)&lt;/DisplayText&gt;&lt;record&gt;&lt;dates&gt;&lt;pub-dates&gt;&lt;date&gt;Aug&lt;/date&gt;&lt;/pub-dates&gt;&lt;year&gt;2009&lt;/year&gt;&lt;/dates&gt;&lt;urls&gt;&lt;related-urls&gt;&lt;url&gt;&amp;lt;Go to ISI&amp;gt;://WOS:000268519500082&lt;/url&gt;&lt;/related-urls&gt;&lt;/urls&gt;&lt;isbn&gt;0022-1767&lt;/isbn&gt;&lt;titles&gt;&lt;title&gt;Potent phagocytic activity with impaired antigen presentation identifying lipopolysaccharide-tolerant human monocytes: demonstration in isolated monocytes from cystic fibrosis patients (vol 182, pg 6494, 2009)&lt;/title&gt;&lt;secondary-title&gt;Journal of Immunology&lt;/secondary-title&gt;&lt;/titles&gt;&lt;pages&gt;2194-2194&lt;/pages&gt;&lt;number&gt;3&lt;/number&gt;&lt;contributors&gt;&lt;authors&gt;&lt;author&gt;Del, F. C.&lt;/author&gt;&lt;author&gt;Garcia-Rio, F.&lt;/author&gt;&lt;author&gt;Gomez-Pina, V.&lt;/author&gt;&lt;author&gt;Soares-Schanoski, A.&lt;/author&gt;&lt;author&gt;Fernandez-Ruiz, I.&lt;/author&gt;&lt;author&gt;Jurado, T.&lt;/author&gt;&lt;author&gt;Kajiji, T.&lt;/author&gt;&lt;author&gt;Shu, C.&lt;/author&gt;&lt;author&gt;Marin, E.&lt;/author&gt;&lt;author&gt;del Arroyo, A. G.&lt;/author&gt;&lt;author&gt;Prados, C.&lt;/author&gt;&lt;author&gt;Amalich, F.&lt;/author&gt;&lt;author&gt;Fuentes-Prior, P.&lt;/author&gt;&lt;author&gt;Biswas, S. K.&lt;/author&gt;&lt;author&gt;Lopez-Collazo, E.&lt;/author&gt;&lt;/authors&gt;&lt;/contributors&gt;&lt;added-date format="utc"&gt;1677035127&lt;/added-date&gt;&lt;ref-type name="Journal Article"&gt;17&lt;/ref-type&gt;&lt;rec-number&gt;453&lt;/rec-number&gt;&lt;last-updated-date format="utc"&gt;1677035127&lt;/last-updated-date&gt;&lt;accession-num&gt;WOS:000268519500082&lt;/accession-num&gt;&lt;electronic-resource-num&gt;10.4049/jimmunol.0990049&lt;/electronic-resource-num&gt;&lt;volume&gt;183&lt;/volume&gt;&lt;/record&gt;&lt;/Cite&gt;&lt;/EndNote&gt;</w:instrText>
      </w:r>
      <w:r w:rsidRPr="009106DD">
        <w:rPr>
          <w:b/>
          <w:bCs/>
          <w:color w:val="auto"/>
          <w:sz w:val="22"/>
          <w:szCs w:val="22"/>
        </w:rPr>
        <w:fldChar w:fldCharType="separate"/>
      </w:r>
      <w:r w:rsidRPr="009106DD">
        <w:rPr>
          <w:b/>
          <w:bCs/>
          <w:noProof/>
          <w:color w:val="auto"/>
          <w:sz w:val="22"/>
          <w:szCs w:val="22"/>
        </w:rPr>
        <w:t>(Del</w:t>
      </w:r>
      <w:r w:rsidRPr="009106DD">
        <w:rPr>
          <w:b/>
          <w:bCs/>
          <w:i/>
          <w:noProof/>
          <w:color w:val="auto"/>
          <w:sz w:val="22"/>
          <w:szCs w:val="22"/>
        </w:rPr>
        <w:t xml:space="preserve"> et al.</w:t>
      </w:r>
      <w:r w:rsidRPr="009106DD">
        <w:rPr>
          <w:b/>
          <w:bCs/>
          <w:noProof/>
          <w:color w:val="auto"/>
          <w:sz w:val="22"/>
          <w:szCs w:val="22"/>
        </w:rPr>
        <w:t>, 2009)</w:t>
      </w:r>
      <w:r w:rsidRPr="009106DD">
        <w:rPr>
          <w:b/>
          <w:bCs/>
          <w:color w:val="auto"/>
          <w:sz w:val="22"/>
          <w:szCs w:val="22"/>
        </w:rPr>
        <w:fldChar w:fldCharType="end"/>
      </w:r>
      <w:r>
        <w:rPr>
          <w:color w:val="auto"/>
          <w:sz w:val="22"/>
          <w:szCs w:val="22"/>
        </w:rPr>
        <w:t xml:space="preserve">, rendering macrophages unable to respond to pathogens. The metabolism of M1 and M2 macrophages differ, resulting in these contrasting phenotypes. While non-polarised macrophages metabolise arginine, M1 macrophages metabolise nitric oxide (NO) and citrulline, and M2 macrophages metabolise ornithine and polyamines </w:t>
      </w:r>
      <w:r w:rsidRPr="00ED574B">
        <w:rPr>
          <w:b/>
          <w:bCs/>
          <w:color w:val="auto"/>
          <w:sz w:val="22"/>
          <w:szCs w:val="22"/>
        </w:rPr>
        <w:fldChar w:fldCharType="begin"/>
      </w:r>
      <w:r w:rsidRPr="00ED574B">
        <w:rPr>
          <w:b/>
          <w:bCs/>
          <w:color w:val="auto"/>
          <w:sz w:val="22"/>
          <w:szCs w:val="22"/>
        </w:rPr>
        <w:instrText xml:space="preserve"> ADDIN EN.CITE &lt;EndNote&gt;&lt;Cite&gt;&lt;Author&gt;Mills&lt;/Author&gt;&lt;Year&gt;2000&lt;/Year&gt;&lt;IDText&gt;M-1/M-2 macrophages and the Th1/Th2 paradigm&lt;/IDText&gt;&lt;DisplayText&gt;(Mills&lt;style face="italic"&gt; et al.&lt;/style&gt;, 2000)&lt;/DisplayText&gt;&lt;record&gt;&lt;dates&gt;&lt;pub-dates&gt;&lt;date&gt;Jun&lt;/date&gt;&lt;/pub-dates&gt;&lt;year&gt;2000&lt;/year&gt;&lt;/dates&gt;&lt;urls&gt;&lt;related-urls&gt;&lt;url&gt;&amp;lt;Go to ISI&amp;gt;://WOS:000087508500011&lt;/url&gt;&lt;/related-urls&gt;&lt;/urls&gt;&lt;isbn&gt;0022-1767&lt;/isbn&gt;&lt;titles&gt;&lt;title&gt;M-1/M-2 macrophages and the Th1/Th2 paradigm&lt;/title&gt;&lt;secondary-title&gt;Journal of Immunology&lt;/secondary-title&gt;&lt;/titles&gt;&lt;pages&gt;6166-6173&lt;/pages&gt;&lt;number&gt;12&lt;/number&gt;&lt;contributors&gt;&lt;authors&gt;&lt;author&gt;Mills, C. D.&lt;/author&gt;&lt;author&gt;Kincaid, K.&lt;/author&gt;&lt;author&gt;Alt, J. M.&lt;/author&gt;&lt;author&gt;Heilman, M. J.&lt;/author&gt;&lt;author&gt;Hill, A. M.&lt;/author&gt;&lt;/authors&gt;&lt;/contributors&gt;&lt;added-date format="utc"&gt;1677030615&lt;/added-date&gt;&lt;ref-type name="Journal Article"&gt;17&lt;/ref-type&gt;&lt;rec-number&gt;449&lt;/rec-number&gt;&lt;last-updated-date format="utc"&gt;1677030615&lt;/last-updated-date&gt;&lt;accession-num&gt;WOS:000087508500011&lt;/accession-num&gt;&lt;electronic-resource-num&gt;10.4049/jimmunol.164.12.6166&lt;/electronic-resource-num&gt;&lt;volume&gt;164&lt;/volume&gt;&lt;/record&gt;&lt;/Cite&gt;&lt;/EndNote&gt;</w:instrText>
      </w:r>
      <w:r w:rsidRPr="00ED574B">
        <w:rPr>
          <w:b/>
          <w:bCs/>
          <w:color w:val="auto"/>
          <w:sz w:val="22"/>
          <w:szCs w:val="22"/>
        </w:rPr>
        <w:fldChar w:fldCharType="separate"/>
      </w:r>
      <w:r w:rsidRPr="00ED574B">
        <w:rPr>
          <w:b/>
          <w:bCs/>
          <w:noProof/>
          <w:color w:val="auto"/>
          <w:sz w:val="22"/>
          <w:szCs w:val="22"/>
        </w:rPr>
        <w:t>(Mills</w:t>
      </w:r>
      <w:r w:rsidRPr="00ED574B">
        <w:rPr>
          <w:b/>
          <w:bCs/>
          <w:i/>
          <w:noProof/>
          <w:color w:val="auto"/>
          <w:sz w:val="22"/>
          <w:szCs w:val="22"/>
        </w:rPr>
        <w:t xml:space="preserve"> et al.</w:t>
      </w:r>
      <w:r w:rsidRPr="00ED574B">
        <w:rPr>
          <w:b/>
          <w:bCs/>
          <w:noProof/>
          <w:color w:val="auto"/>
          <w:sz w:val="22"/>
          <w:szCs w:val="22"/>
        </w:rPr>
        <w:t>, 2000)</w:t>
      </w:r>
      <w:r w:rsidRPr="00ED574B">
        <w:rPr>
          <w:b/>
          <w:bCs/>
          <w:color w:val="auto"/>
          <w:sz w:val="22"/>
          <w:szCs w:val="22"/>
        </w:rPr>
        <w:fldChar w:fldCharType="end"/>
      </w:r>
      <w:r>
        <w:rPr>
          <w:color w:val="auto"/>
          <w:sz w:val="22"/>
          <w:szCs w:val="22"/>
        </w:rPr>
        <w:t xml:space="preserve">. NO acts to prevent cell proliferation, while ornithine does the opposite </w:t>
      </w:r>
      <w:r w:rsidRPr="00314378">
        <w:rPr>
          <w:b/>
          <w:bCs/>
          <w:color w:val="auto"/>
          <w:sz w:val="22"/>
          <w:szCs w:val="22"/>
        </w:rPr>
        <w:fldChar w:fldCharType="begin"/>
      </w:r>
      <w:r w:rsidRPr="00314378">
        <w:rPr>
          <w:b/>
          <w:bCs/>
          <w:color w:val="auto"/>
          <w:sz w:val="22"/>
          <w:szCs w:val="22"/>
        </w:rPr>
        <w:instrText xml:space="preserve"> ADDIN EN.CITE &lt;EndNote&gt;&lt;Cite&gt;&lt;Author&gt;Wu&lt;/Author&gt;&lt;Year&gt;1998&lt;/Year&gt;&lt;IDText&gt;Arginine metabolism: nitric oxide and beyond&lt;/IDText&gt;&lt;DisplayText&gt;(Wu and Morris, 1998; Mills, 2001)&lt;/DisplayText&gt;&lt;record&gt;&lt;dates&gt;&lt;pub-dates&gt;&lt;date&gt;Nov&lt;/date&gt;&lt;/pub-dates&gt;&lt;year&gt;1998&lt;/year&gt;&lt;/dates&gt;&lt;urls&gt;&lt;related-urls&gt;&lt;url&gt;&amp;lt;Go to ISI&amp;gt;://WOS:000077255100001&lt;/url&gt;&lt;/related-urls&gt;&lt;/urls&gt;&lt;isbn&gt;0264-6021&lt;/isbn&gt;&lt;titles&gt;&lt;title&gt;Arginine metabolism: nitric oxide and beyond&lt;/title&gt;&lt;secondary-title&gt;Biochemical Journal&lt;/secondary-title&gt;&lt;/titles&gt;&lt;pages&gt;1-17&lt;/pages&gt;&lt;contributors&gt;&lt;authors&gt;&lt;author&gt;Wu, G. Y.&lt;/author&gt;&lt;author&gt;Morris, S. M.&lt;/author&gt;&lt;/authors&gt;&lt;/contributors&gt;&lt;added-date format="utc"&gt;1677033437&lt;/added-date&gt;&lt;ref-type name="Journal Article"&gt;17&lt;/ref-type&gt;&lt;rec-number&gt;451&lt;/rec-number&gt;&lt;last-updated-date format="utc"&gt;1677033437&lt;/last-updated-date&gt;&lt;accession-num&gt;WOS:000077255100001&lt;/accession-num&gt;&lt;electronic-resource-num&gt;10.1042/bj3360001&lt;/electronic-resource-num&gt;&lt;volume&gt;336&lt;/volume&gt;&lt;/record&gt;&lt;/Cite&gt;&lt;Cite&gt;&lt;Author&gt;Mills&lt;/Author&gt;&lt;Year&gt;2001&lt;/Year&gt;&lt;IDText&gt;Macrophage arginine metabolism to ornithine/urea or nitric oxide/citrulline: A life or death issue&lt;/IDText&gt;&lt;record&gt;&lt;urls&gt;&lt;related-urls&gt;&lt;url&gt;&amp;lt;Go to ISI&amp;gt;://WOS:000174670600001&lt;/url&gt;&lt;/related-urls&gt;&lt;/urls&gt;&lt;isbn&gt;1040-8401&lt;/isbn&gt;&lt;titles&gt;&lt;title&gt;Macrophage arginine metabolism to ornithine/urea or nitric oxide/citrulline: A life or death issue&lt;/title&gt;&lt;secondary-title&gt;Critical Reviews in Immunology&lt;/secondary-title&gt;&lt;/titles&gt;&lt;pages&gt;399-425&lt;/pages&gt;&lt;number&gt;5&lt;/number&gt;&lt;contributors&gt;&lt;authors&gt;&lt;author&gt;Mills, C. D.&lt;/author&gt;&lt;/authors&gt;&lt;/contributors&gt;&lt;added-date format="utc"&gt;1677033484&lt;/added-date&gt;&lt;ref-type name="Journal Article"&gt;17&lt;/ref-type&gt;&lt;dates&gt;&lt;year&gt;2001&lt;/year&gt;&lt;/dates&gt;&lt;rec-number&gt;452&lt;/rec-number&gt;&lt;last-updated-date format="utc"&gt;1677033484&lt;/last-updated-date&gt;&lt;accession-num&gt;WOS:000174670600001&lt;/accession-num&gt;&lt;electronic-resource-num&gt;10.1615/critrevimmunol.v21.i5.10&lt;/electronic-resource-num&gt;&lt;volume&gt;21&lt;/volume&gt;&lt;/record&gt;&lt;/Cite&gt;&lt;/EndNote&gt;</w:instrText>
      </w:r>
      <w:r w:rsidRPr="00314378">
        <w:rPr>
          <w:b/>
          <w:bCs/>
          <w:color w:val="auto"/>
          <w:sz w:val="22"/>
          <w:szCs w:val="22"/>
        </w:rPr>
        <w:fldChar w:fldCharType="separate"/>
      </w:r>
      <w:r w:rsidRPr="00314378">
        <w:rPr>
          <w:b/>
          <w:bCs/>
          <w:noProof/>
          <w:color w:val="auto"/>
          <w:sz w:val="22"/>
          <w:szCs w:val="22"/>
        </w:rPr>
        <w:t>(Wu and Morris, 1998; Mills, 2001)</w:t>
      </w:r>
      <w:r w:rsidRPr="00314378">
        <w:rPr>
          <w:b/>
          <w:bCs/>
          <w:color w:val="auto"/>
          <w:sz w:val="22"/>
          <w:szCs w:val="22"/>
        </w:rPr>
        <w:fldChar w:fldCharType="end"/>
      </w:r>
      <w:r>
        <w:rPr>
          <w:color w:val="auto"/>
          <w:sz w:val="22"/>
          <w:szCs w:val="22"/>
        </w:rPr>
        <w:t xml:space="preserve">, thus giving rise to the M1 and M2 phenotypes. M1 and M2 macrophages were named as such due to their ability to promote Th1 and Th2 responses </w:t>
      </w:r>
      <w:r w:rsidRPr="00F31A0D">
        <w:rPr>
          <w:b/>
          <w:bCs/>
          <w:color w:val="auto"/>
          <w:sz w:val="22"/>
          <w:szCs w:val="22"/>
        </w:rPr>
        <w:fldChar w:fldCharType="begin">
          <w:fldData xml:space="preserve">PEVuZE5vdGU+PENpdGU+PEF1dGhvcj5NaWxsczwvQXV0aG9yPjxZZWFyPjIwMDA8L1llYXI+PElE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</w:fldData>
        </w:fldChar>
      </w:r>
      <w:r w:rsidRPr="00F31A0D">
        <w:rPr>
          <w:b/>
          <w:bCs/>
          <w:color w:val="auto"/>
          <w:sz w:val="22"/>
          <w:szCs w:val="22"/>
        </w:rPr>
        <w:instrText xml:space="preserve"> ADDIN EN.CITE </w:instrText>
      </w:r>
      <w:r w:rsidRPr="00F31A0D">
        <w:rPr>
          <w:b/>
          <w:bCs/>
          <w:color w:val="auto"/>
          <w:sz w:val="22"/>
          <w:szCs w:val="22"/>
        </w:rPr>
        <w:fldChar w:fldCharType="begin">
          <w:fldData xml:space="preserve">PEVuZE5vdGU+PENpdGU+PEF1dGhvcj5NaWxsczwvQXV0aG9yPjxZZWFyPjIwMDA8L1llYXI+PElE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</w:fldData>
        </w:fldChar>
      </w:r>
      <w:r w:rsidRPr="00F31A0D">
        <w:rPr>
          <w:b/>
          <w:bCs/>
          <w:color w:val="auto"/>
          <w:sz w:val="22"/>
          <w:szCs w:val="22"/>
        </w:rPr>
        <w:instrText xml:space="preserve"> ADDIN EN.CITE.DATA </w:instrText>
      </w:r>
      <w:r w:rsidRPr="00F31A0D">
        <w:rPr>
          <w:b/>
          <w:bCs/>
          <w:color w:val="auto"/>
          <w:sz w:val="22"/>
          <w:szCs w:val="22"/>
        </w:rPr>
      </w:r>
      <w:r w:rsidRPr="00F31A0D">
        <w:rPr>
          <w:b/>
          <w:bCs/>
          <w:color w:val="auto"/>
          <w:sz w:val="22"/>
          <w:szCs w:val="22"/>
        </w:rPr>
        <w:fldChar w:fldCharType="end"/>
      </w:r>
      <w:r w:rsidRPr="00F31A0D">
        <w:rPr>
          <w:b/>
          <w:bCs/>
          <w:color w:val="auto"/>
          <w:sz w:val="22"/>
          <w:szCs w:val="22"/>
        </w:rPr>
      </w:r>
      <w:r w:rsidRPr="00F31A0D">
        <w:rPr>
          <w:b/>
          <w:bCs/>
          <w:color w:val="auto"/>
          <w:sz w:val="22"/>
          <w:szCs w:val="22"/>
        </w:rPr>
        <w:fldChar w:fldCharType="separate"/>
      </w:r>
      <w:r w:rsidRPr="00F31A0D">
        <w:rPr>
          <w:b/>
          <w:bCs/>
          <w:noProof/>
          <w:color w:val="auto"/>
          <w:sz w:val="22"/>
          <w:szCs w:val="22"/>
        </w:rPr>
        <w:t>(Mills</w:t>
      </w:r>
      <w:r w:rsidRPr="00F31A0D">
        <w:rPr>
          <w:b/>
          <w:bCs/>
          <w:i/>
          <w:noProof/>
          <w:color w:val="auto"/>
          <w:sz w:val="22"/>
          <w:szCs w:val="22"/>
        </w:rPr>
        <w:t xml:space="preserve"> et al.</w:t>
      </w:r>
      <w:r w:rsidRPr="00F31A0D">
        <w:rPr>
          <w:b/>
          <w:bCs/>
          <w:noProof/>
          <w:color w:val="auto"/>
          <w:sz w:val="22"/>
          <w:szCs w:val="22"/>
        </w:rPr>
        <w:t>, 2000; Italiani and Boraschi, 2014)</w:t>
      </w:r>
      <w:r w:rsidRPr="00F31A0D">
        <w:rPr>
          <w:b/>
          <w:bCs/>
          <w:color w:val="auto"/>
          <w:sz w:val="22"/>
          <w:szCs w:val="22"/>
        </w:rPr>
        <w:fldChar w:fldCharType="end"/>
      </w:r>
      <w:r>
        <w:rPr>
          <w:color w:val="auto"/>
          <w:sz w:val="22"/>
          <w:szCs w:val="22"/>
        </w:rPr>
        <w:t xml:space="preserve">. This is the process by which naïve T cells become Th1 or Th2 cells, which is associated with proinflammatory and anti-inflammatory responses, respectively </w:t>
      </w:r>
      <w:r w:rsidRPr="00F31A0D">
        <w:rPr>
          <w:b/>
          <w:bCs/>
          <w:color w:val="auto"/>
          <w:sz w:val="22"/>
          <w:szCs w:val="22"/>
        </w:rPr>
        <w:fldChar w:fldCharType="begin"/>
      </w:r>
      <w:r w:rsidRPr="00F31A0D">
        <w:rPr>
          <w:b/>
          <w:bCs/>
          <w:color w:val="auto"/>
          <w:sz w:val="22"/>
          <w:szCs w:val="22"/>
        </w:rPr>
        <w:instrText xml:space="preserve"> ADDIN EN.CITE &lt;EndNote&gt;&lt;Cite&gt;&lt;Author&gt;Berger&lt;/Author&gt;&lt;Year&gt;2000&lt;/Year&gt;&lt;IDText&gt;Science commentary: Th1 and Th2 responses: what are they?&lt;/IDText&gt;&lt;DisplayText&gt;(Berger, 2000)&lt;/DisplayText&gt;&lt;record&gt;&lt;dates&gt;&lt;pub-dates&gt;&lt;date&gt;Aug&lt;/date&gt;&lt;/pub-dates&gt;&lt;year&gt;2000&lt;/year&gt;&lt;/dates&gt;&lt;urls&gt;&lt;related-urls&gt;&lt;url&gt;&amp;lt;Go to ISI&amp;gt;://WOS:000088769500022&lt;/url&gt;&lt;/related-urls&gt;&lt;/urls&gt;&lt;isbn&gt;0959-8138&lt;/isbn&gt;&lt;titles&gt;&lt;title&gt;Science commentary: Th1 and Th2 responses: what are they?&lt;/title&gt;&lt;secondary-title&gt;British Medical Journal&lt;/secondary-title&gt;&lt;/titles&gt;&lt;pages&gt;424-424&lt;/pages&gt;&lt;number&gt;7258&lt;/number&gt;&lt;contributors&gt;&lt;authors&gt;&lt;author&gt;Berger, A.&lt;/author&gt;&lt;/authors&gt;&lt;/contributors&gt;&lt;added-date format="utc"&gt;1677031776&lt;/added-date&gt;&lt;ref-type name="Journal Article"&gt;17&lt;/ref-type&gt;&lt;rec-number&gt;450&lt;/rec-number&gt;&lt;last-updated-date format="utc"&gt;1677031776&lt;/last-updated-date&gt;&lt;accession-num&gt;WOS:000088769500022&lt;/accession-num&gt;&lt;electronic-resource-num&gt;10.1136/bmj.321.7258.424&lt;/electronic-resource-num&gt;&lt;volume&gt;321&lt;/volume&gt;&lt;/record&gt;&lt;/Cite&gt;&lt;/EndNote&gt;</w:instrText>
      </w:r>
      <w:r w:rsidRPr="00F31A0D">
        <w:rPr>
          <w:b/>
          <w:bCs/>
          <w:color w:val="auto"/>
          <w:sz w:val="22"/>
          <w:szCs w:val="22"/>
        </w:rPr>
        <w:fldChar w:fldCharType="separate"/>
      </w:r>
      <w:r w:rsidRPr="00F31A0D">
        <w:rPr>
          <w:b/>
          <w:bCs/>
          <w:noProof/>
          <w:color w:val="auto"/>
          <w:sz w:val="22"/>
          <w:szCs w:val="22"/>
        </w:rPr>
        <w:t>(Berger, 2000)</w:t>
      </w:r>
      <w:r w:rsidRPr="00F31A0D">
        <w:rPr>
          <w:b/>
          <w:bCs/>
          <w:color w:val="auto"/>
          <w:sz w:val="22"/>
          <w:szCs w:val="22"/>
        </w:rPr>
        <w:fldChar w:fldCharType="end"/>
      </w:r>
      <w:r>
        <w:rPr>
          <w:color w:val="auto"/>
          <w:sz w:val="22"/>
          <w:szCs w:val="22"/>
        </w:rPr>
        <w:t xml:space="preserve">. As T cells comprise part of the adaptive immune system and can be regulated by polarised macrophages, a further link between innate and adaptive immunity is illustrated. </w:t>
      </w:r>
    </w:p>
    <w:p w14:paraId="3FCBAED9" w14:textId="77777777" w:rsidR="00033564" w:rsidRPr="000956D3" w:rsidRDefault="00033564" w:rsidP="00033564">
      <w:pPr>
        <w:pStyle w:val="Default"/>
        <w:jc w:val="both"/>
        <w:rPr>
          <w:color w:val="auto"/>
          <w:sz w:val="22"/>
          <w:szCs w:val="22"/>
        </w:rPr>
      </w:pPr>
    </w:p>
    <w:p w14:paraId="03FF95F3" w14:textId="77777777" w:rsidR="00033564" w:rsidRDefault="00033564" w:rsidP="00033564">
      <w:pPr>
        <w:pStyle w:val="Default"/>
        <w:jc w:val="both"/>
        <w:rPr>
          <w:color w:val="auto"/>
          <w:sz w:val="22"/>
          <w:szCs w:val="22"/>
        </w:rPr>
      </w:pPr>
    </w:p>
    <w:p w14:paraId="7F2839F4" w14:textId="77777777" w:rsidR="00033564" w:rsidRDefault="00033564" w:rsidP="00033564">
      <w:pPr>
        <w:pStyle w:val="Heading3"/>
      </w:pPr>
      <w:bookmarkStart w:id="40" w:name="_Toc142043577"/>
      <w:r>
        <w:t xml:space="preserve">1.3.2. How is </w:t>
      </w:r>
      <w:r>
        <w:rPr>
          <w:i/>
          <w:iCs/>
        </w:rPr>
        <w:t>S. aureus</w:t>
      </w:r>
      <w:r>
        <w:t xml:space="preserve"> recognised by the innate immune system?</w:t>
      </w:r>
      <w:bookmarkEnd w:id="40"/>
      <w:r>
        <w:t xml:space="preserve"> </w:t>
      </w:r>
    </w:p>
    <w:p w14:paraId="45444C10" w14:textId="77777777" w:rsidR="00033564" w:rsidRDefault="00033564" w:rsidP="00033564"/>
    <w:p w14:paraId="6826D68E" w14:textId="2E91730F" w:rsidR="00033564" w:rsidRDefault="00033564" w:rsidP="00033564">
      <w:pPr>
        <w:spacing w:line="360" w:lineRule="auto"/>
        <w:jc w:val="both"/>
        <w:rPr>
          <w:rFonts w:ascii="Times New Roman" w:hAnsi="Times New Roman" w:cs="Times New Roman"/>
        </w:rPr>
      </w:pPr>
      <w:r w:rsidRPr="001359FF">
        <w:rPr>
          <w:rFonts w:ascii="Times New Roman" w:hAnsi="Times New Roman" w:cs="Times New Roman"/>
        </w:rPr>
        <w:t xml:space="preserve">Upon infection and colonisation, pathogens such as </w:t>
      </w:r>
      <w:r w:rsidRPr="001359FF">
        <w:rPr>
          <w:rFonts w:ascii="Times New Roman" w:hAnsi="Times New Roman" w:cs="Times New Roman"/>
          <w:i/>
          <w:iCs/>
        </w:rPr>
        <w:t xml:space="preserve">S. aureus </w:t>
      </w:r>
      <w:r w:rsidRPr="001359FF">
        <w:rPr>
          <w:rFonts w:ascii="Times New Roman" w:hAnsi="Times New Roman" w:cs="Times New Roman"/>
        </w:rPr>
        <w:t xml:space="preserve">can be sensed by </w:t>
      </w:r>
      <w:r>
        <w:rPr>
          <w:rFonts w:ascii="Times New Roman" w:hAnsi="Times New Roman" w:cs="Times New Roman"/>
        </w:rPr>
        <w:t xml:space="preserve">professional </w:t>
      </w:r>
      <w:r w:rsidRPr="001359FF">
        <w:rPr>
          <w:rFonts w:ascii="Times New Roman" w:hAnsi="Times New Roman" w:cs="Times New Roman"/>
        </w:rPr>
        <w:t>phagocytes</w:t>
      </w:r>
      <w:r>
        <w:rPr>
          <w:rFonts w:ascii="Times New Roman" w:hAnsi="Times New Roman" w:cs="Times New Roman"/>
        </w:rPr>
        <w:t>. S</w:t>
      </w:r>
      <w:r w:rsidRPr="001359FF">
        <w:rPr>
          <w:rFonts w:ascii="Times New Roman" w:hAnsi="Times New Roman" w:cs="Times New Roman"/>
        </w:rPr>
        <w:t xml:space="preserve">taphylococcal cell wall </w:t>
      </w:r>
      <w:r>
        <w:rPr>
          <w:rFonts w:ascii="Times New Roman" w:hAnsi="Times New Roman" w:cs="Times New Roman"/>
        </w:rPr>
        <w:t xml:space="preserve">components, </w:t>
      </w:r>
      <w:r w:rsidRPr="001359FF">
        <w:rPr>
          <w:rFonts w:ascii="Times New Roman" w:hAnsi="Times New Roman" w:cs="Times New Roman"/>
        </w:rPr>
        <w:t>as well as cell wall debris</w:t>
      </w:r>
      <w:r>
        <w:rPr>
          <w:rFonts w:ascii="Times New Roman" w:hAnsi="Times New Roman" w:cs="Times New Roman"/>
        </w:rPr>
        <w:t>,</w:t>
      </w:r>
      <w:r w:rsidRPr="001359FF">
        <w:rPr>
          <w:rFonts w:ascii="Times New Roman" w:hAnsi="Times New Roman" w:cs="Times New Roman"/>
        </w:rPr>
        <w:t xml:space="preserve"> can be recognised by phagocytes </w:t>
      </w:r>
      <w:r>
        <w:rPr>
          <w:rFonts w:ascii="Times New Roman" w:hAnsi="Times New Roman" w:cs="Times New Roman"/>
        </w:rPr>
        <w:t xml:space="preserve">through </w:t>
      </w:r>
      <w:r w:rsidRPr="001359FF">
        <w:rPr>
          <w:rFonts w:ascii="Times New Roman" w:hAnsi="Times New Roman" w:cs="Times New Roman"/>
        </w:rPr>
        <w:t xml:space="preserve">binding to </w:t>
      </w:r>
      <w:r>
        <w:rPr>
          <w:rFonts w:ascii="Times New Roman" w:hAnsi="Times New Roman" w:cs="Times New Roman"/>
        </w:rPr>
        <w:t xml:space="preserve">mammalian </w:t>
      </w:r>
      <w:r w:rsidRPr="001359FF">
        <w:rPr>
          <w:rFonts w:ascii="Times New Roman" w:hAnsi="Times New Roman" w:cs="Times New Roman"/>
        </w:rPr>
        <w:t>cell surface receptors such as PRR</w:t>
      </w:r>
      <w:r w:rsidR="00F96BCD">
        <w:rPr>
          <w:rFonts w:ascii="Times New Roman" w:hAnsi="Times New Roman" w:cs="Times New Roman"/>
        </w:rPr>
        <w:t>s</w:t>
      </w:r>
      <w:r w:rsidRPr="001359FF">
        <w:rPr>
          <w:rFonts w:ascii="Times New Roman" w:hAnsi="Times New Roman" w:cs="Times New Roman"/>
        </w:rPr>
        <w:t>.</w:t>
      </w:r>
      <w:r w:rsidRPr="001C02EE">
        <w:rPr>
          <w:rFonts w:ascii="Times New Roman" w:hAnsi="Times New Roman" w:cs="Times New Roman"/>
        </w:rPr>
        <w:t xml:space="preserve"> </w:t>
      </w:r>
      <w:r>
        <w:rPr>
          <w:rFonts w:ascii="Times New Roman" w:hAnsi="Times New Roman" w:cs="Times New Roman"/>
        </w:rPr>
        <w:t xml:space="preserve">PRRs are able to bind to various microbial elements (PAMPs) that initiate complex signalling networks and thus, allow phagocytes to appropriately respond to pathogens and foreign bodies through immune cell activation and cytokine release. Here, TLRs and CLRs will be discussed, as these receptors are present on the surface of phagocytes. In comparison, NOD-like receptors (NLRs) and </w:t>
      </w:r>
      <w:r w:rsidRPr="004E427D">
        <w:rPr>
          <w:rFonts w:ascii="Times New Roman" w:hAnsi="Times New Roman" w:cs="Times New Roman"/>
        </w:rPr>
        <w:t>RIG-I-like receptors (RLRs)</w:t>
      </w:r>
      <w:r>
        <w:rPr>
          <w:rFonts w:ascii="Times New Roman" w:hAnsi="Times New Roman" w:cs="Times New Roman"/>
        </w:rPr>
        <w:t xml:space="preserve"> are intracellular proteins that interact with microbial components once they enter the cytosol.</w:t>
      </w:r>
    </w:p>
    <w:p w14:paraId="3501F023" w14:textId="77777777" w:rsidR="00033564" w:rsidRDefault="00033564" w:rsidP="00033564">
      <w:pPr>
        <w:pStyle w:val="Heading4"/>
      </w:pPr>
      <w:r>
        <w:t>1.3.2.1. Toll-like receptors</w:t>
      </w:r>
    </w:p>
    <w:p w14:paraId="26662D6F" w14:textId="77777777" w:rsidR="00033564" w:rsidRPr="00D6072A" w:rsidRDefault="00033564" w:rsidP="00033564"/>
    <w:p w14:paraId="38E9B013" w14:textId="150127A2" w:rsidR="00033564" w:rsidRPr="00D15E1D" w:rsidRDefault="00033564" w:rsidP="00033564">
      <w:pPr>
        <w:spacing w:line="360" w:lineRule="auto"/>
        <w:jc w:val="both"/>
        <w:rPr>
          <w:rFonts w:ascii="Times New Roman" w:hAnsi="Times New Roman" w:cs="Times New Roman"/>
          <w:b/>
          <w:bCs/>
        </w:rPr>
      </w:pPr>
      <w:r>
        <w:rPr>
          <w:rFonts w:ascii="Times New Roman" w:hAnsi="Times New Roman" w:cs="Times New Roman"/>
        </w:rPr>
        <w:t>TLRs, first described in the fruit</w:t>
      </w:r>
      <w:r w:rsidR="001F75CA">
        <w:rPr>
          <w:rFonts w:ascii="Times New Roman" w:hAnsi="Times New Roman" w:cs="Times New Roman"/>
        </w:rPr>
        <w:t xml:space="preserve"> </w:t>
      </w:r>
      <w:r>
        <w:rPr>
          <w:rFonts w:ascii="Times New Roman" w:hAnsi="Times New Roman" w:cs="Times New Roman"/>
        </w:rPr>
        <w:t xml:space="preserve">fly </w:t>
      </w:r>
      <w:r>
        <w:rPr>
          <w:rFonts w:ascii="Times New Roman" w:hAnsi="Times New Roman" w:cs="Times New Roman"/>
          <w:i/>
          <w:iCs/>
        </w:rPr>
        <w:t>D. melanogaster</w:t>
      </w:r>
      <w:r>
        <w:rPr>
          <w:rFonts w:ascii="Times New Roman" w:hAnsi="Times New Roman" w:cs="Times New Roman"/>
        </w:rPr>
        <w:t xml:space="preserve">, were identified as the receptor family required for downstream signalling resulting in the production of AMPs </w:t>
      </w:r>
      <w:r w:rsidRPr="005266C8">
        <w:rPr>
          <w:rFonts w:ascii="Times New Roman" w:hAnsi="Times New Roman" w:cs="Times New Roman"/>
          <w:b/>
          <w:bCs/>
        </w:rPr>
        <w:fldChar w:fldCharType="begin"/>
      </w:r>
      <w:r w:rsidRPr="005266C8">
        <w:rPr>
          <w:rFonts w:ascii="Times New Roman" w:hAnsi="Times New Roman" w:cs="Times New Roman"/>
          <w:b/>
          <w:bCs/>
        </w:rPr>
        <w:instrText xml:space="preserve"> ADDIN EN.CITE &lt;EndNote&gt;&lt;Cite&gt;&lt;Author&gt;Anderson&lt;/Author&gt;&lt;Year&gt;2000&lt;/Year&gt;&lt;IDText&gt;Toll signaling pathways in the innate immune response&lt;/IDText&gt;&lt;DisplayText&gt;(Anderson, 2000)&lt;/DisplayText&gt;&lt;record&gt;&lt;dates&gt;&lt;pub-dates&gt;&lt;date&gt;Feb&lt;/date&gt;&lt;/pub-dates&gt;&lt;year&gt;2000&lt;/year&gt;&lt;/dates&gt;&lt;urls&gt;&lt;related-urls&gt;&lt;url&gt;&amp;lt;Go to ISI&amp;gt;://WOS:000085306900002&lt;/url&gt;&lt;/related-urls&gt;&lt;/urls&gt;&lt;isbn&gt;0952-7915&lt;/isbn&gt;&lt;titles&gt;&lt;title&gt;Toll signaling pathways in the innate immune response&lt;/title&gt;&lt;secondary-title&gt;Current Opinion in Immunology&lt;/secondary-title&gt;&lt;/titles&gt;&lt;pages&gt;13-19&lt;/pages&gt;&lt;number&gt;1&lt;/number&gt;&lt;contributors&gt;&lt;authors&gt;&lt;author&gt;Anderson, K. V.&lt;/author&gt;&lt;/authors&gt;&lt;/contributors&gt;&lt;added-date format="utc"&gt;1677077561&lt;/added-date&gt;&lt;ref-type name="Journal Article"&gt;17&lt;/ref-type&gt;&lt;rec-number&gt;455&lt;/rec-number&gt;&lt;last-updated-date format="utc"&gt;1677077561&lt;/last-updated-date&gt;&lt;accession-num&gt;WOS:000085306900002&lt;/accession-num&gt;&lt;electronic-resource-num&gt;10.1016/s0952-7915(99)00045-x&lt;/electronic-resource-num&gt;&lt;volume&gt;12&lt;/volume&gt;&lt;/record&gt;&lt;/Cite&gt;&lt;/EndNote&gt;</w:instrText>
      </w:r>
      <w:r w:rsidRPr="005266C8">
        <w:rPr>
          <w:rFonts w:ascii="Times New Roman" w:hAnsi="Times New Roman" w:cs="Times New Roman"/>
          <w:b/>
          <w:bCs/>
        </w:rPr>
        <w:fldChar w:fldCharType="separate"/>
      </w:r>
      <w:r w:rsidRPr="005266C8">
        <w:rPr>
          <w:rFonts w:ascii="Times New Roman" w:hAnsi="Times New Roman" w:cs="Times New Roman"/>
          <w:b/>
          <w:bCs/>
          <w:noProof/>
        </w:rPr>
        <w:t>(Anderson, 2000)</w:t>
      </w:r>
      <w:r w:rsidRPr="005266C8">
        <w:rPr>
          <w:rFonts w:ascii="Times New Roman" w:hAnsi="Times New Roman" w:cs="Times New Roman"/>
          <w:b/>
          <w:bCs/>
        </w:rPr>
        <w:fldChar w:fldCharType="end"/>
      </w:r>
      <w:r>
        <w:rPr>
          <w:rFonts w:ascii="Times New Roman" w:hAnsi="Times New Roman" w:cs="Times New Roman"/>
        </w:rPr>
        <w:t xml:space="preserve">. Due to this, </w:t>
      </w:r>
      <w:r>
        <w:rPr>
          <w:rFonts w:ascii="Times New Roman" w:hAnsi="Times New Roman" w:cs="Times New Roman"/>
          <w:i/>
          <w:iCs/>
        </w:rPr>
        <w:t xml:space="preserve">D. melanogaster </w:t>
      </w:r>
      <w:r>
        <w:rPr>
          <w:rFonts w:ascii="Times New Roman" w:hAnsi="Times New Roman" w:cs="Times New Roman"/>
        </w:rPr>
        <w:t xml:space="preserve">is naturally resistant to microbial infections. TLRs are transmembrane proteins consisting of an extracellular leucine-rich repeat domain, a single transmembrane helix and a </w:t>
      </w:r>
      <w:r w:rsidRPr="00272213">
        <w:rPr>
          <w:rFonts w:ascii="Times New Roman" w:hAnsi="Times New Roman" w:cs="Times New Roman"/>
        </w:rPr>
        <w:t xml:space="preserve">cytoplasmic </w:t>
      </w:r>
      <w:bookmarkStart w:id="41" w:name="_Hlk127978915"/>
      <w:r w:rsidRPr="00272213">
        <w:rPr>
          <w:rFonts w:ascii="Times New Roman" w:hAnsi="Times New Roman" w:cs="Times New Roman"/>
        </w:rPr>
        <w:t>Toll/interleukin-1 recepto</w:t>
      </w:r>
      <w:r>
        <w:rPr>
          <w:rFonts w:ascii="Times New Roman" w:hAnsi="Times New Roman" w:cs="Times New Roman"/>
        </w:rPr>
        <w:t>r</w:t>
      </w:r>
      <w:bookmarkEnd w:id="41"/>
      <w:r>
        <w:rPr>
          <w:rFonts w:ascii="Times New Roman" w:hAnsi="Times New Roman" w:cs="Times New Roman"/>
        </w:rPr>
        <w:t xml:space="preserve"> (TIR) domain </w:t>
      </w:r>
      <w:r w:rsidRPr="005266C8">
        <w:rPr>
          <w:rFonts w:ascii="Times New Roman" w:hAnsi="Times New Roman" w:cs="Times New Roman"/>
          <w:b/>
          <w:bCs/>
        </w:rPr>
        <w:fldChar w:fldCharType="begin"/>
      </w:r>
      <w:r w:rsidRPr="005266C8">
        <w:rPr>
          <w:rFonts w:ascii="Times New Roman" w:hAnsi="Times New Roman" w:cs="Times New Roman"/>
          <w:b/>
          <w:bCs/>
        </w:rPr>
        <w:instrText xml:space="preserve"> ADDIN EN.CITE &lt;EndNote&gt;&lt;Cite&gt;&lt;Author&gt;Botos&lt;/Author&gt;&lt;Year&gt;2011&lt;/Year&gt;&lt;IDText&gt;The Structural Biology of Toll-like Receptors&lt;/IDText&gt;&lt;DisplayText&gt;(Botos, Segal and Davies, 2011)&lt;/DisplayText&gt;&lt;record&gt;&lt;dates&gt;&lt;pub-dates&gt;&lt;date&gt;Apr&lt;/date&gt;&lt;/pub-dates&gt;&lt;year&gt;2011&lt;/year&gt;&lt;/dates&gt;&lt;urls&gt;&lt;related-urls&gt;&lt;url&gt;&amp;lt;Go to ISI&amp;gt;://WOS:000289592600004&lt;/url&gt;&lt;/related-urls&gt;&lt;/urls&gt;&lt;isbn&gt;0969-2126&lt;/isbn&gt;&lt;titles&gt;&lt;title&gt;The Structural Biology of Toll-like Receptors&lt;/title&gt;&lt;secondary-title&gt;Structure&lt;/secondary-title&gt;&lt;/titles&gt;&lt;pages&gt;447-459&lt;/pages&gt;&lt;number&gt;4&lt;/number&gt;&lt;contributors&gt;&lt;authors&gt;&lt;author&gt;Botos, I.&lt;/author&gt;&lt;author&gt;Segal, D. M.&lt;/author&gt;&lt;author&gt;Davies, D. R.&lt;/author&gt;&lt;/authors&gt;&lt;/contributors&gt;&lt;added-date format="utc"&gt;1677084808&lt;/added-date&gt;&lt;ref-type name="Journal Article"&gt;17&lt;/ref-type&gt;&lt;rec-number&gt;465&lt;/rec-number&gt;&lt;last-updated-date format="utc"&gt;1677084808&lt;/last-updated-date&gt;&lt;accession-num&gt;WOS:000289592600004&lt;/accession-num&gt;&lt;electronic-resource-num&gt;10.1016/j.str.2011.02.004&lt;/electronic-resource-num&gt;&lt;volume&gt;19&lt;/volume&gt;&lt;/record&gt;&lt;/Cite&gt;&lt;/EndNote&gt;</w:instrText>
      </w:r>
      <w:r w:rsidRPr="005266C8">
        <w:rPr>
          <w:rFonts w:ascii="Times New Roman" w:hAnsi="Times New Roman" w:cs="Times New Roman"/>
          <w:b/>
          <w:bCs/>
        </w:rPr>
        <w:fldChar w:fldCharType="separate"/>
      </w:r>
      <w:r w:rsidRPr="005266C8">
        <w:rPr>
          <w:rFonts w:ascii="Times New Roman" w:hAnsi="Times New Roman" w:cs="Times New Roman"/>
          <w:b/>
          <w:bCs/>
          <w:noProof/>
        </w:rPr>
        <w:t>(Botos, Segal and Davies, 2011)</w:t>
      </w:r>
      <w:r w:rsidRPr="005266C8">
        <w:rPr>
          <w:rFonts w:ascii="Times New Roman" w:hAnsi="Times New Roman" w:cs="Times New Roman"/>
          <w:b/>
          <w:bCs/>
        </w:rPr>
        <w:fldChar w:fldCharType="end"/>
      </w:r>
      <w:r>
        <w:rPr>
          <w:rFonts w:ascii="Times New Roman" w:hAnsi="Times New Roman" w:cs="Times New Roman"/>
        </w:rPr>
        <w:t xml:space="preserve">. Since the discovery of TLRs, ten homologues have been identified in humans (TLR1-10) in comparison to the 12 possessed by mice. TLR2 recognises cell wall components such as peptidoglycan, lipoproteins and LTA </w:t>
      </w:r>
      <w:r w:rsidRPr="005266C8">
        <w:rPr>
          <w:rFonts w:ascii="Times New Roman" w:hAnsi="Times New Roman" w:cs="Times New Roman"/>
          <w:b/>
          <w:bCs/>
        </w:rPr>
        <w:fldChar w:fldCharType="begin">
          <w:fldData xml:space="preserve">PEVuZE5vdGU+PENpdGU+PEF1dGhvcj5UYWtldWNoaTwvQXV0aG9yPjxZZWFyPjE5OTk8L1llYXI+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</w:fldData>
        </w:fldChar>
      </w:r>
      <w:r w:rsidRPr="005266C8">
        <w:rPr>
          <w:rFonts w:ascii="Times New Roman" w:hAnsi="Times New Roman" w:cs="Times New Roman"/>
          <w:b/>
          <w:bCs/>
        </w:rPr>
        <w:instrText xml:space="preserve"> ADDIN EN.CITE </w:instrText>
      </w:r>
      <w:r w:rsidRPr="005266C8">
        <w:rPr>
          <w:rFonts w:ascii="Times New Roman" w:hAnsi="Times New Roman" w:cs="Times New Roman"/>
          <w:b/>
          <w:bCs/>
        </w:rPr>
        <w:fldChar w:fldCharType="begin">
          <w:fldData xml:space="preserve">PEVuZE5vdGU+PENpdGU+PEF1dGhvcj5UYWtldWNoaTwvQXV0aG9yPjxZZWFyPjE5OTk8L1llYXI+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</w:fldData>
        </w:fldChar>
      </w:r>
      <w:r w:rsidRPr="005266C8">
        <w:rPr>
          <w:rFonts w:ascii="Times New Roman" w:hAnsi="Times New Roman" w:cs="Times New Roman"/>
          <w:b/>
          <w:bCs/>
        </w:rPr>
        <w:instrText xml:space="preserve"> ADDIN EN.CITE.DATA </w:instrText>
      </w:r>
      <w:r w:rsidRPr="005266C8">
        <w:rPr>
          <w:rFonts w:ascii="Times New Roman" w:hAnsi="Times New Roman" w:cs="Times New Roman"/>
          <w:b/>
          <w:bCs/>
        </w:rPr>
      </w:r>
      <w:r w:rsidRPr="005266C8">
        <w:rPr>
          <w:rFonts w:ascii="Times New Roman" w:hAnsi="Times New Roman" w:cs="Times New Roman"/>
          <w:b/>
          <w:bCs/>
        </w:rPr>
        <w:fldChar w:fldCharType="end"/>
      </w:r>
      <w:r w:rsidRPr="005266C8">
        <w:rPr>
          <w:rFonts w:ascii="Times New Roman" w:hAnsi="Times New Roman" w:cs="Times New Roman"/>
          <w:b/>
          <w:bCs/>
        </w:rPr>
      </w:r>
      <w:r w:rsidRPr="005266C8">
        <w:rPr>
          <w:rFonts w:ascii="Times New Roman" w:hAnsi="Times New Roman" w:cs="Times New Roman"/>
          <w:b/>
          <w:bCs/>
        </w:rPr>
        <w:fldChar w:fldCharType="separate"/>
      </w:r>
      <w:r w:rsidRPr="005266C8">
        <w:rPr>
          <w:rFonts w:ascii="Times New Roman" w:hAnsi="Times New Roman" w:cs="Times New Roman"/>
          <w:b/>
          <w:bCs/>
          <w:noProof/>
        </w:rPr>
        <w:t>(Takeuchi</w:t>
      </w:r>
      <w:r w:rsidRPr="005266C8">
        <w:rPr>
          <w:rFonts w:ascii="Times New Roman" w:hAnsi="Times New Roman" w:cs="Times New Roman"/>
          <w:b/>
          <w:bCs/>
          <w:i/>
          <w:noProof/>
        </w:rPr>
        <w:t xml:space="preserve"> et al.</w:t>
      </w:r>
      <w:r w:rsidRPr="005266C8">
        <w:rPr>
          <w:rFonts w:ascii="Times New Roman" w:hAnsi="Times New Roman" w:cs="Times New Roman"/>
          <w:b/>
          <w:bCs/>
          <w:noProof/>
        </w:rPr>
        <w:t>, 1999; Aliprantis</w:t>
      </w:r>
      <w:r w:rsidRPr="005266C8">
        <w:rPr>
          <w:rFonts w:ascii="Times New Roman" w:hAnsi="Times New Roman" w:cs="Times New Roman"/>
          <w:b/>
          <w:bCs/>
          <w:i/>
          <w:noProof/>
        </w:rPr>
        <w:t xml:space="preserve"> et al.</w:t>
      </w:r>
      <w:r w:rsidRPr="005266C8">
        <w:rPr>
          <w:rFonts w:ascii="Times New Roman" w:hAnsi="Times New Roman" w:cs="Times New Roman"/>
          <w:b/>
          <w:bCs/>
          <w:noProof/>
        </w:rPr>
        <w:t>, 1999)</w:t>
      </w:r>
      <w:r w:rsidRPr="005266C8">
        <w:rPr>
          <w:rFonts w:ascii="Times New Roman" w:hAnsi="Times New Roman" w:cs="Times New Roman"/>
          <w:b/>
          <w:bCs/>
        </w:rPr>
        <w:fldChar w:fldCharType="end"/>
      </w:r>
      <w:r>
        <w:rPr>
          <w:rFonts w:ascii="Times New Roman" w:hAnsi="Times New Roman" w:cs="Times New Roman"/>
        </w:rPr>
        <w:t xml:space="preserve">. TLR4 is required for the detection of lipopolysaccharide (LPS) </w:t>
      </w:r>
      <w:r w:rsidRPr="005266C8">
        <w:rPr>
          <w:rFonts w:ascii="Times New Roman" w:hAnsi="Times New Roman" w:cs="Times New Roman"/>
          <w:b/>
          <w:bCs/>
        </w:rPr>
        <w:fldChar w:fldCharType="begin"/>
      </w:r>
      <w:r w:rsidRPr="005266C8">
        <w:rPr>
          <w:rFonts w:ascii="Times New Roman" w:hAnsi="Times New Roman" w:cs="Times New Roman"/>
          <w:b/>
          <w:bCs/>
        </w:rPr>
        <w:instrText xml:space="preserve"> ADDIN EN.CITE &lt;EndNote&gt;&lt;Cite&gt;&lt;Author&gt;Poltorak&lt;/Author&gt;&lt;Year&gt;1998&lt;/Year&gt;&lt;IDText&gt;Defective LPS signaling in C3H/HeJ and C57BL/10ScCr mice: Mutations in Tlr4 gene&lt;/IDText&gt;&lt;DisplayText&gt;(Poltorak&lt;style face="italic"&gt; et al.&lt;/style&gt;, 1998)&lt;/DisplayText&gt;&lt;record&gt;&lt;dates&gt;&lt;pub-dates&gt;&lt;date&gt;Dec&lt;/date&gt;&lt;/pub-dates&gt;&lt;year&gt;1998&lt;/year&gt;&lt;/dates&gt;&lt;urls&gt;&lt;related-urls&gt;&lt;url&gt;&amp;lt;Go to ISI&amp;gt;://WOS:000077467100048&lt;/url&gt;&lt;/related-urls&gt;&lt;/urls&gt;&lt;isbn&gt;0036-8075&lt;/isbn&gt;&lt;titles&gt;&lt;title&gt;Defective LPS signaling in C3H/HeJ and C57BL/10ScCr mice: Mutations in Tlr4 gene&lt;/title&gt;&lt;secondary-title&gt;Science&lt;/secondary-title&gt;&lt;/titles&gt;&lt;pages&gt;2085-2088&lt;/pages&gt;&lt;number&gt;5396&lt;/number&gt;&lt;contributors&gt;&lt;authors&gt;&lt;author&gt;Poltorak, A.&lt;/author&gt;&lt;author&gt;He, X. L.&lt;/author&gt;&lt;author&gt;Smirnova, I.&lt;/author&gt;&lt;author&gt;Liu, M. Y.&lt;/author&gt;&lt;author&gt;Van Huffel, C.&lt;/author&gt;&lt;author&gt;Du, X.&lt;/author&gt;&lt;author&gt;Birdwell, D.&lt;/author&gt;&lt;author&gt;Alejos, E.&lt;/author&gt;&lt;author&gt;Silva, M.&lt;/author&gt;&lt;author&gt;Galanos, C.&lt;/author&gt;&lt;author&gt;Freudenberg, M.&lt;/author&gt;&lt;author&gt;Ricciardi-Castagnoli, P.&lt;/author&gt;&lt;author&gt;Layton, B.&lt;/author&gt;&lt;author&gt;Beutler, B.&lt;/author&gt;&lt;/authors&gt;&lt;/contributors&gt;&lt;added-date format="utc"&gt;1677082486&lt;/added-date&gt;&lt;ref-type name="Journal Article"&gt;17&lt;/ref-type&gt;&lt;rec-number&gt;461&lt;/rec-number&gt;&lt;last-updated-date format="utc"&gt;1677082486&lt;/last-updated-date&gt;&lt;accession-num&gt;WOS:000077467100048&lt;/accession-num&gt;&lt;electronic-resource-num&gt;10.1126/science.282.5396.2085&lt;/electronic-resource-num&gt;&lt;volume&gt;282&lt;/volume&gt;&lt;/record&gt;&lt;/Cite&gt;&lt;/EndNote&gt;</w:instrText>
      </w:r>
      <w:r w:rsidRPr="005266C8">
        <w:rPr>
          <w:rFonts w:ascii="Times New Roman" w:hAnsi="Times New Roman" w:cs="Times New Roman"/>
          <w:b/>
          <w:bCs/>
        </w:rPr>
        <w:fldChar w:fldCharType="separate"/>
      </w:r>
      <w:r w:rsidRPr="005266C8">
        <w:rPr>
          <w:rFonts w:ascii="Times New Roman" w:hAnsi="Times New Roman" w:cs="Times New Roman"/>
          <w:b/>
          <w:bCs/>
          <w:noProof/>
        </w:rPr>
        <w:t>(Poltorak</w:t>
      </w:r>
      <w:r w:rsidRPr="005266C8">
        <w:rPr>
          <w:rFonts w:ascii="Times New Roman" w:hAnsi="Times New Roman" w:cs="Times New Roman"/>
          <w:b/>
          <w:bCs/>
          <w:i/>
          <w:noProof/>
        </w:rPr>
        <w:t xml:space="preserve"> et al.</w:t>
      </w:r>
      <w:r w:rsidRPr="005266C8">
        <w:rPr>
          <w:rFonts w:ascii="Times New Roman" w:hAnsi="Times New Roman" w:cs="Times New Roman"/>
          <w:b/>
          <w:bCs/>
          <w:noProof/>
        </w:rPr>
        <w:t>, 1998)</w:t>
      </w:r>
      <w:r w:rsidRPr="005266C8">
        <w:rPr>
          <w:rFonts w:ascii="Times New Roman" w:hAnsi="Times New Roman" w:cs="Times New Roman"/>
          <w:b/>
          <w:bCs/>
        </w:rPr>
        <w:fldChar w:fldCharType="end"/>
      </w:r>
      <w:r>
        <w:rPr>
          <w:rFonts w:ascii="Times New Roman" w:hAnsi="Times New Roman" w:cs="Times New Roman"/>
        </w:rPr>
        <w:t xml:space="preserve"> and TLR5 responds to flagellin, the monomer that makes up flagella filaments </w:t>
      </w:r>
      <w:r w:rsidRPr="005266C8">
        <w:rPr>
          <w:rFonts w:ascii="Times New Roman" w:hAnsi="Times New Roman" w:cs="Times New Roman"/>
          <w:b/>
          <w:bCs/>
        </w:rPr>
        <w:fldChar w:fldCharType="begin"/>
      </w:r>
      <w:r w:rsidRPr="005266C8">
        <w:rPr>
          <w:rFonts w:ascii="Times New Roman" w:hAnsi="Times New Roman" w:cs="Times New Roman"/>
          <w:b/>
          <w:bCs/>
        </w:rPr>
        <w:instrText xml:space="preserve"> ADDIN EN.CITE &lt;EndNote&gt;&lt;Cite&gt;&lt;Author&gt;Hayashi&lt;/Author&gt;&lt;Year&gt;2001&lt;/Year&gt;&lt;IDText&gt;The innate immune response to bacterial flagellin is mediated by Toll-like receptor 5&lt;/IDText&gt;&lt;DisplayText&gt;(Hayashi&lt;style face="italic"&gt; et al.&lt;/style&gt;, 2001)&lt;/DisplayText&gt;&lt;record&gt;&lt;dates&gt;&lt;pub-dates&gt;&lt;date&gt;Apr&lt;/date&gt;&lt;/pub-dates&gt;&lt;year&gt;2001&lt;/year&gt;&lt;/dates&gt;&lt;urls&gt;&lt;related-urls&gt;&lt;url&gt;&amp;lt;Go to ISI&amp;gt;://WOS:000168285500049&lt;/url&gt;&lt;/related-urls&gt;&lt;/urls&gt;&lt;isbn&gt;0028-0836&lt;/isbn&gt;&lt;titles&gt;&lt;title&gt;The innate immune response to bacterial flagellin is mediated by Toll-like receptor 5&lt;/title&gt;&lt;secondary-title&gt;Nature&lt;/secondary-title&gt;&lt;/titles&gt;&lt;pages&gt;1099-1103&lt;/pages&gt;&lt;number&gt;6832&lt;/number&gt;&lt;contributors&gt;&lt;authors&gt;&lt;author&gt;Hayashi, F.&lt;/author&gt;&lt;author&gt;Smith, K. D.&lt;/author&gt;&lt;author&gt;Ozinsky, A.&lt;/author&gt;&lt;author&gt;Hawn, T. R.&lt;/author&gt;&lt;author&gt;Yi, E. C.&lt;/author&gt;&lt;author&gt;Goodlett, D. R.&lt;/author&gt;&lt;author&gt;Eng, J. K.&lt;/author&gt;&lt;author&gt;Akira, S.&lt;/author&gt;&lt;author&gt;Underhill, D. M.&lt;/author&gt;&lt;author&gt;Aderem, A.&lt;/author&gt;&lt;/authors&gt;&lt;/contributors&gt;&lt;added-date format="utc"&gt;1677082358&lt;/added-date&gt;&lt;ref-type name="Journal Article"&gt;17&lt;/ref-type&gt;&lt;rec-number&gt;460&lt;/rec-number&gt;&lt;last-updated-date format="utc"&gt;1677082358&lt;/last-updated-date&gt;&lt;accession-num&gt;WOS:000168285500049&lt;/accession-num&gt;&lt;electronic-resource-num&gt;10.1038/35074106&lt;/electronic-resource-num&gt;&lt;volume&gt;410&lt;/volume&gt;&lt;/record&gt;&lt;/Cite&gt;&lt;/EndNote&gt;</w:instrText>
      </w:r>
      <w:r w:rsidRPr="005266C8">
        <w:rPr>
          <w:rFonts w:ascii="Times New Roman" w:hAnsi="Times New Roman" w:cs="Times New Roman"/>
          <w:b/>
          <w:bCs/>
        </w:rPr>
        <w:fldChar w:fldCharType="separate"/>
      </w:r>
      <w:r w:rsidRPr="005266C8">
        <w:rPr>
          <w:rFonts w:ascii="Times New Roman" w:hAnsi="Times New Roman" w:cs="Times New Roman"/>
          <w:b/>
          <w:bCs/>
          <w:noProof/>
        </w:rPr>
        <w:t>(Hayashi</w:t>
      </w:r>
      <w:r w:rsidRPr="005266C8">
        <w:rPr>
          <w:rFonts w:ascii="Times New Roman" w:hAnsi="Times New Roman" w:cs="Times New Roman"/>
          <w:b/>
          <w:bCs/>
          <w:i/>
          <w:noProof/>
        </w:rPr>
        <w:t xml:space="preserve"> et al.</w:t>
      </w:r>
      <w:r w:rsidRPr="005266C8">
        <w:rPr>
          <w:rFonts w:ascii="Times New Roman" w:hAnsi="Times New Roman" w:cs="Times New Roman"/>
          <w:b/>
          <w:bCs/>
          <w:noProof/>
        </w:rPr>
        <w:t>, 2001)</w:t>
      </w:r>
      <w:r w:rsidRPr="005266C8">
        <w:rPr>
          <w:rFonts w:ascii="Times New Roman" w:hAnsi="Times New Roman" w:cs="Times New Roman"/>
          <w:b/>
          <w:bCs/>
        </w:rPr>
        <w:fldChar w:fldCharType="end"/>
      </w:r>
      <w:r>
        <w:rPr>
          <w:rFonts w:ascii="Times New Roman" w:hAnsi="Times New Roman" w:cs="Times New Roman"/>
        </w:rPr>
        <w:t xml:space="preserve">. TLRs 3, 7, 8 and 9 are important for identifying various nucleic acids such as dsRNA (TLR3), ssRNA (TLR7/8) and ssDNA (TLR9) containing CpG motifs (commonly associated with foreign pathogenic nucleic acids) </w:t>
      </w:r>
      <w:r w:rsidRPr="005266C8">
        <w:rPr>
          <w:rFonts w:ascii="Times New Roman" w:hAnsi="Times New Roman" w:cs="Times New Roman"/>
          <w:b/>
          <w:bCs/>
        </w:rPr>
        <w:fldChar w:fldCharType="begin">
          <w:fldData xml:space="preserve">PEVuZE5vdGU+PENpdGU+PEF1dGhvcj5BbGV4b3BvdWxvdTwvQXV0aG9yPjxZZWFyPjIwMDE8L1ll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PEVuZE5vdGU+PENpdGU+PEF1dGhvcj5BbGV4b3BvdWxvdTwvQXV0aG9yPjxZZWFyPjIwMDE8L1ll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5266C8">
        <w:rPr>
          <w:rFonts w:ascii="Times New Roman" w:hAnsi="Times New Roman" w:cs="Times New Roman"/>
          <w:b/>
          <w:bCs/>
        </w:rPr>
      </w:r>
      <w:r w:rsidRPr="005266C8">
        <w:rPr>
          <w:rFonts w:ascii="Times New Roman" w:hAnsi="Times New Roman" w:cs="Times New Roman"/>
          <w:b/>
          <w:bCs/>
        </w:rPr>
        <w:fldChar w:fldCharType="separate"/>
      </w:r>
      <w:r>
        <w:rPr>
          <w:rFonts w:ascii="Times New Roman" w:hAnsi="Times New Roman" w:cs="Times New Roman"/>
          <w:b/>
          <w:bCs/>
          <w:noProof/>
        </w:rPr>
        <w:t>(Alexopoulou</w:t>
      </w:r>
      <w:r w:rsidRPr="007017A0">
        <w:rPr>
          <w:rFonts w:ascii="Times New Roman" w:hAnsi="Times New Roman" w:cs="Times New Roman"/>
          <w:b/>
          <w:bCs/>
          <w:i/>
          <w:noProof/>
        </w:rPr>
        <w:t xml:space="preserve"> et al.</w:t>
      </w:r>
      <w:r>
        <w:rPr>
          <w:rFonts w:ascii="Times New Roman" w:hAnsi="Times New Roman" w:cs="Times New Roman"/>
          <w:b/>
          <w:bCs/>
          <w:noProof/>
        </w:rPr>
        <w:t>, 2001; Zhang</w:t>
      </w:r>
      <w:r w:rsidRPr="007017A0">
        <w:rPr>
          <w:rFonts w:ascii="Times New Roman" w:hAnsi="Times New Roman" w:cs="Times New Roman"/>
          <w:b/>
          <w:bCs/>
          <w:i/>
          <w:noProof/>
        </w:rPr>
        <w:t xml:space="preserve"> et al.</w:t>
      </w:r>
      <w:r>
        <w:rPr>
          <w:rFonts w:ascii="Times New Roman" w:hAnsi="Times New Roman" w:cs="Times New Roman"/>
          <w:b/>
          <w:bCs/>
          <w:noProof/>
        </w:rPr>
        <w:t>, 2018b; Bauer</w:t>
      </w:r>
      <w:r w:rsidRPr="007017A0">
        <w:rPr>
          <w:rFonts w:ascii="Times New Roman" w:hAnsi="Times New Roman" w:cs="Times New Roman"/>
          <w:b/>
          <w:bCs/>
          <w:i/>
          <w:noProof/>
        </w:rPr>
        <w:t xml:space="preserve"> et al.</w:t>
      </w:r>
      <w:r>
        <w:rPr>
          <w:rFonts w:ascii="Times New Roman" w:hAnsi="Times New Roman" w:cs="Times New Roman"/>
          <w:b/>
          <w:bCs/>
          <w:noProof/>
        </w:rPr>
        <w:t>, 2001)</w:t>
      </w:r>
      <w:r w:rsidRPr="005266C8">
        <w:rPr>
          <w:rFonts w:ascii="Times New Roman" w:hAnsi="Times New Roman" w:cs="Times New Roman"/>
          <w:b/>
          <w:bCs/>
        </w:rPr>
        <w:fldChar w:fldCharType="end"/>
      </w:r>
      <w:r>
        <w:rPr>
          <w:rFonts w:ascii="Times New Roman" w:hAnsi="Times New Roman" w:cs="Times New Roman"/>
        </w:rPr>
        <w:t xml:space="preserve">. TLRs 1 and 6 act in concert with TLR2 to form heterodimers, while all other TLRs are able to respond to stimuli as homodimers </w:t>
      </w:r>
      <w:r w:rsidRPr="00D15E1D">
        <w:rPr>
          <w:rFonts w:ascii="Times New Roman" w:hAnsi="Times New Roman" w:cs="Times New Roman"/>
          <w:b/>
          <w:bCs/>
        </w:rPr>
        <w:fldChar w:fldCharType="begin"/>
      </w:r>
      <w:r w:rsidRPr="00D15E1D">
        <w:rPr>
          <w:rFonts w:ascii="Times New Roman" w:hAnsi="Times New Roman" w:cs="Times New Roman"/>
          <w:b/>
          <w:bCs/>
        </w:rPr>
        <w:instrText xml:space="preserve"> ADDIN EN.CITE &lt;EndNote&gt;&lt;Cite&gt;&lt;Author&gt;Takeuchi&lt;/Author&gt;&lt;Year&gt;2002&lt;/Year&gt;&lt;IDText&gt;Cutting edge: Role of Toll-like receptor 1 in mediating immune response to microbial lipoproteins&lt;/IDText&gt;&lt;DisplayText&gt;(Takeuchi&lt;style face="italic"&gt; et al.&lt;/style&gt;, 2002)&lt;/DisplayText&gt;&lt;record&gt;&lt;dates&gt;&lt;pub-dates&gt;&lt;date&gt;Jul&lt;/date&gt;&lt;/pub-dates&gt;&lt;year&gt;2002&lt;/year&gt;&lt;/dates&gt;&lt;urls&gt;&lt;related-urls&gt;&lt;url&gt;&amp;lt;Go to ISI&amp;gt;://WOS:000176360400003&lt;/url&gt;&lt;/related-urls&gt;&lt;/urls&gt;&lt;isbn&gt;0022-1767&lt;/isbn&gt;&lt;titles&gt;&lt;title&gt;Cutting edge: Role of Toll-like receptor 1 in mediating immune response to microbial lipoproteins&lt;/title&gt;&lt;secondary-title&gt;Journal of Immunology&lt;/secondary-title&gt;&lt;/titles&gt;&lt;pages&gt;10-14&lt;/pages&gt;&lt;number&gt;1&lt;/number&gt;&lt;contributors&gt;&lt;authors&gt;&lt;author&gt;Takeuchi, O.&lt;/author&gt;&lt;author&gt;Sato, S.&lt;/author&gt;&lt;author&gt;Horiuchi, T.&lt;/author&gt;&lt;author&gt;Hoshino, K.&lt;/author&gt;&lt;author&gt;Takeda, K.&lt;/author&gt;&lt;author&gt;Dong, Z. Y.&lt;/author&gt;&lt;author&gt;Modlin, R. L.&lt;/author&gt;&lt;author&gt;Akira, S.&lt;/author&gt;&lt;/authors&gt;&lt;/contributors&gt;&lt;added-date format="utc"&gt;1677085017&lt;/added-date&gt;&lt;ref-type name="Journal Article"&gt;17&lt;/ref-type&gt;&lt;rec-number&gt;466&lt;/rec-number&gt;&lt;last-updated-date format="utc"&gt;1677085017&lt;/last-updated-date&gt;&lt;accession-num&gt;WOS:000176360400003&lt;/accession-num&gt;&lt;electronic-resource-num&gt;10.4049/jimmunol.169.1.10&lt;/electronic-resource-num&gt;&lt;volume&gt;169&lt;/volume&gt;&lt;/record&gt;&lt;/Cite&gt;&lt;/EndNote&gt;</w:instrText>
      </w:r>
      <w:r w:rsidRPr="00D15E1D">
        <w:rPr>
          <w:rFonts w:ascii="Times New Roman" w:hAnsi="Times New Roman" w:cs="Times New Roman"/>
          <w:b/>
          <w:bCs/>
        </w:rPr>
        <w:fldChar w:fldCharType="separate"/>
      </w:r>
      <w:r w:rsidRPr="00D15E1D">
        <w:rPr>
          <w:rFonts w:ascii="Times New Roman" w:hAnsi="Times New Roman" w:cs="Times New Roman"/>
          <w:b/>
          <w:bCs/>
          <w:noProof/>
        </w:rPr>
        <w:t>(Takeuchi</w:t>
      </w:r>
      <w:r w:rsidRPr="00D15E1D">
        <w:rPr>
          <w:rFonts w:ascii="Times New Roman" w:hAnsi="Times New Roman" w:cs="Times New Roman"/>
          <w:b/>
          <w:bCs/>
          <w:i/>
          <w:noProof/>
        </w:rPr>
        <w:t xml:space="preserve"> et al.</w:t>
      </w:r>
      <w:r w:rsidRPr="00D15E1D">
        <w:rPr>
          <w:rFonts w:ascii="Times New Roman" w:hAnsi="Times New Roman" w:cs="Times New Roman"/>
          <w:b/>
          <w:bCs/>
          <w:noProof/>
        </w:rPr>
        <w:t>, 2002)</w:t>
      </w:r>
      <w:r w:rsidRPr="00D15E1D">
        <w:rPr>
          <w:rFonts w:ascii="Times New Roman" w:hAnsi="Times New Roman" w:cs="Times New Roman"/>
          <w:b/>
          <w:bCs/>
        </w:rPr>
        <w:fldChar w:fldCharType="end"/>
      </w:r>
      <w:r>
        <w:rPr>
          <w:rFonts w:ascii="Times New Roman" w:hAnsi="Times New Roman" w:cs="Times New Roman"/>
        </w:rPr>
        <w:t xml:space="preserve">. TLRs are not solely associated with a specific pathogen, as they respond to structurally unrelated ligands. However, TLR2 is implicated in the host response to the presence of </w:t>
      </w:r>
      <w:r>
        <w:rPr>
          <w:rFonts w:ascii="Times New Roman" w:hAnsi="Times New Roman" w:cs="Times New Roman"/>
          <w:i/>
          <w:iCs/>
        </w:rPr>
        <w:t>S. aureus</w:t>
      </w:r>
      <w:r w:rsidRPr="00D15E1D">
        <w:rPr>
          <w:rFonts w:ascii="Times New Roman" w:hAnsi="Times New Roman" w:cs="Times New Roman"/>
        </w:rPr>
        <w:t xml:space="preserve"> </w:t>
      </w:r>
      <w:r w:rsidRPr="00D15E1D">
        <w:rPr>
          <w:rFonts w:ascii="Times New Roman" w:hAnsi="Times New Roman" w:cs="Times New Roman"/>
          <w:b/>
          <w:bCs/>
        </w:rPr>
        <w:fldChar w:fldCharType="begin">
          <w:fldData xml:space="preserve">PEVuZE5vdGU+PENpdGU+PEF1dGhvcj5VbmRlcmhpbGw8L0F1dGhvcj48WWVhcj4xOTk5PC9ZZWFy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</w:fldData>
        </w:fldChar>
      </w:r>
      <w:r w:rsidRPr="00D15E1D">
        <w:rPr>
          <w:rFonts w:ascii="Times New Roman" w:hAnsi="Times New Roman" w:cs="Times New Roman"/>
          <w:b/>
          <w:bCs/>
        </w:rPr>
        <w:instrText xml:space="preserve"> ADDIN EN.CITE </w:instrText>
      </w:r>
      <w:r w:rsidRPr="00D15E1D">
        <w:rPr>
          <w:rFonts w:ascii="Times New Roman" w:hAnsi="Times New Roman" w:cs="Times New Roman"/>
          <w:b/>
          <w:bCs/>
        </w:rPr>
        <w:fldChar w:fldCharType="begin">
          <w:fldData xml:space="preserve">PEVuZE5vdGU+PENpdGU+PEF1dGhvcj5VbmRlcmhpbGw8L0F1dGhvcj48WWVhcj4xOTk5PC9ZZWFy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</w:fldData>
        </w:fldChar>
      </w:r>
      <w:r w:rsidRPr="00D15E1D">
        <w:rPr>
          <w:rFonts w:ascii="Times New Roman" w:hAnsi="Times New Roman" w:cs="Times New Roman"/>
          <w:b/>
          <w:bCs/>
        </w:rPr>
        <w:instrText xml:space="preserve"> ADDIN EN.CITE.DATA </w:instrText>
      </w:r>
      <w:r w:rsidRPr="00D15E1D">
        <w:rPr>
          <w:rFonts w:ascii="Times New Roman" w:hAnsi="Times New Roman" w:cs="Times New Roman"/>
          <w:b/>
          <w:bCs/>
        </w:rPr>
      </w:r>
      <w:r w:rsidRPr="00D15E1D">
        <w:rPr>
          <w:rFonts w:ascii="Times New Roman" w:hAnsi="Times New Roman" w:cs="Times New Roman"/>
          <w:b/>
          <w:bCs/>
        </w:rPr>
        <w:fldChar w:fldCharType="end"/>
      </w:r>
      <w:r w:rsidRPr="00D15E1D">
        <w:rPr>
          <w:rFonts w:ascii="Times New Roman" w:hAnsi="Times New Roman" w:cs="Times New Roman"/>
          <w:b/>
          <w:bCs/>
        </w:rPr>
      </w:r>
      <w:r w:rsidRPr="00D15E1D">
        <w:rPr>
          <w:rFonts w:ascii="Times New Roman" w:hAnsi="Times New Roman" w:cs="Times New Roman"/>
          <w:b/>
          <w:bCs/>
        </w:rPr>
        <w:fldChar w:fldCharType="separate"/>
      </w:r>
      <w:r w:rsidRPr="00D15E1D">
        <w:rPr>
          <w:rFonts w:ascii="Times New Roman" w:hAnsi="Times New Roman" w:cs="Times New Roman"/>
          <w:b/>
          <w:bCs/>
          <w:noProof/>
        </w:rPr>
        <w:t>(Underhill</w:t>
      </w:r>
      <w:r w:rsidRPr="00D15E1D">
        <w:rPr>
          <w:rFonts w:ascii="Times New Roman" w:hAnsi="Times New Roman" w:cs="Times New Roman"/>
          <w:b/>
          <w:bCs/>
          <w:i/>
          <w:noProof/>
        </w:rPr>
        <w:t xml:space="preserve"> et al.</w:t>
      </w:r>
      <w:r w:rsidRPr="00D15E1D">
        <w:rPr>
          <w:rFonts w:ascii="Times New Roman" w:hAnsi="Times New Roman" w:cs="Times New Roman"/>
          <w:b/>
          <w:bCs/>
          <w:noProof/>
        </w:rPr>
        <w:t>, 1999; Dziarski</w:t>
      </w:r>
      <w:r w:rsidRPr="00D15E1D">
        <w:rPr>
          <w:rFonts w:ascii="Times New Roman" w:hAnsi="Times New Roman" w:cs="Times New Roman"/>
          <w:b/>
          <w:bCs/>
          <w:i/>
          <w:noProof/>
        </w:rPr>
        <w:t xml:space="preserve"> et al.</w:t>
      </w:r>
      <w:r w:rsidRPr="00D15E1D">
        <w:rPr>
          <w:rFonts w:ascii="Times New Roman" w:hAnsi="Times New Roman" w:cs="Times New Roman"/>
          <w:b/>
          <w:bCs/>
          <w:noProof/>
        </w:rPr>
        <w:t>, 2001)</w:t>
      </w:r>
      <w:r w:rsidRPr="00D15E1D">
        <w:rPr>
          <w:rFonts w:ascii="Times New Roman" w:hAnsi="Times New Roman" w:cs="Times New Roman"/>
          <w:b/>
          <w:bCs/>
        </w:rPr>
        <w:fldChar w:fldCharType="end"/>
      </w:r>
      <w:r>
        <w:rPr>
          <w:rFonts w:ascii="Times New Roman" w:hAnsi="Times New Roman" w:cs="Times New Roman"/>
        </w:rPr>
        <w:t xml:space="preserve">. TLR2 can recognise staphylococcal components such as wall teichoic acids (WTA) and LTA and in the presence of PSMs, the TLR2/6 heterodimer can activate downstream signalling cascades </w:t>
      </w:r>
      <w:r w:rsidRPr="0004509C">
        <w:rPr>
          <w:rFonts w:ascii="Times New Roman" w:hAnsi="Times New Roman" w:cs="Times New Roman"/>
          <w:b/>
          <w:bCs/>
        </w:rPr>
        <w:fldChar w:fldCharType="begin"/>
      </w:r>
      <w:r w:rsidRPr="0004509C">
        <w:rPr>
          <w:rFonts w:ascii="Times New Roman" w:hAnsi="Times New Roman" w:cs="Times New Roman"/>
          <w:b/>
          <w:bCs/>
        </w:rPr>
        <w:instrText xml:space="preserve"> ADDIN EN.CITE &lt;EndNote&gt;&lt;Cite&gt;&lt;Author&gt;Hajjar&lt;/Author&gt;&lt;Year&gt;2001&lt;/Year&gt;&lt;IDText&gt;Cutting edge: Functional interactions between toll-like receptor (TLR) 2 and TLR1 or TLR6 in response to phenol-soluble modulin&lt;/IDText&gt;&lt;DisplayText&gt;(Hajjar&lt;style face="italic"&gt; et al.&lt;/style&gt;, 2001)&lt;/DisplayText&gt;&lt;record&gt;&lt;dates&gt;&lt;pub-dates&gt;&lt;date&gt;Jan&lt;/date&gt;&lt;/pub-dates&gt;&lt;year&gt;2001&lt;/year&gt;&lt;/dates&gt;&lt;urls&gt;&lt;related-urls&gt;&lt;url&gt;&amp;lt;Go to ISI&amp;gt;://WOS:000166012400004&lt;/url&gt;&lt;/related-urls&gt;&lt;/urls&gt;&lt;isbn&gt;0022-1767&lt;/isbn&gt;&lt;titles&gt;&lt;title&gt;Cutting edge: Functional interactions between toll-like receptor (TLR) 2 and TLR1 or TLR6 in response to phenol-soluble modulin&lt;/title&gt;&lt;secondary-title&gt;Journal of Immunology&lt;/secondary-title&gt;&lt;/titles&gt;&lt;pages&gt;15-19&lt;/pages&gt;&lt;number&gt;1&lt;/number&gt;&lt;contributors&gt;&lt;authors&gt;&lt;author&gt;Hajjar, A. M.&lt;/author&gt;&lt;author&gt;O&amp;apos;Mahony, D. S.&lt;/author&gt;&lt;author&gt;Ozinsky, A.&lt;/author&gt;&lt;author&gt;Underhill, D. M.&lt;/author&gt;&lt;author&gt;Aderem, A.&lt;/author&gt;&lt;author&gt;Klebanoff, S. J.&lt;/author&gt;&lt;author&gt;Wilson, C. B.&lt;/author&gt;&lt;/authors&gt;&lt;/contributors&gt;&lt;added-date format="utc"&gt;1677089815&lt;/added-date&gt;&lt;ref-type name="Journal Article"&gt;17&lt;/ref-type&gt;&lt;rec-number&gt;469&lt;/rec-number&gt;&lt;last-updated-date format="utc"&gt;1677089815&lt;/last-updated-date&gt;&lt;accession-num&gt;WOS:000166012400004&lt;/accession-num&gt;&lt;electronic-resource-num&gt;10.4049/jimmunol.166.1.15&lt;/electronic-resource-num&gt;&lt;volume&gt;166&lt;/volume&gt;&lt;/record&gt;&lt;/Cite&gt;&lt;/EndNote&gt;</w:instrText>
      </w:r>
      <w:r w:rsidRPr="0004509C">
        <w:rPr>
          <w:rFonts w:ascii="Times New Roman" w:hAnsi="Times New Roman" w:cs="Times New Roman"/>
          <w:b/>
          <w:bCs/>
        </w:rPr>
        <w:fldChar w:fldCharType="separate"/>
      </w:r>
      <w:r w:rsidRPr="0004509C">
        <w:rPr>
          <w:rFonts w:ascii="Times New Roman" w:hAnsi="Times New Roman" w:cs="Times New Roman"/>
          <w:b/>
          <w:bCs/>
          <w:noProof/>
        </w:rPr>
        <w:t>(Hajjar</w:t>
      </w:r>
      <w:r w:rsidRPr="0004509C">
        <w:rPr>
          <w:rFonts w:ascii="Times New Roman" w:hAnsi="Times New Roman" w:cs="Times New Roman"/>
          <w:b/>
          <w:bCs/>
          <w:i/>
          <w:noProof/>
        </w:rPr>
        <w:t xml:space="preserve"> et al.</w:t>
      </w:r>
      <w:r w:rsidRPr="0004509C">
        <w:rPr>
          <w:rFonts w:ascii="Times New Roman" w:hAnsi="Times New Roman" w:cs="Times New Roman"/>
          <w:b/>
          <w:bCs/>
          <w:noProof/>
        </w:rPr>
        <w:t>, 2001)</w:t>
      </w:r>
      <w:r w:rsidRPr="0004509C">
        <w:rPr>
          <w:rFonts w:ascii="Times New Roman" w:hAnsi="Times New Roman" w:cs="Times New Roman"/>
          <w:b/>
          <w:bCs/>
        </w:rPr>
        <w:fldChar w:fldCharType="end"/>
      </w:r>
      <w:r>
        <w:rPr>
          <w:rFonts w:ascii="Times New Roman" w:hAnsi="Times New Roman" w:cs="Times New Roman"/>
        </w:rPr>
        <w:t xml:space="preserve">. In the absence of TLR2, staphylococcal clearance in murine models is diminished. For example, in comparison to WT, TLR2-deficient mice are unable to clear </w:t>
      </w:r>
      <w:r>
        <w:rPr>
          <w:rFonts w:ascii="Times New Roman" w:hAnsi="Times New Roman" w:cs="Times New Roman"/>
          <w:i/>
          <w:iCs/>
        </w:rPr>
        <w:t xml:space="preserve">S. aureus </w:t>
      </w:r>
      <w:r>
        <w:rPr>
          <w:rFonts w:ascii="Times New Roman" w:hAnsi="Times New Roman" w:cs="Times New Roman"/>
        </w:rPr>
        <w:t xml:space="preserve">after subcutaneous mouse infection </w:t>
      </w:r>
      <w:r w:rsidRPr="00D15E1D">
        <w:rPr>
          <w:rFonts w:ascii="Times New Roman" w:hAnsi="Times New Roman" w:cs="Times New Roman"/>
          <w:b/>
          <w:bCs/>
        </w:rPr>
        <w:fldChar w:fldCharType="begin"/>
      </w:r>
      <w:r w:rsidRPr="00D15E1D">
        <w:rPr>
          <w:rFonts w:ascii="Times New Roman" w:hAnsi="Times New Roman" w:cs="Times New Roman"/>
          <w:b/>
          <w:bCs/>
        </w:rPr>
        <w:instrText xml:space="preserve"> ADDIN EN.CITE &lt;EndNote&gt;&lt;Cite&gt;&lt;Author&gt;Hoebe&lt;/Author&gt;&lt;Year&gt;2005&lt;/Year&gt;&lt;IDText&gt;CD36 is a sensor of diacylglycerides&lt;/IDText&gt;&lt;DisplayText&gt;(Hoebe&lt;style face="italic"&gt; et al.&lt;/style&gt;, 2005)&lt;/DisplayText&gt;&lt;record&gt;&lt;dates&gt;&lt;pub-dates&gt;&lt;date&gt;Feb&lt;/date&gt;&lt;/pub-dates&gt;&lt;year&gt;2005&lt;/year&gt;&lt;/dates&gt;&lt;urls&gt;&lt;related-urls&gt;&lt;url&gt;&amp;lt;Go to ISI&amp;gt;://WOS:000226727200049&lt;/url&gt;&lt;/related-urls&gt;&lt;/urls&gt;&lt;isbn&gt;0028-0836&lt;/isbn&gt;&lt;titles&gt;&lt;title&gt;CD36 is a sensor of diacylglycerides&lt;/title&gt;&lt;secondary-title&gt;Nature&lt;/secondary-title&gt;&lt;/titles&gt;&lt;pages&gt;523-527&lt;/pages&gt;&lt;number&gt;7025&lt;/number&gt;&lt;contributors&gt;&lt;authors&gt;&lt;author&gt;Hoebe, K.&lt;/author&gt;&lt;author&gt;Georgel, P.&lt;/author&gt;&lt;author&gt;Rutschmann, S.&lt;/author&gt;&lt;author&gt;Du, X.&lt;/author&gt;&lt;author&gt;Mudd, S.&lt;/author&gt;&lt;author&gt;Crozat, K.&lt;/author&gt;&lt;author&gt;Sovath, S.&lt;/author&gt;&lt;author&gt;Shamel, L.&lt;/author&gt;&lt;author&gt;Hartung, T.&lt;/author&gt;&lt;author&gt;Zahringer, U.&lt;/author&gt;&lt;author&gt;Beutler, B.&lt;/author&gt;&lt;/authors&gt;&lt;/contributors&gt;&lt;added-date format="utc"&gt;1677085498&lt;/added-date&gt;&lt;ref-type name="Journal Article"&gt;17&lt;/ref-type&gt;&lt;rec-number&gt;467&lt;/rec-number&gt;&lt;last-updated-date format="utc"&gt;1677085498&lt;/last-updated-date&gt;&lt;accession-num&gt;WOS:000226727200049&lt;/accession-num&gt;&lt;electronic-resource-num&gt;10.1038/nature03253&lt;/electronic-resource-num&gt;&lt;volume&gt;433&lt;/volume&gt;&lt;/record&gt;&lt;/Cite&gt;&lt;/EndNote&gt;</w:instrText>
      </w:r>
      <w:r w:rsidRPr="00D15E1D">
        <w:rPr>
          <w:rFonts w:ascii="Times New Roman" w:hAnsi="Times New Roman" w:cs="Times New Roman"/>
          <w:b/>
          <w:bCs/>
        </w:rPr>
        <w:fldChar w:fldCharType="separate"/>
      </w:r>
      <w:r w:rsidRPr="00D15E1D">
        <w:rPr>
          <w:rFonts w:ascii="Times New Roman" w:hAnsi="Times New Roman" w:cs="Times New Roman"/>
          <w:b/>
          <w:bCs/>
          <w:noProof/>
        </w:rPr>
        <w:t>(Hoebe</w:t>
      </w:r>
      <w:r w:rsidRPr="00D15E1D">
        <w:rPr>
          <w:rFonts w:ascii="Times New Roman" w:hAnsi="Times New Roman" w:cs="Times New Roman"/>
          <w:b/>
          <w:bCs/>
          <w:i/>
          <w:noProof/>
        </w:rPr>
        <w:t xml:space="preserve"> et al.</w:t>
      </w:r>
      <w:r w:rsidRPr="00D15E1D">
        <w:rPr>
          <w:rFonts w:ascii="Times New Roman" w:hAnsi="Times New Roman" w:cs="Times New Roman"/>
          <w:b/>
          <w:bCs/>
          <w:noProof/>
        </w:rPr>
        <w:t>, 2005)</w:t>
      </w:r>
      <w:r w:rsidRPr="00D15E1D">
        <w:rPr>
          <w:rFonts w:ascii="Times New Roman" w:hAnsi="Times New Roman" w:cs="Times New Roman"/>
          <w:b/>
          <w:bCs/>
        </w:rPr>
        <w:fldChar w:fldCharType="end"/>
      </w:r>
      <w:r>
        <w:rPr>
          <w:rFonts w:ascii="Times New Roman" w:hAnsi="Times New Roman" w:cs="Times New Roman"/>
        </w:rPr>
        <w:t xml:space="preserve">. Furthermore, TLR2-deficient mice were reported to have higher rates of murine nasal colonisation in comparison to the WT counterpart </w:t>
      </w:r>
      <w:r w:rsidRPr="00D15E1D">
        <w:rPr>
          <w:rFonts w:ascii="Times New Roman" w:hAnsi="Times New Roman" w:cs="Times New Roman"/>
          <w:b/>
          <w:bCs/>
        </w:rPr>
        <w:fldChar w:fldCharType="begin"/>
      </w:r>
      <w:r w:rsidRPr="00D15E1D">
        <w:rPr>
          <w:rFonts w:ascii="Times New Roman" w:hAnsi="Times New Roman" w:cs="Times New Roman"/>
          <w:b/>
          <w:bCs/>
        </w:rPr>
        <w:instrText xml:space="preserve"> ADDIN EN.CITE &lt;EndNote&gt;&lt;Cite&gt;&lt;Author&gt;González-Zorn&lt;/Author&gt;&lt;Year&gt;2005&lt;/Year&gt;&lt;IDText&gt;Bacterial and host factors implicated in nasal carriage of methicillin-resistant Staphylococcus aureus in mice&lt;/IDText&gt;&lt;DisplayText&gt;(González-Zorn&lt;style face="italic"&gt; et al.&lt;/style&gt;, 2005)&lt;/DisplayText&gt;&lt;record&gt;&lt;dates&gt;&lt;pub-dates&gt;&lt;date&gt;Mar&lt;/date&gt;&lt;/pub-dates&gt;&lt;year&gt;2005&lt;/year&gt;&lt;/dates&gt;&lt;urls&gt;&lt;related-urls&gt;&lt;url&gt;&amp;lt;Go to ISI&amp;gt;://WOS:000227373300064&lt;/url&gt;&lt;/related-urls&gt;&lt;/urls&gt;&lt;isbn&gt;0019-9567&lt;/isbn&gt;&lt;titles&gt;&lt;title&gt;Bacterial and host factors implicated in nasal carriage of methicillin-resistant Staphylococcus aureus in mice&lt;/title&gt;&lt;secondary-title&gt;Infection and Immunity&lt;/secondary-title&gt;&lt;/titles&gt;&lt;pages&gt;1847-1851&lt;/pages&gt;&lt;number&gt;3&lt;/number&gt;&lt;contributors&gt;&lt;authors&gt;&lt;author&gt;González-Zorn, B.&lt;/author&gt;&lt;author&gt;Senna, J. P. M.&lt;/author&gt;&lt;author&gt;Fiette, L.&lt;/author&gt;&lt;author&gt;Shorte, S.&lt;/author&gt;&lt;author&gt;Testard, A.&lt;/author&gt;&lt;author&gt;Chignard, M.&lt;/author&gt;&lt;author&gt;Courvalin, P.&lt;/author&gt;&lt;author&gt;Grillot-Courvalin, C.&lt;/author&gt;&lt;/authors&gt;&lt;/contributors&gt;&lt;added-date format="utc"&gt;1677085788&lt;/added-date&gt;&lt;ref-type name="Journal Article"&gt;17&lt;/ref-type&gt;&lt;rec-number&gt;468&lt;/rec-number&gt;&lt;last-updated-date format="utc"&gt;1677085815&lt;/last-updated-date&gt;&lt;accession-num&gt;WOS:000227373300064&lt;/accession-num&gt;&lt;electronic-resource-num&gt;10.1128/iai.73.3.1847-1851.2005&lt;/electronic-resource-num&gt;&lt;volume&gt;73&lt;/volume&gt;&lt;/record&gt;&lt;/Cite&gt;&lt;/EndNote&gt;</w:instrText>
      </w:r>
      <w:r w:rsidRPr="00D15E1D">
        <w:rPr>
          <w:rFonts w:ascii="Times New Roman" w:hAnsi="Times New Roman" w:cs="Times New Roman"/>
          <w:b/>
          <w:bCs/>
        </w:rPr>
        <w:fldChar w:fldCharType="separate"/>
      </w:r>
      <w:r w:rsidRPr="00D15E1D">
        <w:rPr>
          <w:rFonts w:ascii="Times New Roman" w:hAnsi="Times New Roman" w:cs="Times New Roman"/>
          <w:b/>
          <w:bCs/>
          <w:noProof/>
        </w:rPr>
        <w:t>(González-Zorn</w:t>
      </w:r>
      <w:r w:rsidRPr="00D15E1D">
        <w:rPr>
          <w:rFonts w:ascii="Times New Roman" w:hAnsi="Times New Roman" w:cs="Times New Roman"/>
          <w:b/>
          <w:bCs/>
          <w:i/>
          <w:noProof/>
        </w:rPr>
        <w:t xml:space="preserve"> et al.</w:t>
      </w:r>
      <w:r w:rsidRPr="00D15E1D">
        <w:rPr>
          <w:rFonts w:ascii="Times New Roman" w:hAnsi="Times New Roman" w:cs="Times New Roman"/>
          <w:b/>
          <w:bCs/>
          <w:noProof/>
        </w:rPr>
        <w:t>, 2005)</w:t>
      </w:r>
      <w:r w:rsidRPr="00D15E1D">
        <w:rPr>
          <w:rFonts w:ascii="Times New Roman" w:hAnsi="Times New Roman" w:cs="Times New Roman"/>
          <w:b/>
          <w:bCs/>
        </w:rPr>
        <w:fldChar w:fldCharType="end"/>
      </w:r>
      <w:r>
        <w:rPr>
          <w:rFonts w:ascii="Times New Roman" w:hAnsi="Times New Roman" w:cs="Times New Roman"/>
        </w:rPr>
        <w:t xml:space="preserve">. Following activation of TLR2, the intracellular TIR domain interacts with </w:t>
      </w:r>
      <w:r w:rsidRPr="00F5610D">
        <w:rPr>
          <w:rFonts w:ascii="Times New Roman" w:hAnsi="Times New Roman" w:cs="Times New Roman"/>
          <w:color w:val="000000" w:themeColor="text1"/>
        </w:rPr>
        <w:t>myeloid differentiation primary response 88</w:t>
      </w:r>
      <w:r w:rsidR="006A0036">
        <w:rPr>
          <w:rFonts w:ascii="Times New Roman" w:hAnsi="Times New Roman" w:cs="Times New Roman"/>
          <w:color w:val="000000" w:themeColor="text1"/>
        </w:rPr>
        <w:t xml:space="preserve"> (Myd88)</w:t>
      </w:r>
      <w:r>
        <w:rPr>
          <w:rFonts w:ascii="Times New Roman" w:hAnsi="Times New Roman" w:cs="Times New Roman"/>
          <w:color w:val="000000" w:themeColor="text1"/>
        </w:rPr>
        <w:t>,</w:t>
      </w:r>
      <w:r w:rsidRPr="00F5610D">
        <w:rPr>
          <w:rFonts w:ascii="Times New Roman" w:hAnsi="Times New Roman" w:cs="Times New Roman"/>
          <w:color w:val="000000" w:themeColor="text1"/>
        </w:rPr>
        <w:t xml:space="preserve"> </w:t>
      </w:r>
      <w:r>
        <w:rPr>
          <w:rFonts w:ascii="Times New Roman" w:hAnsi="Times New Roman" w:cs="Times New Roman"/>
        </w:rPr>
        <w:t xml:space="preserve">which initiates signalling cascades leading to the release of transcription factor </w:t>
      </w:r>
      <w:r w:rsidRPr="00540F01">
        <w:rPr>
          <w:rFonts w:ascii="Times New Roman" w:hAnsi="Times New Roman" w:cs="Times New Roman"/>
        </w:rPr>
        <w:t>NF-κB</w:t>
      </w:r>
      <w:r>
        <w:rPr>
          <w:rFonts w:ascii="Times New Roman" w:hAnsi="Times New Roman" w:cs="Times New Roman"/>
        </w:rPr>
        <w:t xml:space="preserve">, a necessary component for the expression of proinflammatory mediators </w:t>
      </w:r>
      <w:r w:rsidRPr="00D15E1D">
        <w:rPr>
          <w:rFonts w:ascii="Times New Roman" w:hAnsi="Times New Roman" w:cs="Times New Roman"/>
          <w:b/>
          <w:bCs/>
        </w:rPr>
        <w:fldChar w:fldCharType="begin"/>
      </w:r>
      <w:r w:rsidRPr="00D15E1D">
        <w:rPr>
          <w:rFonts w:ascii="Times New Roman" w:hAnsi="Times New Roman" w:cs="Times New Roman"/>
          <w:b/>
          <w:bCs/>
        </w:rPr>
        <w:instrText xml:space="preserve"> ADDIN EN.CITE &lt;EndNote&gt;&lt;Cite&gt;&lt;Author&gt;Fournier&lt;/Author&gt;&lt;Year&gt;2005&lt;/Year&gt;&lt;IDText&gt;Recognition of Staphylococcus aureus by the innate immune system&lt;/IDText&gt;&lt;DisplayText&gt;(Fournier and Philpott, 2005)&lt;/DisplayText&gt;&lt;record&gt;&lt;dates&gt;&lt;pub-dates&gt;&lt;date&gt;Jul&lt;/date&gt;&lt;/pub-dates&gt;&lt;year&gt;2005&lt;/year&gt;&lt;/dates&gt;&lt;urls&gt;&lt;related-urls&gt;&lt;url&gt;&amp;lt;Go to ISI&amp;gt;://WOS:000230631600006&lt;/url&gt;&lt;/related-urls&gt;&lt;/urls&gt;&lt;isbn&gt;0893-8512&lt;/isbn&gt;&lt;titles&gt;&lt;title&gt;Recognition of Staphylococcus aureus by the innate immune system&lt;/title&gt;&lt;secondary-title&gt;Clinical Microbiology Reviews&lt;/secondary-title&gt;&lt;/titles&gt;&lt;pages&gt;521-+&lt;/pages&gt;&lt;number&gt;3&lt;/number&gt;&lt;contributors&gt;&lt;authors&gt;&lt;author&gt;Fournier, B.&lt;/author&gt;&lt;author&gt;Philpott, D. J.&lt;/author&gt;&lt;/authors&gt;&lt;/contributors&gt;&lt;added-date format="utc"&gt;1677102124&lt;/added-date&gt;&lt;ref-type name="Journal Article"&gt;17&lt;/ref-type&gt;&lt;rec-number&gt;476&lt;/rec-number&gt;&lt;last-updated-date format="utc"&gt;1677102124&lt;/last-updated-date&gt;&lt;accession-num&gt;WOS:000230631600006&lt;/accession-num&gt;&lt;electronic-resource-num&gt;10.1128/cmr.18.3.521-540.2005&lt;/electronic-resource-num&gt;&lt;volume&gt;18&lt;/volume&gt;&lt;/record&gt;&lt;/Cite&gt;&lt;/EndNote&gt;</w:instrText>
      </w:r>
      <w:r w:rsidRPr="00D15E1D">
        <w:rPr>
          <w:rFonts w:ascii="Times New Roman" w:hAnsi="Times New Roman" w:cs="Times New Roman"/>
          <w:b/>
          <w:bCs/>
        </w:rPr>
        <w:fldChar w:fldCharType="separate"/>
      </w:r>
      <w:r w:rsidRPr="00D15E1D">
        <w:rPr>
          <w:rFonts w:ascii="Times New Roman" w:hAnsi="Times New Roman" w:cs="Times New Roman"/>
          <w:b/>
          <w:bCs/>
          <w:noProof/>
        </w:rPr>
        <w:t>(Fournier and Philpott, 2005)</w:t>
      </w:r>
      <w:r w:rsidRPr="00D15E1D">
        <w:rPr>
          <w:rFonts w:ascii="Times New Roman" w:hAnsi="Times New Roman" w:cs="Times New Roman"/>
          <w:b/>
          <w:bCs/>
        </w:rPr>
        <w:fldChar w:fldCharType="end"/>
      </w:r>
      <w:r>
        <w:rPr>
          <w:rFonts w:ascii="Times New Roman" w:hAnsi="Times New Roman" w:cs="Times New Roman"/>
        </w:rPr>
        <w:t xml:space="preserve">. </w:t>
      </w:r>
    </w:p>
    <w:p w14:paraId="78149DF1" w14:textId="77777777" w:rsidR="00033564" w:rsidRDefault="00033564" w:rsidP="00033564">
      <w:pPr>
        <w:pStyle w:val="Heading4"/>
        <w:rPr>
          <w:rStyle w:val="Heading4Char"/>
          <w:iCs/>
        </w:rPr>
      </w:pPr>
      <w:r w:rsidRPr="004E427D">
        <w:rPr>
          <w:rStyle w:val="Heading4Char"/>
          <w:iCs/>
        </w:rPr>
        <w:t>1.</w:t>
      </w:r>
      <w:r>
        <w:rPr>
          <w:rStyle w:val="Heading4Char"/>
          <w:iCs/>
        </w:rPr>
        <w:t>3</w:t>
      </w:r>
      <w:r w:rsidRPr="004E427D">
        <w:rPr>
          <w:rStyle w:val="Heading4Char"/>
          <w:iCs/>
        </w:rPr>
        <w:t xml:space="preserve">.2.2. C-type lectin receptors </w:t>
      </w:r>
    </w:p>
    <w:p w14:paraId="49FC2CF9" w14:textId="77777777" w:rsidR="00033564" w:rsidRDefault="00033564" w:rsidP="00033564"/>
    <w:p w14:paraId="6A562133" w14:textId="233CC2AD" w:rsidR="00033564" w:rsidRDefault="00033564" w:rsidP="00033564">
      <w:pPr>
        <w:spacing w:line="360" w:lineRule="auto"/>
        <w:jc w:val="both"/>
        <w:rPr>
          <w:rFonts w:ascii="Times New Roman" w:hAnsi="Times New Roman" w:cs="Times New Roman"/>
        </w:rPr>
      </w:pPr>
      <w:r w:rsidRPr="004E427D">
        <w:rPr>
          <w:rFonts w:ascii="Times New Roman" w:hAnsi="Times New Roman" w:cs="Times New Roman"/>
        </w:rPr>
        <w:t xml:space="preserve">CLRs </w:t>
      </w:r>
      <w:r>
        <w:rPr>
          <w:rFonts w:ascii="Times New Roman" w:hAnsi="Times New Roman" w:cs="Times New Roman"/>
        </w:rPr>
        <w:t xml:space="preserve">respond to carbohydrates on the cell surface of pathogens and can exist as both a transmembrane and cytosolic receptor </w:t>
      </w:r>
      <w:r w:rsidRPr="009A0467">
        <w:rPr>
          <w:rFonts w:ascii="Times New Roman" w:hAnsi="Times New Roman" w:cs="Times New Roman"/>
          <w:b/>
          <w:bCs/>
        </w:rPr>
        <w:fldChar w:fldCharType="begin"/>
      </w:r>
      <w:r w:rsidRPr="009A0467">
        <w:rPr>
          <w:rFonts w:ascii="Times New Roman" w:hAnsi="Times New Roman" w:cs="Times New Roman"/>
          <w:b/>
          <w:bCs/>
        </w:rPr>
        <w:instrText xml:space="preserve"> ADDIN EN.CITE &lt;EndNote&gt;&lt;Cite&gt;&lt;Author&gt;Brown&lt;/Author&gt;&lt;Year&gt;2018&lt;/Year&gt;&lt;IDText&gt;C-type lectins in immunity and homeostasis&lt;/IDText&gt;&lt;DisplayText&gt;(Brown, Willment and Whitehead, 2018)&lt;/DisplayText&gt;&lt;record&gt;&lt;dates&gt;&lt;pub-dates&gt;&lt;date&gt;Jun&lt;/date&gt;&lt;/pub-dates&gt;&lt;year&gt;2018&lt;/year&gt;&lt;/dates&gt;&lt;urls&gt;&lt;related-urls&gt;&lt;url&gt;&amp;lt;Go to ISI&amp;gt;://WOS:000433240700010&lt;/url&gt;&lt;/related-urls&gt;&lt;/urls&gt;&lt;isbn&gt;1474-1733&lt;/isbn&gt;&lt;titles&gt;&lt;title&gt;C-type lectins in immunity and homeostasis&lt;/title&gt;&lt;secondary-title&gt;Nature Reviews Immunology&lt;/secondary-title&gt;&lt;/titles&gt;&lt;pages&gt;374-389&lt;/pages&gt;&lt;number&gt;6&lt;/number&gt;&lt;contributors&gt;&lt;authors&gt;&lt;author&gt;Brown, G. D.&lt;/author&gt;&lt;author&gt;Willment, J. A.&lt;/author&gt;&lt;author&gt;Whitehead, L.&lt;/author&gt;&lt;/authors&gt;&lt;/contributors&gt;&lt;added-date format="utc"&gt;1677093164&lt;/added-date&gt;&lt;ref-type name="Journal Article"&gt;17&lt;/ref-type&gt;&lt;rec-number&gt;471&lt;/rec-number&gt;&lt;last-updated-date format="utc"&gt;1677093164&lt;/last-updated-date&gt;&lt;accession-num&gt;WOS:000433240700010&lt;/accession-num&gt;&lt;electronic-resource-num&gt;10.1038/s41577-018-0004-8&lt;/electronic-resource-num&gt;&lt;volume&gt;18&lt;/volume&gt;&lt;/record&gt;&lt;/Cite&gt;&lt;/EndNote&gt;</w:instrText>
      </w:r>
      <w:r w:rsidRPr="009A0467">
        <w:rPr>
          <w:rFonts w:ascii="Times New Roman" w:hAnsi="Times New Roman" w:cs="Times New Roman"/>
          <w:b/>
          <w:bCs/>
        </w:rPr>
        <w:fldChar w:fldCharType="separate"/>
      </w:r>
      <w:r w:rsidRPr="009A0467">
        <w:rPr>
          <w:rFonts w:ascii="Times New Roman" w:hAnsi="Times New Roman" w:cs="Times New Roman"/>
          <w:b/>
          <w:bCs/>
          <w:noProof/>
        </w:rPr>
        <w:t>(Brown, Willment and Whitehead, 2018)</w:t>
      </w:r>
      <w:r w:rsidRPr="009A0467">
        <w:rPr>
          <w:rFonts w:ascii="Times New Roman" w:hAnsi="Times New Roman" w:cs="Times New Roman"/>
          <w:b/>
          <w:bCs/>
        </w:rPr>
        <w:fldChar w:fldCharType="end"/>
      </w:r>
      <w:r>
        <w:rPr>
          <w:rFonts w:ascii="Times New Roman" w:hAnsi="Times New Roman" w:cs="Times New Roman"/>
        </w:rPr>
        <w:t xml:space="preserve">. Carbohydrate-binding is achieved through the </w:t>
      </w:r>
      <w:bookmarkStart w:id="42" w:name="_Hlk127987276"/>
      <w:r>
        <w:rPr>
          <w:rFonts w:ascii="Times New Roman" w:hAnsi="Times New Roman" w:cs="Times New Roman"/>
        </w:rPr>
        <w:t xml:space="preserve">C-type lectin-like domain </w:t>
      </w:r>
      <w:bookmarkEnd w:id="42"/>
      <w:r>
        <w:rPr>
          <w:rFonts w:ascii="Times New Roman" w:hAnsi="Times New Roman" w:cs="Times New Roman"/>
        </w:rPr>
        <w:t>of CLRs and conserved motifs within this domain allows binding to specific sugars e.g. the EPN</w:t>
      </w:r>
      <w:r w:rsidR="00470F37">
        <w:rPr>
          <w:rFonts w:ascii="Times New Roman" w:hAnsi="Times New Roman" w:cs="Times New Roman"/>
        </w:rPr>
        <w:t xml:space="preserve"> (glutamic acid, proline, asparagine)</w:t>
      </w:r>
      <w:r>
        <w:rPr>
          <w:rFonts w:ascii="Times New Roman" w:hAnsi="Times New Roman" w:cs="Times New Roman"/>
        </w:rPr>
        <w:t xml:space="preserve"> motif allows binding to mannose, N-acetylglucosamine, L-fucose and L-glucose, while the QPD</w:t>
      </w:r>
      <w:r w:rsidR="00470F37">
        <w:rPr>
          <w:rFonts w:ascii="Times New Roman" w:hAnsi="Times New Roman" w:cs="Times New Roman"/>
        </w:rPr>
        <w:t xml:space="preserve"> (glutamine, proline, aspartate)</w:t>
      </w:r>
      <w:r>
        <w:rPr>
          <w:rFonts w:ascii="Times New Roman" w:hAnsi="Times New Roman" w:cs="Times New Roman"/>
        </w:rPr>
        <w:t xml:space="preserve"> motif allows binding to N-acetylgalactosamine and galactose </w:t>
      </w:r>
      <w:r w:rsidRPr="005B5C69">
        <w:rPr>
          <w:rFonts w:ascii="Times New Roman" w:hAnsi="Times New Roman" w:cs="Times New Roman"/>
          <w:b/>
          <w:bCs/>
        </w:rPr>
        <w:fldChar w:fldCharType="begin"/>
      </w:r>
      <w:r w:rsidRPr="005B5C69">
        <w:rPr>
          <w:rFonts w:ascii="Times New Roman" w:hAnsi="Times New Roman" w:cs="Times New Roman"/>
          <w:b/>
          <w:bCs/>
        </w:rPr>
        <w:instrText xml:space="preserve"> ADDIN EN.CITE &lt;EndNote&gt;&lt;Cite&gt;&lt;Author&gt;Zelensky&lt;/Author&gt;&lt;Year&gt;2005&lt;/Year&gt;&lt;IDText&gt;The C-type lectin-like domain superfamily&lt;/IDText&gt;&lt;DisplayText&gt;(Zelensky and Gready, 2005)&lt;/DisplayText&gt;&lt;record&gt;&lt;dates&gt;&lt;pub-dates&gt;&lt;date&gt;Dec&lt;/date&gt;&lt;/pub-dates&gt;&lt;year&gt;2005&lt;/year&gt;&lt;/dates&gt;&lt;urls&gt;&lt;related-urls&gt;&lt;url&gt;&amp;lt;Go to ISI&amp;gt;://WOS:000233806900001&lt;/url&gt;&lt;/related-urls&gt;&lt;/urls&gt;&lt;isbn&gt;1742-464X&lt;/isbn&gt;&lt;titles&gt;&lt;title&gt;The C-type lectin-like domain superfamily&lt;/title&gt;&lt;secondary-title&gt;Febs Journal&lt;/secondary-title&gt;&lt;/titles&gt;&lt;pages&gt;6179-6217&lt;/pages&gt;&lt;number&gt;24&lt;/number&gt;&lt;contributors&gt;&lt;authors&gt;&lt;author&gt;Zelensky, A. N.&lt;/author&gt;&lt;author&gt;Gready, J. E.&lt;/author&gt;&lt;/authors&gt;&lt;/contributors&gt;&lt;added-date format="utc"&gt;1677091955&lt;/added-date&gt;&lt;ref-type name="Journal Article"&gt;17&lt;/ref-type&gt;&lt;rec-number&gt;470&lt;/rec-number&gt;&lt;last-updated-date format="utc"&gt;1677091955&lt;/last-updated-date&gt;&lt;accession-num&gt;WOS:000233806900001&lt;/accession-num&gt;&lt;electronic-resource-num&gt;10.1111/j.1742-4658.2005.05031.x&lt;/electronic-resource-num&gt;&lt;volume&gt;272&lt;/volume&gt;&lt;/record&gt;&lt;/Cite&gt;&lt;/EndNote&gt;</w:instrText>
      </w:r>
      <w:r w:rsidRPr="005B5C69">
        <w:rPr>
          <w:rFonts w:ascii="Times New Roman" w:hAnsi="Times New Roman" w:cs="Times New Roman"/>
          <w:b/>
          <w:bCs/>
        </w:rPr>
        <w:fldChar w:fldCharType="separate"/>
      </w:r>
      <w:r w:rsidRPr="005B5C69">
        <w:rPr>
          <w:rFonts w:ascii="Times New Roman" w:hAnsi="Times New Roman" w:cs="Times New Roman"/>
          <w:b/>
          <w:bCs/>
          <w:noProof/>
        </w:rPr>
        <w:t>(Zelensky and Gready, 2005)</w:t>
      </w:r>
      <w:r w:rsidRPr="005B5C69">
        <w:rPr>
          <w:rFonts w:ascii="Times New Roman" w:hAnsi="Times New Roman" w:cs="Times New Roman"/>
          <w:b/>
          <w:bCs/>
        </w:rPr>
        <w:fldChar w:fldCharType="end"/>
      </w:r>
      <w:r>
        <w:rPr>
          <w:rFonts w:ascii="Times New Roman" w:hAnsi="Times New Roman" w:cs="Times New Roman"/>
        </w:rPr>
        <w:t xml:space="preserve">. CLRs </w:t>
      </w:r>
      <w:r w:rsidRPr="004E427D">
        <w:rPr>
          <w:rFonts w:ascii="Times New Roman" w:hAnsi="Times New Roman" w:cs="Times New Roman"/>
        </w:rPr>
        <w:t>are</w:t>
      </w:r>
      <w:r>
        <w:rPr>
          <w:rFonts w:ascii="Times New Roman" w:hAnsi="Times New Roman" w:cs="Times New Roman"/>
        </w:rPr>
        <w:t xml:space="preserve"> a type of phagocytic PRR that, once bound to PAMPs, allows the encapsulation of pathogens within cytoplasmic vesicles, thus facilitating phagocytosis </w:t>
      </w:r>
      <w:r w:rsidRPr="009A0467">
        <w:rPr>
          <w:rFonts w:ascii="Times New Roman" w:hAnsi="Times New Roman" w:cs="Times New Roman"/>
          <w:b/>
          <w:bCs/>
        </w:rPr>
        <w:fldChar w:fldCharType="begin"/>
      </w:r>
      <w:r w:rsidRPr="009A0467">
        <w:rPr>
          <w:rFonts w:ascii="Times New Roman" w:hAnsi="Times New Roman" w:cs="Times New Roman"/>
          <w:b/>
          <w:bCs/>
        </w:rPr>
        <w:instrText xml:space="preserve"> ADDIN EN.CITE &lt;EndNote&gt;&lt;Cite&gt;&lt;Author&gt;Freeman&lt;/Author&gt;&lt;Year&gt;2014&lt;/Year&gt;&lt;IDText&gt;Phagocytosis: receptors, signal integration, and the cytoskeleton&lt;/IDText&gt;&lt;DisplayText&gt;(Freeman and Grinstein, 2014)&lt;/DisplayText&gt;&lt;record&gt;&lt;dates&gt;&lt;pub-dates&gt;&lt;date&gt;Nov&lt;/date&gt;&lt;/pub-dates&gt;&lt;year&gt;2014&lt;/year&gt;&lt;/dates&gt;&lt;urls&gt;&lt;related-urls&gt;&lt;url&gt;&amp;lt;Go to ISI&amp;gt;://WOS:000343997600014&lt;/url&gt;&lt;/related-urls&gt;&lt;/urls&gt;&lt;isbn&gt;0105-2896&lt;/isbn&gt;&lt;titles&gt;&lt;title&gt;Phagocytosis: receptors, signal integration, and the cytoskeleton&lt;/title&gt;&lt;secondary-title&gt;Immunological Reviews&lt;/secondary-title&gt;&lt;/titles&gt;&lt;pages&gt;193-215&lt;/pages&gt;&lt;number&gt;1&lt;/number&gt;&lt;contributors&gt;&lt;authors&gt;&lt;author&gt;Freeman, S. A.&lt;/author&gt;&lt;author&gt;Grinstein, S.&lt;/author&gt;&lt;/authors&gt;&lt;/contributors&gt;&lt;added-date format="utc"&gt;1677093501&lt;/added-date&gt;&lt;ref-type name="Journal Article"&gt;17&lt;/ref-type&gt;&lt;rec-number&gt;472&lt;/rec-number&gt;&lt;last-updated-date format="utc"&gt;1677093501&lt;/last-updated-date&gt;&lt;accession-num&gt;WOS:000343997600014&lt;/accession-num&gt;&lt;electronic-resource-num&gt;10.1111/imr.12212&lt;/electronic-resource-num&gt;&lt;volume&gt;262&lt;/volume&gt;&lt;/record&gt;&lt;/Cite&gt;&lt;/EndNote&gt;</w:instrText>
      </w:r>
      <w:r w:rsidRPr="009A0467">
        <w:rPr>
          <w:rFonts w:ascii="Times New Roman" w:hAnsi="Times New Roman" w:cs="Times New Roman"/>
          <w:b/>
          <w:bCs/>
        </w:rPr>
        <w:fldChar w:fldCharType="separate"/>
      </w:r>
      <w:r w:rsidRPr="009A0467">
        <w:rPr>
          <w:rFonts w:ascii="Times New Roman" w:hAnsi="Times New Roman" w:cs="Times New Roman"/>
          <w:b/>
          <w:bCs/>
          <w:noProof/>
        </w:rPr>
        <w:t>(Freeman and Grinstein, 2014)</w:t>
      </w:r>
      <w:r w:rsidRPr="009A0467">
        <w:rPr>
          <w:rFonts w:ascii="Times New Roman" w:hAnsi="Times New Roman" w:cs="Times New Roman"/>
          <w:b/>
          <w:bCs/>
        </w:rPr>
        <w:fldChar w:fldCharType="end"/>
      </w:r>
      <w:r>
        <w:rPr>
          <w:rFonts w:ascii="Times New Roman" w:hAnsi="Times New Roman" w:cs="Times New Roman"/>
        </w:rPr>
        <w:t xml:space="preserve">. </w:t>
      </w:r>
      <w:r w:rsidRPr="009A0467">
        <w:rPr>
          <w:rFonts w:ascii="Times New Roman" w:hAnsi="Times New Roman" w:cs="Times New Roman"/>
        </w:rPr>
        <w:t xml:space="preserve">Dectin-1 is a well-known CLR, found abundantly on dendritic cells and deficiencies of this </w:t>
      </w:r>
      <w:r>
        <w:rPr>
          <w:rFonts w:ascii="Times New Roman" w:hAnsi="Times New Roman" w:cs="Times New Roman"/>
        </w:rPr>
        <w:t xml:space="preserve">protein </w:t>
      </w:r>
      <w:r w:rsidRPr="009A0467">
        <w:rPr>
          <w:rFonts w:ascii="Times New Roman" w:hAnsi="Times New Roman" w:cs="Times New Roman"/>
        </w:rPr>
        <w:t>diminishes the host ability to respond to fungal pathogens</w:t>
      </w:r>
      <w:r>
        <w:rPr>
          <w:rFonts w:ascii="Times New Roman" w:hAnsi="Times New Roman" w:cs="Times New Roman"/>
        </w:rPr>
        <w:t xml:space="preserve"> </w:t>
      </w:r>
      <w:r w:rsidRPr="009A0467">
        <w:rPr>
          <w:rFonts w:ascii="Times New Roman" w:hAnsi="Times New Roman" w:cs="Times New Roman"/>
          <w:b/>
          <w:bCs/>
        </w:rPr>
        <w:fldChar w:fldCharType="begin"/>
      </w:r>
      <w:r w:rsidRPr="009A0467">
        <w:rPr>
          <w:rFonts w:ascii="Times New Roman" w:hAnsi="Times New Roman" w:cs="Times New Roman"/>
          <w:b/>
          <w:bCs/>
        </w:rPr>
        <w:instrText xml:space="preserve"> ADDIN EN.CITE &lt;EndNote&gt;&lt;Cite&gt;&lt;Author&gt;Ferwerda&lt;/Author&gt;&lt;Year&gt;2009&lt;/Year&gt;&lt;IDText&gt;Human Dectin-1 Deficiency and Mucocutaneous Fungal Infections&lt;/IDText&gt;&lt;DisplayText&gt;(Ferwerda&lt;style face="italic"&gt; et al.&lt;/style&gt;, 2009)&lt;/DisplayText&gt;&lt;record&gt;&lt;dates&gt;&lt;pub-dates&gt;&lt;date&gt;Oct&lt;/date&gt;&lt;/pub-dates&gt;&lt;year&gt;2009&lt;/year&gt;&lt;/dates&gt;&lt;urls&gt;&lt;related-urls&gt;&lt;url&gt;&amp;lt;Go to ISI&amp;gt;://WOS:000271185600008&lt;/url&gt;&lt;/related-urls&gt;&lt;/urls&gt;&lt;isbn&gt;0028-4793&lt;/isbn&gt;&lt;titles&gt;&lt;title&gt;Human Dectin-1 Deficiency and Mucocutaneous Fungal Infections&lt;/title&gt;&lt;secondary-title&gt;New England Journal of Medicine&lt;/secondary-title&gt;&lt;/titles&gt;&lt;pages&gt;1760-1767&lt;/pages&gt;&lt;number&gt;18&lt;/number&gt;&lt;contributors&gt;&lt;authors&gt;&lt;author&gt;Ferwerda, B.&lt;/author&gt;&lt;author&gt;Ferwerda, G.&lt;/author&gt;&lt;author&gt;Plantinga, T. S.&lt;/author&gt;&lt;author&gt;Willment, J. A.&lt;/author&gt;&lt;author&gt;van Spriel, A. B.&lt;/author&gt;&lt;author&gt;Venselaar, H.&lt;/author&gt;&lt;author&gt;Elbers, C. C.&lt;/author&gt;&lt;author&gt;Johnson, M. D.&lt;/author&gt;&lt;author&gt;Cambi, A.&lt;/author&gt;&lt;author&gt;Huysamen, C.&lt;/author&gt;&lt;author&gt;Jacobs, L.&lt;/author&gt;&lt;author&gt;Jansen, T.&lt;/author&gt;&lt;author&gt;Verheijen, K.&lt;/author&gt;&lt;author&gt;Masthoff, L.&lt;/author&gt;&lt;author&gt;Morre, S. A.&lt;/author&gt;&lt;author&gt;Vriend, G.&lt;/author&gt;&lt;author&gt;Williams, D. L.&lt;/author&gt;&lt;author&gt;Perfect, J. R.&lt;/author&gt;&lt;author&gt;Joosten, L. A. B.&lt;/author&gt;&lt;author&gt;Wijmenga, C.&lt;/author&gt;&lt;author&gt;van der Meer, J. W. M.&lt;/author&gt;&lt;author&gt;Adema, G. J.&lt;/author&gt;&lt;author&gt;Kullberg, B. J.&lt;/author&gt;&lt;author&gt;Brown, G. D.&lt;/author&gt;&lt;author&gt;Netea, M. G.&lt;/author&gt;&lt;/authors&gt;&lt;/contributors&gt;&lt;added-date format="utc"&gt;1677093593&lt;/added-date&gt;&lt;ref-type name="Journal Article"&gt;17&lt;/ref-type&gt;&lt;rec-number&gt;473&lt;/rec-number&gt;&lt;last-updated-date format="utc"&gt;1677093593&lt;/last-updated-date&gt;&lt;accession-num&gt;WOS:000271185600008&lt;/accession-num&gt;&lt;electronic-resource-num&gt;10.1056/NEJMoa0901053&lt;/electronic-resource-num&gt;&lt;volume&gt;361&lt;/volume&gt;&lt;/record&gt;&lt;/Cite&gt;&lt;/EndNote&gt;</w:instrText>
      </w:r>
      <w:r w:rsidRPr="009A0467">
        <w:rPr>
          <w:rFonts w:ascii="Times New Roman" w:hAnsi="Times New Roman" w:cs="Times New Roman"/>
          <w:b/>
          <w:bCs/>
        </w:rPr>
        <w:fldChar w:fldCharType="separate"/>
      </w:r>
      <w:r w:rsidRPr="009A0467">
        <w:rPr>
          <w:rFonts w:ascii="Times New Roman" w:hAnsi="Times New Roman" w:cs="Times New Roman"/>
          <w:b/>
          <w:bCs/>
          <w:noProof/>
        </w:rPr>
        <w:t>(Ferwerda</w:t>
      </w:r>
      <w:r w:rsidRPr="009A0467">
        <w:rPr>
          <w:rFonts w:ascii="Times New Roman" w:hAnsi="Times New Roman" w:cs="Times New Roman"/>
          <w:b/>
          <w:bCs/>
          <w:i/>
          <w:noProof/>
        </w:rPr>
        <w:t xml:space="preserve"> et al.</w:t>
      </w:r>
      <w:r w:rsidRPr="009A0467">
        <w:rPr>
          <w:rFonts w:ascii="Times New Roman" w:hAnsi="Times New Roman" w:cs="Times New Roman"/>
          <w:b/>
          <w:bCs/>
          <w:noProof/>
        </w:rPr>
        <w:t>, 2009)</w:t>
      </w:r>
      <w:r w:rsidRPr="009A0467">
        <w:rPr>
          <w:rFonts w:ascii="Times New Roman" w:hAnsi="Times New Roman" w:cs="Times New Roman"/>
          <w:b/>
          <w:bCs/>
        </w:rPr>
        <w:fldChar w:fldCharType="end"/>
      </w:r>
      <w:r>
        <w:rPr>
          <w:rFonts w:ascii="Times New Roman" w:hAnsi="Times New Roman" w:cs="Times New Roman"/>
        </w:rPr>
        <w:t xml:space="preserve">. CLRs have mainly been associated with immunity against fungi and viruses, however recent studies have shown their role in immunity against </w:t>
      </w:r>
      <w:r>
        <w:rPr>
          <w:rFonts w:ascii="Times New Roman" w:hAnsi="Times New Roman" w:cs="Times New Roman"/>
          <w:i/>
          <w:iCs/>
        </w:rPr>
        <w:t>S. aureus</w:t>
      </w:r>
      <w:r>
        <w:rPr>
          <w:rFonts w:ascii="Times New Roman" w:hAnsi="Times New Roman" w:cs="Times New Roman"/>
        </w:rPr>
        <w:t xml:space="preserve">. Langerhans cells, a skin TRM, exclusively expresses the langerin CLR which enables recognition of the N-acetylglucosamine component of staphylococcal WTAs </w:t>
      </w:r>
      <w:r w:rsidRPr="00165492">
        <w:rPr>
          <w:rFonts w:ascii="Times New Roman" w:hAnsi="Times New Roman" w:cs="Times New Roman"/>
          <w:b/>
          <w:bCs/>
        </w:rPr>
        <w:fldChar w:fldCharType="begin"/>
      </w:r>
      <w:r w:rsidRPr="00165492">
        <w:rPr>
          <w:rFonts w:ascii="Times New Roman" w:hAnsi="Times New Roman" w:cs="Times New Roman"/>
          <w:b/>
          <w:bCs/>
        </w:rPr>
        <w:instrText xml:space="preserve"> ADDIN EN.CITE &lt;EndNote&gt;&lt;Cite&gt;&lt;Author&gt;van Dalen&lt;/Author&gt;&lt;Year&gt;2019&lt;/Year&gt;&lt;IDText&gt;Langerhans Cells Sense Staphylococcus aureus Wall Teichoic Acid through Langerin To Induce Inflammatory Responses&lt;/IDText&gt;&lt;DisplayText&gt;(van Dalen&lt;style face="italic"&gt; et al.&lt;/style&gt;, 2019)&lt;/DisplayText&gt;&lt;record&gt;&lt;dates&gt;&lt;pub-dates&gt;&lt;date&gt;May-Jun&lt;/date&gt;&lt;/pub-dates&gt;&lt;year&gt;2019&lt;/year&gt;&lt;/dates&gt;&lt;urls&gt;&lt;related-urls&gt;&lt;url&gt;&amp;lt;Go to ISI&amp;gt;://WOS:000473596500032&lt;/url&gt;&lt;/related-urls&gt;&lt;/urls&gt;&lt;isbn&gt;2150-7511&lt;/isbn&gt;&lt;titles&gt;&lt;title&gt;Langerhans Cells Sense Staphylococcus aureus Wall Teichoic Acid through Langerin To Induce Inflammatory Responses&lt;/title&gt;&lt;secondary-title&gt;Mbio&lt;/secondary-title&gt;&lt;/titles&gt;&lt;number&gt;3&lt;/number&gt;&lt;contributors&gt;&lt;authors&gt;&lt;author&gt;van Dalen, R.&lt;/author&gt;&lt;author&gt;Diaz, J. S. D.&lt;/author&gt;&lt;author&gt;Rumpret, M.&lt;/author&gt;&lt;author&gt;Fuchsberger, F. F.&lt;/author&gt;&lt;author&gt;van Teijlingen, N. H.&lt;/author&gt;&lt;author&gt;Hanske, J.&lt;/author&gt;&lt;author&gt;Rademacher, C.&lt;/author&gt;&lt;author&gt;Geijtenbeek, T. B. H.&lt;/author&gt;&lt;author&gt;van Strijp, J. A. G.&lt;/author&gt;&lt;author&gt;Weidenmaier, C.&lt;/author&gt;&lt;author&gt;Peschel, A.&lt;/author&gt;&lt;author&gt;Kaplan, D. H.&lt;/author&gt;&lt;author&gt;van Sorge, N. M.&lt;/author&gt;&lt;/authors&gt;&lt;/contributors&gt;&lt;custom7&gt;e00330-19&lt;/custom7&gt;&lt;added-date format="utc"&gt;1677093803&lt;/added-date&gt;&lt;ref-type name="Journal Article"&gt;17&lt;/ref-type&gt;&lt;rec-number&gt;474&lt;/rec-number&gt;&lt;last-updated-date format="utc"&gt;1677093803&lt;/last-updated-date&gt;&lt;accession-num&gt;WOS:000473596500032&lt;/accession-num&gt;&lt;electronic-resource-num&gt;10.1128/mBio.00330-19&lt;/electronic-resource-num&gt;&lt;volume&gt;10&lt;/volume&gt;&lt;/record&gt;&lt;/Cite&gt;&lt;/EndNote&gt;</w:instrText>
      </w:r>
      <w:r w:rsidRPr="00165492">
        <w:rPr>
          <w:rFonts w:ascii="Times New Roman" w:hAnsi="Times New Roman" w:cs="Times New Roman"/>
          <w:b/>
          <w:bCs/>
        </w:rPr>
        <w:fldChar w:fldCharType="separate"/>
      </w:r>
      <w:r w:rsidRPr="00165492">
        <w:rPr>
          <w:rFonts w:ascii="Times New Roman" w:hAnsi="Times New Roman" w:cs="Times New Roman"/>
          <w:b/>
          <w:bCs/>
          <w:noProof/>
        </w:rPr>
        <w:t>(van Dalen</w:t>
      </w:r>
      <w:r w:rsidRPr="00165492">
        <w:rPr>
          <w:rFonts w:ascii="Times New Roman" w:hAnsi="Times New Roman" w:cs="Times New Roman"/>
          <w:b/>
          <w:bCs/>
          <w:i/>
          <w:noProof/>
        </w:rPr>
        <w:t xml:space="preserve"> et al.</w:t>
      </w:r>
      <w:r w:rsidRPr="00165492">
        <w:rPr>
          <w:rFonts w:ascii="Times New Roman" w:hAnsi="Times New Roman" w:cs="Times New Roman"/>
          <w:b/>
          <w:bCs/>
          <w:noProof/>
        </w:rPr>
        <w:t>, 2019)</w:t>
      </w:r>
      <w:r w:rsidRPr="00165492">
        <w:rPr>
          <w:rFonts w:ascii="Times New Roman" w:hAnsi="Times New Roman" w:cs="Times New Roman"/>
          <w:b/>
          <w:bCs/>
        </w:rPr>
        <w:fldChar w:fldCharType="end"/>
      </w:r>
      <w:r>
        <w:rPr>
          <w:rFonts w:ascii="Times New Roman" w:hAnsi="Times New Roman" w:cs="Times New Roman"/>
        </w:rPr>
        <w:t>.</w:t>
      </w:r>
    </w:p>
    <w:p w14:paraId="05448C14" w14:textId="77777777" w:rsidR="00033564" w:rsidRDefault="00033564" w:rsidP="00033564">
      <w:pPr>
        <w:pStyle w:val="Heading3"/>
      </w:pPr>
      <w:bookmarkStart w:id="43" w:name="_Toc142043578"/>
      <w:r>
        <w:t>1.3.3. Phagocytosis</w:t>
      </w:r>
      <w:bookmarkEnd w:id="43"/>
      <w:r>
        <w:t xml:space="preserve"> </w:t>
      </w:r>
    </w:p>
    <w:p w14:paraId="31BE99FB" w14:textId="77777777" w:rsidR="00033564" w:rsidRDefault="00033564" w:rsidP="00033564"/>
    <w:p w14:paraId="78260D4B" w14:textId="4E1AF968" w:rsidR="00033564" w:rsidRDefault="00033564" w:rsidP="00033564">
      <w:pPr>
        <w:spacing w:line="360" w:lineRule="auto"/>
        <w:jc w:val="both"/>
        <w:rPr>
          <w:rFonts w:ascii="Times New Roman" w:hAnsi="Times New Roman" w:cs="Times New Roman"/>
        </w:rPr>
      </w:pPr>
      <w:r>
        <w:rPr>
          <w:rFonts w:ascii="Times New Roman" w:hAnsi="Times New Roman" w:cs="Times New Roman"/>
        </w:rPr>
        <w:t>Once identified,</w:t>
      </w:r>
      <w:r w:rsidRPr="0031712C">
        <w:rPr>
          <w:rFonts w:ascii="Times New Roman" w:hAnsi="Times New Roman" w:cs="Times New Roman"/>
        </w:rPr>
        <w:t xml:space="preserve"> for pathogens to be eliminated</w:t>
      </w:r>
      <w:r>
        <w:rPr>
          <w:rFonts w:ascii="Times New Roman" w:hAnsi="Times New Roman" w:cs="Times New Roman"/>
        </w:rPr>
        <w:t xml:space="preserve"> </w:t>
      </w:r>
      <w:r w:rsidRPr="0031712C">
        <w:rPr>
          <w:rFonts w:ascii="Times New Roman" w:hAnsi="Times New Roman" w:cs="Times New Roman"/>
        </w:rPr>
        <w:t>and to achieve immunity, they must be phagocytosed by professional phagocytes. This allows antigens from the pathogen to be processed and presented at the phagocyte cell surface, for recognition by adaptive immune cells such as T cells.</w:t>
      </w:r>
      <w:r>
        <w:rPr>
          <w:rFonts w:ascii="Times New Roman" w:hAnsi="Times New Roman" w:cs="Times New Roman"/>
        </w:rPr>
        <w:t xml:space="preserve"> Endocytosis is the uptake of extracellular material (including pathogens) by a cell and is governed by ligand-binding to cell-surface receptors, resulting in the internalisation of a membrane-bound vesicle. This is termed receptor-mediated endocytosis, and phagocytosis is a similar phenomenon that is also receptor-mediated. In contrast to endocytosis, phagocytosis allows the uptake of materials larger than 0.5 </w:t>
      </w:r>
      <w:r w:rsidRPr="00126F34">
        <w:rPr>
          <w:rFonts w:ascii="Times New Roman" w:hAnsi="Times New Roman" w:cs="Times New Roman"/>
        </w:rPr>
        <w:t>μ</w:t>
      </w:r>
      <w:r>
        <w:rPr>
          <w:rFonts w:ascii="Times New Roman" w:hAnsi="Times New Roman" w:cs="Times New Roman"/>
        </w:rPr>
        <w:t xml:space="preserve">m </w:t>
      </w:r>
      <w:r w:rsidRPr="00126F34">
        <w:rPr>
          <w:rFonts w:ascii="Times New Roman" w:hAnsi="Times New Roman" w:cs="Times New Roman"/>
          <w:b/>
          <w:bCs/>
        </w:rPr>
        <w:fldChar w:fldCharType="begin"/>
      </w:r>
      <w:r w:rsidRPr="00126F34">
        <w:rPr>
          <w:rFonts w:ascii="Times New Roman" w:hAnsi="Times New Roman" w:cs="Times New Roman"/>
          <w:b/>
          <w:bCs/>
        </w:rPr>
        <w:instrText xml:space="preserve"> ADDIN EN.CITE &lt;EndNote&gt;&lt;Cite&gt;&lt;Author&gt;Aderem&lt;/Author&gt;&lt;Year&gt;1999&lt;/Year&gt;&lt;IDText&gt;Mechanisms of phagocytosis in macrophages&lt;/IDText&gt;&lt;DisplayText&gt;(Aderem and Underhill, 1999)&lt;/DisplayText&gt;&lt;record&gt;&lt;urls&gt;&lt;related-urls&gt;&lt;url&gt;&amp;lt;Go to ISI&amp;gt;://WOS:000080436600019&lt;/url&gt;&lt;/related-urls&gt;&lt;/urls&gt;&lt;isbn&gt;0732-0582&lt;/isbn&gt;&lt;titles&gt;&lt;title&gt;Mechanisms of phagocytosis in macrophages&lt;/title&gt;&lt;secondary-title&gt;Annual Review of Immunology&lt;/secondary-title&gt;&lt;/titles&gt;&lt;pages&gt;593-623&lt;/pages&gt;&lt;contributors&gt;&lt;authors&gt;&lt;author&gt;Aderem, A.&lt;/author&gt;&lt;author&gt;Underhill, D. M.&lt;/author&gt;&lt;/authors&gt;&lt;/contributors&gt;&lt;added-date format="utc"&gt;1677101266&lt;/added-date&gt;&lt;ref-type name="Journal Article"&gt;17&lt;/ref-type&gt;&lt;dates&gt;&lt;year&gt;1999&lt;/year&gt;&lt;/dates&gt;&lt;rec-number&gt;475&lt;/rec-number&gt;&lt;last-updated-date format="utc"&gt;1677101266&lt;/last-updated-date&gt;&lt;accession-num&gt;WOS:000080436600019&lt;/accession-num&gt;&lt;electronic-resource-num&gt;10.1146/annurev.immunol.17.1.593&lt;/electronic-resource-num&gt;&lt;volume&gt;17&lt;/volume&gt;&lt;/record&gt;&lt;/Cite&gt;&lt;/EndNote&gt;</w:instrText>
      </w:r>
      <w:r w:rsidRPr="00126F34">
        <w:rPr>
          <w:rFonts w:ascii="Times New Roman" w:hAnsi="Times New Roman" w:cs="Times New Roman"/>
          <w:b/>
          <w:bCs/>
        </w:rPr>
        <w:fldChar w:fldCharType="separate"/>
      </w:r>
      <w:r w:rsidRPr="00126F34">
        <w:rPr>
          <w:rFonts w:ascii="Times New Roman" w:hAnsi="Times New Roman" w:cs="Times New Roman"/>
          <w:b/>
          <w:bCs/>
          <w:noProof/>
        </w:rPr>
        <w:t>(Aderem and Underhill, 1999)</w:t>
      </w:r>
      <w:r w:rsidRPr="00126F34">
        <w:rPr>
          <w:rFonts w:ascii="Times New Roman" w:hAnsi="Times New Roman" w:cs="Times New Roman"/>
          <w:b/>
          <w:bCs/>
        </w:rPr>
        <w:fldChar w:fldCharType="end"/>
      </w:r>
      <w:r>
        <w:rPr>
          <w:rFonts w:ascii="Times New Roman" w:hAnsi="Times New Roman" w:cs="Times New Roman"/>
        </w:rPr>
        <w:t xml:space="preserve">. While receptor-mediated endocytosis requires the clathrin scaffold protein, phagocytosis is actin-dependent </w:t>
      </w:r>
      <w:r w:rsidRPr="009F4CF6">
        <w:rPr>
          <w:rFonts w:ascii="Times New Roman" w:hAnsi="Times New Roman" w:cs="Times New Roman"/>
          <w:b/>
          <w:bCs/>
        </w:rPr>
        <w:fldChar w:fldCharType="begin"/>
      </w:r>
      <w:r w:rsidRPr="009F4CF6">
        <w:rPr>
          <w:rFonts w:ascii="Times New Roman" w:hAnsi="Times New Roman" w:cs="Times New Roman"/>
          <w:b/>
          <w:bCs/>
        </w:rPr>
        <w:instrText xml:space="preserve"> ADDIN EN.CITE &lt;EndNote&gt;&lt;Cite&gt;&lt;Author&gt;Swanson&lt;/Author&gt;&lt;Year&gt;2008&lt;/Year&gt;&lt;IDText&gt;Shaping cups into phagosomes and macropinosomes&lt;/IDText&gt;&lt;DisplayText&gt;(Swanson, 2008)&lt;/DisplayText&gt;&lt;record&gt;&lt;dates&gt;&lt;pub-dates&gt;&lt;date&gt;Aug&lt;/date&gt;&lt;/pub-dates&gt;&lt;year&gt;2008&lt;/year&gt;&lt;/dates&gt;&lt;urls&gt;&lt;related-urls&gt;&lt;url&gt;&amp;lt;Go to ISI&amp;gt;://WOS:000257882000016&lt;/url&gt;&lt;/related-urls&gt;&lt;/urls&gt;&lt;isbn&gt;1471-0072&lt;/isbn&gt;&lt;titles&gt;&lt;title&gt;Shaping cups into phagosomes and macropinosomes&lt;/title&gt;&lt;secondary-title&gt;Nature Reviews Molecular Cell Biology&lt;/secondary-title&gt;&lt;/titles&gt;&lt;pages&gt;639-649&lt;/pages&gt;&lt;number&gt;8&lt;/number&gt;&lt;contributors&gt;&lt;authors&gt;&lt;author&gt;Swanson, J. A.&lt;/author&gt;&lt;/authors&gt;&lt;/contributors&gt;&lt;added-date format="utc"&gt;1677104286&lt;/added-date&gt;&lt;ref-type name="Journal Article"&gt;17&lt;/ref-type&gt;&lt;rec-number&gt;477&lt;/rec-number&gt;&lt;last-updated-date format="utc"&gt;1677104286&lt;/last-updated-date&gt;&lt;accession-num&gt;WOS:000257882000016&lt;/accession-num&gt;&lt;electronic-resource-num&gt;10.1038/nrm2447&lt;/electronic-resource-num&gt;&lt;volume&gt;9&lt;/volume&gt;&lt;/record&gt;&lt;/Cite&gt;&lt;/EndNote&gt;</w:instrText>
      </w:r>
      <w:r w:rsidRPr="009F4CF6">
        <w:rPr>
          <w:rFonts w:ascii="Times New Roman" w:hAnsi="Times New Roman" w:cs="Times New Roman"/>
          <w:b/>
          <w:bCs/>
        </w:rPr>
        <w:fldChar w:fldCharType="separate"/>
      </w:r>
      <w:r w:rsidRPr="009F4CF6">
        <w:rPr>
          <w:rFonts w:ascii="Times New Roman" w:hAnsi="Times New Roman" w:cs="Times New Roman"/>
          <w:b/>
          <w:bCs/>
          <w:noProof/>
        </w:rPr>
        <w:t>(Swanson, 2008)</w:t>
      </w:r>
      <w:r w:rsidRPr="009F4CF6">
        <w:rPr>
          <w:rFonts w:ascii="Times New Roman" w:hAnsi="Times New Roman" w:cs="Times New Roman"/>
          <w:b/>
          <w:bCs/>
        </w:rPr>
        <w:fldChar w:fldCharType="end"/>
      </w:r>
      <w:r>
        <w:rPr>
          <w:rFonts w:ascii="Times New Roman" w:hAnsi="Times New Roman" w:cs="Times New Roman"/>
        </w:rPr>
        <w:t xml:space="preserve">. Macrophages (depending on polarisation) phagocytose to remove dead/senescent cells for tissue maintenance </w:t>
      </w:r>
      <w:r w:rsidRPr="006B6025">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&lt;EndNote&gt;&lt;Cite&gt;&lt;Author&gt;Mills&lt;/Author&gt;&lt;Year&gt;2012&lt;/Year&gt;&lt;IDText&gt;M1 and M2 Macrophages: Oracles of Health and Disease&lt;/IDText&gt;&lt;DisplayText&gt;(Mills, 2012; Aderem and Underhill, 1999)&lt;/DisplayText&gt;&lt;record&gt;&lt;urls&gt;&lt;related-urls&gt;&lt;url&gt;&amp;lt;Go to ISI&amp;gt;://WOS:000315172500001&lt;/url&gt;&lt;/related-urls&gt;&lt;/urls&gt;&lt;isbn&gt;1040-8401&lt;/isbn&gt;&lt;titles&gt;&lt;title&gt;M1 and M2 Macrophages: Oracles of Health and Disease&lt;/title&gt;&lt;secondary-title&gt;Critical Reviews in Immunology&lt;/secondary-title&gt;&lt;/titles&gt;&lt;pages&gt;463-488&lt;/pages&gt;&lt;number&gt;6&lt;/number&gt;&lt;contributors&gt;&lt;authors&gt;&lt;author&gt;Mills, C. D.&lt;/author&gt;&lt;/authors&gt;&lt;/contributors&gt;&lt;added-date format="utc"&gt;1677029334&lt;/added-date&gt;&lt;ref-type name="Journal Article"&gt;17&lt;/ref-type&gt;&lt;dates&gt;&lt;year&gt;2012&lt;/year&gt;&lt;/dates&gt;&lt;rec-number&gt;448&lt;/rec-number&gt;&lt;last-updated-date format="utc"&gt;1677029334&lt;/last-updated-date&gt;&lt;accession-num&gt;WOS:000315172500001&lt;/accession-num&gt;&lt;electronic-resource-num&gt;10.1615/CritRevImmunol.v32.i6.10&lt;/electronic-resource-num&gt;&lt;volume&gt;32&lt;/volume&gt;&lt;/record&gt;&lt;/Cite&gt;&lt;Cite&gt;&lt;Author&gt;Aderem&lt;/Author&gt;&lt;Year&gt;1999&lt;/Year&gt;&lt;IDText&gt;Mechanisms of phagocytosis in macrophages&lt;/IDText&gt;&lt;record&gt;&lt;urls&gt;&lt;related-urls&gt;&lt;url&gt;&amp;lt;Go to ISI&amp;gt;://WOS:000080436600019&lt;/url&gt;&lt;/related-urls&gt;&lt;/urls&gt;&lt;isbn&gt;0732-0582&lt;/isbn&gt;&lt;titles&gt;&lt;title&gt;Mechanisms of phagocytosis in macrophages&lt;/title&gt;&lt;secondary-title&gt;Annual Review of Immunology&lt;/secondary-title&gt;&lt;/titles&gt;&lt;pages&gt;593-623&lt;/pages&gt;&lt;contributors&gt;&lt;authors&gt;&lt;author&gt;Aderem, A.&lt;/author&gt;&lt;author&gt;Underhill, D. M.&lt;/author&gt;&lt;/authors&gt;&lt;/contributors&gt;&lt;added-date format="utc"&gt;1677101266&lt;/added-date&gt;&lt;ref-type name="Journal Article"&gt;17&lt;/ref-type&gt;&lt;dates&gt;&lt;year&gt;1999&lt;/year&gt;&lt;/dates&gt;&lt;rec-number&gt;475&lt;/rec-number&gt;&lt;last-updated-date format="utc"&gt;1677101266&lt;/last-updated-date&gt;&lt;accession-num&gt;WOS:000080436600019&lt;/accession-num&gt;&lt;electronic-resource-num&gt;10.1146/annurev.immunol.17.1.593&lt;/electronic-resource-num&gt;&lt;volume&gt;17&lt;/volume&gt;&lt;/record&gt;&lt;/Cite&gt;&lt;/EndNote&gt;</w:instrText>
      </w:r>
      <w:r w:rsidRPr="006B6025">
        <w:rPr>
          <w:rFonts w:ascii="Times New Roman" w:hAnsi="Times New Roman" w:cs="Times New Roman"/>
          <w:b/>
          <w:bCs/>
        </w:rPr>
        <w:fldChar w:fldCharType="separate"/>
      </w:r>
      <w:r>
        <w:rPr>
          <w:rFonts w:ascii="Times New Roman" w:hAnsi="Times New Roman" w:cs="Times New Roman"/>
          <w:b/>
          <w:bCs/>
          <w:noProof/>
        </w:rPr>
        <w:t>(Mills, 2012; Aderem and Underhill, 1999)</w:t>
      </w:r>
      <w:r w:rsidRPr="006B6025">
        <w:rPr>
          <w:rFonts w:ascii="Times New Roman" w:hAnsi="Times New Roman" w:cs="Times New Roman"/>
          <w:b/>
          <w:bCs/>
        </w:rPr>
        <w:fldChar w:fldCharType="end"/>
      </w:r>
      <w:r>
        <w:rPr>
          <w:rFonts w:ascii="Times New Roman" w:hAnsi="Times New Roman" w:cs="Times New Roman"/>
        </w:rPr>
        <w:t xml:space="preserve"> but also upon identification of a pathogen and the latter is also the case for neutrophils. Phagocytosis is thus, the ingestion of particles and cells. The process of phagocytosis comprises ligand-binding to specific receptors on the phagocyte cell surface, coordinated remodelling of the actin cytoskeleton and subsequent inward folding of the membrane to form a ‘cup’, that is closed  to produce a membrane-bound compartment </w:t>
      </w:r>
      <w:r w:rsidR="00F96BCD">
        <w:rPr>
          <w:rFonts w:ascii="Times New Roman" w:hAnsi="Times New Roman" w:cs="Times New Roman"/>
        </w:rPr>
        <w:t xml:space="preserve">termed </w:t>
      </w:r>
      <w:r>
        <w:rPr>
          <w:rFonts w:ascii="Times New Roman" w:hAnsi="Times New Roman" w:cs="Times New Roman"/>
        </w:rPr>
        <w:t xml:space="preserve">the phagosome </w:t>
      </w:r>
      <w:r w:rsidRPr="0025554E">
        <w:rPr>
          <w:rFonts w:ascii="Times New Roman" w:hAnsi="Times New Roman" w:cs="Times New Roman"/>
          <w:b/>
          <w:bCs/>
        </w:rPr>
        <w:fldChar w:fldCharType="begin"/>
      </w:r>
      <w:r w:rsidRPr="0025554E">
        <w:rPr>
          <w:rFonts w:ascii="Times New Roman" w:hAnsi="Times New Roman" w:cs="Times New Roman"/>
          <w:b/>
          <w:bCs/>
        </w:rPr>
        <w:instrText xml:space="preserve"> ADDIN EN.CITE &lt;EndNote&gt;&lt;Cite&gt;&lt;Author&gt;Swanson&lt;/Author&gt;&lt;Year&gt;2008&lt;/Year&gt;&lt;IDText&gt;Shaping cups into phagosomes and macropinosomes&lt;/IDText&gt;&lt;DisplayText&gt;(Swanson, 2008)&lt;/DisplayText&gt;&lt;record&gt;&lt;dates&gt;&lt;pub-dates&gt;&lt;date&gt;Aug&lt;/date&gt;&lt;/pub-dates&gt;&lt;year&gt;2008&lt;/year&gt;&lt;/dates&gt;&lt;urls&gt;&lt;related-urls&gt;&lt;url&gt;&amp;lt;Go to ISI&amp;gt;://WOS:000257882000016&lt;/url&gt;&lt;/related-urls&gt;&lt;/urls&gt;&lt;isbn&gt;1471-0072&lt;/isbn&gt;&lt;titles&gt;&lt;title&gt;Shaping cups into phagosomes and macropinosomes&lt;/title&gt;&lt;secondary-title&gt;Nature Reviews Molecular Cell Biology&lt;/secondary-title&gt;&lt;/titles&gt;&lt;pages&gt;639-649&lt;/pages&gt;&lt;number&gt;8&lt;/number&gt;&lt;contributors&gt;&lt;authors&gt;&lt;author&gt;Swanson, J. A.&lt;/author&gt;&lt;/authors&gt;&lt;/contributors&gt;&lt;added-date format="utc"&gt;1677104286&lt;/added-date&gt;&lt;ref-type name="Journal Article"&gt;17&lt;/ref-type&gt;&lt;rec-number&gt;477&lt;/rec-number&gt;&lt;last-updated-date format="utc"&gt;1677104286&lt;/last-updated-date&gt;&lt;accession-num&gt;WOS:000257882000016&lt;/accession-num&gt;&lt;electronic-resource-num&gt;10.1038/nrm2447&lt;/electronic-resource-num&gt;&lt;volume&gt;9&lt;/volume&gt;&lt;/record&gt;&lt;/Cite&gt;&lt;/EndNote&gt;</w:instrText>
      </w:r>
      <w:r w:rsidRPr="0025554E">
        <w:rPr>
          <w:rFonts w:ascii="Times New Roman" w:hAnsi="Times New Roman" w:cs="Times New Roman"/>
          <w:b/>
          <w:bCs/>
        </w:rPr>
        <w:fldChar w:fldCharType="separate"/>
      </w:r>
      <w:r w:rsidRPr="0025554E">
        <w:rPr>
          <w:rFonts w:ascii="Times New Roman" w:hAnsi="Times New Roman" w:cs="Times New Roman"/>
          <w:b/>
          <w:bCs/>
          <w:noProof/>
        </w:rPr>
        <w:t>(Swanson, 2008)</w:t>
      </w:r>
      <w:r w:rsidRPr="0025554E">
        <w:rPr>
          <w:rFonts w:ascii="Times New Roman" w:hAnsi="Times New Roman" w:cs="Times New Roman"/>
          <w:b/>
          <w:bCs/>
        </w:rPr>
        <w:fldChar w:fldCharType="end"/>
      </w:r>
      <w:r>
        <w:rPr>
          <w:rFonts w:ascii="Times New Roman" w:hAnsi="Times New Roman" w:cs="Times New Roman"/>
        </w:rPr>
        <w:t>.</w:t>
      </w:r>
    </w:p>
    <w:p w14:paraId="66D8F1A7" w14:textId="5E4FE39C" w:rsidR="00033564" w:rsidRDefault="00033564" w:rsidP="00033564">
      <w:pPr>
        <w:spacing w:line="360" w:lineRule="auto"/>
        <w:jc w:val="both"/>
        <w:rPr>
          <w:rFonts w:ascii="Times New Roman" w:hAnsi="Times New Roman" w:cs="Times New Roman"/>
        </w:rPr>
      </w:pPr>
      <w:r>
        <w:tab/>
      </w:r>
      <w:r>
        <w:rPr>
          <w:rFonts w:ascii="Times New Roman" w:hAnsi="Times New Roman" w:cs="Times New Roman"/>
        </w:rPr>
        <w:t xml:space="preserve">In order for phagocytosis to occur, multiple receptor types that are expressed at the phagocyte cell surface, are required for interaction with e.g., a pathogen. These include scavenger, complement and Fc receptors. Scavenger receptors are a heterogeneous family of receptors with the ability to bind diverse ligands. There are eight classes of scavenger receptors (classes A, B and D-I) and members of each class are structurally varied </w:t>
      </w:r>
      <w:r w:rsidRPr="000F24C2">
        <w:rPr>
          <w:rFonts w:ascii="Times New Roman" w:hAnsi="Times New Roman" w:cs="Times New Roman"/>
          <w:b/>
          <w:bCs/>
        </w:rPr>
        <w:fldChar w:fldCharType="begin"/>
      </w:r>
      <w:r w:rsidRPr="000F24C2">
        <w:rPr>
          <w:rFonts w:ascii="Times New Roman" w:hAnsi="Times New Roman" w:cs="Times New Roman"/>
          <w:b/>
          <w:bCs/>
        </w:rPr>
        <w:instrText xml:space="preserve"> ADDIN EN.CITE &lt;EndNote&gt;&lt;Cite&gt;&lt;Author&gt;Canton&lt;/Author&gt;&lt;Year&gt;2013&lt;/Year&gt;&lt;IDText&gt;Scavenger receptors in homeostasis and immunity&lt;/IDText&gt;&lt;DisplayText&gt;(Canton, Neculai and Grinstein, 2013)&lt;/DisplayText&gt;&lt;record&gt;&lt;dates&gt;&lt;pub-dates&gt;&lt;date&gt;Sep&lt;/date&gt;&lt;/pub-dates&gt;&lt;year&gt;2013&lt;/year&gt;&lt;/dates&gt;&lt;urls&gt;&lt;related-urls&gt;&lt;url&gt;&amp;lt;Go to ISI&amp;gt;://WOS:000323648900008&lt;/url&gt;&lt;/related-urls&gt;&lt;/urls&gt;&lt;isbn&gt;1474-1733&lt;/isbn&gt;&lt;titles&gt;&lt;title&gt;Scavenger receptors in homeostasis and immunity&lt;/title&gt;&lt;secondary-title&gt;Nature Reviews Immunology&lt;/secondary-title&gt;&lt;/titles&gt;&lt;pages&gt;621-634&lt;/pages&gt;&lt;number&gt;9&lt;/number&gt;&lt;contributors&gt;&lt;authors&gt;&lt;author&gt;Canton, J.&lt;/author&gt;&lt;author&gt;Neculai, D.&lt;/author&gt;&lt;author&gt;Grinstein, S.&lt;/author&gt;&lt;/authors&gt;&lt;/contributors&gt;&lt;added-date format="utc"&gt;1677111345&lt;/added-date&gt;&lt;ref-type name="Journal Article"&gt;17&lt;/ref-type&gt;&lt;rec-number&gt;478&lt;/rec-number&gt;&lt;last-updated-date format="utc"&gt;1677111345&lt;/last-updated-date&gt;&lt;accession-num&gt;WOS:000323648900008&lt;/accession-num&gt;&lt;electronic-resource-num&gt;10.1038/nri3515&lt;/electronic-resource-num&gt;&lt;volume&gt;13&lt;/volume&gt;&lt;/record&gt;&lt;/Cite&gt;&lt;/EndNote&gt;</w:instrText>
      </w:r>
      <w:r w:rsidRPr="000F24C2">
        <w:rPr>
          <w:rFonts w:ascii="Times New Roman" w:hAnsi="Times New Roman" w:cs="Times New Roman"/>
          <w:b/>
          <w:bCs/>
        </w:rPr>
        <w:fldChar w:fldCharType="separate"/>
      </w:r>
      <w:r w:rsidRPr="000F24C2">
        <w:rPr>
          <w:rFonts w:ascii="Times New Roman" w:hAnsi="Times New Roman" w:cs="Times New Roman"/>
          <w:b/>
          <w:bCs/>
          <w:noProof/>
        </w:rPr>
        <w:t>(Canton, Neculai and Grinstein, 2013)</w:t>
      </w:r>
      <w:r w:rsidRPr="000F24C2">
        <w:rPr>
          <w:rFonts w:ascii="Times New Roman" w:hAnsi="Times New Roman" w:cs="Times New Roman"/>
          <w:b/>
          <w:bCs/>
        </w:rPr>
        <w:fldChar w:fldCharType="end"/>
      </w:r>
      <w:r>
        <w:rPr>
          <w:rFonts w:ascii="Times New Roman" w:hAnsi="Times New Roman" w:cs="Times New Roman"/>
        </w:rPr>
        <w:t xml:space="preserve">. Scavenger receptor A (SR-A), a class A receptor, is involved in phagocytosis of </w:t>
      </w:r>
      <w:r>
        <w:rPr>
          <w:rFonts w:ascii="Times New Roman" w:hAnsi="Times New Roman" w:cs="Times New Roman"/>
          <w:i/>
          <w:iCs/>
        </w:rPr>
        <w:t>S. aureus</w:t>
      </w:r>
      <w:r>
        <w:rPr>
          <w:rFonts w:ascii="Times New Roman" w:hAnsi="Times New Roman" w:cs="Times New Roman"/>
        </w:rPr>
        <w:t xml:space="preserve"> by the liver resident Kupffer cells. SR-A in conjunction with mannose-binding lectin (MBL) (member of the CLR family), which also increases expression of SR-A, resulted in augmented phagocytosis </w:t>
      </w:r>
      <w:r w:rsidRPr="006E735D">
        <w:rPr>
          <w:rFonts w:ascii="Times New Roman" w:hAnsi="Times New Roman" w:cs="Times New Roman"/>
          <w:b/>
          <w:bCs/>
        </w:rPr>
        <w:fldChar w:fldCharType="begin"/>
      </w:r>
      <w:r w:rsidRPr="006E735D">
        <w:rPr>
          <w:rFonts w:ascii="Times New Roman" w:hAnsi="Times New Roman" w:cs="Times New Roman"/>
          <w:b/>
          <w:bCs/>
        </w:rPr>
        <w:instrText xml:space="preserve"> ADDIN EN.CITE &lt;EndNote&gt;&lt;Cite&gt;&lt;Author&gt;Ono&lt;/Author&gt;&lt;Year&gt;2006&lt;/Year&gt;&lt;IDText&gt;Mannose-binding lectin augments the uptake of lipid A, Staphylococcus aureus, and Escherichia coli by Kupffer cells through increased cell surface expression of scavenger receptor A&lt;/IDText&gt;&lt;DisplayText&gt;(Ono&lt;style face="italic"&gt; et al.&lt;/style&gt;, 2006)&lt;/DisplayText&gt;&lt;record&gt;&lt;dates&gt;&lt;pub-dates&gt;&lt;date&gt;Oct&lt;/date&gt;&lt;/pub-dates&gt;&lt;year&gt;2006&lt;/year&gt;&lt;/dates&gt;&lt;urls&gt;&lt;related-urls&gt;&lt;url&gt;&amp;lt;Go to ISI&amp;gt;://WOS:000241093100065&lt;/url&gt;&lt;/related-urls&gt;&lt;/urls&gt;&lt;isbn&gt;0022-1767&lt;/isbn&gt;&lt;titles&gt;&lt;title&gt;Mannose-binding lectin augments the uptake of lipid A, Staphylococcus aureus, and Escherichia coli by Kupffer cells through increased cell surface expression of scavenger receptor A&lt;/title&gt;&lt;secondary-title&gt;Journal of Immunology&lt;/secondary-title&gt;&lt;/titles&gt;&lt;pages&gt;5517-5523&lt;/pages&gt;&lt;number&gt;8&lt;/number&gt;&lt;contributors&gt;&lt;authors&gt;&lt;author&gt;Ono, K.&lt;/author&gt;&lt;author&gt;Nishitani, C.&lt;/author&gt;&lt;author&gt;Mitsuzawa, H.&lt;/author&gt;&lt;author&gt;Shimizu, T.&lt;/author&gt;&lt;author&gt;Sano, H.&lt;/author&gt;&lt;author&gt;Suzuki, H.&lt;/author&gt;&lt;author&gt;Kodama, T.&lt;/author&gt;&lt;author&gt;Fujii, N.&lt;/author&gt;&lt;author&gt;Fukase, K.&lt;/author&gt;&lt;author&gt;Hirata, K.&lt;/author&gt;&lt;author&gt;Kuroki, Y.&lt;/author&gt;&lt;/authors&gt;&lt;/contributors&gt;&lt;added-date format="utc"&gt;1677112213&lt;/added-date&gt;&lt;ref-type name="Journal Article"&gt;17&lt;/ref-type&gt;&lt;rec-number&gt;479&lt;/rec-number&gt;&lt;last-updated-date format="utc"&gt;1677112213&lt;/last-updated-date&gt;&lt;accession-num&gt;WOS:000241093100065&lt;/accession-num&gt;&lt;electronic-resource-num&gt;10.4049/jimmunol.177.8.5517&lt;/electronic-resource-num&gt;&lt;volume&gt;177&lt;/volume&gt;&lt;/record&gt;&lt;/Cite&gt;&lt;/EndNote&gt;</w:instrText>
      </w:r>
      <w:r w:rsidRPr="006E735D">
        <w:rPr>
          <w:rFonts w:ascii="Times New Roman" w:hAnsi="Times New Roman" w:cs="Times New Roman"/>
          <w:b/>
          <w:bCs/>
        </w:rPr>
        <w:fldChar w:fldCharType="separate"/>
      </w:r>
      <w:r w:rsidRPr="006E735D">
        <w:rPr>
          <w:rFonts w:ascii="Times New Roman" w:hAnsi="Times New Roman" w:cs="Times New Roman"/>
          <w:b/>
          <w:bCs/>
          <w:noProof/>
        </w:rPr>
        <w:t>(Ono</w:t>
      </w:r>
      <w:r w:rsidRPr="006E735D">
        <w:rPr>
          <w:rFonts w:ascii="Times New Roman" w:hAnsi="Times New Roman" w:cs="Times New Roman"/>
          <w:b/>
          <w:bCs/>
          <w:i/>
          <w:noProof/>
        </w:rPr>
        <w:t xml:space="preserve"> et al.</w:t>
      </w:r>
      <w:r w:rsidRPr="006E735D">
        <w:rPr>
          <w:rFonts w:ascii="Times New Roman" w:hAnsi="Times New Roman" w:cs="Times New Roman"/>
          <w:b/>
          <w:bCs/>
          <w:noProof/>
        </w:rPr>
        <w:t>, 2006)</w:t>
      </w:r>
      <w:r w:rsidRPr="006E735D">
        <w:rPr>
          <w:rFonts w:ascii="Times New Roman" w:hAnsi="Times New Roman" w:cs="Times New Roman"/>
          <w:b/>
          <w:bCs/>
        </w:rPr>
        <w:fldChar w:fldCharType="end"/>
      </w:r>
      <w:r>
        <w:rPr>
          <w:rFonts w:ascii="Times New Roman" w:hAnsi="Times New Roman" w:cs="Times New Roman"/>
        </w:rPr>
        <w:t xml:space="preserve">. Furthermore, the class B scavenger receptor CD36 is required to recognise LTA and CD36-deficient mice are more susceptible to </w:t>
      </w:r>
      <w:r>
        <w:rPr>
          <w:rFonts w:ascii="Times New Roman" w:hAnsi="Times New Roman" w:cs="Times New Roman"/>
          <w:i/>
          <w:iCs/>
        </w:rPr>
        <w:t xml:space="preserve">S. aureus </w:t>
      </w:r>
      <w:r>
        <w:rPr>
          <w:rFonts w:ascii="Times New Roman" w:hAnsi="Times New Roman" w:cs="Times New Roman"/>
        </w:rPr>
        <w:t xml:space="preserve">systemic infection </w:t>
      </w:r>
      <w:r w:rsidRPr="00BD004A">
        <w:rPr>
          <w:rFonts w:ascii="Times New Roman" w:hAnsi="Times New Roman" w:cs="Times New Roman"/>
          <w:b/>
          <w:bCs/>
        </w:rPr>
        <w:fldChar w:fldCharType="begin"/>
      </w:r>
      <w:r w:rsidRPr="00BD004A">
        <w:rPr>
          <w:rFonts w:ascii="Times New Roman" w:hAnsi="Times New Roman" w:cs="Times New Roman"/>
          <w:b/>
          <w:bCs/>
        </w:rPr>
        <w:instrText xml:space="preserve"> ADDIN EN.CITE &lt;EndNote&gt;&lt;Cite&gt;&lt;Author&gt;Stuart&lt;/Author&gt;&lt;Year&gt;2005&lt;/Year&gt;&lt;IDText&gt;Response to Staphylococcus aureus requires CD36-mediated phagocytosis triggered by the COOH-terminal cytoplasmic domain&lt;/IDText&gt;&lt;DisplayText&gt;(Stuart&lt;style face="italic"&gt; et al.&lt;/style&gt;, 2005)&lt;/DisplayText&gt;&lt;record&gt;&lt;dates&gt;&lt;pub-dates&gt;&lt;date&gt;Aug&lt;/date&gt;&lt;/pub-dates&gt;&lt;year&gt;2005&lt;/year&gt;&lt;/dates&gt;&lt;urls&gt;&lt;related-urls&gt;&lt;url&gt;&amp;lt;Go to ISI&amp;gt;://WOS:000230901600016&lt;/url&gt;&lt;/related-urls&gt;&lt;/urls&gt;&lt;isbn&gt;0021-9525&lt;/isbn&gt;&lt;titles&gt;&lt;title&gt;Response to Staphylococcus aureus requires CD36-mediated phagocytosis triggered by the COOH-terminal cytoplasmic domain&lt;/title&gt;&lt;secondary-title&gt;Journal of Cell Biology&lt;/secondary-title&gt;&lt;/titles&gt;&lt;pages&gt;477-485&lt;/pages&gt;&lt;number&gt;3&lt;/number&gt;&lt;contributors&gt;&lt;authors&gt;&lt;author&gt;Stuart, L. M.&lt;/author&gt;&lt;author&gt;Deng, J. S.&lt;/author&gt;&lt;author&gt;Silver, J. M.&lt;/author&gt;&lt;author&gt;Takahashi, K.&lt;/author&gt;&lt;author&gt;Tseng, A. A.&lt;/author&gt;&lt;author&gt;Hennessy, E. J.&lt;/author&gt;&lt;author&gt;Ezekowitz, R. A. B.&lt;/author&gt;&lt;author&gt;Moore, K. J.&lt;/author&gt;&lt;/authors&gt;&lt;/contributors&gt;&lt;added-date format="utc"&gt;1677113111&lt;/added-date&gt;&lt;ref-type name="Journal Article"&gt;17&lt;/ref-type&gt;&lt;rec-number&gt;480&lt;/rec-number&gt;&lt;last-updated-date format="utc"&gt;1677113111&lt;/last-updated-date&gt;&lt;accession-num&gt;WOS:000230901600016&lt;/accession-num&gt;&lt;electronic-resource-num&gt;10.1083/jcb.200501113&lt;/electronic-resource-num&gt;&lt;volume&gt;170&lt;/volume&gt;&lt;/record&gt;&lt;/Cite&gt;&lt;/EndNote&gt;</w:instrText>
      </w:r>
      <w:r w:rsidRPr="00BD004A">
        <w:rPr>
          <w:rFonts w:ascii="Times New Roman" w:hAnsi="Times New Roman" w:cs="Times New Roman"/>
          <w:b/>
          <w:bCs/>
        </w:rPr>
        <w:fldChar w:fldCharType="separate"/>
      </w:r>
      <w:r w:rsidRPr="00BD004A">
        <w:rPr>
          <w:rFonts w:ascii="Times New Roman" w:hAnsi="Times New Roman" w:cs="Times New Roman"/>
          <w:b/>
          <w:bCs/>
          <w:noProof/>
        </w:rPr>
        <w:t>(Stuart</w:t>
      </w:r>
      <w:r w:rsidRPr="00BD004A">
        <w:rPr>
          <w:rFonts w:ascii="Times New Roman" w:hAnsi="Times New Roman" w:cs="Times New Roman"/>
          <w:b/>
          <w:bCs/>
          <w:i/>
          <w:noProof/>
        </w:rPr>
        <w:t xml:space="preserve"> et al.</w:t>
      </w:r>
      <w:r w:rsidRPr="00BD004A">
        <w:rPr>
          <w:rFonts w:ascii="Times New Roman" w:hAnsi="Times New Roman" w:cs="Times New Roman"/>
          <w:b/>
          <w:bCs/>
          <w:noProof/>
        </w:rPr>
        <w:t>, 2005)</w:t>
      </w:r>
      <w:r w:rsidRPr="00BD004A">
        <w:rPr>
          <w:rFonts w:ascii="Times New Roman" w:hAnsi="Times New Roman" w:cs="Times New Roman"/>
          <w:b/>
          <w:bCs/>
        </w:rPr>
        <w:fldChar w:fldCharType="end"/>
      </w:r>
      <w:r>
        <w:rPr>
          <w:rFonts w:ascii="Times New Roman" w:hAnsi="Times New Roman" w:cs="Times New Roman"/>
        </w:rPr>
        <w:t xml:space="preserve">. However, while scavenger receptors are involved in phagocytosis, it is unclear whether these receptors are solely required to initiate phagocytosis. For example, it was shown that CD36 activates TLR2/6 signalling </w:t>
      </w:r>
      <w:r w:rsidRPr="00BD004A">
        <w:rPr>
          <w:rFonts w:ascii="Times New Roman" w:hAnsi="Times New Roman" w:cs="Times New Roman"/>
          <w:b/>
          <w:bCs/>
        </w:rPr>
        <w:fldChar w:fldCharType="begin"/>
      </w:r>
      <w:r w:rsidRPr="00BD004A">
        <w:rPr>
          <w:rFonts w:ascii="Times New Roman" w:hAnsi="Times New Roman" w:cs="Times New Roman"/>
          <w:b/>
          <w:bCs/>
        </w:rPr>
        <w:instrText xml:space="preserve"> ADDIN EN.CITE &lt;EndNote&gt;&lt;Cite&gt;&lt;Author&gt;Stuart&lt;/Author&gt;&lt;Year&gt;2005&lt;/Year&gt;&lt;IDText&gt;Response to Staphylococcus aureus requires CD36-mediated phagocytosis triggered by the COOH-terminal cytoplasmic domain&lt;/IDText&gt;&lt;DisplayText&gt;(Stuart&lt;style face="italic"&gt; et al.&lt;/style&gt;, 2005)&lt;/DisplayText&gt;&lt;record&gt;&lt;dates&gt;&lt;pub-dates&gt;&lt;date&gt;Aug&lt;/date&gt;&lt;/pub-dates&gt;&lt;year&gt;2005&lt;/year&gt;&lt;/dates&gt;&lt;urls&gt;&lt;related-urls&gt;&lt;url&gt;&amp;lt;Go to ISI&amp;gt;://WOS:000230901600016&lt;/url&gt;&lt;/related-urls&gt;&lt;/urls&gt;&lt;isbn&gt;0021-9525&lt;/isbn&gt;&lt;titles&gt;&lt;title&gt;Response to Staphylococcus aureus requires CD36-mediated phagocytosis triggered by the COOH-terminal cytoplasmic domain&lt;/title&gt;&lt;secondary-title&gt;Journal of Cell Biology&lt;/secondary-title&gt;&lt;/titles&gt;&lt;pages&gt;477-485&lt;/pages&gt;&lt;number&gt;3&lt;/number&gt;&lt;contributors&gt;&lt;authors&gt;&lt;author&gt;Stuart, L. M.&lt;/author&gt;&lt;author&gt;Deng, J. S.&lt;/author&gt;&lt;author&gt;Silver, J. M.&lt;/author&gt;&lt;author&gt;Takahashi, K.&lt;/author&gt;&lt;author&gt;Tseng, A. A.&lt;/author&gt;&lt;author&gt;Hennessy, E. J.&lt;/author&gt;&lt;author&gt;Ezekowitz, R. A. B.&lt;/author&gt;&lt;author&gt;Moore, K. J.&lt;/author&gt;&lt;/authors&gt;&lt;/contributors&gt;&lt;added-date format="utc"&gt;1677113111&lt;/added-date&gt;&lt;ref-type name="Journal Article"&gt;17&lt;/ref-type&gt;&lt;rec-number&gt;480&lt;/rec-number&gt;&lt;last-updated-date format="utc"&gt;1677113111&lt;/last-updated-date&gt;&lt;accession-num&gt;WOS:000230901600016&lt;/accession-num&gt;&lt;electronic-resource-num&gt;10.1083/jcb.200501113&lt;/electronic-resource-num&gt;&lt;volume&gt;170&lt;/volume&gt;&lt;/record&gt;&lt;/Cite&gt;&lt;/EndNote&gt;</w:instrText>
      </w:r>
      <w:r w:rsidRPr="00BD004A">
        <w:rPr>
          <w:rFonts w:ascii="Times New Roman" w:hAnsi="Times New Roman" w:cs="Times New Roman"/>
          <w:b/>
          <w:bCs/>
        </w:rPr>
        <w:fldChar w:fldCharType="separate"/>
      </w:r>
      <w:r w:rsidRPr="00BD004A">
        <w:rPr>
          <w:rFonts w:ascii="Times New Roman" w:hAnsi="Times New Roman" w:cs="Times New Roman"/>
          <w:b/>
          <w:bCs/>
          <w:noProof/>
        </w:rPr>
        <w:t>(Stuart</w:t>
      </w:r>
      <w:r w:rsidRPr="00BD004A">
        <w:rPr>
          <w:rFonts w:ascii="Times New Roman" w:hAnsi="Times New Roman" w:cs="Times New Roman"/>
          <w:b/>
          <w:bCs/>
          <w:i/>
          <w:noProof/>
        </w:rPr>
        <w:t xml:space="preserve"> et al.</w:t>
      </w:r>
      <w:r w:rsidRPr="00BD004A">
        <w:rPr>
          <w:rFonts w:ascii="Times New Roman" w:hAnsi="Times New Roman" w:cs="Times New Roman"/>
          <w:b/>
          <w:bCs/>
          <w:noProof/>
        </w:rPr>
        <w:t>, 2005)</w:t>
      </w:r>
      <w:r w:rsidRPr="00BD004A">
        <w:rPr>
          <w:rFonts w:ascii="Times New Roman" w:hAnsi="Times New Roman" w:cs="Times New Roman"/>
          <w:b/>
          <w:bCs/>
        </w:rPr>
        <w:fldChar w:fldCharType="end"/>
      </w:r>
      <w:r>
        <w:rPr>
          <w:rFonts w:ascii="Times New Roman" w:hAnsi="Times New Roman" w:cs="Times New Roman"/>
        </w:rPr>
        <w:t>, suggesting that other pathways are required for phagocytosis to occur.</w:t>
      </w:r>
    </w:p>
    <w:p w14:paraId="2BBB73CD" w14:textId="7B844925" w:rsidR="00033564" w:rsidRPr="002404E7" w:rsidRDefault="00033564" w:rsidP="00033564">
      <w:pPr>
        <w:spacing w:line="360" w:lineRule="auto"/>
        <w:jc w:val="both"/>
        <w:rPr>
          <w:rFonts w:ascii="Times New Roman" w:hAnsi="Times New Roman" w:cs="Times New Roman"/>
        </w:rPr>
      </w:pPr>
      <w:r>
        <w:rPr>
          <w:rFonts w:ascii="Times New Roman" w:hAnsi="Times New Roman" w:cs="Times New Roman"/>
        </w:rPr>
        <w:tab/>
        <w:t xml:space="preserve">The complement cascade is a complex component of the innate immune system consisting of numerous proteins that undergo proteolysis and was named due to its ability to ‘complement’ antibody-mediated killing. The complement cascade can be activated in three main ways: the classical, alternative and lectin pathways. The classical pathway is activated upon IgG/IgM antibody interaction with the first component of the cascade, C1q </w:t>
      </w:r>
      <w:r w:rsidRPr="005B2BB9">
        <w:rPr>
          <w:rFonts w:ascii="Times New Roman" w:hAnsi="Times New Roman" w:cs="Times New Roman"/>
          <w:b/>
          <w:bCs/>
        </w:rPr>
        <w:fldChar w:fldCharType="begin"/>
      </w:r>
      <w:r w:rsidRPr="005B2BB9">
        <w:rPr>
          <w:rFonts w:ascii="Times New Roman" w:hAnsi="Times New Roman" w:cs="Times New Roman"/>
          <w:b/>
          <w:bCs/>
        </w:rPr>
        <w:instrText xml:space="preserve"> ADDIN EN.CITE &lt;EndNote&gt;&lt;Cite&gt;&lt;Author&gt;Nesargikar&lt;/Author&gt;&lt;Year&gt;2012&lt;/Year&gt;&lt;IDText&gt;The complement system: history, pathways, cascade and inhibitors&lt;/IDText&gt;&lt;DisplayText&gt;(Nesargikar, Spiller and Chavez, 2012)&lt;/DisplayText&gt;&lt;record&gt;&lt;titles&gt;&lt;title&gt;The complement system: history, pathways, cascade and inhibitors&lt;/title&gt;&lt;secondary-title&gt;European Journal of Microbiology and Immunology&lt;/secondary-title&gt;&lt;/titles&gt;&lt;pages&gt;103-111&lt;/pages&gt;&lt;number&gt;2&lt;/number&gt;&lt;contributors&gt;&lt;authors&gt;&lt;author&gt;Nesargikar, P N&lt;/author&gt;&lt;author&gt;Spiller, B&lt;/author&gt;&lt;author&gt;Chavez, R&lt;/author&gt;&lt;/authors&gt;&lt;/contributors&gt;&lt;added-date format="utc"&gt;1677117125&lt;/added-date&gt;&lt;ref-type name="Journal Article"&gt;17&lt;/ref-type&gt;&lt;dates&gt;&lt;year&gt;2012&lt;/year&gt;&lt;/dates&gt;&lt;rec-number&gt;481&lt;/rec-number&gt;&lt;last-updated-date format="utc"&gt;1677117211&lt;/last-updated-date&gt;&lt;volume&gt;2&lt;/volume&gt;&lt;/record&gt;&lt;/Cite&gt;&lt;/EndNote&gt;</w:instrText>
      </w:r>
      <w:r w:rsidRPr="005B2BB9">
        <w:rPr>
          <w:rFonts w:ascii="Times New Roman" w:hAnsi="Times New Roman" w:cs="Times New Roman"/>
          <w:b/>
          <w:bCs/>
        </w:rPr>
        <w:fldChar w:fldCharType="separate"/>
      </w:r>
      <w:r w:rsidRPr="005B2BB9">
        <w:rPr>
          <w:rFonts w:ascii="Times New Roman" w:hAnsi="Times New Roman" w:cs="Times New Roman"/>
          <w:b/>
          <w:bCs/>
          <w:noProof/>
        </w:rPr>
        <w:t>(Nesargikar, Spiller and Chavez, 2012)</w:t>
      </w:r>
      <w:r w:rsidRPr="005B2BB9">
        <w:rPr>
          <w:rFonts w:ascii="Times New Roman" w:hAnsi="Times New Roman" w:cs="Times New Roman"/>
          <w:b/>
          <w:bCs/>
        </w:rPr>
        <w:fldChar w:fldCharType="end"/>
      </w:r>
      <w:r>
        <w:rPr>
          <w:rFonts w:ascii="Times New Roman" w:hAnsi="Times New Roman" w:cs="Times New Roman"/>
        </w:rPr>
        <w:t xml:space="preserve">. The alternative pathway occurs when C3b, which is abundant in plasma, interacts with a pathogen/damaged cell </w:t>
      </w:r>
      <w:r w:rsidRPr="005B2BB9">
        <w:rPr>
          <w:rFonts w:ascii="Times New Roman" w:hAnsi="Times New Roman" w:cs="Times New Roman"/>
          <w:b/>
          <w:bCs/>
        </w:rPr>
        <w:fldChar w:fldCharType="begin"/>
      </w:r>
      <w:r w:rsidRPr="005B2BB9">
        <w:rPr>
          <w:rFonts w:ascii="Times New Roman" w:hAnsi="Times New Roman" w:cs="Times New Roman"/>
          <w:b/>
          <w:bCs/>
        </w:rPr>
        <w:instrText xml:space="preserve"> ADDIN EN.CITE &lt;EndNote&gt;&lt;Cite&gt;&lt;Author&gt;Thurman&lt;/Author&gt;&lt;Year&gt;2006&lt;/Year&gt;&lt;IDText&gt;The central role of the alternative complement pathway in human disease&lt;/IDText&gt;&lt;DisplayText&gt;(Thurman and Holers, 2006)&lt;/DisplayText&gt;&lt;record&gt;&lt;dates&gt;&lt;pub-dates&gt;&lt;date&gt;Feb&lt;/date&gt;&lt;/pub-dates&gt;&lt;year&gt;2006&lt;/year&gt;&lt;/dates&gt;&lt;urls&gt;&lt;related-urls&gt;&lt;url&gt;&amp;lt;Go to ISI&amp;gt;://WOS:000234766600003&lt;/url&gt;&lt;/related-urls&gt;&lt;/urls&gt;&lt;isbn&gt;0022-1767&lt;/isbn&gt;&lt;titles&gt;&lt;title&gt;The central role of the alternative complement pathway in human disease&lt;/title&gt;&lt;secondary-title&gt;Journal of Immunology&lt;/secondary-title&gt;&lt;/titles&gt;&lt;pages&gt;1305-1310&lt;/pages&gt;&lt;number&gt;3&lt;/number&gt;&lt;contributors&gt;&lt;authors&gt;&lt;author&gt;Thurman, J. M.&lt;/author&gt;&lt;author&gt;Holers, V. M.&lt;/author&gt;&lt;/authors&gt;&lt;/contributors&gt;&lt;added-date format="utc"&gt;1677117593&lt;/added-date&gt;&lt;ref-type name="Journal Article"&gt;17&lt;/ref-type&gt;&lt;rec-number&gt;482&lt;/rec-number&gt;&lt;last-updated-date format="utc"&gt;1677117593&lt;/last-updated-date&gt;&lt;accession-num&gt;WOS:000234766600003&lt;/accession-num&gt;&lt;electronic-resource-num&gt;10.4049/jimmunol.176.3.1305&lt;/electronic-resource-num&gt;&lt;volume&gt;176&lt;/volume&gt;&lt;/record&gt;&lt;/Cite&gt;&lt;/EndNote&gt;</w:instrText>
      </w:r>
      <w:r w:rsidRPr="005B2BB9">
        <w:rPr>
          <w:rFonts w:ascii="Times New Roman" w:hAnsi="Times New Roman" w:cs="Times New Roman"/>
          <w:b/>
          <w:bCs/>
        </w:rPr>
        <w:fldChar w:fldCharType="separate"/>
      </w:r>
      <w:r w:rsidRPr="005B2BB9">
        <w:rPr>
          <w:rFonts w:ascii="Times New Roman" w:hAnsi="Times New Roman" w:cs="Times New Roman"/>
          <w:b/>
          <w:bCs/>
          <w:noProof/>
        </w:rPr>
        <w:t>(Thurman and Holers, 2006)</w:t>
      </w:r>
      <w:r w:rsidRPr="005B2BB9">
        <w:rPr>
          <w:rFonts w:ascii="Times New Roman" w:hAnsi="Times New Roman" w:cs="Times New Roman"/>
          <w:b/>
          <w:bCs/>
        </w:rPr>
        <w:fldChar w:fldCharType="end"/>
      </w:r>
      <w:r>
        <w:rPr>
          <w:rFonts w:ascii="Times New Roman" w:hAnsi="Times New Roman" w:cs="Times New Roman"/>
        </w:rPr>
        <w:t xml:space="preserve">. The lectin pathway involves the binding of collectins (MBL and ficolin) to carbohydrates found on foreign bodies and results in MBL-associated serine protease interacting with complement proteins and thus, activating the cascade </w:t>
      </w:r>
      <w:r w:rsidRPr="00576BAA">
        <w:rPr>
          <w:rFonts w:ascii="Times New Roman" w:hAnsi="Times New Roman" w:cs="Times New Roman"/>
          <w:b/>
          <w:bCs/>
        </w:rPr>
        <w:fldChar w:fldCharType="begin"/>
      </w:r>
      <w:r w:rsidRPr="00576BAA">
        <w:rPr>
          <w:rFonts w:ascii="Times New Roman" w:hAnsi="Times New Roman" w:cs="Times New Roman"/>
          <w:b/>
          <w:bCs/>
        </w:rPr>
        <w:instrText xml:space="preserve"> ADDIN EN.CITE &lt;EndNote&gt;&lt;Cite&gt;&lt;Author&gt;Takahashi&lt;/Author&gt;&lt;Year&gt;2008&lt;/Year&gt;&lt;IDText&gt;Mannose-binding lectin (MBL)-associated serine protease (MASP)-1 contributes to activation of the lectin complement pathway&lt;/IDText&gt;&lt;DisplayText&gt;(Takahashi&lt;style face="italic"&gt; et al.&lt;/style&gt;, 2008)&lt;/DisplayText&gt;&lt;record&gt;&lt;dates&gt;&lt;pub-dates&gt;&lt;date&gt;May&lt;/date&gt;&lt;/pub-dates&gt;&lt;year&gt;2008&lt;/year&gt;&lt;/dates&gt;&lt;urls&gt;&lt;related-urls&gt;&lt;url&gt;&amp;lt;Go to ISI&amp;gt;://WOS:000257507000046&lt;/url&gt;&lt;/related-urls&gt;&lt;/urls&gt;&lt;isbn&gt;0022-1767&lt;/isbn&gt;&lt;titles&gt;&lt;title&gt;Mannose-binding lectin (MBL)-associated serine protease (MASP)-1 contributes to activation of the lectin complement pathway&lt;/title&gt;&lt;secondary-title&gt;Journal of Immunology&lt;/secondary-title&gt;&lt;/titles&gt;&lt;pages&gt;6132-6138&lt;/pages&gt;&lt;number&gt;9&lt;/number&gt;&lt;contributors&gt;&lt;authors&gt;&lt;author&gt;Takahashi, M.&lt;/author&gt;&lt;author&gt;Iwaki, D.&lt;/author&gt;&lt;author&gt;Kanno, K.&lt;/author&gt;&lt;author&gt;Ishida, Y.&lt;/author&gt;&lt;author&gt;Xiong, J.&lt;/author&gt;&lt;author&gt;Matsushita, M.&lt;/author&gt;&lt;author&gt;Endo, Y.&lt;/author&gt;&lt;author&gt;Miura, S.&lt;/author&gt;&lt;author&gt;Ishii, N.&lt;/author&gt;&lt;author&gt;Sugamura, K.&lt;/author&gt;&lt;author&gt;Fujita, T.&lt;/author&gt;&lt;/authors&gt;&lt;/contributors&gt;&lt;added-date format="utc"&gt;1677117646&lt;/added-date&gt;&lt;ref-type name="Journal Article"&gt;17&lt;/ref-type&gt;&lt;rec-number&gt;483&lt;/rec-number&gt;&lt;last-updated-date format="utc"&gt;1677117646&lt;/last-updated-date&gt;&lt;accession-num&gt;WOS:000257507000046&lt;/accession-num&gt;&lt;electronic-resource-num&gt;10.4049/jimmunol.180.9.6132&lt;/electronic-resource-num&gt;&lt;volume&gt;180&lt;/volume&gt;&lt;/record&gt;&lt;/Cite&gt;&lt;/EndNote&gt;</w:instrText>
      </w:r>
      <w:r w:rsidRPr="00576BAA">
        <w:rPr>
          <w:rFonts w:ascii="Times New Roman" w:hAnsi="Times New Roman" w:cs="Times New Roman"/>
          <w:b/>
          <w:bCs/>
        </w:rPr>
        <w:fldChar w:fldCharType="separate"/>
      </w:r>
      <w:r w:rsidRPr="00576BAA">
        <w:rPr>
          <w:rFonts w:ascii="Times New Roman" w:hAnsi="Times New Roman" w:cs="Times New Roman"/>
          <w:b/>
          <w:bCs/>
          <w:noProof/>
        </w:rPr>
        <w:t>(Takahashi</w:t>
      </w:r>
      <w:r w:rsidRPr="00576BAA">
        <w:rPr>
          <w:rFonts w:ascii="Times New Roman" w:hAnsi="Times New Roman" w:cs="Times New Roman"/>
          <w:b/>
          <w:bCs/>
          <w:i/>
          <w:noProof/>
        </w:rPr>
        <w:t xml:space="preserve"> et al.</w:t>
      </w:r>
      <w:r w:rsidRPr="00576BAA">
        <w:rPr>
          <w:rFonts w:ascii="Times New Roman" w:hAnsi="Times New Roman" w:cs="Times New Roman"/>
          <w:b/>
          <w:bCs/>
          <w:noProof/>
        </w:rPr>
        <w:t>, 2008)</w:t>
      </w:r>
      <w:r w:rsidRPr="00576BAA">
        <w:rPr>
          <w:rFonts w:ascii="Times New Roman" w:hAnsi="Times New Roman" w:cs="Times New Roman"/>
          <w:b/>
          <w:bCs/>
        </w:rPr>
        <w:fldChar w:fldCharType="end"/>
      </w:r>
      <w:r>
        <w:rPr>
          <w:rFonts w:ascii="Times New Roman" w:hAnsi="Times New Roman" w:cs="Times New Roman"/>
        </w:rPr>
        <w:t xml:space="preserve">. The complement cascade ultimately acts to form a membrane attack complex that lyses cells, opsonise foreign bodies to stimulate phagocytosis, or recruit phagocytes. The complement component iC3b protein can bind </w:t>
      </w:r>
      <w:r>
        <w:rPr>
          <w:rFonts w:ascii="Times New Roman" w:hAnsi="Times New Roman" w:cs="Times New Roman"/>
          <w:i/>
          <w:iCs/>
        </w:rPr>
        <w:t>S. aureus</w:t>
      </w:r>
      <w:r>
        <w:rPr>
          <w:rFonts w:ascii="Times New Roman" w:hAnsi="Times New Roman" w:cs="Times New Roman"/>
        </w:rPr>
        <w:t xml:space="preserve"> as an opsonin and is recognised by complement receptors 3 and 4 (CR3/4) that are expressed on phagocytes leading to phagocytosis of </w:t>
      </w:r>
      <w:r>
        <w:rPr>
          <w:rFonts w:ascii="Times New Roman" w:hAnsi="Times New Roman" w:cs="Times New Roman"/>
          <w:i/>
          <w:iCs/>
        </w:rPr>
        <w:t xml:space="preserve">S. aureus </w:t>
      </w:r>
      <w:r w:rsidRPr="001F4BC0">
        <w:rPr>
          <w:rFonts w:ascii="Times New Roman" w:hAnsi="Times New Roman" w:cs="Times New Roman"/>
          <w:b/>
          <w:bCs/>
        </w:rPr>
        <w:fldChar w:fldCharType="begin"/>
      </w:r>
      <w:r w:rsidRPr="001F4BC0">
        <w:rPr>
          <w:rFonts w:ascii="Times New Roman" w:hAnsi="Times New Roman" w:cs="Times New Roman"/>
          <w:b/>
          <w:bCs/>
        </w:rPr>
        <w:instrText xml:space="preserve"> ADDIN EN.CITE &lt;EndNote&gt;&lt;Cite&gt;&lt;Author&gt;Lukácsi&lt;/Author&gt;&lt;Year&gt;2017&lt;/Year&gt;&lt;IDText&gt;The role of CR3 (CD11b/CD18) and CR4 (CD11c/CD18) in complement-mediated phagocytosis and podosome formation by human phagocytes&lt;/IDText&gt;&lt;DisplayText&gt;(Lukácsi&lt;style face="italic"&gt; et al.&lt;/style&gt;, 2017)&lt;/DisplayText&gt;&lt;record&gt;&lt;dates&gt;&lt;pub-dates&gt;&lt;date&gt;Sep&lt;/date&gt;&lt;/pub-dates&gt;&lt;year&gt;2017&lt;/year&gt;&lt;/dates&gt;&lt;urls&gt;&lt;related-urls&gt;&lt;url&gt;&amp;lt;Go to ISI&amp;gt;://WOS:000410014500073&lt;/url&gt;&lt;/related-urls&gt;&lt;/urls&gt;&lt;isbn&gt;0161-5890&lt;/isbn&gt;&lt;titles&gt;&lt;title&gt;The role of CR3 (CD11b/CD18) and CR4 (CD11c/CD18) in complement-mediated phagocytosis and podosome formation by human phagocytes&lt;/title&gt;&lt;secondary-title&gt;Molecular Immunology&lt;/secondary-title&gt;&lt;/titles&gt;&lt;pages&gt;144-145&lt;/pages&gt;&lt;contributors&gt;&lt;authors&gt;&lt;author&gt;Lukácsi, S.&lt;/author&gt;&lt;author&gt;Nagy-Balo, Z.&lt;/author&gt;&lt;author&gt;Erdei, A.&lt;/author&gt;&lt;author&gt;Sandor, N.&lt;/author&gt;&lt;author&gt;Bajtay, Z.&lt;/author&gt;&lt;/authors&gt;&lt;/contributors&gt;&lt;added-date format="utc"&gt;1677118448&lt;/added-date&gt;&lt;ref-type name="Journal Article"&gt;17&lt;/ref-type&gt;&lt;rec-number&gt;484&lt;/rec-number&gt;&lt;last-updated-date format="utc"&gt;1677118497&lt;/last-updated-date&gt;&lt;accession-num&gt;WOS:000410014500073&lt;/accession-num&gt;&lt;electronic-resource-num&gt;10.1016/j.molimm.2017.06.093&lt;/electronic-resource-num&gt;&lt;volume&gt;89&lt;/volume&gt;&lt;/record&gt;&lt;/Cite&gt;&lt;/EndNote&gt;</w:instrText>
      </w:r>
      <w:r w:rsidRPr="001F4BC0">
        <w:rPr>
          <w:rFonts w:ascii="Times New Roman" w:hAnsi="Times New Roman" w:cs="Times New Roman"/>
          <w:b/>
          <w:bCs/>
        </w:rPr>
        <w:fldChar w:fldCharType="separate"/>
      </w:r>
      <w:r w:rsidRPr="001F4BC0">
        <w:rPr>
          <w:rFonts w:ascii="Times New Roman" w:hAnsi="Times New Roman" w:cs="Times New Roman"/>
          <w:b/>
          <w:bCs/>
          <w:noProof/>
        </w:rPr>
        <w:t>(Lukácsi et al., 2017)</w:t>
      </w:r>
      <w:r w:rsidRPr="001F4BC0">
        <w:rPr>
          <w:rFonts w:ascii="Times New Roman" w:hAnsi="Times New Roman" w:cs="Times New Roman"/>
          <w:b/>
          <w:bCs/>
        </w:rPr>
        <w:fldChar w:fldCharType="end"/>
      </w:r>
      <w:r>
        <w:rPr>
          <w:rFonts w:ascii="Times New Roman" w:hAnsi="Times New Roman" w:cs="Times New Roman"/>
          <w:i/>
          <w:iCs/>
        </w:rPr>
        <w:t>.</w:t>
      </w:r>
    </w:p>
    <w:p w14:paraId="51565B09" w14:textId="77777777" w:rsidR="00033564" w:rsidRPr="002404E7" w:rsidRDefault="00033564" w:rsidP="00033564">
      <w:pPr>
        <w:spacing w:line="360" w:lineRule="auto"/>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rPr>
        <w:t>The Fc receptors bind to the Fc region of antibodies. Pathogens opsonised with antibodies are more likely to be internalised by phagocytes, for example the Fc</w:t>
      </w:r>
      <w:r w:rsidRPr="001F4BC0">
        <w:rPr>
          <w:rFonts w:ascii="Times New Roman" w:hAnsi="Times New Roman" w:cs="Times New Roman"/>
        </w:rPr>
        <w:t>γ</w:t>
      </w:r>
      <w:r>
        <w:rPr>
          <w:rFonts w:ascii="Times New Roman" w:hAnsi="Times New Roman" w:cs="Times New Roman"/>
        </w:rPr>
        <w:t xml:space="preserve"> receptor binds to IgG that will mediate phagocytosis </w:t>
      </w:r>
      <w:r w:rsidRPr="00150E78">
        <w:rPr>
          <w:rFonts w:ascii="Times New Roman" w:hAnsi="Times New Roman" w:cs="Times New Roman"/>
          <w:b/>
          <w:bCs/>
        </w:rPr>
        <w:fldChar w:fldCharType="begin"/>
      </w:r>
      <w:r w:rsidRPr="00150E78">
        <w:rPr>
          <w:rFonts w:ascii="Times New Roman" w:hAnsi="Times New Roman" w:cs="Times New Roman"/>
          <w:b/>
          <w:bCs/>
        </w:rPr>
        <w:instrText xml:space="preserve"> ADDIN EN.CITE &lt;EndNote&gt;&lt;Cite&gt;&lt;Author&gt;Mellman&lt;/Author&gt;&lt;Year&gt;1988&lt;/Year&gt;&lt;IDText&gt;STRUCTURE AND FUNCTION OF FC-RECEPTORS ON MACROPHAGES AND LYMPHOCYTES&lt;/IDText&gt;&lt;DisplayText&gt;(Mellman&lt;style face="italic"&gt; et al.&lt;/style&gt;, 1988)&lt;/DisplayText&gt;&lt;record&gt;&lt;urls&gt;&lt;related-urls&gt;&lt;url&gt;&amp;lt;Go to ISI&amp;gt;://WOS:A1988R151100004&lt;/url&gt;&lt;/related-urls&gt;&lt;/urls&gt;&lt;isbn&gt;0021-9533&lt;/isbn&gt;&lt;titles&gt;&lt;title&gt;STRUCTURE AND FUNCTION OF FC-RECEPTORS ON MACROPHAGES AND LYMPHOCYTES&lt;/title&gt;&lt;secondary-title&gt;Journal of Cell Science&lt;/secondary-title&gt;&lt;/titles&gt;&lt;pages&gt;45-65&lt;/pages&gt;&lt;contributors&gt;&lt;authors&gt;&lt;author&gt;Mellman, I.&lt;/author&gt;&lt;author&gt;Koch, T.&lt;/author&gt;&lt;author&gt;Healey, G.&lt;/author&gt;&lt;author&gt;Hunziker, W.&lt;/author&gt;&lt;author&gt;Lewis, V.&lt;/author&gt;&lt;author&gt;Plutner, H.&lt;/author&gt;&lt;author&gt;Miettinen, H.&lt;/author&gt;&lt;author&gt;Vaux, D.&lt;/author&gt;&lt;author&gt;Moore, K.&lt;/author&gt;&lt;author&gt;Stuart, S.&lt;/author&gt;&lt;/authors&gt;&lt;/contributors&gt;&lt;added-date format="utc"&gt;1677119049&lt;/added-date&gt;&lt;ref-type name="Journal Article"&gt;17&lt;/ref-type&gt;&lt;dates&gt;&lt;year&gt;1988&lt;/year&gt;&lt;/dates&gt;&lt;rec-number&gt;485&lt;/rec-number&gt;&lt;last-updated-date format="utc"&gt;1677119049&lt;/last-updated-date&gt;&lt;accession-num&gt;WOS:A1988R151100004&lt;/accession-num&gt;&lt;/record&gt;&lt;/Cite&gt;&lt;/EndNote&gt;</w:instrText>
      </w:r>
      <w:r w:rsidRPr="00150E78">
        <w:rPr>
          <w:rFonts w:ascii="Times New Roman" w:hAnsi="Times New Roman" w:cs="Times New Roman"/>
          <w:b/>
          <w:bCs/>
        </w:rPr>
        <w:fldChar w:fldCharType="separate"/>
      </w:r>
      <w:r w:rsidRPr="00150E78">
        <w:rPr>
          <w:rFonts w:ascii="Times New Roman" w:hAnsi="Times New Roman" w:cs="Times New Roman"/>
          <w:b/>
          <w:bCs/>
          <w:noProof/>
        </w:rPr>
        <w:t>(Mellman</w:t>
      </w:r>
      <w:r w:rsidRPr="00150E78">
        <w:rPr>
          <w:rFonts w:ascii="Times New Roman" w:hAnsi="Times New Roman" w:cs="Times New Roman"/>
          <w:b/>
          <w:bCs/>
          <w:i/>
          <w:noProof/>
        </w:rPr>
        <w:t xml:space="preserve"> et al.</w:t>
      </w:r>
      <w:r w:rsidRPr="00150E78">
        <w:rPr>
          <w:rFonts w:ascii="Times New Roman" w:hAnsi="Times New Roman" w:cs="Times New Roman"/>
          <w:b/>
          <w:bCs/>
          <w:noProof/>
        </w:rPr>
        <w:t>, 1988)</w:t>
      </w:r>
      <w:r w:rsidRPr="00150E78">
        <w:rPr>
          <w:rFonts w:ascii="Times New Roman" w:hAnsi="Times New Roman" w:cs="Times New Roman"/>
          <w:b/>
          <w:bCs/>
        </w:rPr>
        <w:fldChar w:fldCharType="end"/>
      </w:r>
      <w:r>
        <w:rPr>
          <w:rFonts w:ascii="Times New Roman" w:hAnsi="Times New Roman" w:cs="Times New Roman"/>
        </w:rPr>
        <w:t xml:space="preserve">. As </w:t>
      </w:r>
      <w:r>
        <w:rPr>
          <w:rFonts w:ascii="Times New Roman" w:hAnsi="Times New Roman" w:cs="Times New Roman"/>
          <w:i/>
          <w:iCs/>
        </w:rPr>
        <w:t>S. aureus</w:t>
      </w:r>
      <w:r>
        <w:rPr>
          <w:rFonts w:ascii="Times New Roman" w:hAnsi="Times New Roman" w:cs="Times New Roman"/>
        </w:rPr>
        <w:t xml:space="preserve"> is a commensal organism, hosts will develop tolerance. This is exemplified by higher serum IgG levels in people colonised with </w:t>
      </w:r>
      <w:r>
        <w:rPr>
          <w:rFonts w:ascii="Times New Roman" w:hAnsi="Times New Roman" w:cs="Times New Roman"/>
          <w:i/>
          <w:iCs/>
        </w:rPr>
        <w:t>S. aureus</w:t>
      </w:r>
      <w:r>
        <w:rPr>
          <w:rFonts w:ascii="Times New Roman" w:hAnsi="Times New Roman" w:cs="Times New Roman"/>
        </w:rPr>
        <w:t xml:space="preserve"> </w:t>
      </w:r>
      <w:r w:rsidRPr="00150E78">
        <w:rPr>
          <w:rFonts w:ascii="Times New Roman" w:hAnsi="Times New Roman" w:cs="Times New Roman"/>
          <w:b/>
          <w:bCs/>
        </w:rPr>
        <w:fldChar w:fldCharType="begin"/>
      </w:r>
      <w:r w:rsidRPr="00150E78">
        <w:rPr>
          <w:rFonts w:ascii="Times New Roman" w:hAnsi="Times New Roman" w:cs="Times New Roman"/>
          <w:b/>
          <w:bCs/>
        </w:rPr>
        <w:instrText xml:space="preserve"> ADDIN EN.CITE &lt;EndNote&gt;&lt;Cite&gt;&lt;Author&gt;Kloppot&lt;/Author&gt;&lt;Year&gt;2015&lt;/Year&gt;&lt;IDText&gt;Microarray-based identification of human antibodies against Staphylococcus aureus antigens&lt;/IDText&gt;&lt;DisplayText&gt;(Kloppot&lt;style face="italic"&gt; et al.&lt;/style&gt;, 2015)&lt;/DisplayText&gt;&lt;record&gt;&lt;dates&gt;&lt;pub-dates&gt;&lt;date&gt;Dec&lt;/date&gt;&lt;/pub-dates&gt;&lt;year&gt;2015&lt;/year&gt;&lt;/dates&gt;&lt;urls&gt;&lt;related-urls&gt;&lt;url&gt;&amp;lt;Go to ISI&amp;gt;://WOS:000367723600005&lt;/url&gt;&lt;/related-urls&gt;&lt;/urls&gt;&lt;isbn&gt;1862-8346&lt;/isbn&gt;&lt;titles&gt;&lt;title&gt;Microarray-based identification of human antibodies against Staphylococcus aureus antigens&lt;/title&gt;&lt;secondary-title&gt;Proteomics Clinical Applications&lt;/secondary-title&gt;&lt;/titles&gt;&lt;pages&gt;1003-1011&lt;/pages&gt;&lt;number&gt;11-12&lt;/number&gt;&lt;contributors&gt;&lt;authors&gt;&lt;author&gt;Kloppot, P.&lt;/author&gt;&lt;author&gt;Selle, M.&lt;/author&gt;&lt;author&gt;Kohler, C.&lt;/author&gt;&lt;author&gt;Stentzel, S.&lt;/author&gt;&lt;author&gt;Fuchs, S.&lt;/author&gt;&lt;author&gt;Liebscher, V.&lt;/author&gt;&lt;author&gt;Muller, E.&lt;/author&gt;&lt;author&gt;Kale, D.&lt;/author&gt;&lt;author&gt;Ohlsen, K.&lt;/author&gt;&lt;author&gt;Broker, B. M.&lt;/author&gt;&lt;author&gt;Zipfel, P. F.&lt;/author&gt;&lt;author&gt;Kahl, B. C.&lt;/author&gt;&lt;author&gt;Ehricht, R.&lt;/author&gt;&lt;author&gt;Hecker, M.&lt;/author&gt;&lt;author&gt;Engelmann, S.&lt;/author&gt;&lt;/authors&gt;&lt;/contributors&gt;&lt;added-date format="utc"&gt;1677120134&lt;/added-date&gt;&lt;ref-type name="Journal Article"&gt;17&lt;/ref-type&gt;&lt;rec-number&gt;486&lt;/rec-number&gt;&lt;last-updated-date format="utc"&gt;1677120134&lt;/last-updated-date&gt;&lt;accession-num&gt;WOS:000367723600005&lt;/accession-num&gt;&lt;electronic-resource-num&gt;10.1002/prca.201400123&lt;/electronic-resource-num&gt;&lt;volume&gt;9&lt;/volume&gt;&lt;/record&gt;&lt;/Cite&gt;&lt;/EndNote&gt;</w:instrText>
      </w:r>
      <w:r w:rsidRPr="00150E78">
        <w:rPr>
          <w:rFonts w:ascii="Times New Roman" w:hAnsi="Times New Roman" w:cs="Times New Roman"/>
          <w:b/>
          <w:bCs/>
        </w:rPr>
        <w:fldChar w:fldCharType="separate"/>
      </w:r>
      <w:r w:rsidRPr="00150E78">
        <w:rPr>
          <w:rFonts w:ascii="Times New Roman" w:hAnsi="Times New Roman" w:cs="Times New Roman"/>
          <w:b/>
          <w:bCs/>
          <w:noProof/>
        </w:rPr>
        <w:t>(Kloppot</w:t>
      </w:r>
      <w:r w:rsidRPr="00150E78">
        <w:rPr>
          <w:rFonts w:ascii="Times New Roman" w:hAnsi="Times New Roman" w:cs="Times New Roman"/>
          <w:b/>
          <w:bCs/>
          <w:i/>
          <w:noProof/>
        </w:rPr>
        <w:t xml:space="preserve"> et al.</w:t>
      </w:r>
      <w:r w:rsidRPr="00150E78">
        <w:rPr>
          <w:rFonts w:ascii="Times New Roman" w:hAnsi="Times New Roman" w:cs="Times New Roman"/>
          <w:b/>
          <w:bCs/>
          <w:noProof/>
        </w:rPr>
        <w:t>, 2015)</w:t>
      </w:r>
      <w:r w:rsidRPr="00150E78">
        <w:rPr>
          <w:rFonts w:ascii="Times New Roman" w:hAnsi="Times New Roman" w:cs="Times New Roman"/>
          <w:b/>
          <w:bCs/>
        </w:rPr>
        <w:fldChar w:fldCharType="end"/>
      </w:r>
      <w:r>
        <w:rPr>
          <w:rFonts w:ascii="Times New Roman" w:hAnsi="Times New Roman" w:cs="Times New Roman"/>
        </w:rPr>
        <w:t>. Fc, complement and scavenger receptors will work in concert with other cell surface receptors such as TLRs to aid the process of phagocytosis.</w:t>
      </w:r>
    </w:p>
    <w:p w14:paraId="78EF40C2" w14:textId="77777777" w:rsidR="00033564" w:rsidRDefault="00033564" w:rsidP="00033564">
      <w:pPr>
        <w:pStyle w:val="Heading3"/>
      </w:pPr>
      <w:bookmarkStart w:id="44" w:name="_Toc142043579"/>
      <w:r>
        <w:t>1.3.4. Phagosomal maturation</w:t>
      </w:r>
      <w:bookmarkEnd w:id="44"/>
      <w:r>
        <w:t xml:space="preserve"> </w:t>
      </w:r>
    </w:p>
    <w:p w14:paraId="0D94402D" w14:textId="77777777" w:rsidR="00033564" w:rsidRDefault="00033564" w:rsidP="00033564"/>
    <w:p w14:paraId="0B6EAED4" w14:textId="77777777" w:rsidR="00033564" w:rsidRDefault="00033564" w:rsidP="00033564">
      <w:pPr>
        <w:spacing w:line="360" w:lineRule="auto"/>
        <w:jc w:val="both"/>
        <w:rPr>
          <w:rFonts w:ascii="Times New Roman" w:hAnsi="Times New Roman" w:cs="Times New Roman"/>
        </w:rPr>
      </w:pPr>
      <w:r>
        <w:rPr>
          <w:rFonts w:ascii="Times New Roman" w:hAnsi="Times New Roman" w:cs="Times New Roman"/>
        </w:rPr>
        <w:t xml:space="preserve">Following uptake by professional phagocytes, pathogens such as </w:t>
      </w:r>
      <w:r>
        <w:rPr>
          <w:rFonts w:ascii="Times New Roman" w:hAnsi="Times New Roman" w:cs="Times New Roman"/>
          <w:i/>
          <w:iCs/>
        </w:rPr>
        <w:t>S. aureus</w:t>
      </w:r>
      <w:r>
        <w:rPr>
          <w:rFonts w:ascii="Times New Roman" w:hAnsi="Times New Roman" w:cs="Times New Roman"/>
        </w:rPr>
        <w:t xml:space="preserve"> are sequestered within phagosomes. Phagosomal maturation is the process by which microbe-containing phagosomes undergo fission and fusion events with intracellular membrane-bound organelles containing microbicidal agents. This culminates in the formation of a mature phagolysosome and the unfavourable conditions within this compartment act to eliminate pathogens. Specifically, the phagosome will fuse with endosomes and lysosomes to form the phagolysosome and this pathway is often regarded as an endo-lysosomal pathway </w:t>
      </w:r>
      <w:r w:rsidRPr="00AB45AD">
        <w:rPr>
          <w:rFonts w:ascii="Times New Roman" w:hAnsi="Times New Roman" w:cs="Times New Roman"/>
          <w:b/>
          <w:bCs/>
        </w:rPr>
        <w:fldChar w:fldCharType="begin"/>
      </w:r>
      <w:r w:rsidRPr="00AB45AD">
        <w:rPr>
          <w:rFonts w:ascii="Times New Roman" w:hAnsi="Times New Roman" w:cs="Times New Roman"/>
          <w:b/>
          <w:bCs/>
        </w:rPr>
        <w:instrText xml:space="preserve"> ADDIN EN.CITE &lt;EndNote&gt;&lt;Cite&gt;&lt;Author&gt;Vieira&lt;/Author&gt;&lt;Year&gt;2002&lt;/Year&gt;&lt;IDText&gt;Phagosome maturation: aging gracefully&lt;/IDText&gt;&lt;DisplayText&gt;(Vieira, Botelho and Grinstein, 2002)&lt;/DisplayText&gt;&lt;record&gt;&lt;dates&gt;&lt;pub-dates&gt;&lt;date&gt;Sep&lt;/date&gt;&lt;/pub-dates&gt;&lt;year&gt;2002&lt;/year&gt;&lt;/dates&gt;&lt;urls&gt;&lt;related-urls&gt;&lt;url&gt;&amp;lt;Go to ISI&amp;gt;://WOS:000178258900001&lt;/url&gt;&lt;/related-urls&gt;&lt;/urls&gt;&lt;isbn&gt;0264-6021&lt;/isbn&gt;&lt;titles&gt;&lt;title&gt;Phagosome maturation: aging gracefully&lt;/title&gt;&lt;secondary-title&gt;Biochemical Journal&lt;/secondary-title&gt;&lt;/titles&gt;&lt;pages&gt;689-704&lt;/pages&gt;&lt;contributors&gt;&lt;authors&gt;&lt;author&gt;Vieira, O. V.&lt;/author&gt;&lt;author&gt;Botelho, R. J.&lt;/author&gt;&lt;author&gt;Grinstein, S.&lt;/author&gt;&lt;/authors&gt;&lt;/contributors&gt;&lt;added-date format="utc"&gt;1677164640&lt;/added-date&gt;&lt;ref-type name="Journal Article"&gt;17&lt;/ref-type&gt;&lt;rec-number&gt;487&lt;/rec-number&gt;&lt;last-updated-date format="utc"&gt;1677164640&lt;/last-updated-date&gt;&lt;accession-num&gt;WOS:000178258900001&lt;/accession-num&gt;&lt;electronic-resource-num&gt;10.1042/bj20020691&lt;/electronic-resource-num&gt;&lt;volume&gt;366&lt;/volume&gt;&lt;/record&gt;&lt;/Cite&gt;&lt;/EndNote&gt;</w:instrText>
      </w:r>
      <w:r w:rsidRPr="00AB45AD">
        <w:rPr>
          <w:rFonts w:ascii="Times New Roman" w:hAnsi="Times New Roman" w:cs="Times New Roman"/>
          <w:b/>
          <w:bCs/>
        </w:rPr>
        <w:fldChar w:fldCharType="separate"/>
      </w:r>
      <w:r w:rsidRPr="00AB45AD">
        <w:rPr>
          <w:rFonts w:ascii="Times New Roman" w:hAnsi="Times New Roman" w:cs="Times New Roman"/>
          <w:b/>
          <w:bCs/>
          <w:noProof/>
        </w:rPr>
        <w:t>(Vieira, Botelho and Grinstein, 2002)</w:t>
      </w:r>
      <w:r w:rsidRPr="00AB45AD">
        <w:rPr>
          <w:rFonts w:ascii="Times New Roman" w:hAnsi="Times New Roman" w:cs="Times New Roman"/>
          <w:b/>
          <w:bCs/>
        </w:rPr>
        <w:fldChar w:fldCharType="end"/>
      </w:r>
      <w:r>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33564" w14:paraId="197366EB" w14:textId="77777777" w:rsidTr="00A74445">
        <w:tc>
          <w:tcPr>
            <w:tcW w:w="9016" w:type="dxa"/>
          </w:tcPr>
          <w:p w14:paraId="3035C280" w14:textId="04554A70" w:rsidR="00033564" w:rsidRDefault="00D31EBE"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B2A3C1E" wp14:editId="494D2A86">
                  <wp:extent cx="5586216" cy="7692105"/>
                  <wp:effectExtent l="0" t="0" r="0" b="4445"/>
                  <wp:docPr id="234823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6216" cy="7692105"/>
                          </a:xfrm>
                          <a:prstGeom prst="rect">
                            <a:avLst/>
                          </a:prstGeom>
                          <a:noFill/>
                        </pic:spPr>
                      </pic:pic>
                    </a:graphicData>
                  </a:graphic>
                </wp:inline>
              </w:drawing>
            </w:r>
          </w:p>
        </w:tc>
      </w:tr>
      <w:tr w:rsidR="00033564" w14:paraId="61FDBA33" w14:textId="77777777" w:rsidTr="00A74445">
        <w:tc>
          <w:tcPr>
            <w:tcW w:w="9016" w:type="dxa"/>
          </w:tcPr>
          <w:p w14:paraId="7B40049B" w14:textId="17E1619B" w:rsidR="00033564" w:rsidRPr="000D23E2" w:rsidRDefault="00033564" w:rsidP="00A74445">
            <w:pPr>
              <w:jc w:val="both"/>
              <w:rPr>
                <w:rFonts w:ascii="Times New Roman" w:hAnsi="Times New Roman" w:cs="Times New Roman"/>
                <w:sz w:val="18"/>
                <w:szCs w:val="18"/>
              </w:rPr>
            </w:pPr>
            <w:r w:rsidRPr="000D23E2">
              <w:rPr>
                <w:rFonts w:ascii="Times New Roman" w:hAnsi="Times New Roman" w:cs="Times New Roman"/>
                <w:b/>
                <w:bCs/>
                <w:sz w:val="18"/>
                <w:szCs w:val="18"/>
              </w:rPr>
              <w:t xml:space="preserve">Figure 1.3.4. Phagosomal maturation. </w:t>
            </w:r>
            <w:r w:rsidRPr="000D23E2">
              <w:rPr>
                <w:rFonts w:ascii="Times New Roman" w:hAnsi="Times New Roman" w:cs="Times New Roman"/>
                <w:sz w:val="18"/>
                <w:szCs w:val="18"/>
              </w:rPr>
              <w:t>Upon recognition of bacteria by cell surface receptors, phagocytosis occurs, forming a nascent phagosome. The most important effector is Rab5 which, once active, recruits Vps34 PI3K that allows the production of PI(3)P. The tether, EEA1 is subsequently recruited and associated with Rab5. EEA1 and SNARE mediate the fusion of the early endosome with the nascent phagosome to form a</w:t>
            </w:r>
            <w:r w:rsidR="00F96BCD">
              <w:rPr>
                <w:rFonts w:ascii="Times New Roman" w:hAnsi="Times New Roman" w:cs="Times New Roman"/>
                <w:sz w:val="18"/>
                <w:szCs w:val="18"/>
              </w:rPr>
              <w:t>n</w:t>
            </w:r>
            <w:r w:rsidRPr="000D23E2">
              <w:rPr>
                <w:rFonts w:ascii="Times New Roman" w:hAnsi="Times New Roman" w:cs="Times New Roman"/>
                <w:sz w:val="18"/>
                <w:szCs w:val="18"/>
              </w:rPr>
              <w:t xml:space="preserve"> early phagosome. Mon1/Ccz-1 mediate the activation of Rab7 and deactivation of Rab5 by ultimately activating HOPS. Active Rab7 recruits RILP and ORPL1 which allow</w:t>
            </w:r>
            <w:r w:rsidR="00EA21C7">
              <w:rPr>
                <w:rFonts w:ascii="Times New Roman" w:hAnsi="Times New Roman" w:cs="Times New Roman"/>
                <w:sz w:val="18"/>
                <w:szCs w:val="18"/>
              </w:rPr>
              <w:t>s</w:t>
            </w:r>
            <w:r w:rsidRPr="000D23E2">
              <w:rPr>
                <w:rFonts w:ascii="Times New Roman" w:hAnsi="Times New Roman" w:cs="Times New Roman"/>
                <w:sz w:val="18"/>
                <w:szCs w:val="18"/>
              </w:rPr>
              <w:t xml:space="preserve"> trafficking of the phagosome towards the Golgi apparatus where late endosomal fusion can occur. It is here that late phagosome</w:t>
            </w:r>
            <w:r w:rsidR="00EA21C7">
              <w:rPr>
                <w:rFonts w:ascii="Times New Roman" w:hAnsi="Times New Roman" w:cs="Times New Roman"/>
                <w:sz w:val="18"/>
                <w:szCs w:val="18"/>
              </w:rPr>
              <w:t>s</w:t>
            </w:r>
            <w:r w:rsidRPr="000D23E2">
              <w:rPr>
                <w:rFonts w:ascii="Times New Roman" w:hAnsi="Times New Roman" w:cs="Times New Roman"/>
                <w:sz w:val="18"/>
                <w:szCs w:val="18"/>
              </w:rPr>
              <w:t xml:space="preserve"> express LAMP1/2 (lysosomal markers). The SNARE complex comprised of VAMP7/8 and syntaxin 7/8 coordinate fusion of lysosomes to produce the phagolysosome. v-ATPase is abundant within the phagolysosome. </w:t>
            </w:r>
          </w:p>
        </w:tc>
      </w:tr>
    </w:tbl>
    <w:p w14:paraId="5DDD1529" w14:textId="77777777" w:rsidR="00033564" w:rsidRDefault="00033564" w:rsidP="00033564">
      <w:pPr>
        <w:pStyle w:val="Heading4"/>
      </w:pPr>
      <w:r>
        <w:t>1.3.4.1. The early phagosome</w:t>
      </w:r>
    </w:p>
    <w:p w14:paraId="0581AF8C" w14:textId="77777777" w:rsidR="00033564" w:rsidRPr="0068491C" w:rsidRDefault="00033564" w:rsidP="00033564"/>
    <w:p w14:paraId="5B3845AE" w14:textId="5745CBD0" w:rsidR="00033564" w:rsidRPr="00692ED3" w:rsidRDefault="00033564" w:rsidP="00033564">
      <w:pPr>
        <w:spacing w:line="360" w:lineRule="auto"/>
        <w:jc w:val="both"/>
        <w:rPr>
          <w:rFonts w:ascii="Times New Roman" w:hAnsi="Times New Roman" w:cs="Times New Roman"/>
        </w:rPr>
      </w:pPr>
      <w:r>
        <w:rPr>
          <w:rFonts w:ascii="Times New Roman" w:hAnsi="Times New Roman" w:cs="Times New Roman"/>
        </w:rPr>
        <w:t xml:space="preserve">Fusion of early endosomes with the nascent phagosome forms the early phagosome. The early endosome is an organelle responsible for sorting endocytosed materials and will mature into late endosomes and are mildly acidic (pH ~6.1)  </w:t>
      </w:r>
      <w:r w:rsidRPr="001D216E">
        <w:rPr>
          <w:rFonts w:ascii="Times New Roman" w:hAnsi="Times New Roman" w:cs="Times New Roman"/>
          <w:b/>
          <w:bCs/>
        </w:rPr>
        <w:fldChar w:fldCharType="begin">
          <w:fldData xml:space="preserve">PEVuZE5vdGU+PENpdGU+PEF1dGhvcj5HcmFudDwvQXV0aG9yPjxZZWFyPjIwMDk8L1llYXI+PElE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PEVuZE5vdGU+PENpdGU+PEF1dGhvcj5HcmFudDwvQXV0aG9yPjxZZWFyPjIwMDk8L1llYXI+PElE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1D216E">
        <w:rPr>
          <w:rFonts w:ascii="Times New Roman" w:hAnsi="Times New Roman" w:cs="Times New Roman"/>
          <w:b/>
          <w:bCs/>
        </w:rPr>
      </w:r>
      <w:r w:rsidRPr="001D216E">
        <w:rPr>
          <w:rFonts w:ascii="Times New Roman" w:hAnsi="Times New Roman" w:cs="Times New Roman"/>
          <w:b/>
          <w:bCs/>
        </w:rPr>
        <w:fldChar w:fldCharType="separate"/>
      </w:r>
      <w:r>
        <w:rPr>
          <w:rFonts w:ascii="Times New Roman" w:hAnsi="Times New Roman" w:cs="Times New Roman"/>
          <w:b/>
          <w:bCs/>
          <w:noProof/>
        </w:rPr>
        <w:t>(Grant and Donaldson, 2009; Luzio</w:t>
      </w:r>
      <w:r w:rsidRPr="00D5392A">
        <w:rPr>
          <w:rFonts w:ascii="Times New Roman" w:hAnsi="Times New Roman" w:cs="Times New Roman"/>
          <w:b/>
          <w:bCs/>
          <w:i/>
          <w:noProof/>
        </w:rPr>
        <w:t xml:space="preserve"> et al.</w:t>
      </w:r>
      <w:r>
        <w:rPr>
          <w:rFonts w:ascii="Times New Roman" w:hAnsi="Times New Roman" w:cs="Times New Roman"/>
          <w:b/>
          <w:bCs/>
          <w:noProof/>
        </w:rPr>
        <w:t>, 2009; Maxfield and McGraw, 2004)</w:t>
      </w:r>
      <w:r w:rsidRPr="001D216E">
        <w:rPr>
          <w:rFonts w:ascii="Times New Roman" w:hAnsi="Times New Roman" w:cs="Times New Roman"/>
          <w:b/>
          <w:bCs/>
        </w:rPr>
        <w:fldChar w:fldCharType="end"/>
      </w:r>
      <w:r>
        <w:rPr>
          <w:rFonts w:ascii="Times New Roman" w:hAnsi="Times New Roman" w:cs="Times New Roman"/>
        </w:rPr>
        <w:t xml:space="preserve">. The Rab5 GTPase in its active GTP-bound state is associated with the endosomal and phagosomal membranes </w:t>
      </w:r>
      <w:r w:rsidRPr="00977D65">
        <w:rPr>
          <w:rFonts w:ascii="Times New Roman" w:hAnsi="Times New Roman" w:cs="Times New Roman"/>
          <w:b/>
          <w:bCs/>
        </w:rPr>
        <w:fldChar w:fldCharType="begin">
          <w:fldData xml:space="preserve">PEVuZE5vdGU+PENpdGU+PEF1dGhvcj5VbGxyaWNoPC9BdXRob3I+PFllYXI+MTk5NDwvWWVhcj48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PEVuZE5vdGU+PENpdGU+PEF1dGhvcj5VbGxyaWNoPC9BdXRob3I+PFllYXI+MTk5NDwvWWVhcj48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977D65">
        <w:rPr>
          <w:rFonts w:ascii="Times New Roman" w:hAnsi="Times New Roman" w:cs="Times New Roman"/>
          <w:b/>
          <w:bCs/>
        </w:rPr>
      </w:r>
      <w:r w:rsidRPr="00977D65">
        <w:rPr>
          <w:rFonts w:ascii="Times New Roman" w:hAnsi="Times New Roman" w:cs="Times New Roman"/>
          <w:b/>
          <w:bCs/>
        </w:rPr>
        <w:fldChar w:fldCharType="separate"/>
      </w:r>
      <w:r>
        <w:rPr>
          <w:rFonts w:ascii="Times New Roman" w:hAnsi="Times New Roman" w:cs="Times New Roman"/>
          <w:b/>
          <w:bCs/>
          <w:noProof/>
        </w:rPr>
        <w:t>(Ullrich</w:t>
      </w:r>
      <w:r w:rsidRPr="007D4C00">
        <w:rPr>
          <w:rFonts w:ascii="Times New Roman" w:hAnsi="Times New Roman" w:cs="Times New Roman"/>
          <w:b/>
          <w:bCs/>
          <w:i/>
          <w:noProof/>
        </w:rPr>
        <w:t xml:space="preserve"> et al.</w:t>
      </w:r>
      <w:r>
        <w:rPr>
          <w:rFonts w:ascii="Times New Roman" w:hAnsi="Times New Roman" w:cs="Times New Roman"/>
          <w:b/>
          <w:bCs/>
          <w:noProof/>
        </w:rPr>
        <w:t>, 1994; Bucci</w:t>
      </w:r>
      <w:r w:rsidRPr="007D4C00">
        <w:rPr>
          <w:rFonts w:ascii="Times New Roman" w:hAnsi="Times New Roman" w:cs="Times New Roman"/>
          <w:b/>
          <w:bCs/>
          <w:i/>
          <w:noProof/>
        </w:rPr>
        <w:t xml:space="preserve"> et al.</w:t>
      </w:r>
      <w:r>
        <w:rPr>
          <w:rFonts w:ascii="Times New Roman" w:hAnsi="Times New Roman" w:cs="Times New Roman"/>
          <w:b/>
          <w:bCs/>
          <w:noProof/>
        </w:rPr>
        <w:t>, 1992; Flannagan, Jaumouille and Grinstein, 2012)</w:t>
      </w:r>
      <w:r w:rsidRPr="00977D65">
        <w:rPr>
          <w:rFonts w:ascii="Times New Roman" w:hAnsi="Times New Roman" w:cs="Times New Roman"/>
          <w:b/>
          <w:bCs/>
        </w:rPr>
        <w:fldChar w:fldCharType="end"/>
      </w:r>
      <w:r>
        <w:rPr>
          <w:rFonts w:ascii="Times New Roman" w:hAnsi="Times New Roman" w:cs="Times New Roman"/>
          <w:b/>
          <w:bCs/>
        </w:rPr>
        <w:t xml:space="preserve"> (Fig. 1.3.4)</w:t>
      </w:r>
      <w:r>
        <w:rPr>
          <w:rFonts w:ascii="Times New Roman" w:hAnsi="Times New Roman" w:cs="Times New Roman"/>
        </w:rPr>
        <w:t>. The cues that lead to Rab5 activation</w:t>
      </w:r>
      <w:r w:rsidR="00EA21C7">
        <w:rPr>
          <w:rFonts w:ascii="Times New Roman" w:hAnsi="Times New Roman" w:cs="Times New Roman"/>
        </w:rPr>
        <w:t xml:space="preserve"> and</w:t>
      </w:r>
      <w:r>
        <w:rPr>
          <w:rFonts w:ascii="Times New Roman" w:hAnsi="Times New Roman" w:cs="Times New Roman"/>
        </w:rPr>
        <w:t xml:space="preserve"> recruitment are unclear, however the contents of the phagosome play a role in the mechanism by which it is activated </w:t>
      </w:r>
      <w:r w:rsidRPr="007110E2">
        <w:rPr>
          <w:rFonts w:ascii="Times New Roman" w:hAnsi="Times New Roman" w:cs="Times New Roman"/>
          <w:b/>
          <w:bCs/>
        </w:rPr>
        <w:fldChar w:fldCharType="begin">
          <w:fldData xml:space="preserve">PEVuZE5vdGU+PENpdGU+PEF1dGhvcj5CdWNjaTwvQXV0aG9yPjxZZWFyPjE5OTI8L1llYXI+PElE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PEVuZE5vdGU+PENpdGU+PEF1dGhvcj5CdWNjaTwvQXV0aG9yPjxZZWFyPjE5OTI8L1llYXI+PElE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7110E2">
        <w:rPr>
          <w:rFonts w:ascii="Times New Roman" w:hAnsi="Times New Roman" w:cs="Times New Roman"/>
          <w:b/>
          <w:bCs/>
        </w:rPr>
      </w:r>
      <w:r w:rsidRPr="007110E2">
        <w:rPr>
          <w:rFonts w:ascii="Times New Roman" w:hAnsi="Times New Roman" w:cs="Times New Roman"/>
          <w:b/>
          <w:bCs/>
        </w:rPr>
        <w:fldChar w:fldCharType="separate"/>
      </w:r>
      <w:r>
        <w:rPr>
          <w:rFonts w:ascii="Times New Roman" w:hAnsi="Times New Roman" w:cs="Times New Roman"/>
          <w:b/>
          <w:bCs/>
          <w:noProof/>
        </w:rPr>
        <w:t>(Bucci</w:t>
      </w:r>
      <w:r w:rsidRPr="005243B1">
        <w:rPr>
          <w:rFonts w:ascii="Times New Roman" w:hAnsi="Times New Roman" w:cs="Times New Roman"/>
          <w:b/>
          <w:bCs/>
          <w:i/>
          <w:noProof/>
        </w:rPr>
        <w:t xml:space="preserve"> et al.</w:t>
      </w:r>
      <w:r>
        <w:rPr>
          <w:rFonts w:ascii="Times New Roman" w:hAnsi="Times New Roman" w:cs="Times New Roman"/>
          <w:b/>
          <w:bCs/>
          <w:noProof/>
        </w:rPr>
        <w:t>, 1992; Pei</w:t>
      </w:r>
      <w:r w:rsidRPr="005243B1">
        <w:rPr>
          <w:rFonts w:ascii="Times New Roman" w:hAnsi="Times New Roman" w:cs="Times New Roman"/>
          <w:b/>
          <w:bCs/>
          <w:i/>
          <w:noProof/>
        </w:rPr>
        <w:t xml:space="preserve"> et al.</w:t>
      </w:r>
      <w:r>
        <w:rPr>
          <w:rFonts w:ascii="Times New Roman" w:hAnsi="Times New Roman" w:cs="Times New Roman"/>
          <w:b/>
          <w:bCs/>
          <w:noProof/>
        </w:rPr>
        <w:t>, 2014; Kitano</w:t>
      </w:r>
      <w:r w:rsidRPr="005243B1">
        <w:rPr>
          <w:rFonts w:ascii="Times New Roman" w:hAnsi="Times New Roman" w:cs="Times New Roman"/>
          <w:b/>
          <w:bCs/>
          <w:i/>
          <w:noProof/>
        </w:rPr>
        <w:t xml:space="preserve"> et al.</w:t>
      </w:r>
      <w:r>
        <w:rPr>
          <w:rFonts w:ascii="Times New Roman" w:hAnsi="Times New Roman" w:cs="Times New Roman"/>
          <w:b/>
          <w:bCs/>
          <w:noProof/>
        </w:rPr>
        <w:t>, 2008)</w:t>
      </w:r>
      <w:r w:rsidRPr="007110E2">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The function of Rab5 is to coordinate fusion of early endosomes to phagosomes and this is done by recruiting multiple effector proteins. Rab5 recruits the </w:t>
      </w:r>
      <w:r w:rsidRPr="00D5392A">
        <w:rPr>
          <w:rFonts w:ascii="Times New Roman" w:hAnsi="Times New Roman" w:cs="Times New Roman"/>
        </w:rPr>
        <w:t>Vps34 </w:t>
      </w:r>
      <w:hyperlink r:id="rId19" w:tooltip="Learn more about phosphatidylinositol from ScienceDirect's AI-generated Topic Pages" w:history="1">
        <w:r w:rsidRPr="00D5392A">
          <w:rPr>
            <w:rFonts w:ascii="Times New Roman" w:hAnsi="Times New Roman" w:cs="Times New Roman"/>
          </w:rPr>
          <w:t>phosphatidylinositol</w:t>
        </w:r>
      </w:hyperlink>
      <w:r w:rsidRPr="00D5392A">
        <w:rPr>
          <w:rFonts w:ascii="Times New Roman" w:hAnsi="Times New Roman" w:cs="Times New Roman"/>
        </w:rPr>
        <w:t> (PI) 3-kinase (PI3K)</w:t>
      </w:r>
      <w:r>
        <w:rPr>
          <w:rFonts w:ascii="Times New Roman" w:hAnsi="Times New Roman" w:cs="Times New Roman"/>
        </w:rPr>
        <w:t xml:space="preserve"> that enables production of  </w:t>
      </w:r>
      <w:bookmarkStart w:id="45" w:name="_Hlk128072079"/>
      <w:r w:rsidRPr="005243B1">
        <w:rPr>
          <w:rFonts w:ascii="Times New Roman" w:hAnsi="Times New Roman" w:cs="Times New Roman"/>
        </w:rPr>
        <w:t>phosphatidylinositol 3-</w:t>
      </w:r>
      <w:r w:rsidRPr="00CC36D9">
        <w:rPr>
          <w:rFonts w:ascii="Times New Roman" w:hAnsi="Times New Roman" w:cs="Times New Roman"/>
          <w:color w:val="000000" w:themeColor="text1"/>
        </w:rPr>
        <w:t xml:space="preserve">phosphate (PI(3)P) </w:t>
      </w:r>
      <w:bookmarkEnd w:id="45"/>
      <w:r w:rsidRPr="007D4C00">
        <w:rPr>
          <w:rFonts w:ascii="Times New Roman" w:hAnsi="Times New Roman" w:cs="Times New Roman"/>
          <w:color w:val="000000" w:themeColor="text1"/>
        </w:rPr>
        <w:t xml:space="preserve">in abundance, </w:t>
      </w:r>
      <w:r>
        <w:rPr>
          <w:rFonts w:ascii="Times New Roman" w:hAnsi="Times New Roman" w:cs="Times New Roman"/>
          <w:color w:val="000000" w:themeColor="text1"/>
        </w:rPr>
        <w:t>a regulator of the early endosome</w:t>
      </w:r>
      <w:r>
        <w:rPr>
          <w:rFonts w:ascii="Times New Roman" w:hAnsi="Times New Roman" w:cs="Times New Roman"/>
          <w:color w:val="FF0000"/>
        </w:rPr>
        <w:t xml:space="preserve"> </w:t>
      </w:r>
      <w:r w:rsidRPr="001260FB">
        <w:rPr>
          <w:rFonts w:ascii="Times New Roman" w:hAnsi="Times New Roman" w:cs="Times New Roman"/>
          <w:b/>
          <w:bCs/>
          <w:color w:val="000000" w:themeColor="text1"/>
        </w:rPr>
        <w:fldChar w:fldCharType="begin">
          <w:fldData xml:space="preserve">PEVuZE5vdGU+PENpdGU+PEF1dGhvcj5DaHJpc3RvZm9yaWRpczwvQXV0aG9yPjxZZWFyPjE5OTk8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</w:fldData>
        </w:fldChar>
      </w:r>
      <w:r w:rsidRPr="001260FB">
        <w:rPr>
          <w:rFonts w:ascii="Times New Roman" w:hAnsi="Times New Roman" w:cs="Times New Roman"/>
          <w:b/>
          <w:bCs/>
          <w:color w:val="000000" w:themeColor="text1"/>
        </w:rPr>
        <w:instrText xml:space="preserve"> ADDIN EN.CITE </w:instrText>
      </w:r>
      <w:r w:rsidRPr="001260FB">
        <w:rPr>
          <w:rFonts w:ascii="Times New Roman" w:hAnsi="Times New Roman" w:cs="Times New Roman"/>
          <w:b/>
          <w:bCs/>
          <w:color w:val="000000" w:themeColor="text1"/>
        </w:rPr>
        <w:fldChar w:fldCharType="begin">
          <w:fldData xml:space="preserve">PEVuZE5vdGU+PENpdGU+PEF1dGhvcj5DaHJpc3RvZm9yaWRpczwvQXV0aG9yPjxZZWFyPjE5OTk8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</w:fldData>
        </w:fldChar>
      </w:r>
      <w:r w:rsidRPr="001260FB">
        <w:rPr>
          <w:rFonts w:ascii="Times New Roman" w:hAnsi="Times New Roman" w:cs="Times New Roman"/>
          <w:b/>
          <w:bCs/>
          <w:color w:val="000000" w:themeColor="text1"/>
        </w:rPr>
        <w:instrText xml:space="preserve"> ADDIN EN.CITE.DATA </w:instrText>
      </w:r>
      <w:r w:rsidRPr="001260FB">
        <w:rPr>
          <w:rFonts w:ascii="Times New Roman" w:hAnsi="Times New Roman" w:cs="Times New Roman"/>
          <w:b/>
          <w:bCs/>
          <w:color w:val="000000" w:themeColor="text1"/>
        </w:rPr>
      </w:r>
      <w:r w:rsidRPr="001260FB">
        <w:rPr>
          <w:rFonts w:ascii="Times New Roman" w:hAnsi="Times New Roman" w:cs="Times New Roman"/>
          <w:b/>
          <w:bCs/>
          <w:color w:val="000000" w:themeColor="text1"/>
        </w:rPr>
        <w:fldChar w:fldCharType="end"/>
      </w:r>
      <w:r w:rsidRPr="001260FB">
        <w:rPr>
          <w:rFonts w:ascii="Times New Roman" w:hAnsi="Times New Roman" w:cs="Times New Roman"/>
          <w:b/>
          <w:bCs/>
          <w:color w:val="000000" w:themeColor="text1"/>
        </w:rPr>
      </w:r>
      <w:r w:rsidRPr="001260FB">
        <w:rPr>
          <w:rFonts w:ascii="Times New Roman" w:hAnsi="Times New Roman" w:cs="Times New Roman"/>
          <w:b/>
          <w:bCs/>
          <w:color w:val="000000" w:themeColor="text1"/>
        </w:rPr>
        <w:fldChar w:fldCharType="separate"/>
      </w:r>
      <w:r w:rsidRPr="001260FB">
        <w:rPr>
          <w:rFonts w:ascii="Times New Roman" w:hAnsi="Times New Roman" w:cs="Times New Roman"/>
          <w:b/>
          <w:bCs/>
          <w:noProof/>
          <w:color w:val="000000" w:themeColor="text1"/>
        </w:rPr>
        <w:t>(Christoforidis</w:t>
      </w:r>
      <w:r w:rsidRPr="001260FB">
        <w:rPr>
          <w:rFonts w:ascii="Times New Roman" w:hAnsi="Times New Roman" w:cs="Times New Roman"/>
          <w:b/>
          <w:bCs/>
          <w:i/>
          <w:noProof/>
          <w:color w:val="000000" w:themeColor="text1"/>
        </w:rPr>
        <w:t xml:space="preserve"> et al.</w:t>
      </w:r>
      <w:r w:rsidRPr="001260FB">
        <w:rPr>
          <w:rFonts w:ascii="Times New Roman" w:hAnsi="Times New Roman" w:cs="Times New Roman"/>
          <w:b/>
          <w:bCs/>
          <w:noProof/>
          <w:color w:val="000000" w:themeColor="text1"/>
        </w:rPr>
        <w:t>, 1999a; Christoforidis</w:t>
      </w:r>
      <w:r w:rsidRPr="001260FB">
        <w:rPr>
          <w:rFonts w:ascii="Times New Roman" w:hAnsi="Times New Roman" w:cs="Times New Roman"/>
          <w:b/>
          <w:bCs/>
          <w:i/>
          <w:noProof/>
          <w:color w:val="000000" w:themeColor="text1"/>
        </w:rPr>
        <w:t xml:space="preserve"> et al.</w:t>
      </w:r>
      <w:r w:rsidRPr="001260FB">
        <w:rPr>
          <w:rFonts w:ascii="Times New Roman" w:hAnsi="Times New Roman" w:cs="Times New Roman"/>
          <w:b/>
          <w:bCs/>
          <w:noProof/>
          <w:color w:val="000000" w:themeColor="text1"/>
        </w:rPr>
        <w:t>, 1999b)</w:t>
      </w:r>
      <w:r w:rsidRPr="001260FB">
        <w:rPr>
          <w:rFonts w:ascii="Times New Roman" w:hAnsi="Times New Roman" w:cs="Times New Roman"/>
          <w:b/>
          <w:bCs/>
          <w:color w:val="000000" w:themeColor="text1"/>
        </w:rPr>
        <w:fldChar w:fldCharType="end"/>
      </w:r>
      <w:r>
        <w:rPr>
          <w:rFonts w:ascii="Times New Roman" w:hAnsi="Times New Roman" w:cs="Times New Roman"/>
        </w:rPr>
        <w:t xml:space="preserve">. The early endosome antigen 1 (EEA1) is a molecular tether subsequently recruited due to PI(3)P signalling pathways </w:t>
      </w:r>
      <w:r w:rsidRPr="001260FB">
        <w:rPr>
          <w:rFonts w:ascii="Times New Roman" w:hAnsi="Times New Roman" w:cs="Times New Roman"/>
          <w:b/>
          <w:bCs/>
        </w:rPr>
        <w:fldChar w:fldCharType="begin"/>
      </w:r>
      <w:r w:rsidRPr="001260FB">
        <w:rPr>
          <w:rFonts w:ascii="Times New Roman" w:hAnsi="Times New Roman" w:cs="Times New Roman"/>
          <w:b/>
          <w:bCs/>
        </w:rPr>
        <w:instrText xml:space="preserve"> ADDIN EN.CITE &lt;EndNote&gt;&lt;Cite&gt;&lt;Author&gt;McBride&lt;/Author&gt;&lt;Year&gt;1999&lt;/Year&gt;&lt;IDText&gt;Oligomeric complexes link Rab5 effectors with NSF and drive membrane fusion via interactions between EEA1 and syntaxin 13&lt;/IDText&gt;&lt;DisplayText&gt;(McBride&lt;style face="italic"&gt; et al.&lt;/style&gt;, 1999)&lt;/DisplayText&gt;&lt;record&gt;&lt;dates&gt;&lt;pub-dates&gt;&lt;date&gt;Aug&lt;/date&gt;&lt;/pub-dates&gt;&lt;year&gt;1999&lt;/year&gt;&lt;/dates&gt;&lt;urls&gt;&lt;related-urls&gt;&lt;url&gt;&amp;lt;Go to ISI&amp;gt;://WOS:000081950300012&lt;/url&gt;&lt;/related-urls&gt;&lt;/urls&gt;&lt;isbn&gt;0092-8674&lt;/isbn&gt;&lt;titles&gt;&lt;title&gt;Oligomeric complexes link Rab5 effectors with NSF and drive membrane fusion via interactions between EEA1 and syntaxin 13&lt;/title&gt;&lt;secondary-title&gt;Cell&lt;/secondary-title&gt;&lt;/titles&gt;&lt;pages&gt;377-386&lt;/pages&gt;&lt;number&gt;3&lt;/number&gt;&lt;contributors&gt;&lt;authors&gt;&lt;author&gt;McBride, H. M.&lt;/author&gt;&lt;author&gt;Rybin, V.&lt;/author&gt;&lt;author&gt;Murphy, C.&lt;/author&gt;&lt;author&gt;Giner, A.&lt;/author&gt;&lt;author&gt;Teasdale, R.&lt;/author&gt;&lt;author&gt;Zerial, M.&lt;/author&gt;&lt;/authors&gt;&lt;/contributors&gt;&lt;added-date format="utc"&gt;1677172292&lt;/added-date&gt;&lt;ref-type name="Journal Article"&gt;17&lt;/ref-type&gt;&lt;rec-number&gt;498&lt;/rec-number&gt;&lt;last-updated-date format="utc"&gt;1677172292&lt;/last-updated-date&gt;&lt;accession-num&gt;WOS:000081950300012&lt;/accession-num&gt;&lt;electronic-resource-num&gt;10.1016/s0092-8674(00)81966-2&lt;/electronic-resource-num&gt;&lt;volume&gt;98&lt;/volume&gt;&lt;/record&gt;&lt;/Cite&gt;&lt;/EndNote&gt;</w:instrText>
      </w:r>
      <w:r w:rsidRPr="001260FB">
        <w:rPr>
          <w:rFonts w:ascii="Times New Roman" w:hAnsi="Times New Roman" w:cs="Times New Roman"/>
          <w:b/>
          <w:bCs/>
        </w:rPr>
        <w:fldChar w:fldCharType="separate"/>
      </w:r>
      <w:r w:rsidRPr="001260FB">
        <w:rPr>
          <w:rFonts w:ascii="Times New Roman" w:hAnsi="Times New Roman" w:cs="Times New Roman"/>
          <w:b/>
          <w:bCs/>
          <w:noProof/>
        </w:rPr>
        <w:t>(McBride</w:t>
      </w:r>
      <w:r w:rsidRPr="001260FB">
        <w:rPr>
          <w:rFonts w:ascii="Times New Roman" w:hAnsi="Times New Roman" w:cs="Times New Roman"/>
          <w:b/>
          <w:bCs/>
          <w:i/>
          <w:noProof/>
        </w:rPr>
        <w:t xml:space="preserve"> et al.</w:t>
      </w:r>
      <w:r w:rsidRPr="001260FB">
        <w:rPr>
          <w:rFonts w:ascii="Times New Roman" w:hAnsi="Times New Roman" w:cs="Times New Roman"/>
          <w:b/>
          <w:bCs/>
          <w:noProof/>
        </w:rPr>
        <w:t>, 1999)</w:t>
      </w:r>
      <w:r w:rsidRPr="001260FB">
        <w:rPr>
          <w:rFonts w:ascii="Times New Roman" w:hAnsi="Times New Roman" w:cs="Times New Roman"/>
          <w:b/>
          <w:bCs/>
        </w:rPr>
        <w:fldChar w:fldCharType="end"/>
      </w:r>
      <w:r>
        <w:rPr>
          <w:rFonts w:ascii="Times New Roman" w:hAnsi="Times New Roman" w:cs="Times New Roman"/>
        </w:rPr>
        <w:t xml:space="preserve">. EEA1 associates with Rab5 and in conjunction with </w:t>
      </w:r>
      <w:bookmarkStart w:id="46" w:name="_Hlk128072162"/>
      <w:r w:rsidRPr="002E7D3D">
        <w:rPr>
          <w:rFonts w:ascii="Times New Roman" w:hAnsi="Times New Roman" w:cs="Times New Roman"/>
        </w:rPr>
        <w:t>N-ethylmaleimide-sensitive factor attachment protein receptors</w:t>
      </w:r>
      <w:bookmarkEnd w:id="46"/>
      <w:r w:rsidRPr="002E7D3D">
        <w:rPr>
          <w:rFonts w:ascii="Times New Roman" w:hAnsi="Times New Roman" w:cs="Times New Roman"/>
        </w:rPr>
        <w:t xml:space="preserve"> </w:t>
      </w:r>
      <w:r w:rsidRPr="00CC36D9">
        <w:rPr>
          <w:rFonts w:ascii="Times New Roman" w:hAnsi="Times New Roman" w:cs="Times New Roman"/>
          <w:color w:val="000000" w:themeColor="text1"/>
        </w:rPr>
        <w:t xml:space="preserve">(SNAREs) </w:t>
      </w:r>
      <w:r>
        <w:rPr>
          <w:rFonts w:ascii="Times New Roman" w:hAnsi="Times New Roman" w:cs="Times New Roman"/>
          <w:color w:val="000000" w:themeColor="text1"/>
        </w:rPr>
        <w:t>(receptors that mediate membrane fusion)</w:t>
      </w:r>
      <w:r>
        <w:rPr>
          <w:rFonts w:ascii="Times New Roman" w:hAnsi="Times New Roman" w:cs="Times New Roman"/>
        </w:rPr>
        <w:t xml:space="preserve">, allows fusion of the early endosome to the phagosome to produce an early phagosome </w:t>
      </w:r>
      <w:r w:rsidRPr="001260FB">
        <w:rPr>
          <w:rFonts w:ascii="Times New Roman" w:hAnsi="Times New Roman" w:cs="Times New Roman"/>
          <w:b/>
          <w:bCs/>
        </w:rPr>
        <w:fldChar w:fldCharType="begin">
          <w:fldData xml:space="preserve">PEVuZE5vdGU+PENpdGU+PEF1dGhvcj5DaHJpc3RvZm9yaWRpczwvQXV0aG9yPjxZZWFyPjE5OTk8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</w:fldData>
        </w:fldChar>
      </w:r>
      <w:r w:rsidRPr="001260FB">
        <w:rPr>
          <w:rFonts w:ascii="Times New Roman" w:hAnsi="Times New Roman" w:cs="Times New Roman"/>
          <w:b/>
          <w:bCs/>
        </w:rPr>
        <w:instrText xml:space="preserve"> ADDIN EN.CITE </w:instrText>
      </w:r>
      <w:r w:rsidRPr="001260FB">
        <w:rPr>
          <w:rFonts w:ascii="Times New Roman" w:hAnsi="Times New Roman" w:cs="Times New Roman"/>
          <w:b/>
          <w:bCs/>
        </w:rPr>
        <w:fldChar w:fldCharType="begin">
          <w:fldData xml:space="preserve">PEVuZE5vdGU+PENpdGU+PEF1dGhvcj5DaHJpc3RvZm9yaWRpczwvQXV0aG9yPjxZZWFyPjE5OTk8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</w:fldData>
        </w:fldChar>
      </w:r>
      <w:r w:rsidRPr="001260FB">
        <w:rPr>
          <w:rFonts w:ascii="Times New Roman" w:hAnsi="Times New Roman" w:cs="Times New Roman"/>
          <w:b/>
          <w:bCs/>
        </w:rPr>
        <w:instrText xml:space="preserve"> ADDIN EN.CITE.DATA </w:instrText>
      </w:r>
      <w:r w:rsidRPr="001260FB">
        <w:rPr>
          <w:rFonts w:ascii="Times New Roman" w:hAnsi="Times New Roman" w:cs="Times New Roman"/>
          <w:b/>
          <w:bCs/>
        </w:rPr>
      </w:r>
      <w:r w:rsidRPr="001260FB">
        <w:rPr>
          <w:rFonts w:ascii="Times New Roman" w:hAnsi="Times New Roman" w:cs="Times New Roman"/>
          <w:b/>
          <w:bCs/>
        </w:rPr>
        <w:fldChar w:fldCharType="end"/>
      </w:r>
      <w:r w:rsidRPr="001260FB">
        <w:rPr>
          <w:rFonts w:ascii="Times New Roman" w:hAnsi="Times New Roman" w:cs="Times New Roman"/>
          <w:b/>
          <w:bCs/>
        </w:rPr>
      </w:r>
      <w:r w:rsidRPr="001260FB">
        <w:rPr>
          <w:rFonts w:ascii="Times New Roman" w:hAnsi="Times New Roman" w:cs="Times New Roman"/>
          <w:b/>
          <w:bCs/>
        </w:rPr>
        <w:fldChar w:fldCharType="separate"/>
      </w:r>
      <w:r w:rsidRPr="001260FB">
        <w:rPr>
          <w:rFonts w:ascii="Times New Roman" w:hAnsi="Times New Roman" w:cs="Times New Roman"/>
          <w:b/>
          <w:bCs/>
          <w:noProof/>
        </w:rPr>
        <w:t>(Christoforidis</w:t>
      </w:r>
      <w:r w:rsidRPr="001260FB">
        <w:rPr>
          <w:rFonts w:ascii="Times New Roman" w:hAnsi="Times New Roman" w:cs="Times New Roman"/>
          <w:b/>
          <w:bCs/>
          <w:i/>
          <w:noProof/>
        </w:rPr>
        <w:t xml:space="preserve"> et al.</w:t>
      </w:r>
      <w:r w:rsidRPr="001260FB">
        <w:rPr>
          <w:rFonts w:ascii="Times New Roman" w:hAnsi="Times New Roman" w:cs="Times New Roman"/>
          <w:b/>
          <w:bCs/>
          <w:noProof/>
        </w:rPr>
        <w:t>, 1999a; Christoforidis</w:t>
      </w:r>
      <w:r w:rsidRPr="001260FB">
        <w:rPr>
          <w:rFonts w:ascii="Times New Roman" w:hAnsi="Times New Roman" w:cs="Times New Roman"/>
          <w:b/>
          <w:bCs/>
          <w:i/>
          <w:noProof/>
        </w:rPr>
        <w:t xml:space="preserve"> et al.</w:t>
      </w:r>
      <w:r w:rsidRPr="001260FB">
        <w:rPr>
          <w:rFonts w:ascii="Times New Roman" w:hAnsi="Times New Roman" w:cs="Times New Roman"/>
          <w:b/>
          <w:bCs/>
          <w:noProof/>
        </w:rPr>
        <w:t>, 1999b)</w:t>
      </w:r>
      <w:r w:rsidRPr="001260FB">
        <w:rPr>
          <w:rFonts w:ascii="Times New Roman" w:hAnsi="Times New Roman" w:cs="Times New Roman"/>
          <w:b/>
          <w:bCs/>
        </w:rPr>
        <w:fldChar w:fldCharType="end"/>
      </w:r>
      <w:r>
        <w:rPr>
          <w:rFonts w:ascii="Times New Roman" w:hAnsi="Times New Roman" w:cs="Times New Roman"/>
        </w:rPr>
        <w:t xml:space="preserve">. The vacuolar-ATPase (V-ATPase) is present on early phagosomal membranes but at a lower concentration than observed as the phagosome matures </w:t>
      </w:r>
      <w:r w:rsidRPr="00692ED3">
        <w:rPr>
          <w:rFonts w:ascii="Times New Roman" w:hAnsi="Times New Roman" w:cs="Times New Roman"/>
          <w:b/>
          <w:bCs/>
        </w:rPr>
        <w:fldChar w:fldCharType="begin"/>
      </w:r>
      <w:r w:rsidRPr="00692ED3">
        <w:rPr>
          <w:rFonts w:ascii="Times New Roman" w:hAnsi="Times New Roman" w:cs="Times New Roman"/>
          <w:b/>
          <w:bCs/>
        </w:rPr>
        <w:instrText xml:space="preserve"> ADDIN EN.CITE &lt;EndNote&gt;&lt;Cite&gt;&lt;Author&gt;Pauwels&lt;/Author&gt;&lt;Year&gt;2017&lt;/Year&gt;&lt;IDText&gt;Patterns, Receptors, and Signals: Regulation of Phagosome Maturation&lt;/IDText&gt;&lt;DisplayText&gt;(Pauwels&lt;style face="italic"&gt; et al.&lt;/style&gt;, 2017)&lt;/DisplayText&gt;&lt;record&gt;&lt;dates&gt;&lt;pub-dates&gt;&lt;date&gt;Jun&lt;/date&gt;&lt;/pub-dates&gt;&lt;year&gt;2017&lt;/year&gt;&lt;/dates&gt;&lt;urls&gt;&lt;related-urls&gt;&lt;url&gt;&amp;lt;Go to ISI&amp;gt;://WOS:000401977800003&lt;/url&gt;&lt;/related-urls&gt;&lt;/urls&gt;&lt;isbn&gt;1471-4906&lt;/isbn&gt;&lt;titles&gt;&lt;title&gt;Patterns, Receptors, and Signals: Regulation of Phagosome Maturation&lt;/title&gt;&lt;secondary-title&gt;Trends in Immunology&lt;/secondary-title&gt;&lt;/titles&gt;&lt;pages&gt;407-422&lt;/pages&gt;&lt;number&gt;6&lt;/number&gt;&lt;contributors&gt;&lt;authors&gt;&lt;author&gt;Pauwels, A. M.&lt;/author&gt;&lt;author&gt;Trost, M.&lt;/author&gt;&lt;author&gt;Beyaert, R.&lt;/author&gt;&lt;author&gt;Hoffmann, E.&lt;/author&gt;&lt;/authors&gt;&lt;/contributors&gt;&lt;added-date format="utc"&gt;1677173579&lt;/added-date&gt;&lt;ref-type name="Journal Article"&gt;17&lt;/ref-type&gt;&lt;rec-number&gt;499&lt;/rec-number&gt;&lt;last-updated-date format="utc"&gt;1677173579&lt;/last-updated-date&gt;&lt;accession-num&gt;WOS:000401977800003&lt;/accession-num&gt;&lt;electronic-resource-num&gt;10.1016/j.it.2017.03.006&lt;/electronic-resource-num&gt;&lt;volume&gt;38&lt;/volume&gt;&lt;/record&gt;&lt;/Cite&gt;&lt;/EndNote&gt;</w:instrText>
      </w:r>
      <w:r w:rsidRPr="00692ED3">
        <w:rPr>
          <w:rFonts w:ascii="Times New Roman" w:hAnsi="Times New Roman" w:cs="Times New Roman"/>
          <w:b/>
          <w:bCs/>
        </w:rPr>
        <w:fldChar w:fldCharType="separate"/>
      </w:r>
      <w:r w:rsidRPr="00692ED3">
        <w:rPr>
          <w:rFonts w:ascii="Times New Roman" w:hAnsi="Times New Roman" w:cs="Times New Roman"/>
          <w:b/>
          <w:bCs/>
          <w:noProof/>
        </w:rPr>
        <w:t>(Pauwels</w:t>
      </w:r>
      <w:r w:rsidRPr="00692ED3">
        <w:rPr>
          <w:rFonts w:ascii="Times New Roman" w:hAnsi="Times New Roman" w:cs="Times New Roman"/>
          <w:b/>
          <w:bCs/>
          <w:i/>
          <w:noProof/>
        </w:rPr>
        <w:t xml:space="preserve"> et al.</w:t>
      </w:r>
      <w:r w:rsidRPr="00692ED3">
        <w:rPr>
          <w:rFonts w:ascii="Times New Roman" w:hAnsi="Times New Roman" w:cs="Times New Roman"/>
          <w:b/>
          <w:bCs/>
          <w:noProof/>
        </w:rPr>
        <w:t>, 2017)</w:t>
      </w:r>
      <w:r w:rsidRPr="00692ED3">
        <w:rPr>
          <w:rFonts w:ascii="Times New Roman" w:hAnsi="Times New Roman" w:cs="Times New Roman"/>
          <w:b/>
          <w:bCs/>
        </w:rPr>
        <w:fldChar w:fldCharType="end"/>
      </w:r>
      <w:r>
        <w:rPr>
          <w:rFonts w:ascii="Times New Roman" w:hAnsi="Times New Roman" w:cs="Times New Roman"/>
        </w:rPr>
        <w:t>.</w:t>
      </w:r>
    </w:p>
    <w:p w14:paraId="18D60A6A" w14:textId="77777777" w:rsidR="00033564" w:rsidRDefault="00033564" w:rsidP="00033564">
      <w:pPr>
        <w:pStyle w:val="Heading4"/>
      </w:pPr>
      <w:r>
        <w:t>1.3.4.2. The late phagosome</w:t>
      </w:r>
    </w:p>
    <w:p w14:paraId="665A550E" w14:textId="77777777" w:rsidR="00033564" w:rsidRDefault="00033564" w:rsidP="00033564"/>
    <w:p w14:paraId="327DDE0B" w14:textId="77777777" w:rsidR="00033564" w:rsidRDefault="00033564" w:rsidP="00033564">
      <w:pPr>
        <w:spacing w:line="360" w:lineRule="auto"/>
        <w:jc w:val="both"/>
        <w:rPr>
          <w:rFonts w:ascii="Times New Roman" w:hAnsi="Times New Roman" w:cs="Times New Roman"/>
        </w:rPr>
      </w:pPr>
      <w:r w:rsidRPr="00384339">
        <w:rPr>
          <w:rFonts w:ascii="Times New Roman" w:hAnsi="Times New Roman" w:cs="Times New Roman"/>
        </w:rPr>
        <w:t xml:space="preserve">The late </w:t>
      </w:r>
      <w:r>
        <w:rPr>
          <w:rFonts w:ascii="Times New Roman" w:hAnsi="Times New Roman" w:cs="Times New Roman"/>
        </w:rPr>
        <w:t xml:space="preserve">phagosome is characterised by the presence of Rab7 and concomitant absence of Rab5 </w:t>
      </w:r>
      <w:r>
        <w:rPr>
          <w:rFonts w:ascii="Times New Roman" w:hAnsi="Times New Roman" w:cs="Times New Roman"/>
          <w:b/>
          <w:bCs/>
        </w:rPr>
        <w:t>(Fig. 1.3.4)</w:t>
      </w:r>
      <w:r>
        <w:rPr>
          <w:rFonts w:ascii="Times New Roman" w:hAnsi="Times New Roman" w:cs="Times New Roman"/>
        </w:rPr>
        <w:t xml:space="preserve">. The Mon1 protein (a Rab5 effector) complexes with Rab5 and recruits Ccz-1, which also associates with Rab5 </w:t>
      </w:r>
      <w:r w:rsidRPr="00A90044">
        <w:rPr>
          <w:rFonts w:ascii="Times New Roman" w:hAnsi="Times New Roman" w:cs="Times New Roman"/>
          <w:b/>
          <w:bCs/>
        </w:rPr>
        <w:fldChar w:fldCharType="begin"/>
      </w:r>
      <w:r w:rsidRPr="00A90044">
        <w:rPr>
          <w:rFonts w:ascii="Times New Roman" w:hAnsi="Times New Roman" w:cs="Times New Roman"/>
          <w:b/>
          <w:bCs/>
        </w:rPr>
        <w:instrText xml:space="preserve"> ADDIN EN.CITE &lt;EndNote&gt;&lt;Cite&gt;&lt;Author&gt;Kinchen&lt;/Author&gt;&lt;Year&gt;2010&lt;/Year&gt;&lt;IDText&gt;Identification of two evolutionarily conserved genes regulating processing of engulfed apoptotic cells&lt;/IDText&gt;&lt;DisplayText&gt;(Kinchen and Ravichandran, 2010)&lt;/DisplayText&gt;&lt;record&gt;&lt;dates&gt;&lt;pub-dates&gt;&lt;date&gt;Apr&lt;/date&gt;&lt;/pub-dates&gt;&lt;year&gt;2010&lt;/year&gt;&lt;/dates&gt;&lt;urls&gt;&lt;related-urls&gt;&lt;url&gt;&amp;lt;Go to ISI&amp;gt;://WOS:000276205000049&lt;/url&gt;&lt;/related-urls&gt;&lt;/urls&gt;&lt;isbn&gt;0028-0836&lt;/isbn&gt;&lt;titles&gt;&lt;title&gt;Identification of two evolutionarily conserved genes regulating processing of engulfed apoptotic cells&lt;/title&gt;&lt;secondary-title&gt;Nature&lt;/secondary-title&gt;&lt;/titles&gt;&lt;pages&gt;778-U157&lt;/pages&gt;&lt;number&gt;7289&lt;/number&gt;&lt;contributors&gt;&lt;authors&gt;&lt;author&gt;Kinchen, J. M.&lt;/author&gt;&lt;author&gt;Ravichandran, K. S.&lt;/author&gt;&lt;/authors&gt;&lt;/contributors&gt;&lt;added-date format="utc"&gt;1677176034&lt;/added-date&gt;&lt;ref-type name="Journal Article"&gt;17&lt;/ref-type&gt;&lt;rec-number&gt;500&lt;/rec-number&gt;&lt;last-updated-date format="utc"&gt;1677176034&lt;/last-updated-date&gt;&lt;accession-num&gt;WOS:000276205000049&lt;/accession-num&gt;&lt;electronic-resource-num&gt;10.1038/nature08853&lt;/electronic-resource-num&gt;&lt;volume&gt;464&lt;/volume&gt;&lt;/record&gt;&lt;/Cite&gt;&lt;/EndNote&gt;</w:instrText>
      </w:r>
      <w:r w:rsidRPr="00A90044">
        <w:rPr>
          <w:rFonts w:ascii="Times New Roman" w:hAnsi="Times New Roman" w:cs="Times New Roman"/>
          <w:b/>
          <w:bCs/>
        </w:rPr>
        <w:fldChar w:fldCharType="separate"/>
      </w:r>
      <w:r w:rsidRPr="00A90044">
        <w:rPr>
          <w:rFonts w:ascii="Times New Roman" w:hAnsi="Times New Roman" w:cs="Times New Roman"/>
          <w:b/>
          <w:bCs/>
          <w:noProof/>
        </w:rPr>
        <w:t>(Kinchen and Ravichandran, 2010)</w:t>
      </w:r>
      <w:r w:rsidRPr="00A90044">
        <w:rPr>
          <w:rFonts w:ascii="Times New Roman" w:hAnsi="Times New Roman" w:cs="Times New Roman"/>
          <w:b/>
          <w:bCs/>
        </w:rPr>
        <w:fldChar w:fldCharType="end"/>
      </w:r>
      <w:r>
        <w:rPr>
          <w:rFonts w:ascii="Times New Roman" w:hAnsi="Times New Roman" w:cs="Times New Roman"/>
        </w:rPr>
        <w:t>. Ccz-1 tethers GDP-bound Rab7 and recruits it to the early phagosomal membrane, ultimately leading to Rab7 activation</w:t>
      </w:r>
      <w:r w:rsidRPr="0085208D">
        <w:rPr>
          <w:rFonts w:ascii="Times New Roman" w:hAnsi="Times New Roman" w:cs="Times New Roman"/>
        </w:rPr>
        <w:t xml:space="preserve"> </w:t>
      </w:r>
      <w:r>
        <w:rPr>
          <w:rFonts w:ascii="Times New Roman" w:hAnsi="Times New Roman" w:cs="Times New Roman"/>
        </w:rPr>
        <w:t xml:space="preserve">by </w:t>
      </w:r>
      <w:r w:rsidRPr="00733149">
        <w:rPr>
          <w:rFonts w:ascii="Times New Roman" w:hAnsi="Times New Roman" w:cs="Times New Roman"/>
        </w:rPr>
        <w:t xml:space="preserve">homotypic fusion and protein sorting (HOPS) </w:t>
      </w:r>
      <w:r>
        <w:rPr>
          <w:rFonts w:ascii="Times New Roman" w:hAnsi="Times New Roman" w:cs="Times New Roman"/>
        </w:rPr>
        <w:t>and</w:t>
      </w:r>
      <w:r w:rsidRPr="0085208D">
        <w:rPr>
          <w:rFonts w:ascii="Times New Roman" w:hAnsi="Times New Roman" w:cs="Times New Roman"/>
        </w:rPr>
        <w:t xml:space="preserve"> </w:t>
      </w:r>
      <w:r>
        <w:rPr>
          <w:rFonts w:ascii="Times New Roman" w:hAnsi="Times New Roman" w:cs="Times New Roman"/>
        </w:rPr>
        <w:t xml:space="preserve">Rab5 inactivation </w:t>
      </w:r>
      <w:r w:rsidRPr="00A90044">
        <w:rPr>
          <w:rFonts w:ascii="Times New Roman" w:hAnsi="Times New Roman" w:cs="Times New Roman"/>
          <w:b/>
          <w:bCs/>
        </w:rPr>
        <w:fldChar w:fldCharType="begin">
          <w:fldData xml:space="preserve">PEVuZE5vdGU+PENpdGU+PEF1dGhvcj5LaW5jaGVuPC9BdXRob3I+PFllYXI+MjAxMDwvWWVhcj48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PEVuZE5vdGU+PENpdGU+PEF1dGhvcj5LaW5jaGVuPC9BdXRob3I+PFllYXI+MjAxMDwvWWVhcj48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A90044">
        <w:rPr>
          <w:rFonts w:ascii="Times New Roman" w:hAnsi="Times New Roman" w:cs="Times New Roman"/>
          <w:b/>
          <w:bCs/>
        </w:rPr>
      </w:r>
      <w:r w:rsidRPr="00A90044">
        <w:rPr>
          <w:rFonts w:ascii="Times New Roman" w:hAnsi="Times New Roman" w:cs="Times New Roman"/>
          <w:b/>
          <w:bCs/>
        </w:rPr>
        <w:fldChar w:fldCharType="separate"/>
      </w:r>
      <w:r>
        <w:rPr>
          <w:rFonts w:ascii="Times New Roman" w:hAnsi="Times New Roman" w:cs="Times New Roman"/>
          <w:b/>
          <w:bCs/>
          <w:noProof/>
        </w:rPr>
        <w:t>(Kinchen and Ravichandran, 2010; Poteryaev</w:t>
      </w:r>
      <w:r w:rsidRPr="00D93706">
        <w:rPr>
          <w:rFonts w:ascii="Times New Roman" w:hAnsi="Times New Roman" w:cs="Times New Roman"/>
          <w:b/>
          <w:bCs/>
          <w:i/>
          <w:noProof/>
        </w:rPr>
        <w:t xml:space="preserve"> et al.</w:t>
      </w:r>
      <w:r>
        <w:rPr>
          <w:rFonts w:ascii="Times New Roman" w:hAnsi="Times New Roman" w:cs="Times New Roman"/>
          <w:b/>
          <w:bCs/>
          <w:noProof/>
        </w:rPr>
        <w:t>, 2010; Rink</w:t>
      </w:r>
      <w:r w:rsidRPr="00D93706">
        <w:rPr>
          <w:rFonts w:ascii="Times New Roman" w:hAnsi="Times New Roman" w:cs="Times New Roman"/>
          <w:b/>
          <w:bCs/>
          <w:i/>
          <w:noProof/>
        </w:rPr>
        <w:t xml:space="preserve"> et al.</w:t>
      </w:r>
      <w:r>
        <w:rPr>
          <w:rFonts w:ascii="Times New Roman" w:hAnsi="Times New Roman" w:cs="Times New Roman"/>
          <w:b/>
          <w:bCs/>
          <w:noProof/>
        </w:rPr>
        <w:t>, 2005)</w:t>
      </w:r>
      <w:r w:rsidRPr="00A90044">
        <w:rPr>
          <w:rFonts w:ascii="Times New Roman" w:hAnsi="Times New Roman" w:cs="Times New Roman"/>
          <w:b/>
          <w:bCs/>
        </w:rPr>
        <w:fldChar w:fldCharType="end"/>
      </w:r>
      <w:r>
        <w:rPr>
          <w:rFonts w:ascii="Times New Roman" w:hAnsi="Times New Roman" w:cs="Times New Roman"/>
        </w:rPr>
        <w:t xml:space="preserve">. Rab7 recruits effector proteins </w:t>
      </w:r>
      <w:bookmarkStart w:id="47" w:name="_Hlk128072283"/>
      <w:r w:rsidRPr="00CC36D9">
        <w:rPr>
          <w:rFonts w:ascii="Times New Roman" w:hAnsi="Times New Roman" w:cs="Times New Roman"/>
        </w:rPr>
        <w:t xml:space="preserve">Rab7-interacting lysosomal protein (RILP) </w:t>
      </w:r>
      <w:bookmarkEnd w:id="47"/>
      <w:r w:rsidRPr="00CC36D9">
        <w:rPr>
          <w:rFonts w:ascii="Times New Roman" w:hAnsi="Times New Roman" w:cs="Times New Roman"/>
        </w:rPr>
        <w:t xml:space="preserve">and </w:t>
      </w:r>
      <w:bookmarkStart w:id="48" w:name="_Hlk128072336"/>
      <w:r w:rsidRPr="00CC36D9">
        <w:rPr>
          <w:rFonts w:ascii="Times New Roman" w:hAnsi="Times New Roman" w:cs="Times New Roman"/>
        </w:rPr>
        <w:t>oxysterol-binding protein–related protein 1</w:t>
      </w:r>
      <w:bookmarkEnd w:id="48"/>
      <w:r w:rsidRPr="00CC36D9">
        <w:rPr>
          <w:rFonts w:ascii="Times New Roman" w:hAnsi="Times New Roman" w:cs="Times New Roman"/>
        </w:rPr>
        <w:t xml:space="preserve"> (ORPL1)</w:t>
      </w:r>
      <w:r>
        <w:rPr>
          <w:rFonts w:ascii="Times New Roman" w:hAnsi="Times New Roman" w:cs="Times New Roman"/>
        </w:rPr>
        <w:t xml:space="preserve"> to the late phagosome </w:t>
      </w:r>
      <w:r w:rsidRPr="00D8098D">
        <w:rPr>
          <w:rFonts w:ascii="Times New Roman" w:hAnsi="Times New Roman" w:cs="Times New Roman"/>
          <w:b/>
          <w:bCs/>
        </w:rPr>
        <w:fldChar w:fldCharType="begin">
          <w:fldData xml:space="preserve">PEVuZE5vdGU+PENpdGU+PEF1dGhvcj5DYW50YWx1cG88L0F1dGhvcj48WWVhcj4yMDAxPC9ZZWFy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==
</w:fldData>
        </w:fldChar>
      </w:r>
      <w:r w:rsidRPr="00D8098D">
        <w:rPr>
          <w:rFonts w:ascii="Times New Roman" w:hAnsi="Times New Roman" w:cs="Times New Roman"/>
          <w:b/>
          <w:bCs/>
        </w:rPr>
        <w:instrText xml:space="preserve"> ADDIN EN.CITE </w:instrText>
      </w:r>
      <w:r w:rsidRPr="00D8098D">
        <w:rPr>
          <w:rFonts w:ascii="Times New Roman" w:hAnsi="Times New Roman" w:cs="Times New Roman"/>
          <w:b/>
          <w:bCs/>
        </w:rPr>
        <w:fldChar w:fldCharType="begin">
          <w:fldData xml:space="preserve">PEVuZE5vdGU+PENpdGU+PEF1dGhvcj5DYW50YWx1cG88L0F1dGhvcj48WWVhcj4yMDAxPC9ZZWFy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==
</w:fldData>
        </w:fldChar>
      </w:r>
      <w:r w:rsidRPr="00D8098D">
        <w:rPr>
          <w:rFonts w:ascii="Times New Roman" w:hAnsi="Times New Roman" w:cs="Times New Roman"/>
          <w:b/>
          <w:bCs/>
        </w:rPr>
        <w:instrText xml:space="preserve"> ADDIN EN.CITE.DATA </w:instrText>
      </w:r>
      <w:r w:rsidRPr="00D8098D">
        <w:rPr>
          <w:rFonts w:ascii="Times New Roman" w:hAnsi="Times New Roman" w:cs="Times New Roman"/>
          <w:b/>
          <w:bCs/>
        </w:rPr>
      </w:r>
      <w:r w:rsidRPr="00D8098D">
        <w:rPr>
          <w:rFonts w:ascii="Times New Roman" w:hAnsi="Times New Roman" w:cs="Times New Roman"/>
          <w:b/>
          <w:bCs/>
        </w:rPr>
        <w:fldChar w:fldCharType="end"/>
      </w:r>
      <w:r w:rsidRPr="00D8098D">
        <w:rPr>
          <w:rFonts w:ascii="Times New Roman" w:hAnsi="Times New Roman" w:cs="Times New Roman"/>
          <w:b/>
          <w:bCs/>
        </w:rPr>
      </w:r>
      <w:r w:rsidRPr="00D8098D">
        <w:rPr>
          <w:rFonts w:ascii="Times New Roman" w:hAnsi="Times New Roman" w:cs="Times New Roman"/>
          <w:b/>
          <w:bCs/>
        </w:rPr>
        <w:fldChar w:fldCharType="separate"/>
      </w:r>
      <w:r w:rsidRPr="00D8098D">
        <w:rPr>
          <w:rFonts w:ascii="Times New Roman" w:hAnsi="Times New Roman" w:cs="Times New Roman"/>
          <w:b/>
          <w:bCs/>
          <w:noProof/>
        </w:rPr>
        <w:t>(Cantalupo</w:t>
      </w:r>
      <w:r w:rsidRPr="00D8098D">
        <w:rPr>
          <w:rFonts w:ascii="Times New Roman" w:hAnsi="Times New Roman" w:cs="Times New Roman"/>
          <w:b/>
          <w:bCs/>
          <w:i/>
          <w:noProof/>
        </w:rPr>
        <w:t xml:space="preserve"> et al.</w:t>
      </w:r>
      <w:r w:rsidRPr="00D8098D">
        <w:rPr>
          <w:rFonts w:ascii="Times New Roman" w:hAnsi="Times New Roman" w:cs="Times New Roman"/>
          <w:b/>
          <w:bCs/>
          <w:noProof/>
        </w:rPr>
        <w:t>, 2001; Johansson</w:t>
      </w:r>
      <w:r w:rsidRPr="00D8098D">
        <w:rPr>
          <w:rFonts w:ascii="Times New Roman" w:hAnsi="Times New Roman" w:cs="Times New Roman"/>
          <w:b/>
          <w:bCs/>
          <w:i/>
          <w:noProof/>
        </w:rPr>
        <w:t xml:space="preserve"> et al.</w:t>
      </w:r>
      <w:r w:rsidRPr="00D8098D">
        <w:rPr>
          <w:rFonts w:ascii="Times New Roman" w:hAnsi="Times New Roman" w:cs="Times New Roman"/>
          <w:b/>
          <w:bCs/>
          <w:noProof/>
        </w:rPr>
        <w:t>, 2007)</w:t>
      </w:r>
      <w:r w:rsidRPr="00D8098D">
        <w:rPr>
          <w:rFonts w:ascii="Times New Roman" w:hAnsi="Times New Roman" w:cs="Times New Roman"/>
          <w:b/>
          <w:bCs/>
        </w:rPr>
        <w:fldChar w:fldCharType="end"/>
      </w:r>
      <w:r>
        <w:rPr>
          <w:rFonts w:ascii="Times New Roman" w:hAnsi="Times New Roman" w:cs="Times New Roman"/>
        </w:rPr>
        <w:t xml:space="preserve">. These effectors coordinate the traffic of the phagosome centripetally in a microtubule-dependent manner, towards the Golgi apparatus that is necessary for future late endosomal and lysosomal fusion </w:t>
      </w:r>
      <w:r w:rsidRPr="000B2760">
        <w:rPr>
          <w:rFonts w:ascii="Times New Roman" w:hAnsi="Times New Roman" w:cs="Times New Roman"/>
          <w:b/>
          <w:bCs/>
        </w:rPr>
        <w:fldChar w:fldCharType="begin"/>
      </w:r>
      <w:r w:rsidRPr="000B2760">
        <w:rPr>
          <w:rFonts w:ascii="Times New Roman" w:hAnsi="Times New Roman" w:cs="Times New Roman"/>
          <w:b/>
          <w:bCs/>
        </w:rPr>
        <w:instrText xml:space="preserve"> ADDIN EN.CITE &lt;EndNote&gt;&lt;Cite&gt;&lt;Author&gt;Harrison&lt;/Author&gt;&lt;Year&gt;2003&lt;/Year&gt;&lt;IDText&gt;Phagosomes fuse with late endosomes and/or lysosomes by extension of membrane protrusions along microtubules: Role of Rab7 and RILP&lt;/IDText&gt;&lt;DisplayText&gt;(Harrison&lt;style face="italic"&gt; et al.&lt;/style&gt;, 2003)&lt;/DisplayText&gt;&lt;record&gt;&lt;dates&gt;&lt;pub-dates&gt;&lt;date&gt;Sep&lt;/date&gt;&lt;/pub-dates&gt;&lt;year&gt;2003&lt;/year&gt;&lt;/dates&gt;&lt;urls&gt;&lt;related-urls&gt;&lt;url&gt;&amp;lt;Go to ISI&amp;gt;://WOS:000185103900014&lt;/url&gt;&lt;/related-urls&gt;&lt;/urls&gt;&lt;isbn&gt;0270-7306&lt;/isbn&gt;&lt;titles&gt;&lt;title&gt;Phagosomes fuse with late endosomes and/or lysosomes by extension of membrane protrusions along microtubules: Role of Rab7 and RILP&lt;/title&gt;&lt;secondary-title&gt;Molecular and Cellular Biology&lt;/secondary-title&gt;&lt;/titles&gt;&lt;pages&gt;6494-6506&lt;/pages&gt;&lt;number&gt;18&lt;/number&gt;&lt;contributors&gt;&lt;authors&gt;&lt;author&gt;Harrison, R. E.&lt;/author&gt;&lt;author&gt;Bucci, C.&lt;/author&gt;&lt;author&gt;Vieira, O. V.&lt;/author&gt;&lt;author&gt;Schroer, T. A.&lt;/author&gt;&lt;author&gt;Grinstein, S.&lt;/author&gt;&lt;/authors&gt;&lt;/contributors&gt;&lt;added-date format="utc"&gt;1677181025&lt;/added-date&gt;&lt;ref-type name="Journal Article"&gt;17&lt;/ref-type&gt;&lt;rec-number&gt;505&lt;/rec-number&gt;&lt;last-updated-date format="utc"&gt;1677181025&lt;/last-updated-date&gt;&lt;accession-num&gt;WOS:000185103900014&lt;/accession-num&gt;&lt;electronic-resource-num&gt;10.1128/mcb.23.18.6494-6506.2003&lt;/electronic-resource-num&gt;&lt;volume&gt;23&lt;/volume&gt;&lt;/record&gt;&lt;/Cite&gt;&lt;/EndNote&gt;</w:instrText>
      </w:r>
      <w:r w:rsidRPr="000B2760">
        <w:rPr>
          <w:rFonts w:ascii="Times New Roman" w:hAnsi="Times New Roman" w:cs="Times New Roman"/>
          <w:b/>
          <w:bCs/>
        </w:rPr>
        <w:fldChar w:fldCharType="separate"/>
      </w:r>
      <w:r w:rsidRPr="000B2760">
        <w:rPr>
          <w:rFonts w:ascii="Times New Roman" w:hAnsi="Times New Roman" w:cs="Times New Roman"/>
          <w:b/>
          <w:bCs/>
          <w:noProof/>
        </w:rPr>
        <w:t>(Harrison</w:t>
      </w:r>
      <w:r w:rsidRPr="000B2760">
        <w:rPr>
          <w:rFonts w:ascii="Times New Roman" w:hAnsi="Times New Roman" w:cs="Times New Roman"/>
          <w:b/>
          <w:bCs/>
          <w:i/>
          <w:noProof/>
        </w:rPr>
        <w:t xml:space="preserve"> et al.</w:t>
      </w:r>
      <w:r w:rsidRPr="000B2760">
        <w:rPr>
          <w:rFonts w:ascii="Times New Roman" w:hAnsi="Times New Roman" w:cs="Times New Roman"/>
          <w:b/>
          <w:bCs/>
          <w:noProof/>
        </w:rPr>
        <w:t>, 2003)</w:t>
      </w:r>
      <w:r w:rsidRPr="000B2760">
        <w:rPr>
          <w:rFonts w:ascii="Times New Roman" w:hAnsi="Times New Roman" w:cs="Times New Roman"/>
          <w:b/>
          <w:bCs/>
        </w:rPr>
        <w:fldChar w:fldCharType="end"/>
      </w:r>
      <w:r>
        <w:rPr>
          <w:rFonts w:ascii="Times New Roman" w:hAnsi="Times New Roman" w:cs="Times New Roman"/>
        </w:rPr>
        <w:t>. The membrane proteins l</w:t>
      </w:r>
      <w:r w:rsidRPr="00634E26">
        <w:rPr>
          <w:rFonts w:ascii="Times New Roman" w:hAnsi="Times New Roman" w:cs="Times New Roman"/>
        </w:rPr>
        <w:t>ysosome-associated membrane proteins 1 and 2 (LAMP-1</w:t>
      </w:r>
      <w:r>
        <w:rPr>
          <w:rFonts w:ascii="Times New Roman" w:hAnsi="Times New Roman" w:cs="Times New Roman"/>
        </w:rPr>
        <w:t>/</w:t>
      </w:r>
      <w:r w:rsidRPr="00634E26">
        <w:rPr>
          <w:rFonts w:ascii="Times New Roman" w:hAnsi="Times New Roman" w:cs="Times New Roman"/>
        </w:rPr>
        <w:t>2)</w:t>
      </w:r>
      <w:r>
        <w:rPr>
          <w:rFonts w:ascii="Times New Roman" w:hAnsi="Times New Roman" w:cs="Times New Roman"/>
        </w:rPr>
        <w:t xml:space="preserve"> are also required for Rab7 recruitment and killing of pathogens, as LAMP-deficient cells demonstrated a reduced ability to phagocytose </w:t>
      </w:r>
      <w:r w:rsidRPr="00634E26">
        <w:rPr>
          <w:rFonts w:ascii="Times New Roman" w:hAnsi="Times New Roman" w:cs="Times New Roman"/>
          <w:i/>
          <w:iCs/>
        </w:rPr>
        <w:t>Neisseria gonorrhoeae</w:t>
      </w:r>
      <w:r>
        <w:rPr>
          <w:rFonts w:ascii="Times New Roman" w:hAnsi="Times New Roman" w:cs="Times New Roman"/>
        </w:rPr>
        <w:t xml:space="preserve"> </w:t>
      </w:r>
      <w:r w:rsidRPr="00634E26">
        <w:rPr>
          <w:rFonts w:ascii="Times New Roman" w:hAnsi="Times New Roman" w:cs="Times New Roman"/>
          <w:b/>
          <w:bCs/>
        </w:rPr>
        <w:fldChar w:fldCharType="begin">
          <w:fldData xml:space="preserve">PEVuZE5vdGU+PENpdGU+PEF1dGhvcj5IdXluaDwvQXV0aG9yPjxZZWFyPjIwMDc8L1llYXI+PElE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</w:fldData>
        </w:fldChar>
      </w:r>
      <w:r w:rsidRPr="00634E26">
        <w:rPr>
          <w:rFonts w:ascii="Times New Roman" w:hAnsi="Times New Roman" w:cs="Times New Roman"/>
          <w:b/>
          <w:bCs/>
        </w:rPr>
        <w:instrText xml:space="preserve"> ADDIN EN.CITE </w:instrText>
      </w:r>
      <w:r w:rsidRPr="00634E26">
        <w:rPr>
          <w:rFonts w:ascii="Times New Roman" w:hAnsi="Times New Roman" w:cs="Times New Roman"/>
          <w:b/>
          <w:bCs/>
        </w:rPr>
        <w:fldChar w:fldCharType="begin">
          <w:fldData xml:space="preserve">PEVuZE5vdGU+PENpdGU+PEF1dGhvcj5IdXluaDwvQXV0aG9yPjxZZWFyPjIwMDc8L1llYXI+PElE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</w:fldData>
        </w:fldChar>
      </w:r>
      <w:r w:rsidRPr="00634E26">
        <w:rPr>
          <w:rFonts w:ascii="Times New Roman" w:hAnsi="Times New Roman" w:cs="Times New Roman"/>
          <w:b/>
          <w:bCs/>
        </w:rPr>
        <w:instrText xml:space="preserve"> ADDIN EN.CITE.DATA </w:instrText>
      </w:r>
      <w:r w:rsidRPr="00634E26">
        <w:rPr>
          <w:rFonts w:ascii="Times New Roman" w:hAnsi="Times New Roman" w:cs="Times New Roman"/>
          <w:b/>
          <w:bCs/>
        </w:rPr>
      </w:r>
      <w:r w:rsidRPr="00634E26">
        <w:rPr>
          <w:rFonts w:ascii="Times New Roman" w:hAnsi="Times New Roman" w:cs="Times New Roman"/>
          <w:b/>
          <w:bCs/>
        </w:rPr>
        <w:fldChar w:fldCharType="end"/>
      </w:r>
      <w:r w:rsidRPr="00634E26">
        <w:rPr>
          <w:rFonts w:ascii="Times New Roman" w:hAnsi="Times New Roman" w:cs="Times New Roman"/>
          <w:b/>
          <w:bCs/>
        </w:rPr>
      </w:r>
      <w:r w:rsidRPr="00634E26">
        <w:rPr>
          <w:rFonts w:ascii="Times New Roman" w:hAnsi="Times New Roman" w:cs="Times New Roman"/>
          <w:b/>
          <w:bCs/>
        </w:rPr>
        <w:fldChar w:fldCharType="separate"/>
      </w:r>
      <w:r w:rsidRPr="00634E26">
        <w:rPr>
          <w:rFonts w:ascii="Times New Roman" w:hAnsi="Times New Roman" w:cs="Times New Roman"/>
          <w:b/>
          <w:bCs/>
          <w:noProof/>
        </w:rPr>
        <w:t>(Huynh</w:t>
      </w:r>
      <w:r w:rsidRPr="00634E26">
        <w:rPr>
          <w:rFonts w:ascii="Times New Roman" w:hAnsi="Times New Roman" w:cs="Times New Roman"/>
          <w:b/>
          <w:bCs/>
          <w:i/>
          <w:noProof/>
        </w:rPr>
        <w:t xml:space="preserve"> et al.</w:t>
      </w:r>
      <w:r w:rsidRPr="00634E26">
        <w:rPr>
          <w:rFonts w:ascii="Times New Roman" w:hAnsi="Times New Roman" w:cs="Times New Roman"/>
          <w:b/>
          <w:bCs/>
          <w:noProof/>
        </w:rPr>
        <w:t>, 2007; Binker</w:t>
      </w:r>
      <w:r w:rsidRPr="00634E26">
        <w:rPr>
          <w:rFonts w:ascii="Times New Roman" w:hAnsi="Times New Roman" w:cs="Times New Roman"/>
          <w:b/>
          <w:bCs/>
          <w:i/>
          <w:noProof/>
        </w:rPr>
        <w:t xml:space="preserve"> et al.</w:t>
      </w:r>
      <w:r w:rsidRPr="00634E26">
        <w:rPr>
          <w:rFonts w:ascii="Times New Roman" w:hAnsi="Times New Roman" w:cs="Times New Roman"/>
          <w:b/>
          <w:bCs/>
          <w:noProof/>
        </w:rPr>
        <w:t>, 2007)</w:t>
      </w:r>
      <w:r w:rsidRPr="00634E26">
        <w:rPr>
          <w:rFonts w:ascii="Times New Roman" w:hAnsi="Times New Roman" w:cs="Times New Roman"/>
          <w:b/>
          <w:bCs/>
        </w:rPr>
        <w:fldChar w:fldCharType="end"/>
      </w:r>
      <w:r>
        <w:rPr>
          <w:rFonts w:ascii="Times New Roman" w:hAnsi="Times New Roman" w:cs="Times New Roman"/>
        </w:rPr>
        <w:t>.</w:t>
      </w:r>
    </w:p>
    <w:p w14:paraId="21BC0B50" w14:textId="77777777" w:rsidR="00033564" w:rsidRDefault="00033564" w:rsidP="00033564">
      <w:pPr>
        <w:pStyle w:val="Heading4"/>
      </w:pPr>
      <w:r>
        <w:t>1.3.4.3. The phagolysosome and its microbicidal mechanisms</w:t>
      </w:r>
    </w:p>
    <w:p w14:paraId="460AC232" w14:textId="77777777" w:rsidR="00033564" w:rsidRDefault="00033564" w:rsidP="00033564"/>
    <w:p w14:paraId="25C8D29B" w14:textId="77777777" w:rsidR="00033564" w:rsidRDefault="00033564" w:rsidP="00033564">
      <w:pPr>
        <w:spacing w:line="360" w:lineRule="auto"/>
        <w:jc w:val="both"/>
        <w:rPr>
          <w:rFonts w:ascii="Times New Roman" w:hAnsi="Times New Roman" w:cs="Times New Roman"/>
        </w:rPr>
      </w:pPr>
      <w:r w:rsidRPr="00A84563">
        <w:rPr>
          <w:rFonts w:ascii="Times New Roman" w:hAnsi="Times New Roman" w:cs="Times New Roman"/>
        </w:rPr>
        <w:t>Once taken up by a phagocyte, the phagolysosome represents the most microbicidal compartment that a pathogen will encounter</w:t>
      </w:r>
      <w:r>
        <w:rPr>
          <w:rFonts w:ascii="Times New Roman" w:hAnsi="Times New Roman" w:cs="Times New Roman"/>
        </w:rPr>
        <w:t xml:space="preserve"> </w:t>
      </w:r>
      <w:r>
        <w:rPr>
          <w:rFonts w:ascii="Times New Roman" w:hAnsi="Times New Roman" w:cs="Times New Roman"/>
          <w:b/>
          <w:bCs/>
        </w:rPr>
        <w:t>(Fig. 1.3.4.3)</w:t>
      </w:r>
      <w:r w:rsidRPr="00A84563">
        <w:rPr>
          <w:rFonts w:ascii="Times New Roman" w:hAnsi="Times New Roman" w:cs="Times New Roman"/>
        </w:rPr>
        <w:t xml:space="preserve">. </w:t>
      </w:r>
      <w:r>
        <w:rPr>
          <w:rFonts w:ascii="Times New Roman" w:hAnsi="Times New Roman" w:cs="Times New Roman"/>
        </w:rPr>
        <w:t xml:space="preserve">A SNARE complex, comprised of </w:t>
      </w:r>
      <w:r w:rsidRPr="00A84563">
        <w:rPr>
          <w:rFonts w:ascii="Times New Roman" w:hAnsi="Times New Roman" w:cs="Times New Roman"/>
        </w:rPr>
        <w:t>vesicle-associated</w:t>
      </w:r>
      <w:r>
        <w:rPr>
          <w:rFonts w:ascii="Times New Roman" w:hAnsi="Times New Roman" w:cs="Times New Roman"/>
        </w:rPr>
        <w:t xml:space="preserve"> </w:t>
      </w:r>
      <w:r w:rsidRPr="00A84563">
        <w:rPr>
          <w:rFonts w:ascii="Times New Roman" w:hAnsi="Times New Roman" w:cs="Times New Roman"/>
        </w:rPr>
        <w:t>membrane protein</w:t>
      </w:r>
      <w:r>
        <w:rPr>
          <w:rFonts w:ascii="Times New Roman" w:hAnsi="Times New Roman" w:cs="Times New Roman"/>
        </w:rPr>
        <w:t xml:space="preserve"> 7 and 8 (VAMP7/8) and syntaxin 7 and 8, coordinates the fusion of lysosomes to late phagosomes, thus producing the phagolysosome </w:t>
      </w:r>
      <w:r w:rsidRPr="00B85563">
        <w:rPr>
          <w:rFonts w:ascii="Times New Roman" w:hAnsi="Times New Roman" w:cs="Times New Roman"/>
          <w:b/>
          <w:bCs/>
        </w:rPr>
        <w:fldChar w:fldCharType="begin">
          <w:fldData xml:space="preserve">PEVuZE5vdGU+PENpdGU+PEF1dGhvcj5GbGFubmFnYW48L0F1dGhvcj48WWVhcj4yMDEyPC9ZZWFy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</w:fldData>
        </w:fldChar>
      </w:r>
      <w:r w:rsidRPr="00B85563">
        <w:rPr>
          <w:rFonts w:ascii="Times New Roman" w:hAnsi="Times New Roman" w:cs="Times New Roman"/>
          <w:b/>
          <w:bCs/>
        </w:rPr>
        <w:instrText xml:space="preserve"> ADDIN EN.CITE </w:instrText>
      </w:r>
      <w:r w:rsidRPr="00B85563">
        <w:rPr>
          <w:rFonts w:ascii="Times New Roman" w:hAnsi="Times New Roman" w:cs="Times New Roman"/>
          <w:b/>
          <w:bCs/>
        </w:rPr>
        <w:fldChar w:fldCharType="begin">
          <w:fldData xml:space="preserve">PEVuZE5vdGU+PENpdGU+PEF1dGhvcj5GbGFubmFnYW48L0F1dGhvcj48WWVhcj4yMDEyPC9ZZWFy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</w:fldData>
        </w:fldChar>
      </w:r>
      <w:r w:rsidRPr="00B85563">
        <w:rPr>
          <w:rFonts w:ascii="Times New Roman" w:hAnsi="Times New Roman" w:cs="Times New Roman"/>
          <w:b/>
          <w:bCs/>
        </w:rPr>
        <w:instrText xml:space="preserve"> ADDIN EN.CITE.DATA </w:instrText>
      </w:r>
      <w:r w:rsidRPr="00B85563">
        <w:rPr>
          <w:rFonts w:ascii="Times New Roman" w:hAnsi="Times New Roman" w:cs="Times New Roman"/>
          <w:b/>
          <w:bCs/>
        </w:rPr>
      </w:r>
      <w:r w:rsidRPr="00B85563">
        <w:rPr>
          <w:rFonts w:ascii="Times New Roman" w:hAnsi="Times New Roman" w:cs="Times New Roman"/>
          <w:b/>
          <w:bCs/>
        </w:rPr>
        <w:fldChar w:fldCharType="end"/>
      </w:r>
      <w:r w:rsidRPr="00B85563">
        <w:rPr>
          <w:rFonts w:ascii="Times New Roman" w:hAnsi="Times New Roman" w:cs="Times New Roman"/>
          <w:b/>
          <w:bCs/>
        </w:rPr>
      </w:r>
      <w:r w:rsidRPr="00B85563">
        <w:rPr>
          <w:rFonts w:ascii="Times New Roman" w:hAnsi="Times New Roman" w:cs="Times New Roman"/>
          <w:b/>
          <w:bCs/>
        </w:rPr>
        <w:fldChar w:fldCharType="separate"/>
      </w:r>
      <w:r w:rsidRPr="00B85563">
        <w:rPr>
          <w:rFonts w:ascii="Times New Roman" w:hAnsi="Times New Roman" w:cs="Times New Roman"/>
          <w:b/>
          <w:bCs/>
          <w:noProof/>
        </w:rPr>
        <w:t>(Flannagan, Jaumouille and Grinstein, 2012; Wade</w:t>
      </w:r>
      <w:r w:rsidRPr="00B85563">
        <w:rPr>
          <w:rFonts w:ascii="Times New Roman" w:hAnsi="Times New Roman" w:cs="Times New Roman"/>
          <w:b/>
          <w:bCs/>
          <w:i/>
          <w:noProof/>
        </w:rPr>
        <w:t xml:space="preserve"> et al.</w:t>
      </w:r>
      <w:r w:rsidRPr="00B85563">
        <w:rPr>
          <w:rFonts w:ascii="Times New Roman" w:hAnsi="Times New Roman" w:cs="Times New Roman"/>
          <w:b/>
          <w:bCs/>
          <w:noProof/>
        </w:rPr>
        <w:t>, 2001)</w:t>
      </w:r>
      <w:r w:rsidRPr="00B85563">
        <w:rPr>
          <w:rFonts w:ascii="Times New Roman" w:hAnsi="Times New Roman" w:cs="Times New Roman"/>
          <w:b/>
          <w:bCs/>
        </w:rPr>
        <w:fldChar w:fldCharType="end"/>
      </w:r>
      <w:r>
        <w:rPr>
          <w:rFonts w:ascii="Times New Roman" w:hAnsi="Times New Roman" w:cs="Times New Roman"/>
          <w:b/>
          <w:bCs/>
        </w:rPr>
        <w:t xml:space="preserve"> (Fig. 1.3.4)</w:t>
      </w:r>
      <w:r>
        <w:rPr>
          <w:rFonts w:ascii="Times New Roman" w:hAnsi="Times New Roman" w:cs="Times New Roman"/>
        </w:rPr>
        <w:t xml:space="preserve">. This SNARE complex is enriched on the surface of phagosomes and lysosomes </w:t>
      </w:r>
      <w:r w:rsidRPr="00B85563">
        <w:rPr>
          <w:rFonts w:ascii="Times New Roman" w:hAnsi="Times New Roman" w:cs="Times New Roman"/>
          <w:b/>
          <w:bCs/>
        </w:rPr>
        <w:fldChar w:fldCharType="begin"/>
      </w:r>
      <w:r w:rsidRPr="00B85563">
        <w:rPr>
          <w:rFonts w:ascii="Times New Roman" w:hAnsi="Times New Roman" w:cs="Times New Roman"/>
          <w:b/>
          <w:bCs/>
        </w:rPr>
        <w:instrText xml:space="preserve"> ADDIN EN.CITE &lt;EndNote&gt;&lt;Cite&gt;&lt;Author&gt;Becken&lt;/Author&gt;&lt;Year&gt;2010&lt;/Year&gt;&lt;IDText&gt;Cell-free fusion of bacteria-containing phagosomes with endocytic compartments&lt;/IDText&gt;&lt;DisplayText&gt;(Becken&lt;style face="italic"&gt; et al.&lt;/style&gt;, 2010)&lt;/DisplayText&gt;&lt;record&gt;&lt;dates&gt;&lt;pub-dates&gt;&lt;date&gt;Nov&lt;/date&gt;&lt;/pub-dates&gt;&lt;year&gt;2010&lt;/year&gt;&lt;/dates&gt;&lt;urls&gt;&lt;related-urls&gt;&lt;url&gt;&amp;lt;Go to ISI&amp;gt;://WOS:000284762400029&lt;/url&gt;&lt;/related-urls&gt;&lt;/urls&gt;&lt;isbn&gt;0027-8424&lt;/isbn&gt;&lt;titles&gt;&lt;title&gt;Cell-free fusion of bacteria-containing phagosomes with endocytic compartments&lt;/title&gt;&lt;secondary-title&gt;Proceedings of the National Academy of Sciences of the United States of America&lt;/secondary-title&gt;&lt;/titles&gt;&lt;pages&gt;20726-20731&lt;/pages&gt;&lt;number&gt;48&lt;/number&gt;&lt;contributors&gt;&lt;authors&gt;&lt;author&gt;Becken, U.&lt;/author&gt;&lt;author&gt;Jeschke, A.&lt;/author&gt;&lt;author&gt;Veltman, K.&lt;/author&gt;&lt;author&gt;Haas, A.&lt;/author&gt;&lt;/authors&gt;&lt;/contributors&gt;&lt;added-date format="utc"&gt;1677185230&lt;/added-date&gt;&lt;ref-type name="Journal Article"&gt;17&lt;/ref-type&gt;&lt;rec-number&gt;509&lt;/rec-number&gt;&lt;last-updated-date format="utc"&gt;1677185230&lt;/last-updated-date&gt;&lt;accession-num&gt;WOS:000284762400029&lt;/accession-num&gt;&lt;electronic-resource-num&gt;10.1073/pnas.1007295107&lt;/electronic-resource-num&gt;&lt;volume&gt;107&lt;/volume&gt;&lt;/record&gt;&lt;/Cite&gt;&lt;/EndNote&gt;</w:instrText>
      </w:r>
      <w:r w:rsidRPr="00B85563">
        <w:rPr>
          <w:rFonts w:ascii="Times New Roman" w:hAnsi="Times New Roman" w:cs="Times New Roman"/>
          <w:b/>
          <w:bCs/>
        </w:rPr>
        <w:fldChar w:fldCharType="separate"/>
      </w:r>
      <w:r w:rsidRPr="00B85563">
        <w:rPr>
          <w:rFonts w:ascii="Times New Roman" w:hAnsi="Times New Roman" w:cs="Times New Roman"/>
          <w:b/>
          <w:bCs/>
          <w:noProof/>
        </w:rPr>
        <w:t>(Becken</w:t>
      </w:r>
      <w:r w:rsidRPr="00B85563">
        <w:rPr>
          <w:rFonts w:ascii="Times New Roman" w:hAnsi="Times New Roman" w:cs="Times New Roman"/>
          <w:b/>
          <w:bCs/>
          <w:i/>
          <w:noProof/>
        </w:rPr>
        <w:t xml:space="preserve"> et al.</w:t>
      </w:r>
      <w:r w:rsidRPr="00B85563">
        <w:rPr>
          <w:rFonts w:ascii="Times New Roman" w:hAnsi="Times New Roman" w:cs="Times New Roman"/>
          <w:b/>
          <w:bCs/>
          <w:noProof/>
        </w:rPr>
        <w:t>, 2010)</w:t>
      </w:r>
      <w:r w:rsidRPr="00B85563">
        <w:rPr>
          <w:rFonts w:ascii="Times New Roman" w:hAnsi="Times New Roman" w:cs="Times New Roman"/>
          <w:b/>
          <w:bCs/>
        </w:rPr>
        <w:fldChar w:fldCharType="end"/>
      </w:r>
      <w:r>
        <w:rPr>
          <w:rFonts w:ascii="Times New Roman" w:hAnsi="Times New Roman" w:cs="Times New Roman"/>
        </w:rPr>
        <w:t xml:space="preserve">. As phagosomal maturation occurs, the pH decreases with every compartment due to the presence of v-ATPase on endosomes and lysosomes </w:t>
      </w:r>
      <w:r w:rsidRPr="009A4FAE">
        <w:rPr>
          <w:rFonts w:ascii="Times New Roman" w:hAnsi="Times New Roman" w:cs="Times New Roman"/>
          <w:b/>
          <w:bCs/>
        </w:rPr>
        <w:fldChar w:fldCharType="begin"/>
      </w:r>
      <w:r w:rsidRPr="009A4FAE">
        <w:rPr>
          <w:rFonts w:ascii="Times New Roman" w:hAnsi="Times New Roman" w:cs="Times New Roman"/>
          <w:b/>
          <w:bCs/>
        </w:rPr>
        <w:instrText xml:space="preserve"> ADDIN EN.CITE &lt;EndNote&gt;&lt;Cite&gt;&lt;Author&gt;Kinchen&lt;/Author&gt;&lt;Year&gt;2010&lt;/Year&gt;&lt;IDText&gt;Identification of two evolutionarily conserved genes regulating processing of engulfed apoptotic cells&lt;/IDText&gt;&lt;DisplayText&gt;(Kinchen and Ravichandran, 2010)&lt;/DisplayText&gt;&lt;record&gt;&lt;dates&gt;&lt;pub-dates&gt;&lt;date&gt;Apr&lt;/date&gt;&lt;/pub-dates&gt;&lt;year&gt;2010&lt;/year&gt;&lt;/dates&gt;&lt;urls&gt;&lt;related-urls&gt;&lt;url&gt;&amp;lt;Go to ISI&amp;gt;://WOS:000276205000049&lt;/url&gt;&lt;/related-urls&gt;&lt;/urls&gt;&lt;isbn&gt;0028-0836&lt;/isbn&gt;&lt;titles&gt;&lt;title&gt;Identification of two evolutionarily conserved genes regulating processing of engulfed apoptotic cells&lt;/title&gt;&lt;secondary-title&gt;Nature&lt;/secondary-title&gt;&lt;/titles&gt;&lt;pages&gt;778-U157&lt;/pages&gt;&lt;number&gt;7289&lt;/number&gt;&lt;contributors&gt;&lt;authors&gt;&lt;author&gt;Kinchen, J. M.&lt;/author&gt;&lt;author&gt;Ravichandran, K. S.&lt;/author&gt;&lt;/authors&gt;&lt;/contributors&gt;&lt;added-date format="utc"&gt;1677176034&lt;/added-date&gt;&lt;ref-type name="Journal Article"&gt;17&lt;/ref-type&gt;&lt;rec-number&gt;500&lt;/rec-number&gt;&lt;last-updated-date format="utc"&gt;1677176034&lt;/last-updated-date&gt;&lt;accession-num&gt;WOS:000276205000049&lt;/accession-num&gt;&lt;electronic-resource-num&gt;10.1038/nature08853&lt;/electronic-resource-num&gt;&lt;volume&gt;464&lt;/volume&gt;&lt;/record&gt;&lt;/Cite&gt;&lt;/EndNote&gt;</w:instrText>
      </w:r>
      <w:r w:rsidRPr="009A4FAE">
        <w:rPr>
          <w:rFonts w:ascii="Times New Roman" w:hAnsi="Times New Roman" w:cs="Times New Roman"/>
          <w:b/>
          <w:bCs/>
        </w:rPr>
        <w:fldChar w:fldCharType="separate"/>
      </w:r>
      <w:r w:rsidRPr="009A4FAE">
        <w:rPr>
          <w:rFonts w:ascii="Times New Roman" w:hAnsi="Times New Roman" w:cs="Times New Roman"/>
          <w:b/>
          <w:bCs/>
          <w:noProof/>
        </w:rPr>
        <w:t>(Kinchen and Ravichandran, 2010)</w:t>
      </w:r>
      <w:r w:rsidRPr="009A4FAE">
        <w:rPr>
          <w:rFonts w:ascii="Times New Roman" w:hAnsi="Times New Roman" w:cs="Times New Roman"/>
          <w:b/>
          <w:bCs/>
        </w:rPr>
        <w:fldChar w:fldCharType="end"/>
      </w:r>
      <w:r>
        <w:rPr>
          <w:rFonts w:ascii="Times New Roman" w:hAnsi="Times New Roman" w:cs="Times New Roman"/>
        </w:rPr>
        <w:t xml:space="preserve">. v-ATPase is a 14-subunit  protein complex that actively increases the phagosomal pH by pumping protons </w:t>
      </w:r>
      <w:r w:rsidRPr="009A4FAE">
        <w:rPr>
          <w:rFonts w:ascii="Times New Roman" w:hAnsi="Times New Roman" w:cs="Times New Roman"/>
          <w:b/>
          <w:bCs/>
        </w:rPr>
        <w:fldChar w:fldCharType="begin"/>
      </w:r>
      <w:r w:rsidRPr="009A4FAE">
        <w:rPr>
          <w:rFonts w:ascii="Times New Roman" w:hAnsi="Times New Roman" w:cs="Times New Roman"/>
          <w:b/>
          <w:bCs/>
        </w:rPr>
        <w:instrText xml:space="preserve"> ADDIN EN.CITE &lt;EndNote&gt;&lt;Cite&gt;&lt;Author&gt;Maxson&lt;/Author&gt;&lt;Year&gt;2014&lt;/Year&gt;&lt;IDText&gt;The vacuolar-type H+-ATPase at a glance - more than a proton pump&lt;/IDText&gt;&lt;DisplayText&gt;(Maxson and Grinstein, 2014)&lt;/DisplayText&gt;&lt;record&gt;&lt;dates&gt;&lt;pub-dates&gt;&lt;date&gt;Dec&lt;/date&gt;&lt;/pub-dates&gt;&lt;year&gt;2014&lt;/year&gt;&lt;/dates&gt;&lt;urls&gt;&lt;related-urls&gt;&lt;url&gt;&amp;lt;Go to ISI&amp;gt;://WOS:000345896800001&lt;/url&gt;&lt;/related-urls&gt;&lt;/urls&gt;&lt;isbn&gt;0021-9533&lt;/isbn&gt;&lt;titles&gt;&lt;title&gt;The vacuolar-type H+-ATPase at a glance - more than a proton pump&lt;/title&gt;&lt;secondary-title&gt;Journal of Cell Science&lt;/secondary-title&gt;&lt;/titles&gt;&lt;pages&gt;4987-4993&lt;/pages&gt;&lt;number&gt;23&lt;/number&gt;&lt;contributors&gt;&lt;authors&gt;&lt;author&gt;Maxson, M. E.&lt;/author&gt;&lt;author&gt;Grinstein, S.&lt;/author&gt;&lt;/authors&gt;&lt;/contributors&gt;&lt;added-date format="utc"&gt;1677186534&lt;/added-date&gt;&lt;ref-type name="Journal Article"&gt;17&lt;/ref-type&gt;&lt;rec-number&gt;510&lt;/rec-number&gt;&lt;last-updated-date format="utc"&gt;1677186534&lt;/last-updated-date&gt;&lt;accession-num&gt;WOS:000345896800001&lt;/accession-num&gt;&lt;electronic-resource-num&gt;10.1242/jcs.158550&lt;/electronic-resource-num&gt;&lt;volume&gt;127&lt;/volume&gt;&lt;/record&gt;&lt;/Cite&gt;&lt;/EndNote&gt;</w:instrText>
      </w:r>
      <w:r w:rsidRPr="009A4FAE">
        <w:rPr>
          <w:rFonts w:ascii="Times New Roman" w:hAnsi="Times New Roman" w:cs="Times New Roman"/>
          <w:b/>
          <w:bCs/>
        </w:rPr>
        <w:fldChar w:fldCharType="separate"/>
      </w:r>
      <w:r w:rsidRPr="009A4FAE">
        <w:rPr>
          <w:rFonts w:ascii="Times New Roman" w:hAnsi="Times New Roman" w:cs="Times New Roman"/>
          <w:b/>
          <w:bCs/>
          <w:noProof/>
        </w:rPr>
        <w:t>(Maxson and Grinstein, 2014)</w:t>
      </w:r>
      <w:r w:rsidRPr="009A4FAE">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and is the major component responsible for phagolysosomal low pH. The acidification of this compartment serves to eliminate pathogens and is also required for the function of cathepsins and AMPs such as LL-37. </w:t>
      </w:r>
      <w:r>
        <w:rPr>
          <w:rFonts w:ascii="Times New Roman" w:hAnsi="Times New Roman" w:cs="Times New Roman"/>
          <w:i/>
          <w:iCs/>
        </w:rPr>
        <w:t xml:space="preserve">S. aureus </w:t>
      </w:r>
      <w:r>
        <w:rPr>
          <w:rFonts w:ascii="Times New Roman" w:hAnsi="Times New Roman" w:cs="Times New Roman"/>
        </w:rPr>
        <w:t xml:space="preserve">growth at pH 4.5 is severely impeded </w:t>
      </w:r>
      <w:r>
        <w:rPr>
          <w:rFonts w:ascii="Times New Roman" w:hAnsi="Times New Roman" w:cs="Times New Roman"/>
          <w:i/>
          <w:iCs/>
        </w:rPr>
        <w:t>in vitro</w:t>
      </w:r>
      <w:r>
        <w:rPr>
          <w:rFonts w:ascii="Times New Roman" w:hAnsi="Times New Roman" w:cs="Times New Roman"/>
        </w:rPr>
        <w:t xml:space="preserve"> and thus the low pH environment of the phagolysosome is not optimal for exponential growth </w:t>
      </w:r>
      <w:r w:rsidRPr="00F72C2F">
        <w:rPr>
          <w:rFonts w:ascii="Times New Roman" w:hAnsi="Times New Roman" w:cs="Times New Roman"/>
          <w:b/>
          <w:bCs/>
        </w:rPr>
        <w:fldChar w:fldCharType="begin"/>
      </w:r>
      <w:r w:rsidRPr="00F72C2F">
        <w:rPr>
          <w:rFonts w:ascii="Times New Roman" w:hAnsi="Times New Roman" w:cs="Times New Roman"/>
          <w:b/>
          <w:bCs/>
        </w:rPr>
        <w:instrText xml:space="preserve"> ADDIN EN.CITE &lt;EndNote&gt;&lt;Cite&gt;&lt;Author&gt;Bore&lt;/Author&gt;&lt;Year&gt;2007&lt;/Year&gt;&lt;IDText&gt;Acid-shock responses in Staphylococcus aureus investigated by global gene expression analysis&lt;/IDText&gt;&lt;DisplayText&gt;(Bore&lt;style face="italic"&gt; et al.&lt;/style&gt;, 2007)&lt;/DisplayText&gt;&lt;record&gt;&lt;dates&gt;&lt;pub-dates&gt;&lt;date&gt;Jul&lt;/date&gt;&lt;/pub-dates&gt;&lt;year&gt;2007&lt;/year&gt;&lt;/dates&gt;&lt;urls&gt;&lt;related-urls&gt;&lt;url&gt;&amp;lt;Go to ISI&amp;gt;://WOS:000248154900029&lt;/url&gt;&lt;/related-urls&gt;&lt;/urls&gt;&lt;isbn&gt;1350-0872&lt;/isbn&gt;&lt;titles&gt;&lt;title&gt;Acid-shock responses in Staphylococcus aureus investigated by global gene expression analysis&lt;/title&gt;&lt;secondary-title&gt;Microbiology-Sgm&lt;/secondary-title&gt;&lt;/titles&gt;&lt;pages&gt;2289-2303&lt;/pages&gt;&lt;contributors&gt;&lt;authors&gt;&lt;author&gt;Bore, E.&lt;/author&gt;&lt;author&gt;Langsrud, S.&lt;/author&gt;&lt;author&gt;Langsrud, O.&lt;/author&gt;&lt;author&gt;Rode, T. M.&lt;/author&gt;&lt;author&gt;Holck, A.&lt;/author&gt;&lt;/authors&gt;&lt;/contributors&gt;&lt;added-date format="utc"&gt;1677190585&lt;/added-date&gt;&lt;ref-type name="Journal Article"&gt;17&lt;/ref-type&gt;&lt;rec-number&gt;511&lt;/rec-number&gt;&lt;last-updated-date format="utc"&gt;1677190585&lt;/last-updated-date&gt;&lt;accession-num&gt;WOS:000248154900029&lt;/accession-num&gt;&lt;electronic-resource-num&gt;10.1099/mic.0.2007/005942-0&lt;/electronic-resource-num&gt;&lt;volume&gt;153&lt;/volume&gt;&lt;/record&gt;&lt;/Cite&gt;&lt;/EndNote&gt;</w:instrText>
      </w:r>
      <w:r w:rsidRPr="00F72C2F">
        <w:rPr>
          <w:rFonts w:ascii="Times New Roman" w:hAnsi="Times New Roman" w:cs="Times New Roman"/>
          <w:b/>
          <w:bCs/>
        </w:rPr>
        <w:fldChar w:fldCharType="separate"/>
      </w:r>
      <w:r w:rsidRPr="00F72C2F">
        <w:rPr>
          <w:rFonts w:ascii="Times New Roman" w:hAnsi="Times New Roman" w:cs="Times New Roman"/>
          <w:b/>
          <w:bCs/>
          <w:noProof/>
        </w:rPr>
        <w:t>(Bore</w:t>
      </w:r>
      <w:r w:rsidRPr="00F72C2F">
        <w:rPr>
          <w:rFonts w:ascii="Times New Roman" w:hAnsi="Times New Roman" w:cs="Times New Roman"/>
          <w:b/>
          <w:bCs/>
          <w:i/>
          <w:noProof/>
        </w:rPr>
        <w:t xml:space="preserve"> et al.</w:t>
      </w:r>
      <w:r w:rsidRPr="00F72C2F">
        <w:rPr>
          <w:rFonts w:ascii="Times New Roman" w:hAnsi="Times New Roman" w:cs="Times New Roman"/>
          <w:b/>
          <w:bCs/>
          <w:noProof/>
        </w:rPr>
        <w:t>, 2007)</w:t>
      </w:r>
      <w:r w:rsidRPr="00F72C2F">
        <w:rPr>
          <w:rFonts w:ascii="Times New Roman" w:hAnsi="Times New Roman" w:cs="Times New Roman"/>
          <w:b/>
          <w:bCs/>
        </w:rPr>
        <w:fldChar w:fldCharType="end"/>
      </w:r>
      <w:r>
        <w:rPr>
          <w:rFonts w:ascii="Times New Roman" w:hAnsi="Times New Roman" w:cs="Times New Roman"/>
        </w:rPr>
        <w:t xml:space="preserve">. However, </w:t>
      </w:r>
      <w:r>
        <w:rPr>
          <w:rFonts w:ascii="Times New Roman" w:hAnsi="Times New Roman" w:cs="Times New Roman"/>
          <w:i/>
          <w:iCs/>
        </w:rPr>
        <w:t xml:space="preserve">S. aureus </w:t>
      </w:r>
      <w:r>
        <w:rPr>
          <w:rFonts w:ascii="Times New Roman" w:hAnsi="Times New Roman" w:cs="Times New Roman"/>
        </w:rPr>
        <w:t xml:space="preserve">has developed mechanisms to aid survival in the presence of low pH. The GraS sensor kinase of the GraXRS regulatory system is responsible for sensing low pH and expression of genes regulated by this system including </w:t>
      </w:r>
      <w:r w:rsidRPr="00AC4413">
        <w:rPr>
          <w:rFonts w:ascii="Times New Roman" w:hAnsi="Times New Roman" w:cs="Times New Roman"/>
          <w:i/>
          <w:iCs/>
        </w:rPr>
        <w:t>mprF</w:t>
      </w:r>
      <w:r>
        <w:rPr>
          <w:rFonts w:ascii="Times New Roman" w:hAnsi="Times New Roman" w:cs="Times New Roman"/>
        </w:rPr>
        <w:t xml:space="preserve"> and the</w:t>
      </w:r>
      <w:r w:rsidRPr="00AC4413">
        <w:rPr>
          <w:rFonts w:ascii="Times New Roman" w:hAnsi="Times New Roman" w:cs="Times New Roman"/>
        </w:rPr>
        <w:t xml:space="preserve"> </w:t>
      </w:r>
      <w:r w:rsidRPr="00AC4413">
        <w:rPr>
          <w:rFonts w:ascii="Times New Roman" w:hAnsi="Times New Roman" w:cs="Times New Roman"/>
          <w:i/>
          <w:iCs/>
        </w:rPr>
        <w:t>dltABCD</w:t>
      </w:r>
      <w:r>
        <w:rPr>
          <w:rFonts w:ascii="Times New Roman" w:hAnsi="Times New Roman" w:cs="Times New Roman"/>
        </w:rPr>
        <w:t xml:space="preserve"> operon have led to the development of AMP resistance </w:t>
      </w:r>
      <w:r w:rsidRPr="000009A7">
        <w:rPr>
          <w:rFonts w:ascii="Times New Roman" w:hAnsi="Times New Roman" w:cs="Times New Roman"/>
          <w:b/>
          <w:bCs/>
        </w:rPr>
        <w:fldChar w:fldCharType="begin"/>
      </w:r>
      <w:r w:rsidRPr="000009A7">
        <w:rPr>
          <w:rFonts w:ascii="Times New Roman" w:hAnsi="Times New Roman" w:cs="Times New Roman"/>
          <w:b/>
          <w:bCs/>
        </w:rPr>
        <w:instrText xml:space="preserve"> ADDIN EN.CITE &lt;EndNote&gt;&lt;Cite&gt;&lt;Author&gt;Flannagan&lt;/Author&gt;&lt;Year&gt;2018&lt;/Year&gt;&lt;IDText&gt;Staphylococcus aureus Uses the GraXRS Regulatory System To Sense and Adapt to the Acidified Phagolysosome in Macrophages&lt;/IDText&gt;&lt;DisplayText&gt;(Flannagan&lt;style face="italic"&gt; et al.&lt;/style&gt;, 2018)&lt;/DisplayText&gt;&lt;record&gt;&lt;dates&gt;&lt;pub-dates&gt;&lt;date&gt;Jul-Aug&lt;/date&gt;&lt;/pub-dates&gt;&lt;year&gt;2018&lt;/year&gt;&lt;/dates&gt;&lt;urls&gt;&lt;related-urls&gt;&lt;url&gt;&amp;lt;Go to ISI&amp;gt;://WOS:000443884300036&lt;/url&gt;&lt;/related-urls&gt;&lt;/urls&gt;&lt;isbn&gt;2150-7511&lt;/isbn&gt;&lt;work-type&gt;Article&lt;/work-type&gt;&lt;titles&gt;&lt;title&gt;&lt;style face="italic" font="default" size="100%"&gt;Staphylococcus aureus &lt;/style&gt;&lt;style font="default" size="100%"&gt;Uses the GraXRS Regulatory System To Sense and Adapt to the Acidified Phagolysosome in Macrophages&lt;/style&gt;&lt;/title&gt;&lt;secondary-title&gt;Mbio&lt;/secondary-title&gt;&lt;/titles&gt;&lt;number&gt;4&lt;/number&gt;&lt;contributors&gt;&lt;authors&gt;&lt;author&gt;Flannagan, Ronald S.&lt;/author&gt;&lt;author&gt;Kuiack, Robert C.&lt;/author&gt;&lt;author&gt;McGavin, Martin J.&lt;/author&gt;&lt;author&gt;Heinrichs, David E.&lt;/author&gt;&lt;/authors&gt;&lt;/contributors&gt;&lt;custom7&gt;e01143-18&lt;/custom7&gt;&lt;added-date format="utc"&gt;1672504676&lt;/added-date&gt;&lt;ref-type name="Journal Article"&gt;17&lt;/ref-type&gt;&lt;rec-number&gt;194&lt;/rec-number&gt;&lt;last-updated-date format="utc"&gt;1675729769&lt;/last-updated-date&gt;&lt;accession-num&gt;WOS:000443884300036&lt;/accession-num&gt;&lt;electronic-resource-num&gt;10.1128/mBio.01143-18&lt;/electronic-resource-num&gt;&lt;volume&gt;9&lt;/volume&gt;&lt;/record&gt;&lt;/Cite&gt;&lt;/EndNote&gt;</w:instrText>
      </w:r>
      <w:r w:rsidRPr="000009A7">
        <w:rPr>
          <w:rFonts w:ascii="Times New Roman" w:hAnsi="Times New Roman" w:cs="Times New Roman"/>
          <w:b/>
          <w:bCs/>
        </w:rPr>
        <w:fldChar w:fldCharType="separate"/>
      </w:r>
      <w:r w:rsidRPr="000009A7">
        <w:rPr>
          <w:rFonts w:ascii="Times New Roman" w:hAnsi="Times New Roman" w:cs="Times New Roman"/>
          <w:b/>
          <w:bCs/>
          <w:noProof/>
        </w:rPr>
        <w:t>(Flannagan</w:t>
      </w:r>
      <w:r w:rsidRPr="000009A7">
        <w:rPr>
          <w:rFonts w:ascii="Times New Roman" w:hAnsi="Times New Roman" w:cs="Times New Roman"/>
          <w:b/>
          <w:bCs/>
          <w:i/>
          <w:noProof/>
        </w:rPr>
        <w:t xml:space="preserve"> et al.</w:t>
      </w:r>
      <w:r w:rsidRPr="000009A7">
        <w:rPr>
          <w:rFonts w:ascii="Times New Roman" w:hAnsi="Times New Roman" w:cs="Times New Roman"/>
          <w:b/>
          <w:bCs/>
          <w:noProof/>
        </w:rPr>
        <w:t>, 2018)</w:t>
      </w:r>
      <w:r w:rsidRPr="000009A7">
        <w:rPr>
          <w:rFonts w:ascii="Times New Roman" w:hAnsi="Times New Roman" w:cs="Times New Roman"/>
          <w:b/>
          <w:bCs/>
        </w:rPr>
        <w:fldChar w:fldCharType="end"/>
      </w:r>
      <w:r>
        <w:rPr>
          <w:rFonts w:ascii="Times New Roman" w:hAnsi="Times New Roman" w:cs="Times New Roman"/>
        </w:rPr>
        <w:t xml:space="preserve">. It was also shown that </w:t>
      </w:r>
      <w:r>
        <w:rPr>
          <w:rFonts w:ascii="Times New Roman" w:hAnsi="Times New Roman" w:cs="Times New Roman"/>
          <w:i/>
          <w:iCs/>
        </w:rPr>
        <w:t xml:space="preserve">S. aureus </w:t>
      </w:r>
      <w:r>
        <w:rPr>
          <w:rFonts w:ascii="Times New Roman" w:hAnsi="Times New Roman" w:cs="Times New Roman"/>
        </w:rPr>
        <w:t xml:space="preserve">replicated within the acidic phagolysosomal environment </w:t>
      </w:r>
      <w:r w:rsidRPr="005C3F5C">
        <w:rPr>
          <w:rFonts w:ascii="Times New Roman" w:hAnsi="Times New Roman" w:cs="Times New Roman"/>
          <w:b/>
          <w:bCs/>
        </w:rPr>
        <w:fldChar w:fldCharType="begin"/>
      </w:r>
      <w:r w:rsidRPr="005C3F5C">
        <w:rPr>
          <w:rFonts w:ascii="Times New Roman" w:hAnsi="Times New Roman" w:cs="Times New Roman"/>
          <w:b/>
          <w:bCs/>
        </w:rPr>
        <w:instrText xml:space="preserve"> ADDIN EN.CITE &lt;EndNote&gt;&lt;Cite&gt;&lt;Author&gt;Flannagan&lt;/Author&gt;&lt;Year&gt;2018&lt;/Year&gt;&lt;IDText&gt;Staphylococcus aureus Uses the GraXRS Regulatory System To Sense and Adapt to the Acidified Phagolysosome in Macrophages&lt;/IDText&gt;&lt;DisplayText&gt;(Flannagan&lt;style face="italic"&gt; et al.&lt;/style&gt;, 2018)&lt;/DisplayText&gt;&lt;record&gt;&lt;dates&gt;&lt;pub-dates&gt;&lt;date&gt;Jul-Aug&lt;/date&gt;&lt;/pub-dates&gt;&lt;year&gt;2018&lt;/year&gt;&lt;/dates&gt;&lt;urls&gt;&lt;related-urls&gt;&lt;url&gt;&amp;lt;Go to ISI&amp;gt;://WOS:000443884300036&lt;/url&gt;&lt;/related-urls&gt;&lt;/urls&gt;&lt;isbn&gt;2150-7511&lt;/isbn&gt;&lt;work-type&gt;Article&lt;/work-type&gt;&lt;titles&gt;&lt;title&gt;&lt;style face="italic" font="default" size="100%"&gt;Staphylococcus aureus &lt;/style&gt;&lt;style font="default" size="100%"&gt;Uses the GraXRS Regulatory System To Sense and Adapt to the Acidified Phagolysosome in Macrophages&lt;/style&gt;&lt;/title&gt;&lt;secondary-title&gt;Mbio&lt;/secondary-title&gt;&lt;/titles&gt;&lt;number&gt;4&lt;/number&gt;&lt;contributors&gt;&lt;authors&gt;&lt;author&gt;Flannagan, Ronald S.&lt;/author&gt;&lt;author&gt;Kuiack, Robert C.&lt;/author&gt;&lt;author&gt;McGavin, Martin J.&lt;/author&gt;&lt;author&gt;Heinrichs, David E.&lt;/author&gt;&lt;/authors&gt;&lt;/contributors&gt;&lt;custom7&gt;e01143-18&lt;/custom7&gt;&lt;added-date format="utc"&gt;1672504676&lt;/added-date&gt;&lt;ref-type name="Journal Article"&gt;17&lt;/ref-type&gt;&lt;rec-number&gt;194&lt;/rec-number&gt;&lt;last-updated-date format="utc"&gt;1675729769&lt;/last-updated-date&gt;&lt;accession-num&gt;WOS:000443884300036&lt;/accession-num&gt;&lt;electronic-resource-num&gt;10.1128/mBio.01143-18&lt;/electronic-resource-num&gt;&lt;volume&gt;9&lt;/volume&gt;&lt;/record&gt;&lt;/Cite&gt;&lt;/EndNote&gt;</w:instrText>
      </w:r>
      <w:r w:rsidRPr="005C3F5C">
        <w:rPr>
          <w:rFonts w:ascii="Times New Roman" w:hAnsi="Times New Roman" w:cs="Times New Roman"/>
          <w:b/>
          <w:bCs/>
        </w:rPr>
        <w:fldChar w:fldCharType="separate"/>
      </w:r>
      <w:r w:rsidRPr="005C3F5C">
        <w:rPr>
          <w:rFonts w:ascii="Times New Roman" w:hAnsi="Times New Roman" w:cs="Times New Roman"/>
          <w:b/>
          <w:bCs/>
          <w:noProof/>
        </w:rPr>
        <w:t>(Flannagan</w:t>
      </w:r>
      <w:r w:rsidRPr="005C3F5C">
        <w:rPr>
          <w:rFonts w:ascii="Times New Roman" w:hAnsi="Times New Roman" w:cs="Times New Roman"/>
          <w:b/>
          <w:bCs/>
          <w:i/>
          <w:noProof/>
        </w:rPr>
        <w:t xml:space="preserve"> et al.</w:t>
      </w:r>
      <w:r w:rsidRPr="005C3F5C">
        <w:rPr>
          <w:rFonts w:ascii="Times New Roman" w:hAnsi="Times New Roman" w:cs="Times New Roman"/>
          <w:b/>
          <w:bCs/>
          <w:noProof/>
        </w:rPr>
        <w:t>, 2018)</w:t>
      </w:r>
      <w:r w:rsidRPr="005C3F5C">
        <w:rPr>
          <w:rFonts w:ascii="Times New Roman" w:hAnsi="Times New Roman" w:cs="Times New Roman"/>
          <w:b/>
          <w:bCs/>
        </w:rPr>
        <w:fldChar w:fldCharType="end"/>
      </w:r>
      <w:r>
        <w:rPr>
          <w:rFonts w:ascii="Times New Roman" w:hAnsi="Times New Roman" w:cs="Times New Roman"/>
        </w:rPr>
        <w:t xml:space="preserve">, concurrent with the notion that </w:t>
      </w:r>
      <w:r>
        <w:rPr>
          <w:rFonts w:ascii="Times New Roman" w:hAnsi="Times New Roman" w:cs="Times New Roman"/>
          <w:i/>
          <w:iCs/>
        </w:rPr>
        <w:t xml:space="preserve">S. aureus </w:t>
      </w:r>
      <w:r>
        <w:rPr>
          <w:rFonts w:ascii="Times New Roman" w:hAnsi="Times New Roman" w:cs="Times New Roman"/>
        </w:rPr>
        <w:t>is an intracellular pathogen and replication within phagocytes acts as a means of dissemination.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33564" w14:paraId="697E7BC8" w14:textId="77777777" w:rsidTr="00A74445">
        <w:tc>
          <w:tcPr>
            <w:tcW w:w="9016" w:type="dxa"/>
          </w:tcPr>
          <w:p w14:paraId="24444101" w14:textId="77777777" w:rsidR="00033564" w:rsidRDefault="00033564"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E88EE32" wp14:editId="4626D2A6">
                  <wp:extent cx="5486400" cy="609133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2423" cy="6109124"/>
                          </a:xfrm>
                          <a:prstGeom prst="rect">
                            <a:avLst/>
                          </a:prstGeom>
                          <a:noFill/>
                        </pic:spPr>
                      </pic:pic>
                    </a:graphicData>
                  </a:graphic>
                </wp:inline>
              </w:drawing>
            </w:r>
          </w:p>
        </w:tc>
      </w:tr>
      <w:tr w:rsidR="00033564" w14:paraId="536CE377" w14:textId="77777777" w:rsidTr="00A74445">
        <w:tc>
          <w:tcPr>
            <w:tcW w:w="9016" w:type="dxa"/>
          </w:tcPr>
          <w:p w14:paraId="345F9F3E" w14:textId="22ADA6B9" w:rsidR="00033564" w:rsidRPr="000D23E2" w:rsidRDefault="00033564" w:rsidP="00A74445">
            <w:pPr>
              <w:jc w:val="both"/>
              <w:rPr>
                <w:rFonts w:ascii="Times New Roman" w:hAnsi="Times New Roman" w:cs="Times New Roman"/>
                <w:sz w:val="18"/>
                <w:szCs w:val="18"/>
              </w:rPr>
            </w:pPr>
            <w:r w:rsidRPr="000D23E2">
              <w:rPr>
                <w:rFonts w:ascii="Times New Roman" w:hAnsi="Times New Roman" w:cs="Times New Roman"/>
                <w:b/>
                <w:bCs/>
                <w:sz w:val="18"/>
                <w:szCs w:val="18"/>
              </w:rPr>
              <w:t xml:space="preserve">Figure 1.3.4.3. The phagolysosome. </w:t>
            </w:r>
            <w:r w:rsidRPr="000D23E2">
              <w:rPr>
                <w:rFonts w:ascii="Times New Roman" w:hAnsi="Times New Roman" w:cs="Times New Roman"/>
                <w:sz w:val="18"/>
                <w:szCs w:val="18"/>
              </w:rPr>
              <w:t>Within the phagolysosome, many microbicidal insults are present. v-ATPase lowers the phagolysosomal pH by providing an influx of H+ ions. The compartment</w:t>
            </w:r>
            <w:r w:rsidR="00EA21C7">
              <w:rPr>
                <w:rFonts w:ascii="Times New Roman" w:hAnsi="Times New Roman" w:cs="Times New Roman"/>
                <w:sz w:val="18"/>
                <w:szCs w:val="18"/>
              </w:rPr>
              <w:t>al</w:t>
            </w:r>
            <w:r w:rsidRPr="000D23E2">
              <w:rPr>
                <w:rFonts w:ascii="Times New Roman" w:hAnsi="Times New Roman" w:cs="Times New Roman"/>
                <w:sz w:val="18"/>
                <w:szCs w:val="18"/>
              </w:rPr>
              <w:t xml:space="preserve"> pH can also be altered, to a lesser extent, by itaconic acid, a Krebs cycle intermediate. Itaconic acid is produced by aconitase that is encoded for by the </w:t>
            </w:r>
            <w:r w:rsidRPr="000D23E2">
              <w:rPr>
                <w:rFonts w:ascii="Times New Roman" w:hAnsi="Times New Roman" w:cs="Times New Roman"/>
                <w:i/>
                <w:iCs/>
                <w:sz w:val="18"/>
                <w:szCs w:val="18"/>
              </w:rPr>
              <w:t>IRG1</w:t>
            </w:r>
            <w:r w:rsidRPr="000D23E2">
              <w:rPr>
                <w:rFonts w:ascii="Times New Roman" w:hAnsi="Times New Roman" w:cs="Times New Roman"/>
                <w:sz w:val="18"/>
                <w:szCs w:val="18"/>
              </w:rPr>
              <w:t xml:space="preserve"> gene. Itaconic acid positively modulates the NRF2/HO1 signalling pathway, thereby inhibiting the inflammasome and reducing inflammation within the host. Itaconic acid acts on bacteria by inhibiting isocitrate lyase and therefore the glyoxylate shunt, an important shunt of the Krebs cycle that is important for bacterial growth. Superoxide (O</w:t>
            </w:r>
            <w:r w:rsidRPr="000D23E2">
              <w:rPr>
                <w:rFonts w:ascii="Times New Roman" w:hAnsi="Times New Roman" w:cs="Times New Roman"/>
                <w:sz w:val="18"/>
                <w:szCs w:val="18"/>
                <w:vertAlign w:val="subscript"/>
              </w:rPr>
              <w:t>2</w:t>
            </w:r>
            <w:r w:rsidRPr="000D23E2">
              <w:rPr>
                <w:rFonts w:ascii="Times New Roman" w:hAnsi="Times New Roman" w:cs="Times New Roman"/>
                <w:sz w:val="18"/>
                <w:szCs w:val="18"/>
                <w:vertAlign w:val="superscript"/>
              </w:rPr>
              <w:t xml:space="preserve">- </w:t>
            </w:r>
            <w:r w:rsidRPr="000D23E2">
              <w:rPr>
                <w:rFonts w:ascii="Times New Roman" w:hAnsi="Times New Roman" w:cs="Times New Roman"/>
                <w:sz w:val="18"/>
                <w:szCs w:val="18"/>
              </w:rPr>
              <w:t>) and nitric oxide radicals (·NO) are generated by NADPH oxidase and iNOS respectively. O</w:t>
            </w:r>
            <w:r w:rsidRPr="000D23E2">
              <w:rPr>
                <w:rFonts w:ascii="Times New Roman" w:hAnsi="Times New Roman" w:cs="Times New Roman"/>
                <w:sz w:val="18"/>
                <w:szCs w:val="18"/>
                <w:vertAlign w:val="subscript"/>
              </w:rPr>
              <w:t>2</w:t>
            </w:r>
            <w:r w:rsidRPr="000D23E2">
              <w:rPr>
                <w:rFonts w:ascii="Times New Roman" w:hAnsi="Times New Roman" w:cs="Times New Roman"/>
                <w:sz w:val="18"/>
                <w:szCs w:val="18"/>
                <w:vertAlign w:val="superscript"/>
              </w:rPr>
              <w:t xml:space="preserve">- </w:t>
            </w:r>
            <w:r w:rsidRPr="000D23E2">
              <w:rPr>
                <w:rFonts w:ascii="Times New Roman" w:hAnsi="Times New Roman" w:cs="Times New Roman"/>
                <w:sz w:val="18"/>
                <w:szCs w:val="18"/>
              </w:rPr>
              <w:t>can be detoxified by converting to H</w:t>
            </w:r>
            <w:r w:rsidRPr="000D23E2">
              <w:rPr>
                <w:rFonts w:ascii="Times New Roman" w:hAnsi="Times New Roman" w:cs="Times New Roman"/>
                <w:sz w:val="18"/>
                <w:szCs w:val="18"/>
                <w:vertAlign w:val="subscript"/>
              </w:rPr>
              <w:t>2</w:t>
            </w:r>
            <w:r w:rsidRPr="000D23E2">
              <w:rPr>
                <w:rFonts w:ascii="Times New Roman" w:hAnsi="Times New Roman" w:cs="Times New Roman"/>
                <w:sz w:val="18"/>
                <w:szCs w:val="18"/>
              </w:rPr>
              <w:t>O</w:t>
            </w:r>
            <w:r w:rsidRPr="000D23E2">
              <w:rPr>
                <w:rFonts w:ascii="Times New Roman" w:hAnsi="Times New Roman" w:cs="Times New Roman"/>
                <w:sz w:val="18"/>
                <w:szCs w:val="18"/>
                <w:vertAlign w:val="subscript"/>
              </w:rPr>
              <w:t xml:space="preserve">2 </w:t>
            </w:r>
            <w:r w:rsidRPr="000D23E2">
              <w:rPr>
                <w:rFonts w:ascii="Times New Roman" w:hAnsi="Times New Roman" w:cs="Times New Roman"/>
                <w:sz w:val="18"/>
                <w:szCs w:val="18"/>
              </w:rPr>
              <w:t>by superoxide dismutase (S</w:t>
            </w:r>
            <w:r>
              <w:rPr>
                <w:rFonts w:ascii="Times New Roman" w:hAnsi="Times New Roman" w:cs="Times New Roman"/>
                <w:sz w:val="18"/>
                <w:szCs w:val="18"/>
              </w:rPr>
              <w:t>OD</w:t>
            </w:r>
            <w:r w:rsidRPr="000D23E2">
              <w:rPr>
                <w:rFonts w:ascii="Times New Roman" w:hAnsi="Times New Roman" w:cs="Times New Roman"/>
                <w:sz w:val="18"/>
                <w:szCs w:val="18"/>
              </w:rPr>
              <w:t>). H</w:t>
            </w:r>
            <w:r w:rsidRPr="000D23E2">
              <w:rPr>
                <w:rFonts w:ascii="Times New Roman" w:hAnsi="Times New Roman" w:cs="Times New Roman"/>
                <w:sz w:val="18"/>
                <w:szCs w:val="18"/>
                <w:vertAlign w:val="subscript"/>
              </w:rPr>
              <w:t>2</w:t>
            </w:r>
            <w:r w:rsidRPr="000D23E2">
              <w:rPr>
                <w:rFonts w:ascii="Times New Roman" w:hAnsi="Times New Roman" w:cs="Times New Roman"/>
                <w:sz w:val="18"/>
                <w:szCs w:val="18"/>
              </w:rPr>
              <w:t>O</w:t>
            </w:r>
            <w:r w:rsidRPr="000D23E2">
              <w:rPr>
                <w:rFonts w:ascii="Times New Roman" w:hAnsi="Times New Roman" w:cs="Times New Roman"/>
                <w:sz w:val="18"/>
                <w:szCs w:val="18"/>
                <w:vertAlign w:val="subscript"/>
              </w:rPr>
              <w:t xml:space="preserve">2 </w:t>
            </w:r>
            <w:r w:rsidRPr="000D23E2">
              <w:rPr>
                <w:rFonts w:ascii="Times New Roman" w:hAnsi="Times New Roman" w:cs="Times New Roman"/>
                <w:sz w:val="18"/>
                <w:szCs w:val="18"/>
              </w:rPr>
              <w:t>is converted to HOCl by myeloperoxidase (MPO). H</w:t>
            </w:r>
            <w:r w:rsidRPr="000D23E2">
              <w:rPr>
                <w:rFonts w:ascii="Times New Roman" w:hAnsi="Times New Roman" w:cs="Times New Roman"/>
                <w:sz w:val="18"/>
                <w:szCs w:val="18"/>
                <w:vertAlign w:val="subscript"/>
              </w:rPr>
              <w:t>2</w:t>
            </w:r>
            <w:r w:rsidRPr="000D23E2">
              <w:rPr>
                <w:rFonts w:ascii="Times New Roman" w:hAnsi="Times New Roman" w:cs="Times New Roman"/>
                <w:sz w:val="18"/>
                <w:szCs w:val="18"/>
              </w:rPr>
              <w:t>O</w:t>
            </w:r>
            <w:r w:rsidRPr="000D23E2">
              <w:rPr>
                <w:rFonts w:ascii="Times New Roman" w:hAnsi="Times New Roman" w:cs="Times New Roman"/>
                <w:sz w:val="18"/>
                <w:szCs w:val="18"/>
                <w:vertAlign w:val="subscript"/>
              </w:rPr>
              <w:t xml:space="preserve">2 </w:t>
            </w:r>
            <w:r w:rsidRPr="000D23E2">
              <w:rPr>
                <w:rFonts w:ascii="Times New Roman" w:hAnsi="Times New Roman" w:cs="Times New Roman"/>
                <w:sz w:val="18"/>
                <w:szCs w:val="18"/>
              </w:rPr>
              <w:t>can also react with staphylococcal ferrous iron (Fe</w:t>
            </w:r>
            <w:r w:rsidRPr="000D23E2">
              <w:rPr>
                <w:rFonts w:ascii="Times New Roman" w:hAnsi="Times New Roman" w:cs="Times New Roman"/>
                <w:sz w:val="18"/>
                <w:szCs w:val="18"/>
                <w:vertAlign w:val="superscript"/>
              </w:rPr>
              <w:t>2+</w:t>
            </w:r>
            <w:r w:rsidRPr="000D23E2">
              <w:rPr>
                <w:rFonts w:ascii="Times New Roman" w:hAnsi="Times New Roman" w:cs="Times New Roman"/>
                <w:sz w:val="18"/>
                <w:szCs w:val="18"/>
              </w:rPr>
              <w:t>) to produce the hydroxyl radical (</w:t>
            </w:r>
            <w:r w:rsidRPr="000D23E2">
              <w:rPr>
                <w:rFonts w:ascii="Times New Roman" w:hAnsi="Times New Roman" w:cs="Times New Roman"/>
                <w:b/>
                <w:bCs/>
                <w:sz w:val="18"/>
                <w:szCs w:val="18"/>
                <w:rtl/>
                <w:lang w:bidi="fa-IR"/>
              </w:rPr>
              <w:t>۰</w:t>
            </w:r>
            <w:r w:rsidRPr="000D23E2">
              <w:rPr>
                <w:rFonts w:ascii="Times New Roman" w:hAnsi="Times New Roman" w:cs="Times New Roman"/>
                <w:sz w:val="18"/>
                <w:szCs w:val="18"/>
              </w:rPr>
              <w:t>OH) and hydroxide ion (OH-). Enzymes such as lysozyme act on the cell wall and hydrolyse the β(1-4) glycosidic linkages of peptidoglycan. The cathepsins are cysteine proteases and degradative enzymes that destroy biofilms but also positively modulate cytokine production. The cationic AMP</w:t>
            </w:r>
            <w:r w:rsidR="00EA21C7">
              <w:rPr>
                <w:rFonts w:ascii="Times New Roman" w:hAnsi="Times New Roman" w:cs="Times New Roman"/>
                <w:sz w:val="18"/>
                <w:szCs w:val="18"/>
              </w:rPr>
              <w:t>s</w:t>
            </w:r>
            <w:r w:rsidRPr="000D23E2">
              <w:rPr>
                <w:rFonts w:ascii="Times New Roman" w:hAnsi="Times New Roman" w:cs="Times New Roman"/>
                <w:sz w:val="18"/>
                <w:szCs w:val="18"/>
              </w:rPr>
              <w:t xml:space="preserve"> LL-37 and HNP1-4 cause cell lysis. Green arrows represent a positive interaction.</w:t>
            </w:r>
          </w:p>
        </w:tc>
      </w:tr>
    </w:tbl>
    <w:p w14:paraId="135F332F" w14:textId="77777777" w:rsidR="00033564" w:rsidRPr="000009A7" w:rsidRDefault="00033564" w:rsidP="00033564">
      <w:pPr>
        <w:spacing w:line="360" w:lineRule="auto"/>
        <w:jc w:val="both"/>
        <w:rPr>
          <w:rFonts w:ascii="Times New Roman" w:hAnsi="Times New Roman" w:cs="Times New Roman"/>
        </w:rPr>
      </w:pPr>
    </w:p>
    <w:p w14:paraId="463B5B94" w14:textId="1C713675" w:rsidR="00033564" w:rsidRDefault="00033564" w:rsidP="00033564">
      <w:pPr>
        <w:spacing w:line="360" w:lineRule="auto"/>
        <w:jc w:val="both"/>
        <w:rPr>
          <w:rFonts w:ascii="Times New Roman" w:hAnsi="Times New Roman" w:cs="Times New Roman"/>
        </w:rPr>
      </w:pPr>
      <w:r>
        <w:rPr>
          <w:rFonts w:ascii="Times New Roman" w:hAnsi="Times New Roman" w:cs="Times New Roman"/>
        </w:rPr>
        <w:tab/>
        <w:t xml:space="preserve">Itaconic acid/itaconate is a weak organic acid and immunometabolite that was recently discovered to be produced by LPS-stimulated RAW 264.7 murine macrophages </w:t>
      </w:r>
      <w:r w:rsidRPr="005C3F5C">
        <w:rPr>
          <w:rFonts w:ascii="Times New Roman" w:hAnsi="Times New Roman" w:cs="Times New Roman"/>
          <w:b/>
          <w:bCs/>
        </w:rPr>
        <w:fldChar w:fldCharType="begin"/>
      </w:r>
      <w:r w:rsidRPr="005C3F5C">
        <w:rPr>
          <w:rFonts w:ascii="Times New Roman" w:hAnsi="Times New Roman" w:cs="Times New Roman"/>
          <w:b/>
          <w:bCs/>
        </w:rPr>
        <w:instrText xml:space="preserve"> ADDIN EN.CITE &lt;EndNote&gt;&lt;Cite&gt;&lt;Author&gt;Strelko&lt;/Author&gt;&lt;Year&gt;2011&lt;/Year&gt;&lt;IDText&gt;Itaconic Acid Is a Mammalian Metabolite Induced during Macrophage Activation&lt;/IDText&gt;&lt;DisplayText&gt;(Strelko&lt;style face="italic"&gt; et al.&lt;/style&gt;, 2011)&lt;/DisplayText&gt;&lt;record&gt;&lt;dates&gt;&lt;pub-dates&gt;&lt;date&gt;Oct&lt;/date&gt;&lt;/pub-dates&gt;&lt;year&gt;2011&lt;/year&gt;&lt;/dates&gt;&lt;urls&gt;&lt;related-urls&gt;&lt;url&gt;&amp;lt;Go to ISI&amp;gt;://WOS:000295997500018&lt;/url&gt;&lt;/related-urls&gt;&lt;/urls&gt;&lt;isbn&gt;0002-7863&lt;/isbn&gt;&lt;titles&gt;&lt;title&gt;Itaconic Acid Is a Mammalian Metabolite Induced during Macrophage Activation&lt;/title&gt;&lt;secondary-title&gt;Journal of the American Chemical Society&lt;/secondary-title&gt;&lt;/titles&gt;&lt;pages&gt;16386-16389&lt;/pages&gt;&lt;number&gt;41&lt;/number&gt;&lt;contributors&gt;&lt;authors&gt;&lt;author&gt;Strelko, C. L.&lt;/author&gt;&lt;author&gt;Lu, W. Y.&lt;/author&gt;&lt;author&gt;Dufort, F. J.&lt;/author&gt;&lt;author&gt;Seyfried, T. N.&lt;/author&gt;&lt;author&gt;Chiles, T. C.&lt;/author&gt;&lt;author&gt;Rabinowitz, J. D.&lt;/author&gt;&lt;author&gt;Roberts, M. F.&lt;/author&gt;&lt;/authors&gt;&lt;/contributors&gt;&lt;added-date format="utc"&gt;1677192959&lt;/added-date&gt;&lt;ref-type name="Journal Article"&gt;17&lt;/ref-type&gt;&lt;rec-number&gt;512&lt;/rec-number&gt;&lt;last-updated-date format="utc"&gt;1677192959&lt;/last-updated-date&gt;&lt;accession-num&gt;WOS:000295997500018&lt;/accession-num&gt;&lt;electronic-resource-num&gt;10.1021/ja2070889&lt;/electronic-resource-num&gt;&lt;volume&gt;133&lt;/volume&gt;&lt;/record&gt;&lt;/Cite&gt;&lt;/EndNote&gt;</w:instrText>
      </w:r>
      <w:r w:rsidRPr="005C3F5C">
        <w:rPr>
          <w:rFonts w:ascii="Times New Roman" w:hAnsi="Times New Roman" w:cs="Times New Roman"/>
          <w:b/>
          <w:bCs/>
        </w:rPr>
        <w:fldChar w:fldCharType="separate"/>
      </w:r>
      <w:r w:rsidRPr="005C3F5C">
        <w:rPr>
          <w:rFonts w:ascii="Times New Roman" w:hAnsi="Times New Roman" w:cs="Times New Roman"/>
          <w:b/>
          <w:bCs/>
          <w:noProof/>
        </w:rPr>
        <w:t>(Strelko</w:t>
      </w:r>
      <w:r w:rsidRPr="005C3F5C">
        <w:rPr>
          <w:rFonts w:ascii="Times New Roman" w:hAnsi="Times New Roman" w:cs="Times New Roman"/>
          <w:b/>
          <w:bCs/>
          <w:i/>
          <w:noProof/>
        </w:rPr>
        <w:t xml:space="preserve"> et al.</w:t>
      </w:r>
      <w:r w:rsidRPr="005C3F5C">
        <w:rPr>
          <w:rFonts w:ascii="Times New Roman" w:hAnsi="Times New Roman" w:cs="Times New Roman"/>
          <w:b/>
          <w:bCs/>
          <w:noProof/>
        </w:rPr>
        <w:t>, 2011)</w:t>
      </w:r>
      <w:r w:rsidRPr="005C3F5C">
        <w:rPr>
          <w:rFonts w:ascii="Times New Roman" w:hAnsi="Times New Roman" w:cs="Times New Roman"/>
          <w:b/>
          <w:bCs/>
        </w:rPr>
        <w:fldChar w:fldCharType="end"/>
      </w:r>
      <w:r>
        <w:rPr>
          <w:rFonts w:ascii="Times New Roman" w:hAnsi="Times New Roman" w:cs="Times New Roman"/>
        </w:rPr>
        <w:t xml:space="preserve">. Within phagolysosomes, it can be found at physiological concentrations of approximately 55-120 pM </w:t>
      </w:r>
      <w:r w:rsidRPr="00224CC2">
        <w:rPr>
          <w:rFonts w:ascii="Times New Roman" w:hAnsi="Times New Roman" w:cs="Times New Roman"/>
          <w:b/>
          <w:bCs/>
        </w:rPr>
        <w:fldChar w:fldCharType="begin"/>
      </w:r>
      <w:r w:rsidRPr="00224CC2">
        <w:rPr>
          <w:rFonts w:ascii="Times New Roman" w:hAnsi="Times New Roman" w:cs="Times New Roman"/>
          <w:b/>
          <w:bCs/>
        </w:rPr>
        <w:instrText xml:space="preserve"> ADDIN EN.CITE &lt;EndNote&gt;&lt;Cite&gt;&lt;Author&gt;Singh&lt;/Author&gt;&lt;Year&gt;2021&lt;/Year&gt;&lt;IDText&gt;Integrative metabolomics and transcriptomics identifies itaconate as an adjunct therapy to treat ocular bacterial infection&lt;/IDText&gt;&lt;DisplayText&gt;(Singh&lt;style face="italic"&gt; et al.&lt;/style&gt;, 2021)&lt;/DisplayText&gt;&lt;record&gt;&lt;dates&gt;&lt;pub-dates&gt;&lt;date&gt;May 18&lt;/date&gt;&lt;/pub-dates&gt;&lt;year&gt;2021&lt;/year&gt;&lt;/dates&gt;&lt;urls&gt;&lt;related-urls&gt;&lt;url&gt;&amp;lt;Go to ISI&amp;gt;://WOS:000654227200011&lt;/url&gt;&lt;/related-urls&gt;&lt;/urls&gt;&lt;isbn&gt;2666-3791&lt;/isbn&gt;&lt;work-type&gt;Article&lt;/work-type&gt;&lt;titles&gt;&lt;title&gt;Integrative metabolomics and transcriptomics identifies itaconate as an adjunct therapy to treat ocular bacterial infection&lt;/title&gt;&lt;secondary-title&gt;Cell Reports Medicine&lt;/secondary-title&gt;&lt;/titles&gt;&lt;number&gt;5&lt;/number&gt;&lt;contributors&gt;&lt;authors&gt;&lt;author&gt;Singh, Sukhvinder&lt;/author&gt;&lt;author&gt;Singh, Pawan Kumar&lt;/author&gt;&lt;author&gt;Jha, Alokkumar&lt;/author&gt;&lt;author&gt;Naik, Poonam&lt;/author&gt;&lt;author&gt;Joseph, Joveeta&lt;/author&gt;&lt;author&gt;Giri, Shailendra&lt;/author&gt;&lt;author&gt;Kumar, Ashok&lt;/author&gt;&lt;/authors&gt;&lt;/contributors&gt;&lt;custom7&gt;100277&lt;/custom7&gt;&lt;added-date format="utc"&gt;1674403356&lt;/added-date&gt;&lt;ref-type name="Journal Article"&gt;17&lt;/ref-type&gt;&lt;rec-number&gt;242&lt;/rec-number&gt;&lt;last-updated-date format="utc"&gt;1674406000&lt;/last-updated-date&gt;&lt;accession-num&gt;WOS:000654227200011&lt;/accession-num&gt;&lt;electronic-resource-num&gt;10.1016/j.xcrm.2021.100277&lt;/electronic-resource-num&gt;&lt;volume&gt;2&lt;/volume&gt;&lt;/record&gt;&lt;/Cite&gt;&lt;/EndNote&gt;</w:instrText>
      </w:r>
      <w:r w:rsidRPr="00224CC2">
        <w:rPr>
          <w:rFonts w:ascii="Times New Roman" w:hAnsi="Times New Roman" w:cs="Times New Roman"/>
          <w:b/>
          <w:bCs/>
        </w:rPr>
        <w:fldChar w:fldCharType="separate"/>
      </w:r>
      <w:r w:rsidRPr="00224CC2">
        <w:rPr>
          <w:rFonts w:ascii="Times New Roman" w:hAnsi="Times New Roman" w:cs="Times New Roman"/>
          <w:b/>
          <w:bCs/>
          <w:noProof/>
        </w:rPr>
        <w:t>(Singh</w:t>
      </w:r>
      <w:r w:rsidRPr="00224CC2">
        <w:rPr>
          <w:rFonts w:ascii="Times New Roman" w:hAnsi="Times New Roman" w:cs="Times New Roman"/>
          <w:b/>
          <w:bCs/>
          <w:i/>
          <w:noProof/>
        </w:rPr>
        <w:t xml:space="preserve"> et al.</w:t>
      </w:r>
      <w:r w:rsidRPr="00224CC2">
        <w:rPr>
          <w:rFonts w:ascii="Times New Roman" w:hAnsi="Times New Roman" w:cs="Times New Roman"/>
          <w:b/>
          <w:bCs/>
          <w:noProof/>
        </w:rPr>
        <w:t>, 2021)</w:t>
      </w:r>
      <w:r w:rsidRPr="00224CC2">
        <w:rPr>
          <w:rFonts w:ascii="Times New Roman" w:hAnsi="Times New Roman" w:cs="Times New Roman"/>
          <w:b/>
          <w:bCs/>
        </w:rPr>
        <w:fldChar w:fldCharType="end"/>
      </w:r>
      <w:r>
        <w:rPr>
          <w:rFonts w:ascii="Times New Roman" w:hAnsi="Times New Roman" w:cs="Times New Roman"/>
        </w:rPr>
        <w:t>. Itaconic acid is produced by the immune response gene 1 (</w:t>
      </w:r>
      <w:r>
        <w:rPr>
          <w:rFonts w:ascii="Times New Roman" w:hAnsi="Times New Roman" w:cs="Times New Roman"/>
          <w:i/>
          <w:iCs/>
        </w:rPr>
        <w:t>IRG1</w:t>
      </w:r>
      <w:r>
        <w:rPr>
          <w:rFonts w:ascii="Times New Roman" w:hAnsi="Times New Roman" w:cs="Times New Roman"/>
        </w:rPr>
        <w:t xml:space="preserve">), encoding for aconitate decarboxylase, </w:t>
      </w:r>
      <w:r w:rsidR="00EA21C7">
        <w:rPr>
          <w:rFonts w:ascii="Times New Roman" w:hAnsi="Times New Roman" w:cs="Times New Roman"/>
        </w:rPr>
        <w:t xml:space="preserve">responsible for converting </w:t>
      </w:r>
      <w:r>
        <w:rPr>
          <w:rFonts w:ascii="Times New Roman" w:hAnsi="Times New Roman" w:cs="Times New Roman"/>
        </w:rPr>
        <w:t xml:space="preserve">aconitic acid to itaconic acid and therefore is a product of the Krebs cycle. Itaconic acid can exert its antimicrobial effects by inhibiting isocitrate lyase, a major component of the glyoxylate shunt that is an important pathway for optimal growth in bacteria, and has been associated with responding to ROS stress </w:t>
      </w:r>
      <w:r w:rsidRPr="002775FA">
        <w:rPr>
          <w:rFonts w:ascii="Times New Roman" w:hAnsi="Times New Roman" w:cs="Times New Roman"/>
          <w:b/>
          <w:bCs/>
        </w:rPr>
        <w:fldChar w:fldCharType="begin">
          <w:fldData xml:space="preserve">PEVuZE5vdGU+PENpdGU+PEF1dGhvcj5aaHU8L0F1dGhvcj48WWVhcj4yMDIxPC9ZZWFyPjxJRFRl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</w:fldData>
        </w:fldChar>
      </w:r>
      <w:r w:rsidRPr="002775FA">
        <w:rPr>
          <w:rFonts w:ascii="Times New Roman" w:hAnsi="Times New Roman" w:cs="Times New Roman"/>
          <w:b/>
          <w:bCs/>
        </w:rPr>
        <w:instrText xml:space="preserve"> ADDIN EN.CITE </w:instrText>
      </w:r>
      <w:r w:rsidRPr="002775FA">
        <w:rPr>
          <w:rFonts w:ascii="Times New Roman" w:hAnsi="Times New Roman" w:cs="Times New Roman"/>
          <w:b/>
          <w:bCs/>
        </w:rPr>
        <w:fldChar w:fldCharType="begin">
          <w:fldData xml:space="preserve">PEVuZE5vdGU+PENpdGU+PEF1dGhvcj5aaHU8L0F1dGhvcj48WWVhcj4yMDIxPC9ZZWFyPjxJRFRl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</w:fldData>
        </w:fldChar>
      </w:r>
      <w:r w:rsidRPr="002775FA">
        <w:rPr>
          <w:rFonts w:ascii="Times New Roman" w:hAnsi="Times New Roman" w:cs="Times New Roman"/>
          <w:b/>
          <w:bCs/>
        </w:rPr>
        <w:instrText xml:space="preserve"> ADDIN EN.CITE.DATA </w:instrText>
      </w:r>
      <w:r w:rsidRPr="002775FA">
        <w:rPr>
          <w:rFonts w:ascii="Times New Roman" w:hAnsi="Times New Roman" w:cs="Times New Roman"/>
          <w:b/>
          <w:bCs/>
        </w:rPr>
      </w:r>
      <w:r w:rsidRPr="002775FA">
        <w:rPr>
          <w:rFonts w:ascii="Times New Roman" w:hAnsi="Times New Roman" w:cs="Times New Roman"/>
          <w:b/>
          <w:bCs/>
        </w:rPr>
        <w:fldChar w:fldCharType="end"/>
      </w:r>
      <w:r w:rsidRPr="002775FA">
        <w:rPr>
          <w:rFonts w:ascii="Times New Roman" w:hAnsi="Times New Roman" w:cs="Times New Roman"/>
          <w:b/>
          <w:bCs/>
        </w:rPr>
      </w:r>
      <w:r w:rsidRPr="002775FA">
        <w:rPr>
          <w:rFonts w:ascii="Times New Roman" w:hAnsi="Times New Roman" w:cs="Times New Roman"/>
          <w:b/>
          <w:bCs/>
        </w:rPr>
        <w:fldChar w:fldCharType="separate"/>
      </w:r>
      <w:r w:rsidRPr="002775FA">
        <w:rPr>
          <w:rFonts w:ascii="Times New Roman" w:hAnsi="Times New Roman" w:cs="Times New Roman"/>
          <w:b/>
          <w:bCs/>
          <w:noProof/>
        </w:rPr>
        <w:t>(Zhu</w:t>
      </w:r>
      <w:r w:rsidRPr="002775FA">
        <w:rPr>
          <w:rFonts w:ascii="Times New Roman" w:hAnsi="Times New Roman" w:cs="Times New Roman"/>
          <w:b/>
          <w:bCs/>
          <w:i/>
          <w:noProof/>
        </w:rPr>
        <w:t xml:space="preserve"> et al.</w:t>
      </w:r>
      <w:r w:rsidRPr="002775FA">
        <w:rPr>
          <w:rFonts w:ascii="Times New Roman" w:hAnsi="Times New Roman" w:cs="Times New Roman"/>
          <w:b/>
          <w:bCs/>
          <w:noProof/>
        </w:rPr>
        <w:t>, 2021; Ahn</w:t>
      </w:r>
      <w:r w:rsidRPr="002775FA">
        <w:rPr>
          <w:rFonts w:ascii="Times New Roman" w:hAnsi="Times New Roman" w:cs="Times New Roman"/>
          <w:b/>
          <w:bCs/>
          <w:i/>
          <w:noProof/>
        </w:rPr>
        <w:t xml:space="preserve"> et al.</w:t>
      </w:r>
      <w:r w:rsidRPr="002775FA">
        <w:rPr>
          <w:rFonts w:ascii="Times New Roman" w:hAnsi="Times New Roman" w:cs="Times New Roman"/>
          <w:b/>
          <w:bCs/>
          <w:noProof/>
        </w:rPr>
        <w:t>, 2016; Lorenz and Fink, 2001)</w:t>
      </w:r>
      <w:r w:rsidRPr="002775FA">
        <w:rPr>
          <w:rFonts w:ascii="Times New Roman" w:hAnsi="Times New Roman" w:cs="Times New Roman"/>
          <w:b/>
          <w:bCs/>
        </w:rPr>
        <w:fldChar w:fldCharType="end"/>
      </w:r>
      <w:r>
        <w:rPr>
          <w:rFonts w:ascii="Times New Roman" w:hAnsi="Times New Roman" w:cs="Times New Roman"/>
          <w:b/>
          <w:bCs/>
        </w:rPr>
        <w:t xml:space="preserve"> (Fig. 1.3.4.3)</w:t>
      </w:r>
      <w:r>
        <w:rPr>
          <w:rFonts w:ascii="Times New Roman" w:hAnsi="Times New Roman" w:cs="Times New Roman"/>
        </w:rPr>
        <w:t xml:space="preserve">. Itaconic acid also has immunomodulatory effects, giving the enzyme responsible for producing it, its name. For example, the charged conjugate base itaconate acts to reduce inflammation during </w:t>
      </w:r>
      <w:r>
        <w:rPr>
          <w:rFonts w:ascii="Times New Roman" w:hAnsi="Times New Roman" w:cs="Times New Roman"/>
          <w:i/>
          <w:iCs/>
        </w:rPr>
        <w:t xml:space="preserve">S. aureus </w:t>
      </w:r>
      <w:r>
        <w:rPr>
          <w:rFonts w:ascii="Times New Roman" w:hAnsi="Times New Roman" w:cs="Times New Roman"/>
        </w:rPr>
        <w:t xml:space="preserve">ocular infection by modulating </w:t>
      </w:r>
      <w:r w:rsidRPr="00C06625">
        <w:rPr>
          <w:rFonts w:ascii="Times New Roman" w:hAnsi="Times New Roman" w:cs="Times New Roman"/>
        </w:rPr>
        <w:t>NRF2/HO1 signal</w:t>
      </w:r>
      <w:r>
        <w:rPr>
          <w:rFonts w:ascii="Times New Roman" w:hAnsi="Times New Roman" w:cs="Times New Roman"/>
        </w:rPr>
        <w:t>l</w:t>
      </w:r>
      <w:r w:rsidRPr="00C06625">
        <w:rPr>
          <w:rFonts w:ascii="Times New Roman" w:hAnsi="Times New Roman" w:cs="Times New Roman"/>
        </w:rPr>
        <w:t>ing and inhibiting the NLRP3 inflammasome</w:t>
      </w:r>
      <w:r>
        <w:rPr>
          <w:rFonts w:ascii="Times New Roman" w:hAnsi="Times New Roman" w:cs="Times New Roman"/>
        </w:rPr>
        <w:t xml:space="preserve"> </w:t>
      </w:r>
      <w:r w:rsidRPr="00C06625">
        <w:rPr>
          <w:rFonts w:ascii="Times New Roman" w:hAnsi="Times New Roman" w:cs="Times New Roman"/>
          <w:b/>
          <w:bCs/>
        </w:rPr>
        <w:fldChar w:fldCharType="begin"/>
      </w:r>
      <w:r w:rsidRPr="00C06625">
        <w:rPr>
          <w:rFonts w:ascii="Times New Roman" w:hAnsi="Times New Roman" w:cs="Times New Roman"/>
          <w:b/>
          <w:bCs/>
        </w:rPr>
        <w:instrText xml:space="preserve"> ADDIN EN.CITE &lt;EndNote&gt;&lt;Cite&gt;&lt;Author&gt;Singh&lt;/Author&gt;&lt;Year&gt;2021&lt;/Year&gt;&lt;IDText&gt;Integrative metabolomics and transcriptomics identifies itaconate as an adjunct therapy to treat ocular bacterial infection&lt;/IDText&gt;&lt;DisplayText&gt;(Singh&lt;style face="italic"&gt; et al.&lt;/style&gt;, 2021)&lt;/DisplayText&gt;&lt;record&gt;&lt;dates&gt;&lt;pub-dates&gt;&lt;date&gt;May 18&lt;/date&gt;&lt;/pub-dates&gt;&lt;year&gt;2021&lt;/year&gt;&lt;/dates&gt;&lt;urls&gt;&lt;related-urls&gt;&lt;url&gt;&amp;lt;Go to ISI&amp;gt;://WOS:000654227200011&lt;/url&gt;&lt;/related-urls&gt;&lt;/urls&gt;&lt;isbn&gt;2666-3791&lt;/isbn&gt;&lt;work-type&gt;Article&lt;/work-type&gt;&lt;titles&gt;&lt;title&gt;Integrative metabolomics and transcriptomics identifies itaconate as an adjunct therapy to treat ocular bacterial infection&lt;/title&gt;&lt;secondary-title&gt;Cell Reports Medicine&lt;/secondary-title&gt;&lt;/titles&gt;&lt;number&gt;5&lt;/number&gt;&lt;contributors&gt;&lt;authors&gt;&lt;author&gt;Singh, Sukhvinder&lt;/author&gt;&lt;author&gt;Singh, Pawan Kumar&lt;/author&gt;&lt;author&gt;Jha, Alokkumar&lt;/author&gt;&lt;author&gt;Naik, Poonam&lt;/author&gt;&lt;author&gt;Joseph, Joveeta&lt;/author&gt;&lt;author&gt;Giri, Shailendra&lt;/author&gt;&lt;author&gt;Kumar, Ashok&lt;/author&gt;&lt;/authors&gt;&lt;/contributors&gt;&lt;custom7&gt;100277&lt;/custom7&gt;&lt;added-date format="utc"&gt;1674403356&lt;/added-date&gt;&lt;ref-type name="Journal Article"&gt;17&lt;/ref-type&gt;&lt;rec-number&gt;242&lt;/rec-number&gt;&lt;last-updated-date format="utc"&gt;1674403356&lt;/last-updated-date&gt;&lt;accession-num&gt;WOS:000654227200011&lt;/accession-num&gt;&lt;electronic-resource-num&gt;10.1016/j.xcrm.2021.100277&lt;/electronic-resource-num&gt;&lt;volume&gt;2&lt;/volume&gt;&lt;/record&gt;&lt;/Cite&gt;&lt;/EndNote&gt;</w:instrText>
      </w:r>
      <w:r w:rsidRPr="00C06625">
        <w:rPr>
          <w:rFonts w:ascii="Times New Roman" w:hAnsi="Times New Roman" w:cs="Times New Roman"/>
          <w:b/>
          <w:bCs/>
        </w:rPr>
        <w:fldChar w:fldCharType="separate"/>
      </w:r>
      <w:r w:rsidRPr="00C06625">
        <w:rPr>
          <w:rFonts w:ascii="Times New Roman" w:hAnsi="Times New Roman" w:cs="Times New Roman"/>
          <w:b/>
          <w:bCs/>
          <w:noProof/>
        </w:rPr>
        <w:t>(Singh</w:t>
      </w:r>
      <w:r w:rsidRPr="00C06625">
        <w:rPr>
          <w:rFonts w:ascii="Times New Roman" w:hAnsi="Times New Roman" w:cs="Times New Roman"/>
          <w:b/>
          <w:bCs/>
          <w:i/>
          <w:noProof/>
        </w:rPr>
        <w:t xml:space="preserve"> et al.</w:t>
      </w:r>
      <w:r w:rsidRPr="00C06625">
        <w:rPr>
          <w:rFonts w:ascii="Times New Roman" w:hAnsi="Times New Roman" w:cs="Times New Roman"/>
          <w:b/>
          <w:bCs/>
          <w:noProof/>
        </w:rPr>
        <w:t>, 2021)</w:t>
      </w:r>
      <w:r w:rsidRPr="00C06625">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A recent study has shown that itaconate inhibits glycolysis and the oxidative burst of murine neutrophils </w:t>
      </w:r>
      <w:r>
        <w:rPr>
          <w:rFonts w:ascii="Times New Roman" w:hAnsi="Times New Roman" w:cs="Times New Roman"/>
          <w:i/>
          <w:iCs/>
        </w:rPr>
        <w:t xml:space="preserve">in vitro </w:t>
      </w:r>
      <w:r w:rsidRPr="00C91133">
        <w:rPr>
          <w:rFonts w:ascii="Times New Roman" w:hAnsi="Times New Roman" w:cs="Times New Roman"/>
          <w:b/>
          <w:bCs/>
        </w:rPr>
        <w:fldChar w:fldCharType="begin"/>
      </w:r>
      <w:r w:rsidRPr="00C91133">
        <w:rPr>
          <w:rFonts w:ascii="Times New Roman" w:hAnsi="Times New Roman" w:cs="Times New Roman"/>
          <w:b/>
          <w:bCs/>
        </w:rPr>
        <w:instrText xml:space="preserve"> ADDIN EN.CITE &lt;EndNote&gt;&lt;Cite&gt;&lt;Author&gt;Tomlinson&lt;/Author&gt;&lt;Year&gt;2023&lt;/Year&gt;&lt;IDText&gt;Staphylococcus aureus stimulates neutrophil itaconate production that suppresses the oxidative burst&lt;/IDText&gt;&lt;DisplayText&gt;(Tomlinson&lt;style face="italic"&gt; et al.&lt;/style&gt;, 2023)&lt;/DisplayText&gt;&lt;record&gt;&lt;titles&gt;&lt;title&gt;&lt;style face="italic" font="default" size="100%"&gt;Staphylococcus aureus&lt;/style&gt;&lt;style font="default" size="100%"&gt; stimulates neutrophil itaconate production that suppresses the oxidative burst&lt;/style&gt;&lt;/title&gt;&lt;secondary-title&gt;Cell Reports&lt;/secondary-title&gt;&lt;/titles&gt;&lt;number&gt;2&lt;/number&gt;&lt;contributors&gt;&lt;authors&gt;&lt;author&gt;Tomlinson, Kira L&lt;/author&gt;&lt;author&gt;Riquelme, Sebastián A&lt;/author&gt;&lt;author&gt;Baskota, Swikrity U&lt;/author&gt;&lt;author&gt;Drikic, Marija&lt;/author&gt;&lt;author&gt;Monk, Ian R&lt;/author&gt;&lt;author&gt;Stinear, Timothy P&lt;/author&gt;&lt;author&gt;Lewis, Ian A&lt;/author&gt;&lt;author&gt;Prince, Alice S&lt;/author&gt;&lt;/authors&gt;&lt;/contributors&gt;&lt;added-date format="utc"&gt;1677201291&lt;/added-date&gt;&lt;ref-type name="Journal Article"&gt;17&lt;/ref-type&gt;&lt;dates&gt;&lt;year&gt;2023&lt;/year&gt;&lt;/dates&gt;&lt;rec-number&gt;513&lt;/rec-number&gt;&lt;last-updated-date format="utc"&gt;1677201715&lt;/last-updated-date&gt;&lt;volume&gt;42&lt;/volume&gt;&lt;/record&gt;&lt;/Cite&gt;&lt;/EndNote&gt;</w:instrText>
      </w:r>
      <w:r w:rsidRPr="00C91133">
        <w:rPr>
          <w:rFonts w:ascii="Times New Roman" w:hAnsi="Times New Roman" w:cs="Times New Roman"/>
          <w:b/>
          <w:bCs/>
        </w:rPr>
        <w:fldChar w:fldCharType="separate"/>
      </w:r>
      <w:r w:rsidRPr="00C91133">
        <w:rPr>
          <w:rFonts w:ascii="Times New Roman" w:hAnsi="Times New Roman" w:cs="Times New Roman"/>
          <w:b/>
          <w:bCs/>
          <w:noProof/>
        </w:rPr>
        <w:t>(Tomlinson</w:t>
      </w:r>
      <w:r w:rsidRPr="00C91133">
        <w:rPr>
          <w:rFonts w:ascii="Times New Roman" w:hAnsi="Times New Roman" w:cs="Times New Roman"/>
          <w:b/>
          <w:bCs/>
          <w:i/>
          <w:noProof/>
        </w:rPr>
        <w:t xml:space="preserve"> et al.</w:t>
      </w:r>
      <w:r w:rsidRPr="00C91133">
        <w:rPr>
          <w:rFonts w:ascii="Times New Roman" w:hAnsi="Times New Roman" w:cs="Times New Roman"/>
          <w:b/>
          <w:bCs/>
          <w:noProof/>
        </w:rPr>
        <w:t>, 2023)</w:t>
      </w:r>
      <w:r w:rsidRPr="00C91133">
        <w:rPr>
          <w:rFonts w:ascii="Times New Roman" w:hAnsi="Times New Roman" w:cs="Times New Roman"/>
          <w:b/>
          <w:bCs/>
        </w:rPr>
        <w:fldChar w:fldCharType="end"/>
      </w:r>
      <w:r>
        <w:rPr>
          <w:rFonts w:ascii="Times New Roman" w:hAnsi="Times New Roman" w:cs="Times New Roman"/>
        </w:rPr>
        <w:t xml:space="preserve">, which are key components of neutrophil metabolism and killing respectively, and are integral processes during infection. Therefore, in these experiments, itaconate production by neutrophils was beneficial for </w:t>
      </w:r>
      <w:r>
        <w:rPr>
          <w:rFonts w:ascii="Times New Roman" w:hAnsi="Times New Roman" w:cs="Times New Roman"/>
          <w:i/>
          <w:iCs/>
        </w:rPr>
        <w:t>S. aureus</w:t>
      </w:r>
      <w:r>
        <w:rPr>
          <w:rFonts w:ascii="Times New Roman" w:hAnsi="Times New Roman" w:cs="Times New Roman"/>
        </w:rPr>
        <w:t xml:space="preserve"> survival as the presence of itaconate diminished the ability of neutrophil to kill bacteria </w:t>
      </w:r>
      <w:r w:rsidRPr="00C91133">
        <w:rPr>
          <w:rFonts w:ascii="Times New Roman" w:hAnsi="Times New Roman" w:cs="Times New Roman"/>
          <w:b/>
          <w:bCs/>
        </w:rPr>
        <w:fldChar w:fldCharType="begin"/>
      </w:r>
      <w:r w:rsidRPr="00C91133">
        <w:rPr>
          <w:rFonts w:ascii="Times New Roman" w:hAnsi="Times New Roman" w:cs="Times New Roman"/>
          <w:b/>
          <w:bCs/>
        </w:rPr>
        <w:instrText xml:space="preserve"> ADDIN EN.CITE &lt;EndNote&gt;&lt;Cite&gt;&lt;Author&gt;Tomlinson&lt;/Author&gt;&lt;Year&gt;2023&lt;/Year&gt;&lt;IDText&gt;Staphylococcus aureus stimulates neutrophil itaconate production that suppresses the oxidative burst&lt;/IDText&gt;&lt;DisplayText&gt;(Tomlinson&lt;style face="italic"&gt; et al.&lt;/style&gt;, 2023)&lt;/DisplayText&gt;&lt;record&gt;&lt;titles&gt;&lt;title&gt;&lt;style face="italic" font="default" size="100%"&gt;Staphylococcus aureus&lt;/style&gt;&lt;style font="default" size="100%"&gt; stimulates neutrophil itaconate production that suppresses the oxidative burst&lt;/style&gt;&lt;/title&gt;&lt;secondary-title&gt;Cell Reports&lt;/secondary-title&gt;&lt;/titles&gt;&lt;number&gt;2&lt;/number&gt;&lt;contributors&gt;&lt;authors&gt;&lt;author&gt;Tomlinson, Kira L&lt;/author&gt;&lt;author&gt;Riquelme, Sebastián A&lt;/author&gt;&lt;author&gt;Baskota, Swikrity U&lt;/author&gt;&lt;author&gt;Drikic, Marija&lt;/author&gt;&lt;author&gt;Monk, Ian R&lt;/author&gt;&lt;author&gt;Stinear, Timothy P&lt;/author&gt;&lt;author&gt;Lewis, Ian A&lt;/author&gt;&lt;author&gt;Prince, Alice S&lt;/author&gt;&lt;/authors&gt;&lt;/contributors&gt;&lt;added-date format="utc"&gt;1677201291&lt;/added-date&gt;&lt;ref-type name="Journal Article"&gt;17&lt;/ref-type&gt;&lt;dates&gt;&lt;year&gt;2023&lt;/year&gt;&lt;/dates&gt;&lt;rec-number&gt;513&lt;/rec-number&gt;&lt;last-updated-date format="utc"&gt;1677201715&lt;/last-updated-date&gt;&lt;volume&gt;42&lt;/volume&gt;&lt;/record&gt;&lt;/Cite&gt;&lt;/EndNote&gt;</w:instrText>
      </w:r>
      <w:r w:rsidRPr="00C91133">
        <w:rPr>
          <w:rFonts w:ascii="Times New Roman" w:hAnsi="Times New Roman" w:cs="Times New Roman"/>
          <w:b/>
          <w:bCs/>
        </w:rPr>
        <w:fldChar w:fldCharType="separate"/>
      </w:r>
      <w:r w:rsidRPr="00C91133">
        <w:rPr>
          <w:rFonts w:ascii="Times New Roman" w:hAnsi="Times New Roman" w:cs="Times New Roman"/>
          <w:b/>
          <w:bCs/>
          <w:noProof/>
        </w:rPr>
        <w:t>(Tomlinson</w:t>
      </w:r>
      <w:r w:rsidRPr="00C91133">
        <w:rPr>
          <w:rFonts w:ascii="Times New Roman" w:hAnsi="Times New Roman" w:cs="Times New Roman"/>
          <w:b/>
          <w:bCs/>
          <w:i/>
          <w:noProof/>
        </w:rPr>
        <w:t xml:space="preserve"> et al.</w:t>
      </w:r>
      <w:r w:rsidRPr="00C91133">
        <w:rPr>
          <w:rFonts w:ascii="Times New Roman" w:hAnsi="Times New Roman" w:cs="Times New Roman"/>
          <w:b/>
          <w:bCs/>
          <w:noProof/>
        </w:rPr>
        <w:t>, 2023)</w:t>
      </w:r>
      <w:r w:rsidRPr="00C91133">
        <w:rPr>
          <w:rFonts w:ascii="Times New Roman" w:hAnsi="Times New Roman" w:cs="Times New Roman"/>
          <w:b/>
          <w:bCs/>
        </w:rPr>
        <w:fldChar w:fldCharType="end"/>
      </w:r>
      <w:r>
        <w:rPr>
          <w:rFonts w:ascii="Times New Roman" w:hAnsi="Times New Roman" w:cs="Times New Roman"/>
        </w:rPr>
        <w:t xml:space="preserve">. In contrast, in a murine </w:t>
      </w:r>
      <w:r>
        <w:rPr>
          <w:rFonts w:ascii="Times New Roman" w:hAnsi="Times New Roman" w:cs="Times New Roman"/>
          <w:i/>
          <w:iCs/>
        </w:rPr>
        <w:t xml:space="preserve">S. aureus </w:t>
      </w:r>
      <w:r>
        <w:rPr>
          <w:rFonts w:ascii="Times New Roman" w:hAnsi="Times New Roman" w:cs="Times New Roman"/>
        </w:rPr>
        <w:t xml:space="preserve">pneumonia model, WT mice and </w:t>
      </w:r>
      <w:r>
        <w:rPr>
          <w:rFonts w:ascii="Times New Roman" w:hAnsi="Times New Roman" w:cs="Times New Roman"/>
          <w:i/>
          <w:iCs/>
        </w:rPr>
        <w:t>Irg</w:t>
      </w:r>
      <w:r>
        <w:rPr>
          <w:rFonts w:ascii="Times New Roman" w:hAnsi="Times New Roman" w:cs="Times New Roman"/>
        </w:rPr>
        <w:t xml:space="preserve">-deficient mice showed no difference in inflammation despite a higher bacterial load in WT mice, suggesting that itaconate acts to control inflammation which is beneficial to the host </w:t>
      </w:r>
      <w:r w:rsidRPr="00C91133">
        <w:rPr>
          <w:rFonts w:ascii="Times New Roman" w:hAnsi="Times New Roman" w:cs="Times New Roman"/>
          <w:b/>
          <w:bCs/>
        </w:rPr>
        <w:fldChar w:fldCharType="begin"/>
      </w:r>
      <w:r w:rsidRPr="00C91133">
        <w:rPr>
          <w:rFonts w:ascii="Times New Roman" w:hAnsi="Times New Roman" w:cs="Times New Roman"/>
          <w:b/>
          <w:bCs/>
        </w:rPr>
        <w:instrText xml:space="preserve"> ADDIN EN.CITE &lt;EndNote&gt;&lt;Cite&gt;&lt;Author&gt;Tomlinson&lt;/Author&gt;&lt;Year&gt;2023&lt;/Year&gt;&lt;IDText&gt;Staphylococcus aureus stimulates neutrophil itaconate production that suppresses the oxidative burst&lt;/IDText&gt;&lt;DisplayText&gt;(Tomlinson&lt;style face="italic"&gt; et al.&lt;/style&gt;, 2023)&lt;/DisplayText&gt;&lt;record&gt;&lt;titles&gt;&lt;title&gt;&lt;style face="italic" font="default" size="100%"&gt;Staphylococcus aureus&lt;/style&gt;&lt;style font="default" size="100%"&gt; stimulates neutrophil itaconate production that suppresses the oxidative burst&lt;/style&gt;&lt;/title&gt;&lt;secondary-title&gt;Cell Reports&lt;/secondary-title&gt;&lt;/titles&gt;&lt;number&gt;2&lt;/number&gt;&lt;contributors&gt;&lt;authors&gt;&lt;author&gt;Tomlinson, Kira L&lt;/author&gt;&lt;author&gt;Riquelme, Sebastián A&lt;/author&gt;&lt;author&gt;Baskota, Swikrity U&lt;/author&gt;&lt;author&gt;Drikic, Marija&lt;/author&gt;&lt;author&gt;Monk, Ian R&lt;/author&gt;&lt;author&gt;Stinear, Timothy P&lt;/author&gt;&lt;author&gt;Lewis, Ian A&lt;/author&gt;&lt;author&gt;Prince, Alice S&lt;/author&gt;&lt;/authors&gt;&lt;/contributors&gt;&lt;added-date format="utc"&gt;1677201291&lt;/added-date&gt;&lt;ref-type name="Journal Article"&gt;17&lt;/ref-type&gt;&lt;dates&gt;&lt;year&gt;2023&lt;/year&gt;&lt;/dates&gt;&lt;rec-number&gt;513&lt;/rec-number&gt;&lt;last-updated-date format="utc"&gt;1677201715&lt;/last-updated-date&gt;&lt;volume&gt;42&lt;/volume&gt;&lt;/record&gt;&lt;/Cite&gt;&lt;/EndNote&gt;</w:instrText>
      </w:r>
      <w:r w:rsidRPr="00C91133">
        <w:rPr>
          <w:rFonts w:ascii="Times New Roman" w:hAnsi="Times New Roman" w:cs="Times New Roman"/>
          <w:b/>
          <w:bCs/>
        </w:rPr>
        <w:fldChar w:fldCharType="separate"/>
      </w:r>
      <w:r w:rsidRPr="00C91133">
        <w:rPr>
          <w:rFonts w:ascii="Times New Roman" w:hAnsi="Times New Roman" w:cs="Times New Roman"/>
          <w:b/>
          <w:bCs/>
          <w:noProof/>
        </w:rPr>
        <w:t>(Tomlinson</w:t>
      </w:r>
      <w:r w:rsidRPr="00C91133">
        <w:rPr>
          <w:rFonts w:ascii="Times New Roman" w:hAnsi="Times New Roman" w:cs="Times New Roman"/>
          <w:b/>
          <w:bCs/>
          <w:i/>
          <w:noProof/>
        </w:rPr>
        <w:t xml:space="preserve"> et al.</w:t>
      </w:r>
      <w:r w:rsidRPr="00C91133">
        <w:rPr>
          <w:rFonts w:ascii="Times New Roman" w:hAnsi="Times New Roman" w:cs="Times New Roman"/>
          <w:b/>
          <w:bCs/>
          <w:noProof/>
        </w:rPr>
        <w:t>, 2023)</w:t>
      </w:r>
      <w:r w:rsidRPr="00C91133">
        <w:rPr>
          <w:rFonts w:ascii="Times New Roman" w:hAnsi="Times New Roman" w:cs="Times New Roman"/>
          <w:b/>
          <w:bCs/>
        </w:rPr>
        <w:fldChar w:fldCharType="end"/>
      </w:r>
      <w:r>
        <w:rPr>
          <w:rFonts w:ascii="Times New Roman" w:hAnsi="Times New Roman" w:cs="Times New Roman"/>
        </w:rPr>
        <w:t xml:space="preserve">. As demonstrated, itaconate does have antimicrobial effects; however, during chronic airway infection, itaconate exposure selected for </w:t>
      </w:r>
      <w:r>
        <w:rPr>
          <w:rFonts w:ascii="Times New Roman" w:hAnsi="Times New Roman" w:cs="Times New Roman"/>
          <w:i/>
          <w:iCs/>
        </w:rPr>
        <w:t xml:space="preserve">S. aureus </w:t>
      </w:r>
      <w:r>
        <w:rPr>
          <w:rFonts w:ascii="Times New Roman" w:hAnsi="Times New Roman" w:cs="Times New Roman"/>
        </w:rPr>
        <w:t xml:space="preserve">strains that display decreased glycolysis that redirected carbohydrate metabolism to an increased production of extracellular polysaccharide instead, fuelling biofilm formation </w:t>
      </w:r>
      <w:r w:rsidRPr="00464DA7">
        <w:rPr>
          <w:rFonts w:ascii="Times New Roman" w:hAnsi="Times New Roman" w:cs="Times New Roman"/>
          <w:b/>
          <w:bCs/>
        </w:rPr>
        <w:fldChar w:fldCharType="begin"/>
      </w:r>
      <w:r w:rsidRPr="00464DA7">
        <w:rPr>
          <w:rFonts w:ascii="Times New Roman" w:hAnsi="Times New Roman" w:cs="Times New Roman"/>
          <w:b/>
          <w:bCs/>
        </w:rPr>
        <w:instrText xml:space="preserve"> ADDIN EN.CITE &lt;EndNote&gt;&lt;Cite&gt;&lt;Author&gt;Tomlinson&lt;/Author&gt;&lt;Year&gt;2021&lt;/Year&gt;&lt;IDText&gt;Staphylococcus aureus induces an itaconate-dominated immunometabolic response that drives biofilm formation&lt;/IDText&gt;&lt;DisplayText&gt;(Tomlinson&lt;style face="italic"&gt; et al.&lt;/style&gt;, 2021)&lt;/DisplayText&gt;&lt;record&gt;&lt;dates&gt;&lt;pub-dates&gt;&lt;date&gt;Mar&lt;/date&gt;&lt;/pub-dates&gt;&lt;year&gt;2021&lt;/year&gt;&lt;/dates&gt;&lt;urls&gt;&lt;related-urls&gt;&lt;url&gt;&amp;lt;Go to ISI&amp;gt;://WOS:000626587500002&lt;/url&gt;&lt;/related-urls&gt;&lt;/urls&gt;&lt;isbn&gt;2041-1723&lt;/isbn&gt;&lt;titles&gt;&lt;title&gt;Staphylococcus aureus induces an itaconate-dominated immunometabolic response that drives biofilm formation&lt;/title&gt;&lt;secondary-title&gt;Nature Communications&lt;/secondary-title&gt;&lt;/titles&gt;&lt;number&gt;1&lt;/number&gt;&lt;contributors&gt;&lt;authors&gt;&lt;author&gt;Tomlinson, K. L.&lt;/author&gt;&lt;author&gt;Lung, T. W. F.&lt;/author&gt;&lt;author&gt;Dach, F.&lt;/author&gt;&lt;author&gt;Annavajhala, M. K.&lt;/author&gt;&lt;author&gt;Gabryszewski, S. J.&lt;/author&gt;&lt;author&gt;Groves, R. A.&lt;/author&gt;&lt;author&gt;Drikic, M.&lt;/author&gt;&lt;author&gt;Francoeur, N. J.&lt;/author&gt;&lt;author&gt;Sridhar, S. H.&lt;/author&gt;&lt;author&gt;Smith, M. L.&lt;/author&gt;&lt;author&gt;Khanal, S.&lt;/author&gt;&lt;author&gt;Britto, C. J.&lt;/author&gt;&lt;author&gt;Sebra, R.&lt;/author&gt;&lt;author&gt;Lewis, I.&lt;/author&gt;&lt;author&gt;Uhlemann, A. C.&lt;/author&gt;&lt;author&gt;Kahl, B. C.&lt;/author&gt;&lt;author&gt;Prince, A. S.&lt;/author&gt;&lt;author&gt;Riquelme, S. A.&lt;/author&gt;&lt;/authors&gt;&lt;/contributors&gt;&lt;custom7&gt;1399&lt;/custom7&gt;&lt;added-date format="utc"&gt;1677203312&lt;/added-date&gt;&lt;ref-type name="Journal Article"&gt;17&lt;/ref-type&gt;&lt;rec-number&gt;514&lt;/rec-number&gt;&lt;last-updated-date format="utc"&gt;1677203312&lt;/last-updated-date&gt;&lt;accession-num&gt;WOS:000626587500002&lt;/accession-num&gt;&lt;electronic-resource-num&gt;10.1038/s41467-021-21718-y&lt;/electronic-resource-num&gt;&lt;volume&gt;12&lt;/volume&gt;&lt;/record&gt;&lt;/Cite&gt;&lt;/EndNote&gt;</w:instrText>
      </w:r>
      <w:r w:rsidRPr="00464DA7">
        <w:rPr>
          <w:rFonts w:ascii="Times New Roman" w:hAnsi="Times New Roman" w:cs="Times New Roman"/>
          <w:b/>
          <w:bCs/>
        </w:rPr>
        <w:fldChar w:fldCharType="separate"/>
      </w:r>
      <w:r w:rsidRPr="00464DA7">
        <w:rPr>
          <w:rFonts w:ascii="Times New Roman" w:hAnsi="Times New Roman" w:cs="Times New Roman"/>
          <w:b/>
          <w:bCs/>
        </w:rPr>
        <w:t>(Tomlinson et al., 2021)</w:t>
      </w:r>
      <w:r w:rsidRPr="00464DA7">
        <w:rPr>
          <w:rFonts w:ascii="Times New Roman" w:hAnsi="Times New Roman" w:cs="Times New Roman"/>
          <w:b/>
          <w:bCs/>
        </w:rPr>
        <w:fldChar w:fldCharType="end"/>
      </w:r>
      <w:r>
        <w:rPr>
          <w:rFonts w:ascii="Times New Roman" w:hAnsi="Times New Roman" w:cs="Times New Roman"/>
        </w:rPr>
        <w:t xml:space="preserve">. From these studies, it is evident that itaconate has different effects on both </w:t>
      </w:r>
      <w:r>
        <w:rPr>
          <w:rFonts w:ascii="Times New Roman" w:hAnsi="Times New Roman" w:cs="Times New Roman"/>
          <w:i/>
          <w:iCs/>
        </w:rPr>
        <w:t xml:space="preserve">S. aureus </w:t>
      </w:r>
      <w:r>
        <w:rPr>
          <w:rFonts w:ascii="Times New Roman" w:hAnsi="Times New Roman" w:cs="Times New Roman"/>
        </w:rPr>
        <w:t>and the host depending on the tissue and type of infection</w:t>
      </w:r>
      <w:r w:rsidR="00EA21C7">
        <w:rPr>
          <w:rFonts w:ascii="Times New Roman" w:hAnsi="Times New Roman" w:cs="Times New Roman"/>
        </w:rPr>
        <w:t xml:space="preserve"> and further studies must be conducting on this newly-identified antimicrobial metabolite.</w:t>
      </w:r>
    </w:p>
    <w:p w14:paraId="6E351DDF" w14:textId="39885EDD" w:rsidR="00033564" w:rsidRDefault="00033564" w:rsidP="00033564">
      <w:pPr>
        <w:spacing w:line="360" w:lineRule="auto"/>
        <w:jc w:val="both"/>
        <w:rPr>
          <w:rFonts w:ascii="Times New Roman" w:hAnsi="Times New Roman" w:cs="Times New Roman"/>
        </w:rPr>
      </w:pPr>
      <w:r>
        <w:rPr>
          <w:rFonts w:ascii="Times New Roman" w:hAnsi="Times New Roman" w:cs="Times New Roman"/>
        </w:rPr>
        <w:tab/>
      </w:r>
      <w:r w:rsidRPr="002353CA">
        <w:rPr>
          <w:rFonts w:ascii="Times New Roman" w:hAnsi="Times New Roman" w:cs="Times New Roman"/>
        </w:rPr>
        <w:t xml:space="preserve">The oxidative burst </w:t>
      </w:r>
      <w:r>
        <w:rPr>
          <w:rFonts w:ascii="Times New Roman" w:hAnsi="Times New Roman" w:cs="Times New Roman"/>
        </w:rPr>
        <w:t xml:space="preserve">is the main source of ROS </w:t>
      </w:r>
      <w:r w:rsidRPr="002353CA">
        <w:rPr>
          <w:rFonts w:ascii="Times New Roman" w:hAnsi="Times New Roman" w:cs="Times New Roman"/>
        </w:rPr>
        <w:t>produced by the phagolysosome</w:t>
      </w:r>
      <w:r>
        <w:rPr>
          <w:rFonts w:ascii="Times New Roman" w:hAnsi="Times New Roman" w:cs="Times New Roman"/>
        </w:rPr>
        <w:t>, which</w:t>
      </w:r>
      <w:r w:rsidRPr="002353CA">
        <w:rPr>
          <w:rFonts w:ascii="Times New Roman" w:hAnsi="Times New Roman" w:cs="Times New Roman"/>
        </w:rPr>
        <w:t xml:space="preserve"> is one of the most important host defence mechanisms employed by professional phagocytes</w:t>
      </w:r>
      <w:r>
        <w:rPr>
          <w:rFonts w:ascii="Times New Roman" w:hAnsi="Times New Roman" w:cs="Times New Roman"/>
        </w:rPr>
        <w:t xml:space="preserve"> </w:t>
      </w:r>
      <w:bookmarkStart w:id="49" w:name="_Hlk128096885"/>
      <w:r w:rsidRPr="00E8579E">
        <w:rPr>
          <w:rFonts w:ascii="Times New Roman" w:hAnsi="Times New Roman" w:cs="Times New Roman"/>
          <w:b/>
          <w:bCs/>
        </w:rPr>
        <w:fldChar w:fldCharType="begin"/>
      </w:r>
      <w:r w:rsidRPr="00E8579E">
        <w:rPr>
          <w:rFonts w:ascii="Times New Roman" w:hAnsi="Times New Roman" w:cs="Times New Roman"/>
          <w:b/>
          <w:bCs/>
        </w:rPr>
        <w:instrText xml:space="preserve"> ADDIN EN.CITE &lt;EndNote&gt;&lt;Cite&gt;&lt;Author&gt;Dupre-Crochet&lt;/Author&gt;&lt;Year&gt;2013&lt;/Year&gt;&lt;IDText&gt;ROS production in phagocytes: why,  when, and where?&lt;/IDText&gt;&lt;DisplayText&gt;(Dupre-Crochet, Erard and Nubetae, 2013)&lt;/DisplayText&gt;&lt;record&gt;&lt;titles&gt;&lt;title&gt;ROS production in phagocytes: why,  when, and where?&lt;/title&gt;&lt;secondary-title&gt;Journal of Leukocyte Biology&lt;/secondary-title&gt;&lt;/titles&gt;&lt;pages&gt;657-670&lt;/pages&gt;&lt;number&gt;4&lt;/number&gt;&lt;contributors&gt;&lt;authors&gt;&lt;author&gt;Dupre-Crochet, Sophie&lt;/author&gt;&lt;author&gt;Erard, Marie&lt;/author&gt;&lt;author&gt;Nubetae, Oliver&lt;/author&gt;&lt;/authors&gt;&lt;/contributors&gt;&lt;added-date format="utc"&gt;1674558301&lt;/added-date&gt;&lt;ref-type name="Journal Article"&gt;17&lt;/ref-type&gt;&lt;dates&gt;&lt;year&gt;2013&lt;/year&gt;&lt;/dates&gt;&lt;rec-number&gt;245&lt;/rec-number&gt;&lt;last-updated-date format="utc"&gt;1674558749&lt;/last-updated-date&gt;&lt;volume&gt;94&lt;/volume&gt;&lt;/record&gt;&lt;/Cite&gt;&lt;/EndNote&gt;</w:instrText>
      </w:r>
      <w:r w:rsidRPr="00E8579E">
        <w:rPr>
          <w:rFonts w:ascii="Times New Roman" w:hAnsi="Times New Roman" w:cs="Times New Roman"/>
          <w:b/>
          <w:bCs/>
        </w:rPr>
        <w:fldChar w:fldCharType="separate"/>
      </w:r>
      <w:r w:rsidRPr="00E8579E">
        <w:rPr>
          <w:rFonts w:ascii="Times New Roman" w:hAnsi="Times New Roman" w:cs="Times New Roman"/>
          <w:b/>
          <w:bCs/>
          <w:noProof/>
        </w:rPr>
        <w:t>(Dupre-Crochet, Erard and Nubetae, 2013)</w:t>
      </w:r>
      <w:r w:rsidRPr="00E8579E">
        <w:rPr>
          <w:rFonts w:ascii="Times New Roman" w:hAnsi="Times New Roman" w:cs="Times New Roman"/>
          <w:b/>
          <w:bCs/>
        </w:rPr>
        <w:fldChar w:fldCharType="end"/>
      </w:r>
      <w:r w:rsidRPr="00EF7F57">
        <w:rPr>
          <w:rFonts w:ascii="Times New Roman" w:hAnsi="Times New Roman" w:cs="Times New Roman"/>
        </w:rPr>
        <w:t>.</w:t>
      </w:r>
      <w:r>
        <w:rPr>
          <w:rFonts w:ascii="Times New Roman" w:hAnsi="Times New Roman" w:cs="Times New Roman"/>
          <w:b/>
          <w:bCs/>
        </w:rPr>
        <w:t xml:space="preserve"> </w:t>
      </w:r>
      <w:bookmarkStart w:id="50" w:name="_Hlk128144040"/>
      <w:r w:rsidRPr="0045656D">
        <w:rPr>
          <w:rFonts w:ascii="Times New Roman" w:hAnsi="Times New Roman" w:cs="Times New Roman"/>
        </w:rPr>
        <w:t xml:space="preserve">Nicotinamide adenine dinucleotide phosphate </w:t>
      </w:r>
      <w:r>
        <w:rPr>
          <w:rFonts w:ascii="Times New Roman" w:hAnsi="Times New Roman" w:cs="Times New Roman"/>
        </w:rPr>
        <w:t xml:space="preserve">(NADPH) oxidase </w:t>
      </w:r>
      <w:bookmarkEnd w:id="50"/>
      <w:r>
        <w:rPr>
          <w:rFonts w:ascii="Times New Roman" w:hAnsi="Times New Roman" w:cs="Times New Roman"/>
        </w:rPr>
        <w:t xml:space="preserve">(NOX) is a multi-subunit protein existing as seven isoforms, four of which are expressed in immune cells </w:t>
      </w:r>
      <w:r w:rsidRPr="00616396">
        <w:rPr>
          <w:rFonts w:ascii="Times New Roman" w:hAnsi="Times New Roman" w:cs="Times New Roman"/>
          <w:b/>
          <w:bCs/>
        </w:rPr>
        <w:fldChar w:fldCharType="begin"/>
      </w:r>
      <w:r w:rsidRPr="00616396">
        <w:rPr>
          <w:rFonts w:ascii="Times New Roman" w:hAnsi="Times New Roman" w:cs="Times New Roman"/>
          <w:b/>
          <w:bCs/>
        </w:rPr>
        <w:instrText xml:space="preserve"> ADDIN EN.CITE &lt;EndNote&gt;&lt;Cite&gt;&lt;Author&gt;Fulton&lt;/Author&gt;&lt;Year&gt;2016&lt;/Year&gt;&lt;IDText&gt;Clarity on the Isoform-Specific Roles of NADPH Oxidases and NADPH Oxidase-4 in Atherosclerosis&lt;/IDText&gt;&lt;DisplayText&gt;(Fulton and Barman, 2016)&lt;/DisplayText&gt;&lt;record&gt;&lt;dates&gt;&lt;pub-dates&gt;&lt;date&gt;Apr&lt;/date&gt;&lt;/pub-dates&gt;&lt;year&gt;2016&lt;/year&gt;&lt;/dates&gt;&lt;urls&gt;&lt;related-urls&gt;&lt;url&gt;&amp;lt;Go to ISI&amp;gt;://WOS:000373454700001&lt;/url&gt;&lt;/related-urls&gt;&lt;/urls&gt;&lt;isbn&gt;1079-5642&lt;/isbn&gt;&lt;titles&gt;&lt;title&gt;Clarity on the Isoform-Specific Roles of NADPH Oxidases and NADPH Oxidase-4 in Atherosclerosis&lt;/title&gt;&lt;secondary-title&gt;Arteriosclerosis Thrombosis and Vascular Biology&lt;/secondary-title&gt;&lt;/titles&gt;&lt;pages&gt;579-581&lt;/pages&gt;&lt;number&gt;4&lt;/number&gt;&lt;contributors&gt;&lt;authors&gt;&lt;author&gt;Fulton, D. J. R.&lt;/author&gt;&lt;author&gt;Barman, S. A.&lt;/author&gt;&lt;/authors&gt;&lt;/contributors&gt;&lt;added-date format="utc"&gt;1677252215&lt;/added-date&gt;&lt;ref-type name="Journal Article"&gt;17&lt;/ref-type&gt;&lt;rec-number&gt;516&lt;/rec-number&gt;&lt;last-updated-date format="utc"&gt;1677252215&lt;/last-updated-date&gt;&lt;accession-num&gt;WOS:000373454700001&lt;/accession-num&gt;&lt;electronic-resource-num&gt;10.1161/atvbaha.116.307096&lt;/electronic-resource-num&gt;&lt;volume&gt;36&lt;/volume&gt;&lt;/record&gt;&lt;/Cite&gt;&lt;/EndNote&gt;</w:instrText>
      </w:r>
      <w:r w:rsidRPr="00616396">
        <w:rPr>
          <w:rFonts w:ascii="Times New Roman" w:hAnsi="Times New Roman" w:cs="Times New Roman"/>
          <w:b/>
          <w:bCs/>
        </w:rPr>
        <w:fldChar w:fldCharType="separate"/>
      </w:r>
      <w:r w:rsidRPr="00616396">
        <w:rPr>
          <w:rFonts w:ascii="Times New Roman" w:hAnsi="Times New Roman" w:cs="Times New Roman"/>
          <w:b/>
          <w:bCs/>
          <w:noProof/>
        </w:rPr>
        <w:t>(Fulton and Barman, 2016)</w:t>
      </w:r>
      <w:r w:rsidRPr="00616396">
        <w:rPr>
          <w:rFonts w:ascii="Times New Roman" w:hAnsi="Times New Roman" w:cs="Times New Roman"/>
          <w:b/>
          <w:bCs/>
        </w:rPr>
        <w:fldChar w:fldCharType="end"/>
      </w:r>
      <w:r>
        <w:rPr>
          <w:rFonts w:ascii="Times New Roman" w:hAnsi="Times New Roman" w:cs="Times New Roman"/>
          <w:b/>
          <w:bCs/>
        </w:rPr>
        <w:t xml:space="preserve"> (Fig. 1.3.4.3)</w:t>
      </w:r>
      <w:r>
        <w:rPr>
          <w:rFonts w:ascii="Times New Roman" w:hAnsi="Times New Roman" w:cs="Times New Roman"/>
        </w:rPr>
        <w:t xml:space="preserve">. The importance of NOX is established as impaired function and subunit assembly results in host susceptibility to infection </w:t>
      </w:r>
      <w:r w:rsidRPr="00616396">
        <w:rPr>
          <w:rFonts w:ascii="Times New Roman" w:hAnsi="Times New Roman" w:cs="Times New Roman"/>
          <w:b/>
          <w:bCs/>
        </w:rPr>
        <w:fldChar w:fldCharType="begin"/>
      </w:r>
      <w:r w:rsidRPr="00616396">
        <w:rPr>
          <w:rFonts w:ascii="Times New Roman" w:hAnsi="Times New Roman" w:cs="Times New Roman"/>
          <w:b/>
          <w:bCs/>
        </w:rPr>
        <w:instrText xml:space="preserve"> ADDIN EN.CITE &lt;EndNote&gt;&lt;Cite&gt;&lt;Author&gt;Segal&lt;/Author&gt;&lt;Year&gt;2009&lt;/Year&gt;&lt;IDText&gt;Chronic granulomatous disease&lt;/IDText&gt;&lt;DisplayText&gt;(Segal, Romani and Puccetti, 2009)&lt;/DisplayText&gt;&lt;record&gt;&lt;dates&gt;&lt;pub-dates&gt;&lt;date&gt;Feb&lt;/date&gt;&lt;/pub-dates&gt;&lt;year&gt;2009&lt;/year&gt;&lt;/dates&gt;&lt;urls&gt;&lt;related-urls&gt;&lt;url&gt;&amp;lt;Go to ISI&amp;gt;://WOS:000263418300001&lt;/url&gt;&lt;/related-urls&gt;&lt;/urls&gt;&lt;isbn&gt;1420-682X&lt;/isbn&gt;&lt;titles&gt;&lt;title&gt;Chronic granulomatous disease&lt;/title&gt;&lt;secondary-title&gt;Cellular and Molecular Life Sciences&lt;/secondary-title&gt;&lt;/titles&gt;&lt;pages&gt;553-558&lt;/pages&gt;&lt;number&gt;4&lt;/number&gt;&lt;contributors&gt;&lt;authors&gt;&lt;author&gt;Segal, B. H.&lt;/author&gt;&lt;author&gt;Romani, L.&lt;/author&gt;&lt;author&gt;Puccetti, P.&lt;/author&gt;&lt;/authors&gt;&lt;/contributors&gt;&lt;added-date format="utc"&gt;1677252042&lt;/added-date&gt;&lt;ref-type name="Journal Article"&gt;17&lt;/ref-type&gt;&lt;rec-number&gt;515&lt;/rec-number&gt;&lt;last-updated-date format="utc"&gt;1677252042&lt;/last-updated-date&gt;&lt;accession-num&gt;WOS:000263418300001&lt;/accession-num&gt;&lt;electronic-resource-num&gt;10.1007/s00018-009-8506-y&lt;/electronic-resource-num&gt;&lt;volume&gt;66&lt;/volume&gt;&lt;/record&gt;&lt;/Cite&gt;&lt;/EndNote&gt;</w:instrText>
      </w:r>
      <w:r w:rsidRPr="00616396">
        <w:rPr>
          <w:rFonts w:ascii="Times New Roman" w:hAnsi="Times New Roman" w:cs="Times New Roman"/>
          <w:b/>
          <w:bCs/>
        </w:rPr>
        <w:fldChar w:fldCharType="separate"/>
      </w:r>
      <w:r w:rsidRPr="00616396">
        <w:rPr>
          <w:rFonts w:ascii="Times New Roman" w:hAnsi="Times New Roman" w:cs="Times New Roman"/>
          <w:b/>
          <w:bCs/>
          <w:noProof/>
        </w:rPr>
        <w:t>(Segal, Romani and Puccetti, 2009)</w:t>
      </w:r>
      <w:r w:rsidRPr="00616396">
        <w:rPr>
          <w:rFonts w:ascii="Times New Roman" w:hAnsi="Times New Roman" w:cs="Times New Roman"/>
          <w:b/>
          <w:bCs/>
        </w:rPr>
        <w:fldChar w:fldCharType="end"/>
      </w:r>
      <w:r>
        <w:rPr>
          <w:rFonts w:ascii="Times New Roman" w:hAnsi="Times New Roman" w:cs="Times New Roman"/>
        </w:rPr>
        <w:t xml:space="preserve">. Upon activation by proinflammatory stimuli e.g. bacterial cell wall components binding to and activating PRRs, the transmembrane and cytoplasmic subunits of NOX assemble </w:t>
      </w:r>
      <w:r w:rsidRPr="00247851">
        <w:rPr>
          <w:rFonts w:ascii="Times New Roman" w:hAnsi="Times New Roman" w:cs="Times New Roman"/>
          <w:b/>
          <w:bCs/>
        </w:rPr>
        <w:fldChar w:fldCharType="begin"/>
      </w:r>
      <w:r w:rsidRPr="00247851">
        <w:rPr>
          <w:rFonts w:ascii="Times New Roman" w:hAnsi="Times New Roman" w:cs="Times New Roman"/>
          <w:b/>
          <w:bCs/>
        </w:rPr>
        <w:instrText xml:space="preserve"> ADDIN EN.CITE &lt;EndNote&gt;&lt;Cite&gt;&lt;Author&gt;Panday&lt;/Author&gt;&lt;Year&gt;2015&lt;/Year&gt;&lt;IDText&gt;NADPH oxidases: an overview from structure to innate immunity-associated pathologies&lt;/IDText&gt;&lt;DisplayText&gt;(Panday&lt;style face="italic"&gt; et al.&lt;/style&gt;, 2015)&lt;/DisplayText&gt;&lt;record&gt;&lt;dates&gt;&lt;pub-dates&gt;&lt;date&gt;Jan&lt;/date&gt;&lt;/pub-dates&gt;&lt;year&gt;2015&lt;/year&gt;&lt;/dates&gt;&lt;urls&gt;&lt;related-urls&gt;&lt;url&gt;&amp;lt;Go to ISI&amp;gt;://WOS:000347392000002&lt;/url&gt;&lt;/related-urls&gt;&lt;/urls&gt;&lt;isbn&gt;1672-7681&lt;/isbn&gt;&lt;titles&gt;&lt;title&gt;NADPH oxidases: an overview from structure to innate immunity-associated pathologies&lt;/title&gt;&lt;secondary-title&gt;Cellular &amp;amp; Molecular Immunology&lt;/secondary-title&gt;&lt;/titles&gt;&lt;number&gt;1&lt;/number&gt;&lt;contributors&gt;&lt;authors&gt;&lt;author&gt;Panday, A.&lt;/author&gt;&lt;author&gt;Sahoo, M. K.&lt;/author&gt;&lt;author&gt;Osorio, D.&lt;/author&gt;&lt;author&gt;Batra, S.&lt;/author&gt;&lt;/authors&gt;&lt;/contributors&gt;&lt;added-date format="utc"&gt;1677257139&lt;/added-date&gt;&lt;ref-type name="Journal Article"&gt;17&lt;/ref-type&gt;&lt;rec-number&gt;518&lt;/rec-number&gt;&lt;last-updated-date format="utc"&gt;1677257139&lt;/last-updated-date&gt;&lt;accession-num&gt;WOS:000347392000002&lt;/accession-num&gt;&lt;electronic-resource-num&gt;10.1038/cmi.2014.89&lt;/electronic-resource-num&gt;&lt;volume&gt;12&lt;/volume&gt;&lt;/record&gt;&lt;/Cite&gt;&lt;/EndNote&gt;</w:instrText>
      </w:r>
      <w:r w:rsidRPr="00247851">
        <w:rPr>
          <w:rFonts w:ascii="Times New Roman" w:hAnsi="Times New Roman" w:cs="Times New Roman"/>
          <w:b/>
          <w:bCs/>
        </w:rPr>
        <w:fldChar w:fldCharType="separate"/>
      </w:r>
      <w:r w:rsidRPr="00247851">
        <w:rPr>
          <w:rFonts w:ascii="Times New Roman" w:hAnsi="Times New Roman" w:cs="Times New Roman"/>
          <w:b/>
          <w:bCs/>
          <w:noProof/>
        </w:rPr>
        <w:t>(Panday</w:t>
      </w:r>
      <w:r w:rsidRPr="00247851">
        <w:rPr>
          <w:rFonts w:ascii="Times New Roman" w:hAnsi="Times New Roman" w:cs="Times New Roman"/>
          <w:b/>
          <w:bCs/>
          <w:i/>
          <w:noProof/>
        </w:rPr>
        <w:t xml:space="preserve"> et al.</w:t>
      </w:r>
      <w:r w:rsidRPr="00247851">
        <w:rPr>
          <w:rFonts w:ascii="Times New Roman" w:hAnsi="Times New Roman" w:cs="Times New Roman"/>
          <w:b/>
          <w:bCs/>
          <w:noProof/>
        </w:rPr>
        <w:t>, 2015)</w:t>
      </w:r>
      <w:r w:rsidRPr="00247851">
        <w:rPr>
          <w:rFonts w:ascii="Times New Roman" w:hAnsi="Times New Roman" w:cs="Times New Roman"/>
          <w:b/>
          <w:bCs/>
        </w:rPr>
        <w:fldChar w:fldCharType="end"/>
      </w:r>
      <w:r>
        <w:rPr>
          <w:rFonts w:ascii="Times New Roman" w:hAnsi="Times New Roman" w:cs="Times New Roman"/>
        </w:rPr>
        <w:t>. Consequently, electron transfer resulting in oxidation of NADPH and reduction of diatomic oxygen superoxide ions 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 xml:space="preserve"> are produced. The role of NOX2 with regards to </w:t>
      </w:r>
      <w:r>
        <w:rPr>
          <w:rFonts w:ascii="Times New Roman" w:hAnsi="Times New Roman" w:cs="Times New Roman"/>
          <w:i/>
          <w:iCs/>
        </w:rPr>
        <w:t xml:space="preserve">S. aureus </w:t>
      </w:r>
      <w:r>
        <w:rPr>
          <w:rFonts w:ascii="Times New Roman" w:hAnsi="Times New Roman" w:cs="Times New Roman"/>
        </w:rPr>
        <w:t xml:space="preserve">has been studied – NOX2-deficient BMDMs failed to clear </w:t>
      </w:r>
      <w:r>
        <w:rPr>
          <w:rFonts w:ascii="Times New Roman" w:hAnsi="Times New Roman" w:cs="Times New Roman"/>
          <w:i/>
          <w:iCs/>
        </w:rPr>
        <w:t xml:space="preserve">S. aureus </w:t>
      </w:r>
      <w:r>
        <w:rPr>
          <w:rFonts w:ascii="Times New Roman" w:hAnsi="Times New Roman" w:cs="Times New Roman"/>
        </w:rPr>
        <w:t xml:space="preserve">and was associated with improved </w:t>
      </w:r>
      <w:r w:rsidR="00EA21C7">
        <w:rPr>
          <w:rFonts w:ascii="Times New Roman" w:hAnsi="Times New Roman" w:cs="Times New Roman"/>
        </w:rPr>
        <w:t xml:space="preserve">staphylococcal </w:t>
      </w:r>
      <w:r>
        <w:rPr>
          <w:rFonts w:ascii="Times New Roman" w:hAnsi="Times New Roman" w:cs="Times New Roman"/>
        </w:rPr>
        <w:t xml:space="preserve">survival and thus dissemination, demonstrating the important role of NOX2 </w:t>
      </w:r>
      <w:r w:rsidRPr="00495CEB">
        <w:rPr>
          <w:rFonts w:ascii="Times New Roman" w:hAnsi="Times New Roman" w:cs="Times New Roman"/>
          <w:b/>
          <w:bCs/>
        </w:rPr>
        <w:fldChar w:fldCharType="begin"/>
      </w:r>
      <w:r w:rsidRPr="00495CEB">
        <w:rPr>
          <w:rFonts w:ascii="Times New Roman" w:hAnsi="Times New Roman" w:cs="Times New Roman"/>
          <w:b/>
          <w:bCs/>
        </w:rPr>
        <w:instrText xml:space="preserve"> ADDIN EN.CITE &lt;EndNote&gt;&lt;Cite&gt;&lt;Author&gt;Tosetti&lt;/Author&gt;&lt;Year&gt;2021&lt;/Year&gt;&lt;IDText&gt;NOX2 Deficiency Permits Sustained Survival of S. aureus in Macrophages and Contributes to Severity of Infection&lt;/IDText&gt;&lt;DisplayText&gt;(Tosetti&lt;style face="italic"&gt; et al.&lt;/style&gt;, 2021)&lt;/DisplayText&gt;&lt;record&gt;&lt;dates&gt;&lt;pub-dates&gt;&lt;date&gt;Mar&lt;/date&gt;&lt;/pub-dates&gt;&lt;year&gt;2021&lt;/year&gt;&lt;/dates&gt;&lt;urls&gt;&lt;related-urls&gt;&lt;url&gt;&amp;lt;Go to ISI&amp;gt;://WOS:000636574800001&lt;/url&gt;&lt;/related-urls&gt;&lt;/urls&gt;&lt;isbn&gt;1664-3224&lt;/isbn&gt;&lt;titles&gt;&lt;title&gt;NOX2 Deficiency Permits Sustained Survival of S. aureus in Macrophages and Contributes to Severity of Infection&lt;/title&gt;&lt;secondary-title&gt;Frontiers in Immunology&lt;/secondary-title&gt;&lt;/titles&gt;&lt;contributors&gt;&lt;authors&gt;&lt;author&gt;Tosetti, B.&lt;/author&gt;&lt;author&gt;Ward, B.&lt;/author&gt;&lt;author&gt;Grumme, D.&lt;/author&gt;&lt;author&gt;Herb, M.&lt;/author&gt;&lt;author&gt;Schramm, M.&lt;/author&gt;&lt;author&gt;Utermohlen, O.&lt;/author&gt;&lt;author&gt;Heukamp, L. C.&lt;/author&gt;&lt;author&gt;Kronke, M.&lt;/author&gt;&lt;author&gt;Krut, O.&lt;/author&gt;&lt;/authors&gt;&lt;/contributors&gt;&lt;custom7&gt;633629&lt;/custom7&gt;&lt;added-date format="utc"&gt;1677256683&lt;/added-date&gt;&lt;ref-type name="Journal Article"&gt;17&lt;/ref-type&gt;&lt;rec-number&gt;517&lt;/rec-number&gt;&lt;last-updated-date format="utc"&gt;1677256683&lt;/last-updated-date&gt;&lt;accession-num&gt;WOS:000636574800001&lt;/accession-num&gt;&lt;electronic-resource-num&gt;10.3389/fimmu.2021.633629&lt;/electronic-resource-num&gt;&lt;volume&gt;12&lt;/volume&gt;&lt;/record&gt;&lt;/Cite&gt;&lt;/EndNote&gt;</w:instrText>
      </w:r>
      <w:r w:rsidRPr="00495CEB">
        <w:rPr>
          <w:rFonts w:ascii="Times New Roman" w:hAnsi="Times New Roman" w:cs="Times New Roman"/>
          <w:b/>
          <w:bCs/>
        </w:rPr>
        <w:fldChar w:fldCharType="separate"/>
      </w:r>
      <w:r w:rsidRPr="00495CEB">
        <w:rPr>
          <w:rFonts w:ascii="Times New Roman" w:hAnsi="Times New Roman" w:cs="Times New Roman"/>
          <w:b/>
          <w:bCs/>
          <w:noProof/>
        </w:rPr>
        <w:t>(Tosetti</w:t>
      </w:r>
      <w:r w:rsidRPr="00495CEB">
        <w:rPr>
          <w:rFonts w:ascii="Times New Roman" w:hAnsi="Times New Roman" w:cs="Times New Roman"/>
          <w:b/>
          <w:bCs/>
          <w:i/>
          <w:noProof/>
        </w:rPr>
        <w:t xml:space="preserve"> et al.</w:t>
      </w:r>
      <w:r w:rsidRPr="00495CEB">
        <w:rPr>
          <w:rFonts w:ascii="Times New Roman" w:hAnsi="Times New Roman" w:cs="Times New Roman"/>
          <w:b/>
          <w:bCs/>
          <w:noProof/>
        </w:rPr>
        <w:t>, 2021)</w:t>
      </w:r>
      <w:r w:rsidRPr="00495CEB">
        <w:rPr>
          <w:rFonts w:ascii="Times New Roman" w:hAnsi="Times New Roman" w:cs="Times New Roman"/>
          <w:b/>
          <w:bCs/>
        </w:rPr>
        <w:fldChar w:fldCharType="end"/>
      </w:r>
      <w:r>
        <w:rPr>
          <w:rFonts w:ascii="Times New Roman" w:hAnsi="Times New Roman" w:cs="Times New Roman"/>
        </w:rPr>
        <w:t xml:space="preserve"> . </w:t>
      </w:r>
      <w:r>
        <w:rPr>
          <w:rFonts w:ascii="Times New Roman" w:hAnsi="Times New Roman" w:cs="Times New Roman"/>
        </w:rPr>
        <w:tab/>
      </w:r>
    </w:p>
    <w:p w14:paraId="06C7DD71" w14:textId="699A1DF2" w:rsidR="00033564" w:rsidRPr="009609BA" w:rsidRDefault="00033564" w:rsidP="00033564">
      <w:pPr>
        <w:spacing w:line="360" w:lineRule="auto"/>
        <w:jc w:val="both"/>
        <w:rPr>
          <w:rFonts w:ascii="Times New Roman" w:hAnsi="Times New Roman" w:cs="Times New Roman"/>
        </w:rPr>
      </w:pPr>
      <w:r>
        <w:rPr>
          <w:rFonts w:ascii="Times New Roman" w:hAnsi="Times New Roman" w:cs="Times New Roman"/>
        </w:rPr>
        <w:tab/>
        <w:t>While 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 xml:space="preserve"> is microbicidal, it is also deleterious to the host. 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 xml:space="preserve"> produced by NOX can be converted to the less toxic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by mammalian SOD </w:t>
      </w:r>
      <w:r w:rsidRPr="00F56BAB">
        <w:rPr>
          <w:rFonts w:ascii="Times New Roman" w:hAnsi="Times New Roman" w:cs="Times New Roman"/>
          <w:b/>
          <w:bCs/>
        </w:rPr>
        <w:fldChar w:fldCharType="begin"/>
      </w:r>
      <w:r w:rsidRPr="00F56BAB">
        <w:rPr>
          <w:rFonts w:ascii="Times New Roman" w:hAnsi="Times New Roman" w:cs="Times New Roman"/>
          <w:b/>
          <w:bCs/>
        </w:rPr>
        <w:instrText xml:space="preserve"> ADDIN EN.CITE &lt;EndNote&gt;&lt;Cite&gt;&lt;Author&gt;Hyslop&lt;/Author&gt;&lt;Year&gt;1995&lt;/Year&gt;&lt;IDText&gt;HYDROGEN-PEROXIDE AS A POTENT BACTERIOSTATIC ANTIBIOTIC - IMPLICATIONS FOR HOST-DEFENSE&lt;/IDText&gt;&lt;DisplayText&gt;(Hyslop&lt;style face="italic"&gt; et al.&lt;/style&gt;, 1995)&lt;/DisplayText&gt;&lt;record&gt;&lt;dates&gt;&lt;pub-dates&gt;&lt;date&gt;Jul&lt;/date&gt;&lt;/pub-dates&gt;&lt;year&gt;1995&lt;/year&gt;&lt;/dates&gt;&lt;urls&gt;&lt;related-urls&gt;&lt;url&gt;&amp;lt;Go to ISI&amp;gt;://WOS:A1995QZ42300004&lt;/url&gt;&lt;/related-urls&gt;&lt;/urls&gt;&lt;isbn&gt;0891-5849&lt;/isbn&gt;&lt;titles&gt;&lt;title&gt;HYDROGEN-PEROXIDE AS A POTENT BACTERIOSTATIC ANTIBIOTIC - IMPLICATIONS FOR HOST-DEFENSE&lt;/title&gt;&lt;secondary-title&gt;Free Radical Biology and Medicine&lt;/secondary-title&gt;&lt;/titles&gt;&lt;pages&gt;31-37&lt;/pages&gt;&lt;number&gt;1&lt;/number&gt;&lt;contributors&gt;&lt;authors&gt;&lt;author&gt;Hyslop, P. A.&lt;/author&gt;&lt;author&gt;Hinshaw, D. B.&lt;/author&gt;&lt;author&gt;Scraufstatter, I. U.&lt;/author&gt;&lt;author&gt;Cochrane, C. G.&lt;/author&gt;&lt;author&gt;Kunz, S.&lt;/author&gt;&lt;author&gt;Vosbeck, K.&lt;/author&gt;&lt;/authors&gt;&lt;/contributors&gt;&lt;added-date format="utc"&gt;1677264050&lt;/added-date&gt;&lt;ref-type name="Journal Article"&gt;17&lt;/ref-type&gt;&lt;rec-number&gt;519&lt;/rec-number&gt;&lt;last-updated-date format="utc"&gt;1677264050&lt;/last-updated-date&gt;&lt;accession-num&gt;WOS:A1995QZ42300004&lt;/accession-num&gt;&lt;electronic-resource-num&gt;10.1016/0891-5849(95)00005-i&lt;/electronic-resource-num&gt;&lt;volume&gt;19&lt;/volume&gt;&lt;/record&gt;&lt;/Cite&gt;&lt;/EndNote&gt;</w:instrText>
      </w:r>
      <w:r w:rsidRPr="00F56BAB">
        <w:rPr>
          <w:rFonts w:ascii="Times New Roman" w:hAnsi="Times New Roman" w:cs="Times New Roman"/>
          <w:b/>
          <w:bCs/>
        </w:rPr>
        <w:fldChar w:fldCharType="separate"/>
      </w:r>
      <w:r w:rsidRPr="00F56BAB">
        <w:rPr>
          <w:rFonts w:ascii="Times New Roman" w:hAnsi="Times New Roman" w:cs="Times New Roman"/>
          <w:b/>
          <w:bCs/>
          <w:noProof/>
        </w:rPr>
        <w:t>(Hyslop</w:t>
      </w:r>
      <w:r w:rsidRPr="00F56BAB">
        <w:rPr>
          <w:rFonts w:ascii="Times New Roman" w:hAnsi="Times New Roman" w:cs="Times New Roman"/>
          <w:b/>
          <w:bCs/>
          <w:i/>
          <w:noProof/>
        </w:rPr>
        <w:t xml:space="preserve"> et al.</w:t>
      </w:r>
      <w:r w:rsidRPr="00F56BAB">
        <w:rPr>
          <w:rFonts w:ascii="Times New Roman" w:hAnsi="Times New Roman" w:cs="Times New Roman"/>
          <w:b/>
          <w:bCs/>
          <w:noProof/>
        </w:rPr>
        <w:t>, 1995)</w:t>
      </w:r>
      <w:r w:rsidRPr="00F56BAB">
        <w:rPr>
          <w:rFonts w:ascii="Times New Roman" w:hAnsi="Times New Roman" w:cs="Times New Roman"/>
          <w:b/>
          <w:bCs/>
        </w:rPr>
        <w:fldChar w:fldCharType="end"/>
      </w:r>
      <w:r>
        <w:rPr>
          <w:rFonts w:ascii="Times New Roman" w:hAnsi="Times New Roman" w:cs="Times New Roman"/>
          <w:b/>
          <w:bCs/>
        </w:rPr>
        <w:t xml:space="preserve"> (Fig. 1.3.4.3)</w:t>
      </w:r>
      <w:r>
        <w:rPr>
          <w:rFonts w:ascii="Times New Roman" w:hAnsi="Times New Roman" w:cs="Times New Roman"/>
        </w:rPr>
        <w:t>.</w:t>
      </w:r>
      <w:r w:rsidR="005C1A78">
        <w:rPr>
          <w:rFonts w:ascii="Times New Roman" w:hAnsi="Times New Roman" w:cs="Times New Roman"/>
        </w:rPr>
        <w:t xml:space="preserve"> </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 xml:space="preserve">2 </w:t>
      </w:r>
      <w:r>
        <w:rPr>
          <w:rFonts w:ascii="Times New Roman" w:hAnsi="Times New Roman" w:cs="Times New Roman"/>
        </w:rPr>
        <w:t>and chloride</w:t>
      </w:r>
      <w:r>
        <w:rPr>
          <w:rFonts w:ascii="Times New Roman" w:hAnsi="Times New Roman" w:cs="Times New Roman"/>
          <w:vertAlign w:val="subscript"/>
        </w:rPr>
        <w:t xml:space="preserve"> </w:t>
      </w:r>
      <w:r>
        <w:rPr>
          <w:rFonts w:ascii="Times New Roman" w:hAnsi="Times New Roman" w:cs="Times New Roman"/>
        </w:rPr>
        <w:t xml:space="preserve">can then be converted to hypochlorous acid (HOCl) by MPO </w:t>
      </w:r>
      <w:r w:rsidRPr="005E4A4E">
        <w:rPr>
          <w:rFonts w:ascii="Times New Roman" w:hAnsi="Times New Roman" w:cs="Times New Roman"/>
          <w:b/>
          <w:bCs/>
        </w:rPr>
        <w:fldChar w:fldCharType="begin"/>
      </w:r>
      <w:r w:rsidRPr="005E4A4E">
        <w:rPr>
          <w:rFonts w:ascii="Times New Roman" w:hAnsi="Times New Roman" w:cs="Times New Roman"/>
          <w:b/>
          <w:bCs/>
        </w:rPr>
        <w:instrText xml:space="preserve"> ADDIN EN.CITE &lt;EndNote&gt;&lt;Cite&gt;&lt;Author&gt;Winterbourn&lt;/Author&gt;&lt;Year&gt;2006&lt;/Year&gt;&lt;IDText&gt;Modeling the reactions of superoxide and myeloperoxidase in the neutrophil phagosome - Implications for microbial killing&lt;/IDText&gt;&lt;DisplayText&gt;(Winterbourn&lt;style face="italic"&gt; et al.&lt;/style&gt;, 2006)&lt;/DisplayText&gt;&lt;record&gt;&lt;dates&gt;&lt;pub-dates&gt;&lt;date&gt;Dec 29&lt;/date&gt;&lt;/pub-dates&gt;&lt;year&gt;2006&lt;/year&gt;&lt;/dates&gt;&lt;urls&gt;&lt;related-urls&gt;&lt;url&gt;&amp;lt;Go to ISI&amp;gt;://WOS:000243033900013&lt;/url&gt;&lt;/related-urls&gt;&lt;/urls&gt;&lt;work-type&gt;Article&lt;/work-type&gt;&lt;titles&gt;&lt;title&gt;Modeling the reactions of superoxide and myeloperoxidase in the neutrophil phagosome - Implications for microbial killing&lt;/title&gt;&lt;secondary-title&gt;Journal of Biological Chemistry&lt;/secondary-title&gt;&lt;/titles&gt;&lt;pages&gt;39860-39869&lt;/pages&gt;&lt;number&gt;52&lt;/number&gt;&lt;contributors&gt;&lt;authors&gt;&lt;author&gt;Winterbourn, Christine C.&lt;/author&gt;&lt;author&gt;Hampton, Mark B.&lt;/author&gt;&lt;author&gt;Livesey, John H.&lt;/author&gt;&lt;author&gt;Kettle, Anthony J.&lt;/author&gt;&lt;/authors&gt;&lt;/contributors&gt;&lt;added-date format="utc"&gt;1674560892&lt;/added-date&gt;&lt;ref-type name="Journal Article"&gt;17&lt;/ref-type&gt;&lt;rec-number&gt;247&lt;/rec-number&gt;&lt;last-updated-date format="utc"&gt;1675008997&lt;/last-updated-date&gt;&lt;accession-num&gt;WOS:000243033900013&lt;/accession-num&gt;&lt;electronic-resource-num&gt;10.1074/jbc.M605898200&lt;/electronic-resource-num&gt;&lt;volume&gt;281&lt;/volume&gt;&lt;/record&gt;&lt;/Cite&gt;&lt;/EndNote&gt;</w:instrText>
      </w:r>
      <w:r w:rsidRPr="005E4A4E">
        <w:rPr>
          <w:rFonts w:ascii="Times New Roman" w:hAnsi="Times New Roman" w:cs="Times New Roman"/>
          <w:b/>
          <w:bCs/>
        </w:rPr>
        <w:fldChar w:fldCharType="separate"/>
      </w:r>
      <w:r w:rsidRPr="005E4A4E">
        <w:rPr>
          <w:rFonts w:ascii="Times New Roman" w:hAnsi="Times New Roman" w:cs="Times New Roman"/>
          <w:b/>
          <w:bCs/>
          <w:noProof/>
        </w:rPr>
        <w:t>(Winterbourn</w:t>
      </w:r>
      <w:r w:rsidRPr="005E4A4E">
        <w:rPr>
          <w:rFonts w:ascii="Times New Roman" w:hAnsi="Times New Roman" w:cs="Times New Roman"/>
          <w:b/>
          <w:bCs/>
          <w:i/>
          <w:noProof/>
        </w:rPr>
        <w:t xml:space="preserve"> et al.</w:t>
      </w:r>
      <w:r w:rsidRPr="005E4A4E">
        <w:rPr>
          <w:rFonts w:ascii="Times New Roman" w:hAnsi="Times New Roman" w:cs="Times New Roman"/>
          <w:b/>
          <w:bCs/>
          <w:noProof/>
        </w:rPr>
        <w:t>, 2006)</w:t>
      </w:r>
      <w:r w:rsidRPr="005E4A4E">
        <w:rPr>
          <w:rFonts w:ascii="Times New Roman" w:hAnsi="Times New Roman" w:cs="Times New Roman"/>
          <w:b/>
          <w:bCs/>
        </w:rPr>
        <w:fldChar w:fldCharType="end"/>
      </w:r>
      <w:r>
        <w:rPr>
          <w:rFonts w:ascii="Times New Roman" w:hAnsi="Times New Roman" w:cs="Times New Roman"/>
        </w:rPr>
        <w:t xml:space="preserve">, produced mainly by neutrophils (azurophilic granules) but also by macrophages. Production of these ROS acts to protect the host by damaging and killing pathogens. For example, HOCl has shown antimicrobial activity against </w:t>
      </w:r>
      <w:r>
        <w:rPr>
          <w:rFonts w:ascii="Times New Roman" w:hAnsi="Times New Roman" w:cs="Times New Roman"/>
          <w:i/>
          <w:iCs/>
        </w:rPr>
        <w:t xml:space="preserve">S. aureus </w:t>
      </w:r>
      <w:r>
        <w:rPr>
          <w:rFonts w:ascii="Times New Roman" w:hAnsi="Times New Roman" w:cs="Times New Roman"/>
        </w:rPr>
        <w:fldChar w:fldCharType="begin"/>
      </w:r>
      <w:r>
        <w:rPr>
          <w:rFonts w:ascii="Times New Roman" w:hAnsi="Times New Roman" w:cs="Times New Roman"/>
        </w:rPr>
        <w:instrText xml:space="preserve"> ADDIN EN.CITE &lt;EndNote&gt;&lt;Cite&gt;&lt;Author&gt;Abid&lt;/Author&gt;&lt;Year&gt;2004&lt;/Year&gt;&lt;IDText&gt;Morphological and physiological changes of Staphylococcus aureus exposed to hypochlorous acid&lt;/IDText&gt;&lt;DisplayText&gt;(Abid, Maalej and Rouis, 2004)&lt;/DisplayText&gt;&lt;record&gt;&lt;urls&gt;&lt;related-urls&gt;&lt;url&gt;&amp;lt;Go to ISI&amp;gt;://WOS:000188991300012&lt;/url&gt;&lt;/related-urls&gt;&lt;/urls&gt;&lt;isbn&gt;0266-8254&lt;/isbn&gt;&lt;titles&gt;&lt;title&gt;Morphological and physiological changes of Staphylococcus aureus exposed to hypochlorous acid&lt;/title&gt;&lt;secondary-title&gt;Letters in Applied Microbiology&lt;/secondary-title&gt;&lt;/titles&gt;&lt;pages&gt;245-250&lt;/pages&gt;&lt;number&gt;3&lt;/number&gt;&lt;contributors&gt;&lt;authors&gt;&lt;author&gt;Abid, N.&lt;/author&gt;&lt;author&gt;Maalej, S.&lt;/author&gt;&lt;author&gt;Rouis, S.&lt;/author&gt;&lt;/authors&gt;&lt;/contributors&gt;&lt;added-date format="utc"&gt;1677272468&lt;/added-date&gt;&lt;ref-type name="Journal Article"&gt;17&lt;/ref-type&gt;&lt;dates&gt;&lt;year&gt;2004&lt;/year&gt;&lt;/dates&gt;&lt;rec-number&gt;525&lt;/rec-number&gt;&lt;last-updated-date format="utc"&gt;1677272468&lt;/last-updated-date&gt;&lt;accession-num&gt;WOS:000188991300012&lt;/accession-num&gt;&lt;electronic-resource-num&gt;10.1111/j.1472-765X.2004.01482.x&lt;/electronic-resource-num&gt;&lt;volume&gt;38&lt;/volume&gt;&lt;/record&gt;&lt;/Cite&gt;&lt;/EndNote&gt;</w:instrText>
      </w:r>
      <w:r>
        <w:rPr>
          <w:rFonts w:ascii="Times New Roman" w:hAnsi="Times New Roman" w:cs="Times New Roman"/>
        </w:rPr>
        <w:fldChar w:fldCharType="separate"/>
      </w:r>
      <w:r w:rsidRPr="008F7F5F">
        <w:rPr>
          <w:rFonts w:ascii="Times New Roman" w:hAnsi="Times New Roman" w:cs="Times New Roman"/>
          <w:b/>
          <w:bCs/>
          <w:noProof/>
        </w:rPr>
        <w:t>(Abid, Maalej and Rouis, 2004)</w:t>
      </w:r>
      <w:r>
        <w:rPr>
          <w:rFonts w:ascii="Times New Roman" w:hAnsi="Times New Roman" w:cs="Times New Roman"/>
        </w:rPr>
        <w:fldChar w:fldCharType="end"/>
      </w:r>
      <w:r>
        <w:rPr>
          <w:rFonts w:ascii="Times New Roman" w:hAnsi="Times New Roman" w:cs="Times New Roman"/>
        </w:rPr>
        <w:t xml:space="preserve"> and both HOCl and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have anti-biofilm activity </w:t>
      </w:r>
      <w:r w:rsidRPr="008F7F5F">
        <w:rPr>
          <w:rFonts w:ascii="Times New Roman" w:hAnsi="Times New Roman" w:cs="Times New Roman"/>
          <w:b/>
          <w:bCs/>
        </w:rPr>
        <w:fldChar w:fldCharType="begin"/>
      </w:r>
      <w:r w:rsidRPr="008F7F5F">
        <w:rPr>
          <w:rFonts w:ascii="Times New Roman" w:hAnsi="Times New Roman" w:cs="Times New Roman"/>
          <w:b/>
          <w:bCs/>
        </w:rPr>
        <w:instrText xml:space="preserve"> ADDIN EN.CITE &lt;EndNote&gt;&lt;Cite&gt;&lt;Author&gt;Lineback&lt;/Author&gt;&lt;Year&gt;2018&lt;/Year&gt;&lt;IDText&gt;Hydrogen peroxide and sodium hypochlorite disinfectants are more effective against Staphylococcus aureus and Pseudomonas aeruginosa biofilms than quaternary ammonium compounds&lt;/IDText&gt;&lt;DisplayText&gt;(Lineback&lt;style face="italic"&gt; et al.&lt;/style&gt;, 2018)&lt;/DisplayText&gt;&lt;record&gt;&lt;dates&gt;&lt;pub-dates&gt;&lt;date&gt;Dec&lt;/date&gt;&lt;/pub-dates&gt;&lt;year&gt;2018&lt;/year&gt;&lt;/dates&gt;&lt;urls&gt;&lt;related-urls&gt;&lt;url&gt;&amp;lt;Go to ISI&amp;gt;://WOS:000453518400001&lt;/url&gt;&lt;/related-urls&gt;&lt;/urls&gt;&lt;isbn&gt;2047-2994&lt;/isbn&gt;&lt;titles&gt;&lt;title&gt;Hydrogen peroxide and sodium hypochlorite disinfectants are more effective against Staphylococcus aureus and Pseudomonas aeruginosa biofilms than quaternary ammonium compounds&lt;/title&gt;&lt;secondary-title&gt;Antimicrobial Resistance and Infection Control&lt;/secondary-title&gt;&lt;/titles&gt;&lt;contributors&gt;&lt;authors&gt;&lt;author&gt;Lineback, C. B.&lt;/author&gt;&lt;author&gt;Nkemngong, C. A.&lt;/author&gt;&lt;author&gt;Wu, S. T.&lt;/author&gt;&lt;author&gt;Li, X. B.&lt;/author&gt;&lt;author&gt;Teska, P. J.&lt;/author&gt;&lt;author&gt;Oliver, H. F.&lt;/author&gt;&lt;/authors&gt;&lt;/contributors&gt;&lt;custom7&gt;154&lt;/custom7&gt;&lt;added-date format="utc"&gt;1677272711&lt;/added-date&gt;&lt;ref-type name="Journal Article"&gt;17&lt;/ref-type&gt;&lt;rec-number&gt;526&lt;/rec-number&gt;&lt;last-updated-date format="utc"&gt;1677272711&lt;/last-updated-date&gt;&lt;accession-num&gt;WOS:000453518400001&lt;/accession-num&gt;&lt;electronic-resource-num&gt;10.1186/s13756-018-0447-5&lt;/electronic-resource-num&gt;&lt;volume&gt;7&lt;/volume&gt;&lt;/record&gt;&lt;/Cite&gt;&lt;/EndNote&gt;</w:instrText>
      </w:r>
      <w:r w:rsidRPr="008F7F5F">
        <w:rPr>
          <w:rFonts w:ascii="Times New Roman" w:hAnsi="Times New Roman" w:cs="Times New Roman"/>
          <w:b/>
          <w:bCs/>
        </w:rPr>
        <w:fldChar w:fldCharType="separate"/>
      </w:r>
      <w:r w:rsidRPr="008F7F5F">
        <w:rPr>
          <w:rFonts w:ascii="Times New Roman" w:hAnsi="Times New Roman" w:cs="Times New Roman"/>
          <w:b/>
          <w:bCs/>
          <w:noProof/>
        </w:rPr>
        <w:t>(Lineback</w:t>
      </w:r>
      <w:r w:rsidRPr="008F7F5F">
        <w:rPr>
          <w:rFonts w:ascii="Times New Roman" w:hAnsi="Times New Roman" w:cs="Times New Roman"/>
          <w:b/>
          <w:bCs/>
          <w:i/>
          <w:noProof/>
        </w:rPr>
        <w:t xml:space="preserve"> et al.</w:t>
      </w:r>
      <w:r w:rsidRPr="008F7F5F">
        <w:rPr>
          <w:rFonts w:ascii="Times New Roman" w:hAnsi="Times New Roman" w:cs="Times New Roman"/>
          <w:b/>
          <w:bCs/>
          <w:noProof/>
        </w:rPr>
        <w:t>, 2018)</w:t>
      </w:r>
      <w:r w:rsidRPr="008F7F5F">
        <w:rPr>
          <w:rFonts w:ascii="Times New Roman" w:hAnsi="Times New Roman" w:cs="Times New Roman"/>
          <w:b/>
          <w:bCs/>
        </w:rPr>
        <w:fldChar w:fldCharType="end"/>
      </w:r>
      <w:r>
        <w:rPr>
          <w:rFonts w:ascii="Times New Roman" w:hAnsi="Times New Roman" w:cs="Times New Roman"/>
        </w:rPr>
        <w:t>.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 xml:space="preserve">2 </w:t>
      </w:r>
      <w:r>
        <w:rPr>
          <w:rFonts w:ascii="Times New Roman" w:hAnsi="Times New Roman" w:cs="Times New Roman"/>
        </w:rPr>
        <w:t>interacts with iron via Fenton chemistry, resulting in the production of toxic hydroxide (OH-) and hydroxyl radicals (</w:t>
      </w:r>
      <w:r w:rsidRPr="00121AB8">
        <w:rPr>
          <w:rFonts w:ascii="Times New Roman" w:hAnsi="Times New Roman" w:cs="Times New Roman"/>
        </w:rPr>
        <w:t>·OH</w:t>
      </w:r>
      <w:r>
        <w:rPr>
          <w:rFonts w:ascii="Times New Roman" w:hAnsi="Times New Roman" w:cs="Times New Roman"/>
        </w:rPr>
        <w:t xml:space="preserve">) </w:t>
      </w:r>
      <w:r w:rsidRPr="003B12B5">
        <w:rPr>
          <w:rFonts w:ascii="Times New Roman" w:hAnsi="Times New Roman" w:cs="Times New Roman"/>
          <w:b/>
          <w:bCs/>
        </w:rPr>
        <w:fldChar w:fldCharType="begin"/>
      </w:r>
      <w:r w:rsidRPr="003B12B5">
        <w:rPr>
          <w:rFonts w:ascii="Times New Roman" w:hAnsi="Times New Roman" w:cs="Times New Roman"/>
          <w:b/>
          <w:bCs/>
        </w:rPr>
        <w:instrText xml:space="preserve"> ADDIN EN.CITE &lt;EndNote&gt;&lt;Cite&gt;&lt;Author&gt;Repine&lt;/Author&gt;&lt;Year&gt;1981&lt;/Year&gt;&lt;IDText&gt;HYDROGEN-PEROXIDE KILLS STAPHYLOCOCCUS-AUREUS BY REACTING WITH STAPHYLOCOCCAL IRON TO FORM HYDROXYL RADICAL&lt;/IDText&gt;&lt;DisplayText&gt;(Repine, Fox and Berger, 1981)&lt;/DisplayText&gt;&lt;record&gt;&lt;urls&gt;&lt;related-urls&gt;&lt;url&gt;&amp;lt;Go to ISI&amp;gt;://WOS:A1981LY51500003&lt;/url&gt;&lt;/related-urls&gt;&lt;/urls&gt;&lt;isbn&gt;0021-9258&lt;/isbn&gt;&lt;titles&gt;&lt;title&gt;HYDROGEN-PEROXIDE KILLS STAPHYLOCOCCUS-AUREUS BY REACTING WITH STAPHYLOCOCCAL IRON TO FORM HYDROXYL RADICAL&lt;/title&gt;&lt;secondary-title&gt;Journal of Biological Chemistry&lt;/secondary-title&gt;&lt;/titles&gt;&lt;pages&gt;7094-7096&lt;/pages&gt;&lt;number&gt;14&lt;/number&gt;&lt;contributors&gt;&lt;authors&gt;&lt;author&gt;Repine, J. E.&lt;/author&gt;&lt;author&gt;Fox, R. B.&lt;/author&gt;&lt;author&gt;Berger, E. M.&lt;/author&gt;&lt;/authors&gt;&lt;/contributors&gt;&lt;added-date format="utc"&gt;1677266054&lt;/added-date&gt;&lt;ref-type name="Journal Article"&gt;17&lt;/ref-type&gt;&lt;dates&gt;&lt;year&gt;1981&lt;/year&gt;&lt;/dates&gt;&lt;rec-number&gt;521&lt;/rec-number&gt;&lt;last-updated-date format="utc"&gt;1677266054&lt;/last-updated-date&gt;&lt;accession-num&gt;WOS:A1981LY51500003&lt;/accession-num&gt;&lt;volume&gt;256&lt;/volume&gt;&lt;/record&gt;&lt;/Cite&gt;&lt;/EndNote&gt;</w:instrText>
      </w:r>
      <w:r w:rsidRPr="003B12B5">
        <w:rPr>
          <w:rFonts w:ascii="Times New Roman" w:hAnsi="Times New Roman" w:cs="Times New Roman"/>
          <w:b/>
          <w:bCs/>
        </w:rPr>
        <w:fldChar w:fldCharType="separate"/>
      </w:r>
      <w:r w:rsidRPr="003B12B5">
        <w:rPr>
          <w:rFonts w:ascii="Times New Roman" w:hAnsi="Times New Roman" w:cs="Times New Roman"/>
          <w:b/>
          <w:bCs/>
          <w:noProof/>
        </w:rPr>
        <w:t>(Repine, Fox and Berger, 1981)</w:t>
      </w:r>
      <w:r w:rsidRPr="003B12B5">
        <w:rPr>
          <w:rFonts w:ascii="Times New Roman" w:hAnsi="Times New Roman" w:cs="Times New Roman"/>
          <w:b/>
          <w:bCs/>
        </w:rPr>
        <w:fldChar w:fldCharType="end"/>
      </w:r>
      <w:r>
        <w:rPr>
          <w:rFonts w:ascii="Times New Roman" w:hAnsi="Times New Roman" w:cs="Times New Roman"/>
        </w:rPr>
        <w:t xml:space="preserve">. More than one type of ROS </w:t>
      </w:r>
      <w:r w:rsidR="000D765B">
        <w:rPr>
          <w:rFonts w:ascii="Times New Roman" w:hAnsi="Times New Roman" w:cs="Times New Roman"/>
        </w:rPr>
        <w:t>is</w:t>
      </w:r>
      <w:r>
        <w:rPr>
          <w:rFonts w:ascii="Times New Roman" w:hAnsi="Times New Roman" w:cs="Times New Roman"/>
        </w:rPr>
        <w:t xml:space="preserve"> required for the elimination of </w:t>
      </w:r>
      <w:r>
        <w:rPr>
          <w:rFonts w:ascii="Times New Roman" w:hAnsi="Times New Roman" w:cs="Times New Roman"/>
          <w:i/>
          <w:iCs/>
        </w:rPr>
        <w:t>S. aureus</w:t>
      </w:r>
      <w:r>
        <w:rPr>
          <w:rFonts w:ascii="Times New Roman" w:hAnsi="Times New Roman" w:cs="Times New Roman"/>
        </w:rPr>
        <w:t>. 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 xml:space="preserve"> increases intracellular free iron by destruction of Fe-S clusters and iron liberated as a result of this can react with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 xml:space="preserve">2 </w:t>
      </w:r>
      <w:r>
        <w:rPr>
          <w:rFonts w:ascii="Times New Roman" w:hAnsi="Times New Roman" w:cs="Times New Roman"/>
        </w:rPr>
        <w:t xml:space="preserve">via the Fenton reaction </w:t>
      </w:r>
      <w:r w:rsidRPr="003B12B5">
        <w:rPr>
          <w:rFonts w:ascii="Times New Roman" w:hAnsi="Times New Roman" w:cs="Times New Roman"/>
          <w:b/>
          <w:bCs/>
        </w:rPr>
        <w:fldChar w:fldCharType="begin"/>
      </w:r>
      <w:r w:rsidRPr="003B12B5">
        <w:rPr>
          <w:rFonts w:ascii="Times New Roman" w:hAnsi="Times New Roman" w:cs="Times New Roman"/>
          <w:b/>
          <w:bCs/>
        </w:rPr>
        <w:instrText xml:space="preserve"> ADDIN EN.CITE &lt;EndNote&gt;&lt;Cite&gt;&lt;Author&gt;Keyer&lt;/Author&gt;&lt;Year&gt;1996&lt;/Year&gt;&lt;IDText&gt;Superoxide accelerates DNA damage by elevating free-iron levels&lt;/IDText&gt;&lt;DisplayText&gt;(Keyer and Imlay, 1996)&lt;/DisplayText&gt;&lt;record&gt;&lt;dates&gt;&lt;pub-dates&gt;&lt;date&gt;Nov&lt;/date&gt;&lt;/pub-dates&gt;&lt;year&gt;1996&lt;/year&gt;&lt;/dates&gt;&lt;urls&gt;&lt;related-urls&gt;&lt;url&gt;&amp;lt;Go to ISI&amp;gt;://WOS:A1996VV46700034&lt;/url&gt;&lt;/related-urls&gt;&lt;/urls&gt;&lt;isbn&gt;0027-8424&lt;/isbn&gt;&lt;titles&gt;&lt;title&gt;Superoxide accelerates DNA damage by elevating free-iron levels&lt;/title&gt;&lt;secondary-title&gt;Proceedings of the National Academy of Sciences of the United States of America&lt;/secondary-title&gt;&lt;/titles&gt;&lt;pages&gt;13635-13640&lt;/pages&gt;&lt;number&gt;24&lt;/number&gt;&lt;contributors&gt;&lt;authors&gt;&lt;author&gt;Keyer, K.&lt;/author&gt;&lt;author&gt;Imlay, J. A.&lt;/author&gt;&lt;/authors&gt;&lt;/contributors&gt;&lt;added-date format="utc"&gt;1677266020&lt;/added-date&gt;&lt;ref-type name="Journal Article"&gt;17&lt;/ref-type&gt;&lt;rec-number&gt;520&lt;/rec-number&gt;&lt;last-updated-date format="utc"&gt;1677266020&lt;/last-updated-date&gt;&lt;accession-num&gt;WOS:A1996VV46700034&lt;/accession-num&gt;&lt;electronic-resource-num&gt;10.1073/pnas.93.24.13635&lt;/electronic-resource-num&gt;&lt;volume&gt;93&lt;/volume&gt;&lt;/record&gt;&lt;/Cite&gt;&lt;/EndNote&gt;</w:instrText>
      </w:r>
      <w:r w:rsidRPr="003B12B5">
        <w:rPr>
          <w:rFonts w:ascii="Times New Roman" w:hAnsi="Times New Roman" w:cs="Times New Roman"/>
          <w:b/>
          <w:bCs/>
        </w:rPr>
        <w:fldChar w:fldCharType="separate"/>
      </w:r>
      <w:r w:rsidRPr="003B12B5">
        <w:rPr>
          <w:rFonts w:ascii="Times New Roman" w:hAnsi="Times New Roman" w:cs="Times New Roman"/>
          <w:b/>
          <w:bCs/>
          <w:noProof/>
        </w:rPr>
        <w:t>(Keyer and Imlay, 1996)</w:t>
      </w:r>
      <w:r w:rsidRPr="003B12B5">
        <w:rPr>
          <w:rFonts w:ascii="Times New Roman" w:hAnsi="Times New Roman" w:cs="Times New Roman"/>
          <w:b/>
          <w:bCs/>
        </w:rPr>
        <w:fldChar w:fldCharType="end"/>
      </w:r>
      <w:r>
        <w:rPr>
          <w:rFonts w:ascii="Times New Roman" w:hAnsi="Times New Roman" w:cs="Times New Roman"/>
        </w:rPr>
        <w:t xml:space="preserve">. This is exemplified by a report of iron-overloaded </w:t>
      </w:r>
      <w:r>
        <w:rPr>
          <w:rFonts w:ascii="Times New Roman" w:hAnsi="Times New Roman" w:cs="Times New Roman"/>
          <w:i/>
          <w:iCs/>
        </w:rPr>
        <w:t xml:space="preserve">S. aureus </w:t>
      </w:r>
      <w:r>
        <w:rPr>
          <w:rFonts w:ascii="Times New Roman" w:hAnsi="Times New Roman" w:cs="Times New Roman"/>
        </w:rPr>
        <w:t>demonstrating susceptibility to killing by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w:t>
      </w:r>
      <w:r w:rsidRPr="00F56BAB">
        <w:rPr>
          <w:rFonts w:ascii="Times New Roman" w:hAnsi="Times New Roman" w:cs="Times New Roman"/>
          <w:b/>
          <w:bCs/>
        </w:rPr>
        <w:fldChar w:fldCharType="begin"/>
      </w:r>
      <w:r w:rsidRPr="00F56BAB">
        <w:rPr>
          <w:rFonts w:ascii="Times New Roman" w:hAnsi="Times New Roman" w:cs="Times New Roman"/>
          <w:b/>
          <w:bCs/>
        </w:rPr>
        <w:instrText xml:space="preserve"> ADDIN EN.CITE &lt;EndNote&gt;&lt;Cite&gt;&lt;Author&gt;Hoepelman&lt;/Author&gt;&lt;Year&gt;1990&lt;/Year&gt;&lt;IDText&gt;BACTERIAL IRON ENHANCES OXYGEN RADICAL-MEDIATED KILLING OF STAPHYLOCOCCUS-AUREUS BY PHAGOCYTES&lt;/IDText&gt;&lt;DisplayText&gt;(Hoepelman&lt;style face="italic"&gt; et al.&lt;/style&gt;, 1990)&lt;/DisplayText&gt;&lt;record&gt;&lt;dates&gt;&lt;pub-dates&gt;&lt;date&gt;Jan&lt;/date&gt;&lt;/pub-dates&gt;&lt;year&gt;1990&lt;/year&gt;&lt;/dates&gt;&lt;urls&gt;&lt;related-urls&gt;&lt;url&gt;&amp;lt;Go to ISI&amp;gt;://WOS:A1990CE82000005&lt;/url&gt;&lt;/related-urls&gt;&lt;/urls&gt;&lt;isbn&gt;0019-9567&lt;/isbn&gt;&lt;titles&gt;&lt;title&gt;BACTERIAL IRON ENHANCES OXYGEN RADICAL-MEDIATED KILLING OF STAPHYLOCOCCUS-AUREUS BY PHAGOCYTES&lt;/title&gt;&lt;secondary-title&gt;Infection and Immunity&lt;/secondary-title&gt;&lt;/titles&gt;&lt;pages&gt;26-31&lt;/pages&gt;&lt;number&gt;1&lt;/number&gt;&lt;contributors&gt;&lt;authors&gt;&lt;author&gt;Hoepelman, I. M.&lt;/author&gt;&lt;author&gt;Bezemer, W. A.&lt;/author&gt;&lt;author&gt;Vandenbrouckegrauls, Cmje&lt;/author&gt;&lt;author&gt;Marx, J. J. M.&lt;/author&gt;&lt;author&gt;Verhoef, J.&lt;/author&gt;&lt;/authors&gt;&lt;/contributors&gt;&lt;added-date format="utc"&gt;1677266540&lt;/added-date&gt;&lt;ref-type name="Journal Article"&gt;17&lt;/ref-type&gt;&lt;rec-number&gt;522&lt;/rec-number&gt;&lt;last-updated-date format="utc"&gt;1677266540&lt;/last-updated-date&gt;&lt;accession-num&gt;WOS:A1990CE82000005&lt;/accession-num&gt;&lt;electronic-resource-num&gt;10.1128/iai.58.1.26-31.1990&lt;/electronic-resource-num&gt;&lt;volume&gt;58&lt;/volume&gt;&lt;/record&gt;&lt;/Cite&gt;&lt;/EndNote&gt;</w:instrText>
      </w:r>
      <w:r w:rsidRPr="00F56BAB">
        <w:rPr>
          <w:rFonts w:ascii="Times New Roman" w:hAnsi="Times New Roman" w:cs="Times New Roman"/>
          <w:b/>
          <w:bCs/>
        </w:rPr>
        <w:fldChar w:fldCharType="separate"/>
      </w:r>
      <w:r w:rsidRPr="00F56BAB">
        <w:rPr>
          <w:rFonts w:ascii="Times New Roman" w:hAnsi="Times New Roman" w:cs="Times New Roman"/>
          <w:b/>
          <w:bCs/>
          <w:noProof/>
        </w:rPr>
        <w:t>(Hoepelman</w:t>
      </w:r>
      <w:r w:rsidRPr="00F56BAB">
        <w:rPr>
          <w:rFonts w:ascii="Times New Roman" w:hAnsi="Times New Roman" w:cs="Times New Roman"/>
          <w:b/>
          <w:bCs/>
          <w:i/>
          <w:noProof/>
        </w:rPr>
        <w:t xml:space="preserve"> et al.</w:t>
      </w:r>
      <w:r w:rsidRPr="00F56BAB">
        <w:rPr>
          <w:rFonts w:ascii="Times New Roman" w:hAnsi="Times New Roman" w:cs="Times New Roman"/>
          <w:b/>
          <w:bCs/>
          <w:noProof/>
        </w:rPr>
        <w:t>, 1990)</w:t>
      </w:r>
      <w:r w:rsidRPr="00F56BAB">
        <w:rPr>
          <w:rFonts w:ascii="Times New Roman" w:hAnsi="Times New Roman" w:cs="Times New Roman"/>
          <w:b/>
          <w:bCs/>
        </w:rPr>
        <w:fldChar w:fldCharType="end"/>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However, </w:t>
      </w:r>
      <w:r>
        <w:rPr>
          <w:rFonts w:ascii="Times New Roman" w:hAnsi="Times New Roman" w:cs="Times New Roman"/>
          <w:i/>
          <w:iCs/>
        </w:rPr>
        <w:t xml:space="preserve">S. aureus </w:t>
      </w:r>
      <w:r>
        <w:rPr>
          <w:rFonts w:ascii="Times New Roman" w:hAnsi="Times New Roman" w:cs="Times New Roman"/>
        </w:rPr>
        <w:t xml:space="preserve">has an arsenal of mechanisms by which it can evade killing by ROS. </w:t>
      </w:r>
      <w:r>
        <w:rPr>
          <w:rFonts w:ascii="Times New Roman" w:hAnsi="Times New Roman" w:cs="Times New Roman"/>
          <w:i/>
          <w:iCs/>
        </w:rPr>
        <w:t xml:space="preserve">S. aureus </w:t>
      </w:r>
      <w:r>
        <w:rPr>
          <w:rFonts w:ascii="Times New Roman" w:hAnsi="Times New Roman" w:cs="Times New Roman"/>
        </w:rPr>
        <w:t>can adopt an SCV phenotype after prolonged exposure to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with SCVs displaying increased catalase activity and deficiency in use of the electron-transport chain </w:t>
      </w:r>
      <w:r w:rsidRPr="00DF476B">
        <w:rPr>
          <w:rFonts w:ascii="Times New Roman" w:hAnsi="Times New Roman" w:cs="Times New Roman"/>
          <w:b/>
          <w:bCs/>
        </w:rPr>
        <w:fldChar w:fldCharType="begin"/>
      </w:r>
      <w:r w:rsidRPr="00DF476B">
        <w:rPr>
          <w:rFonts w:ascii="Times New Roman" w:hAnsi="Times New Roman" w:cs="Times New Roman"/>
          <w:b/>
          <w:bCs/>
        </w:rPr>
        <w:instrText xml:space="preserve"> ADDIN EN.CITE &lt;EndNote&gt;&lt;Cite&gt;&lt;Author&gt;Painter&lt;/Author&gt;&lt;Year&gt;2015&lt;/Year&gt;&lt;IDText&gt;Staphylococcus aureus Adapts to Oxidative Stress by Producing H2O2-Resistant Small-Colony Variants via the SOS Response&lt;/IDText&gt;&lt;DisplayText&gt;(Painter&lt;style face="italic"&gt; et al.&lt;/style&gt;, 2015)&lt;/DisplayText&gt;&lt;record&gt;&lt;dates&gt;&lt;pub-dates&gt;&lt;date&gt;May&lt;/date&gt;&lt;/pub-dates&gt;&lt;year&gt;2015&lt;/year&gt;&lt;/dates&gt;&lt;urls&gt;&lt;related-urls&gt;&lt;url&gt;&amp;lt;Go to ISI&amp;gt;://WOS:000352982600009&lt;/url&gt;&lt;/related-urls&gt;&lt;/urls&gt;&lt;isbn&gt;0019-9567&lt;/isbn&gt;&lt;titles&gt;&lt;title&gt;Staphylococcus aureus Adapts to Oxidative Stress by Producing H2O2-Resistant Small-Colony Variants via the SOS Response&lt;/title&gt;&lt;secondary-title&gt;Infection and Immunity&lt;/secondary-title&gt;&lt;/titles&gt;&lt;pages&gt;1830-1844&lt;/pages&gt;&lt;number&gt;5&lt;/number&gt;&lt;contributors&gt;&lt;authors&gt;&lt;author&gt;Painter, K. L.&lt;/author&gt;&lt;author&gt;Strange, E.&lt;/author&gt;&lt;author&gt;Parkhill, J.&lt;/author&gt;&lt;author&gt;Bamford, K. B.&lt;/author&gt;&lt;author&gt;Armstrong-James, D.&lt;/author&gt;&lt;author&gt;Edwards, A. M.&lt;/author&gt;&lt;/authors&gt;&lt;/contributors&gt;&lt;added-date format="utc"&gt;1677267206&lt;/added-date&gt;&lt;ref-type name="Journal Article"&gt;17&lt;/ref-type&gt;&lt;rec-number&gt;523&lt;/rec-number&gt;&lt;last-updated-date format="utc"&gt;1677267206&lt;/last-updated-date&gt;&lt;accession-num&gt;WOS:000352982600009&lt;/accession-num&gt;&lt;electronic-resource-num&gt;10.1128/iai.03016-14&lt;/electronic-resource-num&gt;&lt;volume&gt;83&lt;/volume&gt;&lt;/record&gt;&lt;/Cite&gt;&lt;/EndNote&gt;</w:instrText>
      </w:r>
      <w:r w:rsidRPr="00DF476B">
        <w:rPr>
          <w:rFonts w:ascii="Times New Roman" w:hAnsi="Times New Roman" w:cs="Times New Roman"/>
          <w:b/>
          <w:bCs/>
        </w:rPr>
        <w:fldChar w:fldCharType="separate"/>
      </w:r>
      <w:r w:rsidRPr="00DF476B">
        <w:rPr>
          <w:rFonts w:ascii="Times New Roman" w:hAnsi="Times New Roman" w:cs="Times New Roman"/>
          <w:b/>
          <w:bCs/>
          <w:noProof/>
        </w:rPr>
        <w:t>(Painter</w:t>
      </w:r>
      <w:r w:rsidRPr="00DF476B">
        <w:rPr>
          <w:rFonts w:ascii="Times New Roman" w:hAnsi="Times New Roman" w:cs="Times New Roman"/>
          <w:b/>
          <w:bCs/>
          <w:i/>
          <w:noProof/>
        </w:rPr>
        <w:t xml:space="preserve"> et al.</w:t>
      </w:r>
      <w:r w:rsidRPr="00DF476B">
        <w:rPr>
          <w:rFonts w:ascii="Times New Roman" w:hAnsi="Times New Roman" w:cs="Times New Roman"/>
          <w:b/>
          <w:bCs/>
          <w:noProof/>
        </w:rPr>
        <w:t>, 2015)</w:t>
      </w:r>
      <w:r w:rsidRPr="00DF476B">
        <w:rPr>
          <w:rFonts w:ascii="Times New Roman" w:hAnsi="Times New Roman" w:cs="Times New Roman"/>
          <w:b/>
          <w:bCs/>
        </w:rPr>
        <w:fldChar w:fldCharType="end"/>
      </w:r>
      <w:r>
        <w:rPr>
          <w:rFonts w:ascii="Times New Roman" w:hAnsi="Times New Roman" w:cs="Times New Roman"/>
        </w:rPr>
        <w:t xml:space="preserve">. The antioxidant proteins such as catalase, </w:t>
      </w:r>
      <w:bookmarkStart w:id="51" w:name="_Hlk128159705"/>
      <w:r>
        <w:rPr>
          <w:rFonts w:ascii="Times New Roman" w:hAnsi="Times New Roman" w:cs="Times New Roman"/>
        </w:rPr>
        <w:t>a</w:t>
      </w:r>
      <w:r w:rsidRPr="001C0045">
        <w:rPr>
          <w:rFonts w:ascii="Times New Roman" w:hAnsi="Times New Roman" w:cs="Times New Roman"/>
        </w:rPr>
        <w:t>lkylhydroperoxide reductase</w:t>
      </w:r>
      <w:r>
        <w:rPr>
          <w:rFonts w:ascii="Times New Roman" w:hAnsi="Times New Roman" w:cs="Times New Roman"/>
        </w:rPr>
        <w:t xml:space="preserve"> </w:t>
      </w:r>
      <w:bookmarkEnd w:id="51"/>
      <w:r>
        <w:rPr>
          <w:rFonts w:ascii="Times New Roman" w:hAnsi="Times New Roman" w:cs="Times New Roman"/>
        </w:rPr>
        <w:t>(AhpC) (both members of the PerR regulon), staphylococcal SodA and staphyloxanthin detoxify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and</w:t>
      </w:r>
      <w:r>
        <w:rPr>
          <w:rFonts w:ascii="Times New Roman" w:hAnsi="Times New Roman" w:cs="Times New Roman"/>
          <w:i/>
          <w:iCs/>
        </w:rPr>
        <w:t xml:space="preserve"> </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 xml:space="preserve"> respectively </w:t>
      </w:r>
      <w:r w:rsidRPr="00447F18">
        <w:rPr>
          <w:rFonts w:ascii="Times New Roman" w:hAnsi="Times New Roman" w:cs="Times New Roman"/>
          <w:b/>
          <w:bCs/>
        </w:rPr>
        <w:fldChar w:fldCharType="begin">
          <w:fldData xml:space="preserve">PEVuZE5vdGU+PENpdGU+PEF1dGhvcj5Db3Nncm92ZTwvQXV0aG9yPjxZZWFyPjIwMDc8L1llYXI+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=
</w:fldData>
        </w:fldChar>
      </w:r>
      <w:r w:rsidRPr="00447F18">
        <w:rPr>
          <w:rFonts w:ascii="Times New Roman" w:hAnsi="Times New Roman" w:cs="Times New Roman"/>
          <w:b/>
          <w:bCs/>
        </w:rPr>
        <w:instrText xml:space="preserve"> ADDIN EN.CITE </w:instrText>
      </w:r>
      <w:r w:rsidRPr="00447F18">
        <w:rPr>
          <w:rFonts w:ascii="Times New Roman" w:hAnsi="Times New Roman" w:cs="Times New Roman"/>
          <w:b/>
          <w:bCs/>
        </w:rPr>
        <w:fldChar w:fldCharType="begin">
          <w:fldData xml:space="preserve">PEVuZE5vdGU+PENpdGU+PEF1dGhvcj5Db3Nncm92ZTwvQXV0aG9yPjxZZWFyPjIwMDc8L1llYXI+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=
</w:fldData>
        </w:fldChar>
      </w:r>
      <w:r w:rsidRPr="00447F18">
        <w:rPr>
          <w:rFonts w:ascii="Times New Roman" w:hAnsi="Times New Roman" w:cs="Times New Roman"/>
          <w:b/>
          <w:bCs/>
        </w:rPr>
        <w:instrText xml:space="preserve"> ADDIN EN.CITE.DATA </w:instrText>
      </w:r>
      <w:r w:rsidRPr="00447F18">
        <w:rPr>
          <w:rFonts w:ascii="Times New Roman" w:hAnsi="Times New Roman" w:cs="Times New Roman"/>
          <w:b/>
          <w:bCs/>
        </w:rPr>
      </w:r>
      <w:r w:rsidRPr="00447F18">
        <w:rPr>
          <w:rFonts w:ascii="Times New Roman" w:hAnsi="Times New Roman" w:cs="Times New Roman"/>
          <w:b/>
          <w:bCs/>
        </w:rPr>
        <w:fldChar w:fldCharType="end"/>
      </w:r>
      <w:r w:rsidRPr="00447F18">
        <w:rPr>
          <w:rFonts w:ascii="Times New Roman" w:hAnsi="Times New Roman" w:cs="Times New Roman"/>
          <w:b/>
          <w:bCs/>
        </w:rPr>
      </w:r>
      <w:r w:rsidRPr="00447F18">
        <w:rPr>
          <w:rFonts w:ascii="Times New Roman" w:hAnsi="Times New Roman" w:cs="Times New Roman"/>
          <w:b/>
          <w:bCs/>
        </w:rPr>
        <w:fldChar w:fldCharType="separate"/>
      </w:r>
      <w:r w:rsidRPr="00447F18">
        <w:rPr>
          <w:rFonts w:ascii="Times New Roman" w:hAnsi="Times New Roman" w:cs="Times New Roman"/>
          <w:b/>
          <w:bCs/>
          <w:noProof/>
        </w:rPr>
        <w:t>(Cosgrove</w:t>
      </w:r>
      <w:r w:rsidRPr="00447F18">
        <w:rPr>
          <w:rFonts w:ascii="Times New Roman" w:hAnsi="Times New Roman" w:cs="Times New Roman"/>
          <w:b/>
          <w:bCs/>
          <w:i/>
          <w:noProof/>
        </w:rPr>
        <w:t xml:space="preserve"> et al.</w:t>
      </w:r>
      <w:r w:rsidRPr="00447F18">
        <w:rPr>
          <w:rFonts w:ascii="Times New Roman" w:hAnsi="Times New Roman" w:cs="Times New Roman"/>
          <w:b/>
          <w:bCs/>
          <w:noProof/>
        </w:rPr>
        <w:t>, 2007; Karavolos</w:t>
      </w:r>
      <w:r w:rsidRPr="00447F18">
        <w:rPr>
          <w:rFonts w:ascii="Times New Roman" w:hAnsi="Times New Roman" w:cs="Times New Roman"/>
          <w:b/>
          <w:bCs/>
          <w:i/>
          <w:noProof/>
        </w:rPr>
        <w:t xml:space="preserve"> et al.</w:t>
      </w:r>
      <w:r w:rsidRPr="00447F18">
        <w:rPr>
          <w:rFonts w:ascii="Times New Roman" w:hAnsi="Times New Roman" w:cs="Times New Roman"/>
          <w:b/>
          <w:bCs/>
          <w:noProof/>
        </w:rPr>
        <w:t>, 2003; Liu</w:t>
      </w:r>
      <w:r w:rsidRPr="00447F18">
        <w:rPr>
          <w:rFonts w:ascii="Times New Roman" w:hAnsi="Times New Roman" w:cs="Times New Roman"/>
          <w:b/>
          <w:bCs/>
          <w:i/>
          <w:noProof/>
        </w:rPr>
        <w:t xml:space="preserve"> et al.</w:t>
      </w:r>
      <w:r w:rsidRPr="00447F18">
        <w:rPr>
          <w:rFonts w:ascii="Times New Roman" w:hAnsi="Times New Roman" w:cs="Times New Roman"/>
          <w:b/>
          <w:bCs/>
          <w:noProof/>
        </w:rPr>
        <w:t>, 2005)</w:t>
      </w:r>
      <w:r w:rsidRPr="00447F18">
        <w:rPr>
          <w:rFonts w:ascii="Times New Roman" w:hAnsi="Times New Roman" w:cs="Times New Roman"/>
          <w:b/>
          <w:bCs/>
        </w:rPr>
        <w:fldChar w:fldCharType="end"/>
      </w:r>
      <w:r>
        <w:rPr>
          <w:rFonts w:ascii="Times New Roman" w:hAnsi="Times New Roman" w:cs="Times New Roman"/>
        </w:rPr>
        <w:t>. Furthermore, the SaeR/S two component system was involved in resistance to HOCl and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stress in a catalase-independent manner </w:t>
      </w:r>
      <w:r w:rsidRPr="00ED1006">
        <w:rPr>
          <w:rFonts w:ascii="Times New Roman" w:hAnsi="Times New Roman" w:cs="Times New Roman"/>
          <w:b/>
          <w:bCs/>
        </w:rPr>
        <w:fldChar w:fldCharType="begin"/>
      </w:r>
      <w:r w:rsidRPr="00ED1006">
        <w:rPr>
          <w:rFonts w:ascii="Times New Roman" w:hAnsi="Times New Roman" w:cs="Times New Roman"/>
          <w:b/>
          <w:bCs/>
        </w:rPr>
        <w:instrText xml:space="preserve"> ADDIN EN.CITE &lt;EndNote&gt;&lt;Cite&gt;&lt;Author&gt;Guerra&lt;/Author&gt;&lt;Year&gt;2016&lt;/Year&gt;&lt;IDText&gt;Staphylococcus aureus SaeR/S-regulated factors reduce human neutrophil reactive oxygen species production&lt;/IDText&gt;&lt;DisplayText&gt;(Guerra&lt;style face="italic"&gt; et al.&lt;/style&gt;, 2016)&lt;/DisplayText&gt;&lt;record&gt;&lt;dates&gt;&lt;pub-dates&gt;&lt;date&gt;Nov&lt;/date&gt;&lt;/pub-dates&gt;&lt;year&gt;2016&lt;/year&gt;&lt;/dates&gt;&lt;urls&gt;&lt;related-urls&gt;&lt;url&gt;&amp;lt;Go to ISI&amp;gt;://WOS:000386007500019&lt;/url&gt;&lt;/related-urls&gt;&lt;/urls&gt;&lt;isbn&gt;0741-5400&lt;/isbn&gt;&lt;titles&gt;&lt;title&gt;Staphylococcus aureus SaeR/S-regulated factors reduce human neutrophil reactive oxygen species production&lt;/title&gt;&lt;secondary-title&gt;Journal of Leukocyte Biology&lt;/secondary-title&gt;&lt;/titles&gt;&lt;pages&gt;1005-1010&lt;/pages&gt;&lt;number&gt;5&lt;/number&gt;&lt;contributors&gt;&lt;authors&gt;&lt;author&gt;Guerra, F. E.&lt;/author&gt;&lt;author&gt;Addison, C. B.&lt;/author&gt;&lt;author&gt;De Jong, N. W. M.&lt;/author&gt;&lt;author&gt;Azzolino, J.&lt;/author&gt;&lt;author&gt;Pallister, K. B.&lt;/author&gt;&lt;author&gt;van Strijp, J. A. G.&lt;/author&gt;&lt;author&gt;Voyich, J. M.&lt;/author&gt;&lt;/authors&gt;&lt;/contributors&gt;&lt;added-date format="utc"&gt;1677273607&lt;/added-date&gt;&lt;ref-type name="Journal Article"&gt;17&lt;/ref-type&gt;&lt;rec-number&gt;527&lt;/rec-number&gt;&lt;last-updated-date format="utc"&gt;1677273607&lt;/last-updated-date&gt;&lt;accession-num&gt;WOS:000386007500019&lt;/accession-num&gt;&lt;electronic-resource-num&gt;10.1189/jlb.4VMAB0316-100RR&lt;/electronic-resource-num&gt;&lt;volume&gt;100&lt;/volume&gt;&lt;/record&gt;&lt;/Cite&gt;&lt;/EndNote&gt;</w:instrText>
      </w:r>
      <w:r w:rsidRPr="00ED1006">
        <w:rPr>
          <w:rFonts w:ascii="Times New Roman" w:hAnsi="Times New Roman" w:cs="Times New Roman"/>
          <w:b/>
          <w:bCs/>
        </w:rPr>
        <w:fldChar w:fldCharType="separate"/>
      </w:r>
      <w:r w:rsidRPr="00ED1006">
        <w:rPr>
          <w:rFonts w:ascii="Times New Roman" w:hAnsi="Times New Roman" w:cs="Times New Roman"/>
          <w:b/>
          <w:bCs/>
          <w:noProof/>
        </w:rPr>
        <w:t>(Guerra</w:t>
      </w:r>
      <w:r w:rsidRPr="00ED1006">
        <w:rPr>
          <w:rFonts w:ascii="Times New Roman" w:hAnsi="Times New Roman" w:cs="Times New Roman"/>
          <w:b/>
          <w:bCs/>
          <w:i/>
          <w:noProof/>
        </w:rPr>
        <w:t xml:space="preserve"> et al.</w:t>
      </w:r>
      <w:r w:rsidRPr="00ED1006">
        <w:rPr>
          <w:rFonts w:ascii="Times New Roman" w:hAnsi="Times New Roman" w:cs="Times New Roman"/>
          <w:b/>
          <w:bCs/>
          <w:noProof/>
        </w:rPr>
        <w:t>, 2016)</w:t>
      </w:r>
      <w:r w:rsidRPr="00ED1006">
        <w:rPr>
          <w:rFonts w:ascii="Times New Roman" w:hAnsi="Times New Roman" w:cs="Times New Roman"/>
          <w:b/>
          <w:bCs/>
        </w:rPr>
        <w:fldChar w:fldCharType="end"/>
      </w:r>
      <w:r>
        <w:rPr>
          <w:rFonts w:ascii="Times New Roman" w:hAnsi="Times New Roman" w:cs="Times New Roman"/>
        </w:rPr>
        <w:t>. The quorum sensing response regulator AgrA has been implicated as an oxidant sensor due to a disulphide bond and may be involved in responding to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 xml:space="preserve">2 </w:t>
      </w:r>
      <w:r>
        <w:rPr>
          <w:rFonts w:ascii="Times New Roman" w:hAnsi="Times New Roman" w:cs="Times New Roman"/>
        </w:rPr>
        <w:t xml:space="preserve"> stress </w:t>
      </w:r>
      <w:r w:rsidRPr="00F75C16">
        <w:rPr>
          <w:rFonts w:ascii="Times New Roman" w:hAnsi="Times New Roman" w:cs="Times New Roman"/>
          <w:b/>
          <w:bCs/>
        </w:rPr>
        <w:fldChar w:fldCharType="begin"/>
      </w:r>
      <w:r w:rsidRPr="00F75C16">
        <w:rPr>
          <w:rFonts w:ascii="Times New Roman" w:hAnsi="Times New Roman" w:cs="Times New Roman"/>
          <w:b/>
          <w:bCs/>
        </w:rPr>
        <w:instrText xml:space="preserve"> ADDIN EN.CITE &lt;EndNote&gt;&lt;Cite&gt;&lt;Author&gt;Sun&lt;/Author&gt;&lt;Year&gt;2012&lt;/Year&gt;&lt;IDText&gt;Quorum-sensing agr mediates bacterial oxidation response via an intramolecular disulfide redox switch in the response regulator AgrA&lt;/IDText&gt;&lt;DisplayText&gt;(Sun&lt;style face="italic"&gt; et al.&lt;/style&gt;, 2012)&lt;/DisplayText&gt;&lt;record&gt;&lt;dates&gt;&lt;pub-dates&gt;&lt;date&gt;Jun&lt;/date&gt;&lt;/pub-dates&gt;&lt;year&gt;2012&lt;/year&gt;&lt;/dates&gt;&lt;urls&gt;&lt;related-urls&gt;&lt;url&gt;&amp;lt;Go to ISI&amp;gt;://WOS:000304991100065&lt;/url&gt;&lt;/related-urls&gt;&lt;/urls&gt;&lt;isbn&gt;0027-8424&lt;/isbn&gt;&lt;titles&gt;&lt;title&gt;Quorum-sensing agr mediates bacterial oxidation response via an intramolecular disulfide redox switch in the response regulator AgrA&lt;/title&gt;&lt;secondary-title&gt;Proceedings of the National Academy of Sciences of the United States of America&lt;/secondary-title&gt;&lt;/titles&gt;&lt;pages&gt;9095-9100&lt;/pages&gt;&lt;number&gt;23&lt;/number&gt;&lt;contributors&gt;&lt;authors&gt;&lt;author&gt;Sun, F.&lt;/author&gt;&lt;author&gt;Liang, H. H.&lt;/author&gt;&lt;author&gt;Kong, X. Q.&lt;/author&gt;&lt;author&gt;Xie, S.&lt;/author&gt;&lt;author&gt;Cho, H.&lt;/author&gt;&lt;author&gt;Deng, X.&lt;/author&gt;&lt;author&gt;Ji, Q. J.&lt;/author&gt;&lt;author&gt;Zhang, H. Y.&lt;/author&gt;&lt;author&gt;Alvarez, S.&lt;/author&gt;&lt;author&gt;Hicks, L. M.&lt;/author&gt;&lt;author&gt;Bae, T.&lt;/author&gt;&lt;author&gt;Luo, C.&lt;/author&gt;&lt;author&gt;Jiang, H. L.&lt;/author&gt;&lt;author&gt;He, C.&lt;/author&gt;&lt;/authors&gt;&lt;/contributors&gt;&lt;added-date format="utc"&gt;1677274248&lt;/added-date&gt;&lt;ref-type name="Journal Article"&gt;17&lt;/ref-type&gt;&lt;rec-number&gt;528&lt;/rec-number&gt;&lt;last-updated-date format="utc"&gt;1677274248&lt;/last-updated-date&gt;&lt;accession-num&gt;WOS:000304991100065&lt;/accession-num&gt;&lt;electronic-resource-num&gt;10.1073/pnas.1200603109&lt;/electronic-resource-num&gt;&lt;volume&gt;109&lt;/volume&gt;&lt;/record&gt;&lt;/Cite&gt;&lt;/EndNote&gt;</w:instrText>
      </w:r>
      <w:r w:rsidRPr="00F75C16">
        <w:rPr>
          <w:rFonts w:ascii="Times New Roman" w:hAnsi="Times New Roman" w:cs="Times New Roman"/>
          <w:b/>
          <w:bCs/>
        </w:rPr>
        <w:fldChar w:fldCharType="separate"/>
      </w:r>
      <w:r w:rsidRPr="00F75C16">
        <w:rPr>
          <w:rFonts w:ascii="Times New Roman" w:hAnsi="Times New Roman" w:cs="Times New Roman"/>
          <w:b/>
          <w:bCs/>
          <w:noProof/>
        </w:rPr>
        <w:t>(Sun</w:t>
      </w:r>
      <w:r w:rsidRPr="00F75C16">
        <w:rPr>
          <w:rFonts w:ascii="Times New Roman" w:hAnsi="Times New Roman" w:cs="Times New Roman"/>
          <w:b/>
          <w:bCs/>
          <w:i/>
          <w:noProof/>
        </w:rPr>
        <w:t xml:space="preserve"> et al.</w:t>
      </w:r>
      <w:r w:rsidRPr="00F75C16">
        <w:rPr>
          <w:rFonts w:ascii="Times New Roman" w:hAnsi="Times New Roman" w:cs="Times New Roman"/>
          <w:b/>
          <w:bCs/>
          <w:noProof/>
        </w:rPr>
        <w:t>, 2012)</w:t>
      </w:r>
      <w:r w:rsidRPr="00F75C16">
        <w:rPr>
          <w:rFonts w:ascii="Times New Roman" w:hAnsi="Times New Roman" w:cs="Times New Roman"/>
          <w:b/>
          <w:bCs/>
        </w:rPr>
        <w:fldChar w:fldCharType="end"/>
      </w:r>
      <w:r>
        <w:rPr>
          <w:rFonts w:ascii="Times New Roman" w:hAnsi="Times New Roman" w:cs="Times New Roman"/>
        </w:rPr>
        <w:t xml:space="preserve">. </w:t>
      </w:r>
    </w:p>
    <w:p w14:paraId="3C86DB0B" w14:textId="438F70F9" w:rsidR="00033564" w:rsidRPr="00F40066" w:rsidRDefault="00033564" w:rsidP="00033564">
      <w:pPr>
        <w:spacing w:line="360" w:lineRule="auto"/>
        <w:jc w:val="both"/>
      </w:pPr>
      <w:r>
        <w:rPr>
          <w:rFonts w:ascii="Times New Roman" w:hAnsi="Times New Roman" w:cs="Times New Roman"/>
        </w:rPr>
        <w:tab/>
        <w:t>In addition to ROS, reactive nitrogen species (RNS) also play a role in the host defence. The inducible nitric oxide synthase (iNOS) produces nitric oxide radicals (</w:t>
      </w:r>
      <w:r w:rsidRPr="00121AB8">
        <w:rPr>
          <w:rFonts w:ascii="Times New Roman" w:hAnsi="Times New Roman" w:cs="Times New Roman"/>
        </w:rPr>
        <w:t>·</w:t>
      </w:r>
      <w:r>
        <w:rPr>
          <w:rFonts w:ascii="Times New Roman" w:hAnsi="Times New Roman" w:cs="Times New Roman"/>
        </w:rPr>
        <w:t xml:space="preserve">NO), which similar to ROS, goes on to damage cellular components and metabolites </w:t>
      </w:r>
      <w:r w:rsidRPr="001130B1">
        <w:rPr>
          <w:rFonts w:ascii="Times New Roman" w:hAnsi="Times New Roman" w:cs="Times New Roman"/>
          <w:b/>
          <w:bCs/>
        </w:rPr>
        <w:fldChar w:fldCharType="begin"/>
      </w:r>
      <w:r w:rsidRPr="001130B1">
        <w:rPr>
          <w:rFonts w:ascii="Times New Roman" w:hAnsi="Times New Roman" w:cs="Times New Roman"/>
          <w:b/>
          <w:bCs/>
        </w:rPr>
        <w:instrText xml:space="preserve"> ADDIN EN.CITE &lt;EndNote&gt;&lt;Cite&gt;&lt;Author&gt;Serbina&lt;/Author&gt;&lt;Year&gt;2003&lt;/Year&gt;&lt;IDText&gt;TN/iNOS-producing dendritic cells mediate innate immune defense against bacterial infection&lt;/IDText&gt;&lt;DisplayText&gt;(Serbina&lt;style face="italic"&gt; et al.&lt;/style&gt;, 2003)&lt;/DisplayText&gt;&lt;record&gt;&lt;dates&gt;&lt;pub-dates&gt;&lt;date&gt;Jul&lt;/date&gt;&lt;/pub-dates&gt;&lt;year&gt;2003&lt;/year&gt;&lt;/dates&gt;&lt;urls&gt;&lt;related-urls&gt;&lt;url&gt;&amp;lt;Go to ISI&amp;gt;://WOS:000184260400008&lt;/url&gt;&lt;/related-urls&gt;&lt;/urls&gt;&lt;isbn&gt;1074-7613&lt;/isbn&gt;&lt;titles&gt;&lt;title&gt;TN/iNOS-producing dendritic cells mediate innate immune defense against bacterial infection&lt;/title&gt;&lt;secondary-title&gt;Immunity&lt;/secondary-title&gt;&lt;/titles&gt;&lt;pages&gt;59-70&lt;/pages&gt;&lt;number&gt;1&lt;/number&gt;&lt;contributors&gt;&lt;authors&gt;&lt;author&gt;Serbina, N. V.&lt;/author&gt;&lt;author&gt;Salazar-Mather, T. P.&lt;/author&gt;&lt;author&gt;Biron, C. A.&lt;/author&gt;&lt;author&gt;Kuziel, W. A.&lt;/author&gt;&lt;author&gt;Pamer, E. G.&lt;/author&gt;&lt;/authors&gt;&lt;/contributors&gt;&lt;added-date format="utc"&gt;1677274542&lt;/added-date&gt;&lt;ref-type name="Journal Article"&gt;17&lt;/ref-type&gt;&lt;rec-number&gt;529&lt;/rec-number&gt;&lt;last-updated-date format="utc"&gt;1677274542&lt;/last-updated-date&gt;&lt;accession-num&gt;WOS:000184260400008&lt;/accession-num&gt;&lt;electronic-resource-num&gt;10.1016/s1074-7613(03)00171-7&lt;/electronic-resource-num&gt;&lt;volume&gt;19&lt;/volume&gt;&lt;/record&gt;&lt;/Cite&gt;&lt;/EndNote&gt;</w:instrText>
      </w:r>
      <w:r w:rsidRPr="001130B1">
        <w:rPr>
          <w:rFonts w:ascii="Times New Roman" w:hAnsi="Times New Roman" w:cs="Times New Roman"/>
          <w:b/>
          <w:bCs/>
        </w:rPr>
        <w:fldChar w:fldCharType="separate"/>
      </w:r>
      <w:r w:rsidRPr="001130B1">
        <w:rPr>
          <w:rFonts w:ascii="Times New Roman" w:hAnsi="Times New Roman" w:cs="Times New Roman"/>
          <w:b/>
          <w:bCs/>
          <w:noProof/>
        </w:rPr>
        <w:t>(Serbina</w:t>
      </w:r>
      <w:r w:rsidRPr="001130B1">
        <w:rPr>
          <w:rFonts w:ascii="Times New Roman" w:hAnsi="Times New Roman" w:cs="Times New Roman"/>
          <w:b/>
          <w:bCs/>
          <w:i/>
          <w:noProof/>
        </w:rPr>
        <w:t xml:space="preserve"> et al.</w:t>
      </w:r>
      <w:r w:rsidRPr="001130B1">
        <w:rPr>
          <w:rFonts w:ascii="Times New Roman" w:hAnsi="Times New Roman" w:cs="Times New Roman"/>
          <w:b/>
          <w:bCs/>
          <w:noProof/>
        </w:rPr>
        <w:t>, 2003)</w:t>
      </w:r>
      <w:r w:rsidRPr="001130B1">
        <w:rPr>
          <w:rFonts w:ascii="Times New Roman" w:hAnsi="Times New Roman" w:cs="Times New Roman"/>
          <w:b/>
          <w:bCs/>
        </w:rPr>
        <w:fldChar w:fldCharType="end"/>
      </w:r>
      <w:r>
        <w:rPr>
          <w:rFonts w:ascii="Times New Roman" w:hAnsi="Times New Roman" w:cs="Times New Roman"/>
          <w:b/>
          <w:bCs/>
        </w:rPr>
        <w:t xml:space="preserve"> (Fig. 1.3.4.3)</w:t>
      </w:r>
      <w:r>
        <w:rPr>
          <w:rFonts w:ascii="Times New Roman" w:hAnsi="Times New Roman" w:cs="Times New Roman"/>
        </w:rPr>
        <w:t xml:space="preserve">. iNOS consists of an N-terminal oxygenase domain and a C-terminal reductase domain and the protein itself exists as a homodimer </w:t>
      </w:r>
      <w:r w:rsidRPr="000F3D7C">
        <w:rPr>
          <w:rFonts w:ascii="Times New Roman" w:hAnsi="Times New Roman" w:cs="Times New Roman"/>
          <w:b/>
          <w:bCs/>
        </w:rPr>
        <w:fldChar w:fldCharType="begin"/>
      </w:r>
      <w:r w:rsidRPr="000F3D7C">
        <w:rPr>
          <w:rFonts w:ascii="Times New Roman" w:hAnsi="Times New Roman" w:cs="Times New Roman"/>
          <w:b/>
          <w:bCs/>
        </w:rPr>
        <w:instrText xml:space="preserve"> ADDIN EN.CITE &lt;EndNote&gt;&lt;Cite&gt;&lt;Author&gt;Flannagan&lt;/Author&gt;&lt;Year&gt;2012&lt;/Year&gt;&lt;IDText&gt;The Cell Biology of Phagocytosis&lt;/IDText&gt;&lt;DisplayText&gt;(Flannagan, Jaumouille and Grinstein, 2012)&lt;/DisplayText&gt;&lt;record&gt;&lt;urls&gt;&lt;related-urls&gt;&lt;url&gt;&amp;lt;Go to ISI&amp;gt;://WOS:000301837300003&lt;/url&gt;&lt;/related-urls&gt;&lt;/urls&gt;&lt;isbn&gt;1553-4006&lt;/isbn&gt;&lt;titles&gt;&lt;title&gt;The Cell Biology of Phagocytosis&lt;/title&gt;&lt;secondary-title&gt;Annual Review of Pathology: Mechanisms of Disease, Vol 7&lt;/secondary-title&gt;&lt;/titles&gt;&lt;pages&gt;61-98&lt;/pages&gt;&lt;contributors&gt;&lt;authors&gt;&lt;author&gt;Flannagan, R. S.&lt;/author&gt;&lt;author&gt;Jaumouille, V.&lt;/author&gt;&lt;author&gt;Grinstein, S.&lt;/author&gt;&lt;/authors&gt;&lt;/contributors&gt;&lt;added-date format="utc"&gt;1677170373&lt;/added-date&gt;&lt;ref-type name="Journal Article"&gt;17&lt;/ref-type&gt;&lt;dates&gt;&lt;year&gt;2012&lt;/year&gt;&lt;/dates&gt;&lt;rec-number&gt;494&lt;/rec-number&gt;&lt;last-updated-date format="utc"&gt;1677170373&lt;/last-updated-date&gt;&lt;accession-num&gt;WOS:000301837300003&lt;/accession-num&gt;&lt;electronic-resource-num&gt;10.1146/annurev-pathol-011811-132445&lt;/electronic-resource-num&gt;&lt;volume&gt;7&lt;/volume&gt;&lt;/record&gt;&lt;/Cite&gt;&lt;/EndNote&gt;</w:instrText>
      </w:r>
      <w:r w:rsidRPr="000F3D7C">
        <w:rPr>
          <w:rFonts w:ascii="Times New Roman" w:hAnsi="Times New Roman" w:cs="Times New Roman"/>
          <w:b/>
          <w:bCs/>
        </w:rPr>
        <w:fldChar w:fldCharType="separate"/>
      </w:r>
      <w:r w:rsidRPr="000F3D7C">
        <w:rPr>
          <w:rFonts w:ascii="Times New Roman" w:hAnsi="Times New Roman" w:cs="Times New Roman"/>
          <w:b/>
          <w:bCs/>
          <w:noProof/>
        </w:rPr>
        <w:t>(Flannagan, Jaumouille and Grinstein, 2012)</w:t>
      </w:r>
      <w:r w:rsidRPr="000F3D7C">
        <w:rPr>
          <w:rFonts w:ascii="Times New Roman" w:hAnsi="Times New Roman" w:cs="Times New Roman"/>
          <w:b/>
          <w:bCs/>
        </w:rPr>
        <w:fldChar w:fldCharType="end"/>
      </w:r>
      <w:r>
        <w:rPr>
          <w:rFonts w:ascii="Times New Roman" w:hAnsi="Times New Roman" w:cs="Times New Roman"/>
        </w:rPr>
        <w:t xml:space="preserve">. Signals required to induce expression of iNOS are recognition of PAMPs via their cognate receptors and thus the production </w:t>
      </w:r>
      <w:r w:rsidR="00EA21C7">
        <w:rPr>
          <w:rFonts w:ascii="Times New Roman" w:hAnsi="Times New Roman" w:cs="Times New Roman"/>
        </w:rPr>
        <w:t xml:space="preserve">of </w:t>
      </w:r>
      <w:r>
        <w:rPr>
          <w:rFonts w:ascii="Times New Roman" w:hAnsi="Times New Roman" w:cs="Times New Roman"/>
        </w:rPr>
        <w:t xml:space="preserve">proinflammatory cytokines such as </w:t>
      </w:r>
      <w:bookmarkStart w:id="52" w:name="_Hlk128170358"/>
      <w:r>
        <w:rPr>
          <w:rFonts w:ascii="Times New Roman" w:hAnsi="Times New Roman" w:cs="Times New Roman"/>
        </w:rPr>
        <w:t>interferon-</w:t>
      </w:r>
      <w:r w:rsidRPr="000F3D7C">
        <w:rPr>
          <w:rFonts w:ascii="Times New Roman" w:hAnsi="Times New Roman" w:cs="Times New Roman"/>
        </w:rPr>
        <w:t>γ</w:t>
      </w:r>
      <w:r>
        <w:rPr>
          <w:rFonts w:ascii="Times New Roman" w:hAnsi="Times New Roman" w:cs="Times New Roman"/>
        </w:rPr>
        <w:t xml:space="preserve"> (IFN-</w:t>
      </w:r>
      <w:r w:rsidRPr="000F3D7C">
        <w:rPr>
          <w:rFonts w:ascii="Times New Roman" w:hAnsi="Times New Roman" w:cs="Times New Roman"/>
        </w:rPr>
        <w:t>γ</w:t>
      </w:r>
      <w:bookmarkEnd w:id="52"/>
      <w:r>
        <w:rPr>
          <w:rFonts w:ascii="Times New Roman" w:hAnsi="Times New Roman" w:cs="Times New Roman"/>
        </w:rPr>
        <w:t xml:space="preserve">) </w:t>
      </w:r>
      <w:r w:rsidRPr="00506D1B">
        <w:rPr>
          <w:rFonts w:ascii="Times New Roman" w:hAnsi="Times New Roman" w:cs="Times New Roman"/>
          <w:b/>
          <w:bCs/>
        </w:rPr>
        <w:fldChar w:fldCharType="begin"/>
      </w:r>
      <w:r w:rsidRPr="00506D1B">
        <w:rPr>
          <w:rFonts w:ascii="Times New Roman" w:hAnsi="Times New Roman" w:cs="Times New Roman"/>
          <w:b/>
          <w:bCs/>
        </w:rPr>
        <w:instrText xml:space="preserve"> ADDIN EN.CITE &lt;EndNote&gt;&lt;Cite&gt;&lt;Author&gt;Bogdan&lt;/Author&gt;&lt;Year&gt;2000&lt;/Year&gt;&lt;IDText&gt;The role of nitric oxide in innate immunity&lt;/IDText&gt;&lt;DisplayText&gt;(Bogdan, Rollinghoff and Diefenbach, 2000)&lt;/DisplayText&gt;&lt;record&gt;&lt;dates&gt;&lt;pub-dates&gt;&lt;date&gt;Feb&lt;/date&gt;&lt;/pub-dates&gt;&lt;year&gt;2000&lt;/year&gt;&lt;/dates&gt;&lt;urls&gt;&lt;related-urls&gt;&lt;url&gt;&amp;lt;Go to ISI&amp;gt;://WOS:000085411300002&lt;/url&gt;&lt;/related-urls&gt;&lt;/urls&gt;&lt;isbn&gt;0105-2896&lt;/isbn&gt;&lt;titles&gt;&lt;title&gt;The role of nitric oxide in innate immunity&lt;/title&gt;&lt;secondary-title&gt;Immunological Reviews&lt;/secondary-title&gt;&lt;/titles&gt;&lt;pages&gt;17-26&lt;/pages&gt;&lt;contributors&gt;&lt;authors&gt;&lt;author&gt;Bogdan, C. T.&lt;/author&gt;&lt;author&gt;Rollinghoff, M.&lt;/author&gt;&lt;author&gt;Diefenbach, A.&lt;/author&gt;&lt;/authors&gt;&lt;/contributors&gt;&lt;added-date format="utc"&gt;1677278016&lt;/added-date&gt;&lt;ref-type name="Journal Article"&gt;17&lt;/ref-type&gt;&lt;rec-number&gt;532&lt;/rec-number&gt;&lt;last-updated-date format="utc"&gt;1677278016&lt;/last-updated-date&gt;&lt;accession-num&gt;WOS:000085411300002&lt;/accession-num&gt;&lt;electronic-resource-num&gt;10.1034/j.1600-065X.2000.917307.x&lt;/electronic-resource-num&gt;&lt;volume&gt;173&lt;/volume&gt;&lt;/record&gt;&lt;/Cite&gt;&lt;/EndNote&gt;</w:instrText>
      </w:r>
      <w:r w:rsidRPr="00506D1B">
        <w:rPr>
          <w:rFonts w:ascii="Times New Roman" w:hAnsi="Times New Roman" w:cs="Times New Roman"/>
          <w:b/>
          <w:bCs/>
        </w:rPr>
        <w:fldChar w:fldCharType="separate"/>
      </w:r>
      <w:r w:rsidRPr="00506D1B">
        <w:rPr>
          <w:rFonts w:ascii="Times New Roman" w:hAnsi="Times New Roman" w:cs="Times New Roman"/>
          <w:b/>
          <w:bCs/>
          <w:noProof/>
        </w:rPr>
        <w:t>(Bogdan, Rollinghoff and Diefenbach, 2000)</w:t>
      </w:r>
      <w:r w:rsidRPr="00506D1B">
        <w:rPr>
          <w:rFonts w:ascii="Times New Roman" w:hAnsi="Times New Roman" w:cs="Times New Roman"/>
          <w:b/>
          <w:bCs/>
        </w:rPr>
        <w:fldChar w:fldCharType="end"/>
      </w:r>
      <w:r>
        <w:rPr>
          <w:rFonts w:ascii="Times New Roman" w:hAnsi="Times New Roman" w:cs="Times New Roman"/>
        </w:rPr>
        <w:t xml:space="preserve">. </w:t>
      </w:r>
      <w:r>
        <w:rPr>
          <w:rFonts w:ascii="Times New Roman" w:hAnsi="Times New Roman" w:cs="Times New Roman"/>
          <w:i/>
          <w:iCs/>
        </w:rPr>
        <w:t xml:space="preserve">In vitro </w:t>
      </w:r>
      <w:r>
        <w:rPr>
          <w:rFonts w:ascii="Times New Roman" w:hAnsi="Times New Roman" w:cs="Times New Roman"/>
        </w:rPr>
        <w:t xml:space="preserve">data has demonstrated that the nitric oxide donor </w:t>
      </w:r>
      <w:r w:rsidRPr="00F40066">
        <w:rPr>
          <w:rFonts w:ascii="Times New Roman" w:hAnsi="Times New Roman" w:cs="Times New Roman"/>
          <w:color w:val="000000" w:themeColor="text1"/>
        </w:rPr>
        <w:t xml:space="preserve">spermine NONOate decreases the growth of JE2 </w:t>
      </w:r>
      <w:r w:rsidRPr="00F40066">
        <w:rPr>
          <w:rFonts w:ascii="Times New Roman" w:hAnsi="Times New Roman" w:cs="Times New Roman"/>
          <w:i/>
          <w:iCs/>
          <w:color w:val="000000" w:themeColor="text1"/>
        </w:rPr>
        <w:t>S. aureus</w:t>
      </w:r>
      <w:r w:rsidRPr="00F40066">
        <w:rPr>
          <w:rFonts w:ascii="Times New Roman" w:hAnsi="Times New Roman" w:cs="Times New Roman"/>
          <w:color w:val="000000" w:themeColor="text1"/>
        </w:rPr>
        <w:t xml:space="preserve"> 2-fold </w:t>
      </w:r>
      <w:r w:rsidRPr="004E2217">
        <w:rPr>
          <w:rFonts w:ascii="Times New Roman" w:hAnsi="Times New Roman" w:cs="Times New Roman"/>
          <w:b/>
          <w:bCs/>
          <w:color w:val="000000" w:themeColor="text1"/>
        </w:rPr>
        <w:fldChar w:fldCharType="begin"/>
      </w:r>
      <w:r w:rsidRPr="004E2217">
        <w:rPr>
          <w:rFonts w:ascii="Times New Roman" w:hAnsi="Times New Roman" w:cs="Times New Roman"/>
          <w:b/>
          <w:bCs/>
          <w:color w:val="000000" w:themeColor="text1"/>
        </w:rPr>
        <w:instrText xml:space="preserve"> ADDIN EN.CITE &lt;EndNote&gt;&lt;Cite&gt;&lt;Author&gt;Carvalho&lt;/Author&gt;&lt;Year&gt;2017&lt;/Year&gt;&lt;IDText&gt;The Staphylococcus aureus alpha-Acetolactate Synthase ALS Confers Resistance to Nitrosative Stress&lt;/IDText&gt;&lt;DisplayText&gt;(Carvalho&lt;style face="italic"&gt; et al.&lt;/style&gt;, 2017)&lt;/DisplayText&gt;&lt;record&gt;&lt;dates&gt;&lt;pub-dates&gt;&lt;date&gt;Jul 11&lt;/date&gt;&lt;/pub-dates&gt;&lt;year&gt;2017&lt;/year&gt;&lt;/dates&gt;&lt;urls&gt;&lt;related-urls&gt;&lt;url&gt;&amp;lt;Go to ISI&amp;gt;://WOS:000405235900001&lt;/url&gt;&lt;/related-urls&gt;&lt;/urls&gt;&lt;isbn&gt;1664-302X&lt;/isbn&gt;&lt;work-type&gt;Article&lt;/work-type&gt;&lt;titles&gt;&lt;title&gt;The Staphylococcus aureus alpha-Acetolactate Synthase ALS Confers Resistance to Nitrosative Stress&lt;/title&gt;&lt;secondary-title&gt;Frontiers in Microbiology&lt;/secondary-title&gt;&lt;/titles&gt;&lt;contributors&gt;&lt;authors&gt;&lt;author&gt;Carvalho, Sandra M.&lt;/author&gt;&lt;author&gt;de Jong, Anne&lt;/author&gt;&lt;author&gt;Kloosterman, Tomas G.&lt;/author&gt;&lt;author&gt;Kuipers, Oscar P.&lt;/author&gt;&lt;author&gt;Saraiva, Ligia M.&lt;/author&gt;&lt;/authors&gt;&lt;/contributors&gt;&lt;custom7&gt;1273&lt;/custom7&gt;&lt;added-date format="utc"&gt;1676822334&lt;/added-date&gt;&lt;ref-type name="Journal Article"&gt;17&lt;/ref-type&gt;&lt;rec-number&gt;408&lt;/rec-number&gt;&lt;last-updated-date format="utc"&gt;1676822334&lt;/last-updated-date&gt;&lt;accession-num&gt;WOS:000405235900001&lt;/accession-num&gt;&lt;electronic-resource-num&gt;10.3389/fmicb.2017.01273&lt;/electronic-resource-num&gt;&lt;volume&gt;8&lt;/volume&gt;&lt;/record&gt;&lt;/Cite&gt;&lt;/EndNote&gt;</w:instrText>
      </w:r>
      <w:r w:rsidRPr="004E2217">
        <w:rPr>
          <w:rFonts w:ascii="Times New Roman" w:hAnsi="Times New Roman" w:cs="Times New Roman"/>
          <w:b/>
          <w:bCs/>
          <w:color w:val="000000" w:themeColor="text1"/>
        </w:rPr>
        <w:fldChar w:fldCharType="separate"/>
      </w:r>
      <w:r w:rsidRPr="004E2217">
        <w:rPr>
          <w:rFonts w:ascii="Times New Roman" w:hAnsi="Times New Roman" w:cs="Times New Roman"/>
          <w:b/>
          <w:bCs/>
          <w:noProof/>
          <w:color w:val="000000" w:themeColor="text1"/>
        </w:rPr>
        <w:t>(Carvalho</w:t>
      </w:r>
      <w:r w:rsidRPr="004E2217">
        <w:rPr>
          <w:rFonts w:ascii="Times New Roman" w:hAnsi="Times New Roman" w:cs="Times New Roman"/>
          <w:b/>
          <w:bCs/>
          <w:i/>
          <w:noProof/>
          <w:color w:val="000000" w:themeColor="text1"/>
        </w:rPr>
        <w:t xml:space="preserve"> et al.</w:t>
      </w:r>
      <w:r w:rsidRPr="004E2217">
        <w:rPr>
          <w:rFonts w:ascii="Times New Roman" w:hAnsi="Times New Roman" w:cs="Times New Roman"/>
          <w:b/>
          <w:bCs/>
          <w:noProof/>
          <w:color w:val="000000" w:themeColor="text1"/>
        </w:rPr>
        <w:t>, 2017)</w:t>
      </w:r>
      <w:r w:rsidRPr="004E2217">
        <w:rPr>
          <w:rFonts w:ascii="Times New Roman" w:hAnsi="Times New Roman" w:cs="Times New Roman"/>
          <w:b/>
          <w:bCs/>
          <w:color w:val="000000" w:themeColor="text1"/>
        </w:rPr>
        <w:fldChar w:fldCharType="end"/>
      </w:r>
      <w:r w:rsidRPr="00F40066">
        <w:rPr>
          <w:rFonts w:ascii="Times New Roman" w:hAnsi="Times New Roman" w:cs="Times New Roman"/>
          <w:color w:val="000000" w:themeColor="text1"/>
        </w:rPr>
        <w:t xml:space="preserve">, thus demonstrating its antimicrobial effects. </w:t>
      </w:r>
      <w:r>
        <w:rPr>
          <w:rFonts w:ascii="Times New Roman" w:hAnsi="Times New Roman" w:cs="Times New Roman"/>
        </w:rPr>
        <w:t xml:space="preserve">While ROS are produced immediately due to their presence in the phagolysosome, RNS are produced later as signalling cascades such as those resulting in </w:t>
      </w:r>
      <w:r w:rsidRPr="00540F01">
        <w:rPr>
          <w:rFonts w:ascii="Times New Roman" w:hAnsi="Times New Roman" w:cs="Times New Roman"/>
        </w:rPr>
        <w:t>NF-κB</w:t>
      </w:r>
      <w:r>
        <w:rPr>
          <w:rFonts w:ascii="Times New Roman" w:hAnsi="Times New Roman" w:cs="Times New Roman"/>
        </w:rPr>
        <w:t xml:space="preserve"> activating are required for expression of iNOS </w:t>
      </w:r>
      <w:r w:rsidRPr="00BC06CC">
        <w:rPr>
          <w:rFonts w:ascii="Times New Roman" w:hAnsi="Times New Roman" w:cs="Times New Roman"/>
          <w:b/>
          <w:bCs/>
        </w:rPr>
        <w:fldChar w:fldCharType="begin"/>
      </w:r>
      <w:r w:rsidRPr="00BC06CC">
        <w:rPr>
          <w:rFonts w:ascii="Times New Roman" w:hAnsi="Times New Roman" w:cs="Times New Roman"/>
          <w:b/>
          <w:bCs/>
        </w:rPr>
        <w:instrText xml:space="preserve"> ADDIN EN.CITE &lt;EndNote&gt;&lt;Cite&gt;&lt;Author&gt;Chen&lt;/Author&gt;&lt;Year&gt;1999&lt;/Year&gt;&lt;IDText&gt;Involvement of p38 mitogen-activated protein kinase in lipopolysaccharide-induced iNOS and COX-2 expression in J774 macrophages&lt;/IDText&gt;&lt;DisplayText&gt;(Chen, Chen and Lin, 1999)&lt;/DisplayText&gt;&lt;record&gt;&lt;dates&gt;&lt;pub-dates&gt;&lt;date&gt;May&lt;/date&gt;&lt;/pub-dates&gt;&lt;year&gt;1999&lt;/year&gt;&lt;/dates&gt;&lt;urls&gt;&lt;related-urls&gt;&lt;url&gt;&amp;lt;Go to ISI&amp;gt;://WOS:000080331400016&lt;/url&gt;&lt;/related-urls&gt;&lt;/urls&gt;&lt;isbn&gt;0019-2805&lt;/isbn&gt;&lt;titles&gt;&lt;title&gt;Involvement of p38 mitogen-activated protein kinase in lipopolysaccharide-induced iNOS and COX-2 expression in J774 macrophages&lt;/title&gt;&lt;secondary-title&gt;Immunology&lt;/secondary-title&gt;&lt;/titles&gt;&lt;pages&gt;124-129&lt;/pages&gt;&lt;number&gt;1&lt;/number&gt;&lt;contributors&gt;&lt;authors&gt;&lt;author&gt;Chen, B. C.&lt;/author&gt;&lt;author&gt;Chen, Y. H.&lt;/author&gt;&lt;author&gt;Lin, W. W.&lt;/author&gt;&lt;/authors&gt;&lt;/contributors&gt;&lt;added-date format="utc"&gt;1677275537&lt;/added-date&gt;&lt;ref-type name="Journal Article"&gt;17&lt;/ref-type&gt;&lt;rec-number&gt;530&lt;/rec-number&gt;&lt;last-updated-date format="utc"&gt;1677275537&lt;/last-updated-date&gt;&lt;accession-num&gt;WOS:000080331400016&lt;/accession-num&gt;&lt;electronic-resource-num&gt;10.1046/j.1365-2567.1999.00747.x&lt;/electronic-resource-num&gt;&lt;volume&gt;97&lt;/volume&gt;&lt;/record&gt;&lt;/Cite&gt;&lt;/EndNote&gt;</w:instrText>
      </w:r>
      <w:r w:rsidRPr="00BC06CC">
        <w:rPr>
          <w:rFonts w:ascii="Times New Roman" w:hAnsi="Times New Roman" w:cs="Times New Roman"/>
          <w:b/>
          <w:bCs/>
        </w:rPr>
        <w:fldChar w:fldCharType="separate"/>
      </w:r>
      <w:r w:rsidRPr="00BC06CC">
        <w:rPr>
          <w:rFonts w:ascii="Times New Roman" w:hAnsi="Times New Roman" w:cs="Times New Roman"/>
          <w:b/>
          <w:bCs/>
          <w:noProof/>
        </w:rPr>
        <w:t>(Chen, Chen and Lin, 1999)</w:t>
      </w:r>
      <w:r w:rsidRPr="00BC06CC">
        <w:rPr>
          <w:rFonts w:ascii="Times New Roman" w:hAnsi="Times New Roman" w:cs="Times New Roman"/>
          <w:b/>
          <w:bCs/>
        </w:rPr>
        <w:fldChar w:fldCharType="end"/>
      </w:r>
      <w:r>
        <w:rPr>
          <w:rFonts w:ascii="Times New Roman" w:hAnsi="Times New Roman" w:cs="Times New Roman"/>
        </w:rPr>
        <w:t xml:space="preserve">. This may indicate that the production of ROS is more important than RNS, especially given the importance of the oxidative burst </w:t>
      </w:r>
      <w:r w:rsidRPr="00BC06CC">
        <w:rPr>
          <w:rFonts w:ascii="Times New Roman" w:hAnsi="Times New Roman" w:cs="Times New Roman"/>
          <w:b/>
          <w:bCs/>
        </w:rPr>
        <w:fldChar w:fldCharType="begin"/>
      </w:r>
      <w:r w:rsidRPr="00BC06CC">
        <w:rPr>
          <w:rFonts w:ascii="Times New Roman" w:hAnsi="Times New Roman" w:cs="Times New Roman"/>
          <w:b/>
          <w:bCs/>
        </w:rPr>
        <w:instrText xml:space="preserve"> ADDIN EN.CITE &lt;EndNote&gt;&lt;Cite&gt;&lt;Author&gt;Dupre-Crochet&lt;/Author&gt;&lt;Year&gt;2013&lt;/Year&gt;&lt;IDText&gt;ROS production in phagocytes: why,  when, and where?&lt;/IDText&gt;&lt;DisplayText&gt;(Dupre-Crochet, Erard and Nubetae, 2013)&lt;/DisplayText&gt;&lt;record&gt;&lt;urls&gt;&lt;related-urls&gt;&lt;/related-urls&gt;&lt;/urls&gt;&lt;titles&gt;&lt;title&gt;ROS production in phagocytes: why,  when, and where?&lt;/title&gt;&lt;secondary-title&gt;Journal of Leukocyte Biology&lt;/secondary-title&gt;&lt;/titles&gt;&lt;pages&gt;657-670&lt;/pages&gt;&lt;number&gt;4&lt;/number&gt;&lt;contributors&gt;&lt;authors&gt;&lt;author&gt;Dupre-Crochet, Sophie&lt;/author&gt;&lt;author&gt;Erard, Marie&lt;/author&gt;&lt;author&gt;Nubetae, Oliver&lt;/author&gt;&lt;/authors&gt;&lt;/contributors&gt;&lt;added-date format="utc"&gt;1674558301&lt;/added-date&gt;&lt;ref-type name="Journal Article"&gt;17&lt;/ref-type&gt;&lt;dates&gt;&lt;year&gt;2013&lt;/year&gt;&lt;/dates&gt;&lt;rec-number&gt;245&lt;/rec-number&gt;&lt;last-updated-date format="utc"&gt;1675008997&lt;/last-updated-date&gt;&lt;volume&gt;94&lt;/volume&gt;&lt;/record&gt;&lt;/Cite&gt;&lt;/EndNote&gt;</w:instrText>
      </w:r>
      <w:r w:rsidRPr="00BC06CC">
        <w:rPr>
          <w:rFonts w:ascii="Times New Roman" w:hAnsi="Times New Roman" w:cs="Times New Roman"/>
          <w:b/>
          <w:bCs/>
        </w:rPr>
        <w:fldChar w:fldCharType="separate"/>
      </w:r>
      <w:r w:rsidRPr="00BC06CC">
        <w:rPr>
          <w:rFonts w:ascii="Times New Roman" w:hAnsi="Times New Roman" w:cs="Times New Roman"/>
          <w:b/>
          <w:bCs/>
          <w:noProof/>
        </w:rPr>
        <w:t>(Dupre-Crochet, Erard and Nubetae, 2013)</w:t>
      </w:r>
      <w:r w:rsidRPr="00BC06CC">
        <w:rPr>
          <w:rFonts w:ascii="Times New Roman" w:hAnsi="Times New Roman" w:cs="Times New Roman"/>
          <w:b/>
          <w:bCs/>
        </w:rPr>
        <w:fldChar w:fldCharType="end"/>
      </w:r>
      <w:r>
        <w:rPr>
          <w:rFonts w:ascii="Times New Roman" w:hAnsi="Times New Roman" w:cs="Times New Roman"/>
        </w:rPr>
        <w:t xml:space="preserve"> and since an iNOS-deficient murine infection of </w:t>
      </w:r>
      <w:r>
        <w:rPr>
          <w:rFonts w:ascii="Times New Roman" w:hAnsi="Times New Roman" w:cs="Times New Roman"/>
          <w:i/>
          <w:iCs/>
        </w:rPr>
        <w:t xml:space="preserve">S. aureus </w:t>
      </w:r>
      <w:r>
        <w:rPr>
          <w:rFonts w:ascii="Times New Roman" w:hAnsi="Times New Roman" w:cs="Times New Roman"/>
        </w:rPr>
        <w:t xml:space="preserve">demonstrated that iNOS contributed to, but was not required for pathogenesis </w:t>
      </w:r>
      <w:r w:rsidRPr="00114343">
        <w:rPr>
          <w:rFonts w:ascii="Times New Roman" w:hAnsi="Times New Roman" w:cs="Times New Roman"/>
          <w:b/>
          <w:bCs/>
        </w:rPr>
        <w:fldChar w:fldCharType="begin"/>
      </w:r>
      <w:r w:rsidRPr="00114343">
        <w:rPr>
          <w:rFonts w:ascii="Times New Roman" w:hAnsi="Times New Roman" w:cs="Times New Roman"/>
          <w:b/>
          <w:bCs/>
        </w:rPr>
        <w:instrText xml:space="preserve"> ADDIN EN.CITE &lt;EndNote&gt;&lt;Cite&gt;&lt;Author&gt;Nathan&lt;/Author&gt;&lt;Year&gt;2000&lt;/Year&gt;&lt;IDText&gt;Reactive oxygen and nitrogen intermediates in the relationship between mammalian hosts and microbial pathogens&lt;/IDText&gt;&lt;DisplayText&gt;(Nathan and Shiloh, 2000)&lt;/DisplayText&gt;&lt;record&gt;&lt;dates&gt;&lt;pub-dates&gt;&lt;date&gt;Aug&lt;/date&gt;&lt;/pub-dates&gt;&lt;year&gt;2000&lt;/year&gt;&lt;/dates&gt;&lt;urls&gt;&lt;related-urls&gt;&lt;url&gt;&amp;lt;Go to ISI&amp;gt;://WOS:000088608000017&lt;/url&gt;&lt;/related-urls&gt;&lt;/urls&gt;&lt;isbn&gt;0027-8424&lt;/isbn&gt;&lt;titles&gt;&lt;title&gt;Reactive oxygen and nitrogen intermediates in the relationship between mammalian hosts and microbial pathogens&lt;/title&gt;&lt;secondary-title&gt;Proceedings of the National Academy of Sciences of the United States of America&lt;/secondary-title&gt;&lt;/titles&gt;&lt;pages&gt;8841-8848&lt;/pages&gt;&lt;number&gt;16&lt;/number&gt;&lt;contributors&gt;&lt;authors&gt;&lt;author&gt;Nathan, C.&lt;/author&gt;&lt;author&gt;Shiloh, M. U.&lt;/author&gt;&lt;/authors&gt;&lt;/contributors&gt;&lt;added-date format="utc"&gt;1677276818&lt;/added-date&gt;&lt;ref-type name="Journal Article"&gt;17&lt;/ref-type&gt;&lt;rec-number&gt;531&lt;/rec-number&gt;&lt;last-updated-date format="utc"&gt;1677276818&lt;/last-updated-date&gt;&lt;accession-num&gt;WOS:000088608000017&lt;/accession-num&gt;&lt;electronic-resource-num&gt;10.1073/pnas.97.16.8841&lt;/electronic-resource-num&gt;&lt;volume&gt;97&lt;/volume&gt;&lt;/record&gt;&lt;/Cite&gt;&lt;/EndNote&gt;</w:instrText>
      </w:r>
      <w:r w:rsidRPr="00114343">
        <w:rPr>
          <w:rFonts w:ascii="Times New Roman" w:hAnsi="Times New Roman" w:cs="Times New Roman"/>
          <w:b/>
          <w:bCs/>
        </w:rPr>
        <w:fldChar w:fldCharType="separate"/>
      </w:r>
      <w:r w:rsidRPr="00114343">
        <w:rPr>
          <w:rFonts w:ascii="Times New Roman" w:hAnsi="Times New Roman" w:cs="Times New Roman"/>
          <w:b/>
          <w:bCs/>
          <w:noProof/>
        </w:rPr>
        <w:t>(Nathan and Shiloh, 2000)</w:t>
      </w:r>
      <w:r w:rsidRPr="00114343">
        <w:rPr>
          <w:rFonts w:ascii="Times New Roman" w:hAnsi="Times New Roman" w:cs="Times New Roman"/>
          <w:b/>
          <w:bCs/>
        </w:rPr>
        <w:fldChar w:fldCharType="end"/>
      </w:r>
      <w:r>
        <w:rPr>
          <w:rFonts w:ascii="Times New Roman" w:hAnsi="Times New Roman" w:cs="Times New Roman"/>
        </w:rPr>
        <w:t xml:space="preserve">. </w:t>
      </w:r>
    </w:p>
    <w:p w14:paraId="1C8E082B" w14:textId="415E5BB4" w:rsidR="00033564" w:rsidRPr="00592FFA" w:rsidRDefault="00033564" w:rsidP="00033564">
      <w:pPr>
        <w:spacing w:line="360" w:lineRule="auto"/>
        <w:jc w:val="both"/>
      </w:pPr>
      <w:r>
        <w:rPr>
          <w:rFonts w:ascii="Times New Roman" w:hAnsi="Times New Roman" w:cs="Times New Roman"/>
        </w:rPr>
        <w:tab/>
        <w:t xml:space="preserve">Within the phagolysosome, a wide range of antimicrobial proteins and AMPs are present with varying functions that act in concert to kill invading pathogens, of which the key proteins and peptides will be discussed. </w:t>
      </w:r>
      <w:r w:rsidRPr="00F40066">
        <w:rPr>
          <w:rFonts w:ascii="Times New Roman" w:hAnsi="Times New Roman" w:cs="Times New Roman"/>
        </w:rPr>
        <w:t>Lysozyme targets peptidoglycan by hydrolysing β</w:t>
      </w:r>
      <w:r w:rsidR="000D765B">
        <w:rPr>
          <w:rFonts w:ascii="Times New Roman" w:hAnsi="Times New Roman" w:cs="Times New Roman"/>
        </w:rPr>
        <w:t xml:space="preserve"> </w:t>
      </w:r>
      <w:r w:rsidRPr="00F40066">
        <w:rPr>
          <w:rFonts w:ascii="Times New Roman" w:hAnsi="Times New Roman" w:cs="Times New Roman"/>
        </w:rPr>
        <w:t>(1-4) glycosidic linkages, thus affecting cell wall integrity of</w:t>
      </w:r>
      <w:r>
        <w:rPr>
          <w:rFonts w:ascii="Times New Roman" w:hAnsi="Times New Roman" w:cs="Times New Roman"/>
        </w:rPr>
        <w:t xml:space="preserve"> bacteria </w:t>
      </w:r>
      <w:r>
        <w:rPr>
          <w:rFonts w:ascii="Times New Roman" w:hAnsi="Times New Roman" w:cs="Times New Roman"/>
          <w:b/>
          <w:bCs/>
        </w:rPr>
        <w:t>(Fig. 1.3.4.3)</w:t>
      </w:r>
      <w:r>
        <w:rPr>
          <w:rFonts w:ascii="Times New Roman" w:hAnsi="Times New Roman" w:cs="Times New Roman"/>
        </w:rPr>
        <w:t xml:space="preserve">. However, </w:t>
      </w:r>
      <w:r>
        <w:rPr>
          <w:rFonts w:ascii="Times New Roman" w:hAnsi="Times New Roman" w:cs="Times New Roman"/>
          <w:i/>
          <w:iCs/>
        </w:rPr>
        <w:t>S. aureus</w:t>
      </w:r>
      <w:r>
        <w:rPr>
          <w:rFonts w:ascii="Times New Roman" w:hAnsi="Times New Roman" w:cs="Times New Roman"/>
        </w:rPr>
        <w:t xml:space="preserve"> is intrinsically resistant to lysozyme due to the presence of O-acetyltransferase A, which acetylates the </w:t>
      </w:r>
      <w:r w:rsidRPr="00A801A0">
        <w:rPr>
          <w:rFonts w:ascii="Times New Roman" w:hAnsi="Times New Roman" w:cs="Times New Roman"/>
        </w:rPr>
        <w:t>N-acetylmuramyl residues of peptidoglycan</w:t>
      </w:r>
      <w:r>
        <w:rPr>
          <w:rFonts w:ascii="Times New Roman" w:hAnsi="Times New Roman" w:cs="Times New Roman"/>
        </w:rPr>
        <w:t xml:space="preserve">, thus decreasing the ability of lysozyme to hydrolyse peptidoglycan </w:t>
      </w:r>
      <w:r w:rsidRPr="00A801A0">
        <w:rPr>
          <w:rFonts w:ascii="Times New Roman" w:hAnsi="Times New Roman" w:cs="Times New Roman"/>
          <w:b/>
          <w:bCs/>
        </w:rPr>
        <w:fldChar w:fldCharType="begin"/>
      </w:r>
      <w:r w:rsidRPr="00A801A0">
        <w:rPr>
          <w:rFonts w:ascii="Times New Roman" w:hAnsi="Times New Roman" w:cs="Times New Roman"/>
          <w:b/>
          <w:bCs/>
        </w:rPr>
        <w:instrText xml:space="preserve"> ADDIN EN.CITE &lt;EndNote&gt;&lt;Cite&gt;&lt;Author&gt;Bera&lt;/Author&gt;&lt;Year&gt;2005&lt;/Year&gt;&lt;IDText&gt;Why are pathogenic staphylococci so lysozyme resistant? The peptidoglycan O-acetyltransferase OatA is the major determinant for lysozyme resistance of Staphylococcus aureus&lt;/IDText&gt;&lt;DisplayText&gt;(Bera&lt;style face="italic"&gt; et al.&lt;/style&gt;, 2005)&lt;/DisplayText&gt;&lt;record&gt;&lt;dates&gt;&lt;pub-dates&gt;&lt;date&gt;Feb&lt;/date&gt;&lt;/pub-dates&gt;&lt;year&gt;2005&lt;/year&gt;&lt;/dates&gt;&lt;urls&gt;&lt;related-urls&gt;&lt;url&gt;&amp;lt;Go to ISI&amp;gt;://WOS:000226457800011&lt;/url&gt;&lt;/related-urls&gt;&lt;/urls&gt;&lt;isbn&gt;0950-382X&lt;/isbn&gt;&lt;titles&gt;&lt;title&gt;Why are pathogenic staphylococci so lysozyme resistant? The peptidoglycan O-acetyltransferase OatA is the major determinant for lysozyme resistance of Staphylococcus aureus&lt;/title&gt;&lt;secondary-title&gt;Molecular Microbiology&lt;/secondary-title&gt;&lt;/titles&gt;&lt;pages&gt;778-787&lt;/pages&gt;&lt;number&gt;3&lt;/number&gt;&lt;contributors&gt;&lt;authors&gt;&lt;author&gt;Bera, A.&lt;/author&gt;&lt;author&gt;Herbert, S.&lt;/author&gt;&lt;author&gt;Jakob, A.&lt;/author&gt;&lt;author&gt;Vollmer, W.&lt;/author&gt;&lt;author&gt;Gotz, F.&lt;/author&gt;&lt;/authors&gt;&lt;/contributors&gt;&lt;added-date format="utc"&gt;1677281040&lt;/added-date&gt;&lt;ref-type name="Journal Article"&gt;17&lt;/ref-type&gt;&lt;rec-number&gt;533&lt;/rec-number&gt;&lt;last-updated-date format="utc"&gt;1677281040&lt;/last-updated-date&gt;&lt;accession-num&gt;WOS:000226457800011&lt;/accession-num&gt;&lt;electronic-resource-num&gt;10.1111/j.1365-2958.2004.04446.x&lt;/electronic-resource-num&gt;&lt;volume&gt;55&lt;/volume&gt;&lt;/record&gt;&lt;/Cite&gt;&lt;/EndNote&gt;</w:instrText>
      </w:r>
      <w:r w:rsidRPr="00A801A0">
        <w:rPr>
          <w:rFonts w:ascii="Times New Roman" w:hAnsi="Times New Roman" w:cs="Times New Roman"/>
          <w:b/>
          <w:bCs/>
        </w:rPr>
        <w:fldChar w:fldCharType="separate"/>
      </w:r>
      <w:r w:rsidRPr="00A801A0">
        <w:rPr>
          <w:rFonts w:ascii="Times New Roman" w:hAnsi="Times New Roman" w:cs="Times New Roman"/>
          <w:b/>
          <w:bCs/>
          <w:noProof/>
        </w:rPr>
        <w:t>(Bera</w:t>
      </w:r>
      <w:r w:rsidRPr="00A801A0">
        <w:rPr>
          <w:rFonts w:ascii="Times New Roman" w:hAnsi="Times New Roman" w:cs="Times New Roman"/>
          <w:b/>
          <w:bCs/>
          <w:i/>
          <w:noProof/>
        </w:rPr>
        <w:t xml:space="preserve"> et al.</w:t>
      </w:r>
      <w:r w:rsidRPr="00A801A0">
        <w:rPr>
          <w:rFonts w:ascii="Times New Roman" w:hAnsi="Times New Roman" w:cs="Times New Roman"/>
          <w:b/>
          <w:bCs/>
          <w:noProof/>
        </w:rPr>
        <w:t>, 2005)</w:t>
      </w:r>
      <w:r w:rsidRPr="00A801A0">
        <w:rPr>
          <w:rFonts w:ascii="Times New Roman" w:hAnsi="Times New Roman" w:cs="Times New Roman"/>
          <w:b/>
          <w:bCs/>
        </w:rPr>
        <w:fldChar w:fldCharType="end"/>
      </w:r>
      <w:r w:rsidRPr="00A801A0">
        <w:rPr>
          <w:rFonts w:ascii="Times New Roman" w:hAnsi="Times New Roman" w:cs="Times New Roman"/>
        </w:rPr>
        <w:t>.</w:t>
      </w:r>
      <w:r>
        <w:rPr>
          <w:rFonts w:ascii="Times New Roman" w:hAnsi="Times New Roman" w:cs="Times New Roman"/>
        </w:rPr>
        <w:t xml:space="preserve"> Furthermore, cathepsins are cysteine proteases found in lysosomes and thus the phagolysosome. Cathepsin G was shown to degrade </w:t>
      </w:r>
      <w:r>
        <w:rPr>
          <w:rFonts w:ascii="Times New Roman" w:hAnsi="Times New Roman" w:cs="Times New Roman"/>
          <w:i/>
          <w:iCs/>
        </w:rPr>
        <w:t xml:space="preserve">S. aureus </w:t>
      </w:r>
      <w:r>
        <w:rPr>
          <w:rFonts w:ascii="Times New Roman" w:hAnsi="Times New Roman" w:cs="Times New Roman"/>
        </w:rPr>
        <w:t xml:space="preserve">biofilms via neutrophil degranulation, which subsequently allowed neutrophil phagocytosis of bacteria </w:t>
      </w:r>
      <w:r w:rsidRPr="000A290B">
        <w:rPr>
          <w:rFonts w:ascii="Times New Roman" w:hAnsi="Times New Roman" w:cs="Times New Roman"/>
          <w:b/>
          <w:bCs/>
        </w:rPr>
        <w:fldChar w:fldCharType="begin"/>
      </w:r>
      <w:r w:rsidRPr="000A290B">
        <w:rPr>
          <w:rFonts w:ascii="Times New Roman" w:hAnsi="Times New Roman" w:cs="Times New Roman"/>
          <w:b/>
          <w:bCs/>
        </w:rPr>
        <w:instrText xml:space="preserve"> ADDIN EN.CITE &lt;EndNote&gt;&lt;Cite&gt;&lt;Author&gt;Kavanaugh&lt;/Author&gt;&lt;Year&gt;2021&lt;/Year&gt;&lt;IDText&gt;Cathepsin G Degrades Staphylococcus aureus Biofilms&lt;/IDText&gt;&lt;DisplayText&gt;(Kavanaugh&lt;style face="italic"&gt; et al.&lt;/style&gt;, 2021)&lt;/DisplayText&gt;&lt;record&gt;&lt;dates&gt;&lt;pub-dates&gt;&lt;date&gt;Jun&lt;/date&gt;&lt;/pub-dates&gt;&lt;year&gt;2021&lt;/year&gt;&lt;/dates&gt;&lt;urls&gt;&lt;related-urls&gt;&lt;url&gt;&amp;lt;Go to ISI&amp;gt;://WOS:000671124800004&lt;/url&gt;&lt;/related-urls&gt;&lt;/urls&gt;&lt;isbn&gt;0022-1899&lt;/isbn&gt;&lt;titles&gt;&lt;title&gt;Cathepsin G Degrades Staphylococcus aureus Biofilms&lt;/title&gt;&lt;secondary-title&gt;Journal of Infectious Diseases&lt;/secondary-title&gt;&lt;/titles&gt;&lt;pages&gt;1865-1869&lt;/pages&gt;&lt;number&gt;11&lt;/number&gt;&lt;contributors&gt;&lt;authors&gt;&lt;author&gt;Kavanaugh, J. S.&lt;/author&gt;&lt;author&gt;Leidal, K. G.&lt;/author&gt;&lt;author&gt;Nauseef, W. M.&lt;/author&gt;&lt;author&gt;Horswill, A. R.&lt;/author&gt;&lt;/authors&gt;&lt;/contributors&gt;&lt;added-date format="utc"&gt;1677286039&lt;/added-date&gt;&lt;ref-type name="Journal Article"&gt;17&lt;/ref-type&gt;&lt;rec-number&gt;536&lt;/rec-number&gt;&lt;last-updated-date format="utc"&gt;1677286039&lt;/last-updated-date&gt;&lt;accession-num&gt;WOS:000671124800004&lt;/accession-num&gt;&lt;electronic-resource-num&gt;10.1093/infdis/jiaa612&lt;/electronic-resource-num&gt;&lt;volume&gt;223&lt;/volume&gt;&lt;/record&gt;&lt;/Cite&gt;&lt;/EndNote&gt;</w:instrText>
      </w:r>
      <w:r w:rsidRPr="000A290B">
        <w:rPr>
          <w:rFonts w:ascii="Times New Roman" w:hAnsi="Times New Roman" w:cs="Times New Roman"/>
          <w:b/>
          <w:bCs/>
        </w:rPr>
        <w:fldChar w:fldCharType="separate"/>
      </w:r>
      <w:r w:rsidRPr="000A290B">
        <w:rPr>
          <w:rFonts w:ascii="Times New Roman" w:hAnsi="Times New Roman" w:cs="Times New Roman"/>
          <w:b/>
          <w:bCs/>
          <w:noProof/>
        </w:rPr>
        <w:t>(Kavanaugh</w:t>
      </w:r>
      <w:r w:rsidRPr="000A290B">
        <w:rPr>
          <w:rFonts w:ascii="Times New Roman" w:hAnsi="Times New Roman" w:cs="Times New Roman"/>
          <w:b/>
          <w:bCs/>
          <w:i/>
          <w:noProof/>
        </w:rPr>
        <w:t xml:space="preserve"> et al.</w:t>
      </w:r>
      <w:r w:rsidRPr="000A290B">
        <w:rPr>
          <w:rFonts w:ascii="Times New Roman" w:hAnsi="Times New Roman" w:cs="Times New Roman"/>
          <w:b/>
          <w:bCs/>
          <w:noProof/>
        </w:rPr>
        <w:t>, 2021)</w:t>
      </w:r>
      <w:r w:rsidRPr="000A290B">
        <w:rPr>
          <w:rFonts w:ascii="Times New Roman" w:hAnsi="Times New Roman" w:cs="Times New Roman"/>
          <w:b/>
          <w:bCs/>
        </w:rPr>
        <w:fldChar w:fldCharType="end"/>
      </w:r>
      <w:r>
        <w:rPr>
          <w:rFonts w:ascii="Times New Roman" w:hAnsi="Times New Roman" w:cs="Times New Roman"/>
        </w:rPr>
        <w:t xml:space="preserve">. Cathepsins K and L play a role in </w:t>
      </w:r>
      <w:r>
        <w:rPr>
          <w:rFonts w:ascii="Times New Roman" w:hAnsi="Times New Roman" w:cs="Times New Roman"/>
          <w:i/>
          <w:iCs/>
        </w:rPr>
        <w:t xml:space="preserve">S. aureus </w:t>
      </w:r>
      <w:r>
        <w:rPr>
          <w:rFonts w:ascii="Times New Roman" w:hAnsi="Times New Roman" w:cs="Times New Roman"/>
        </w:rPr>
        <w:t>clearance by macrophages,</w:t>
      </w:r>
      <w:r>
        <w:rPr>
          <w:rFonts w:ascii="Times New Roman" w:hAnsi="Times New Roman" w:cs="Times New Roman"/>
          <w:i/>
          <w:iCs/>
        </w:rPr>
        <w:t xml:space="preserve"> </w:t>
      </w:r>
      <w:r>
        <w:rPr>
          <w:rFonts w:ascii="Times New Roman" w:hAnsi="Times New Roman" w:cs="Times New Roman"/>
        </w:rPr>
        <w:t xml:space="preserve">with cathepsin K involved in </w:t>
      </w:r>
      <w:bookmarkStart w:id="53" w:name="_Hlk128178695"/>
      <w:r>
        <w:rPr>
          <w:rFonts w:ascii="Times New Roman" w:hAnsi="Times New Roman" w:cs="Times New Roman"/>
        </w:rPr>
        <w:t xml:space="preserve">interleukin-6 (IL-6) </w:t>
      </w:r>
      <w:bookmarkEnd w:id="53"/>
      <w:r>
        <w:rPr>
          <w:rFonts w:ascii="Times New Roman" w:hAnsi="Times New Roman" w:cs="Times New Roman"/>
        </w:rPr>
        <w:t xml:space="preserve">production </w:t>
      </w:r>
      <w:r w:rsidRPr="000A290B">
        <w:rPr>
          <w:rFonts w:ascii="Times New Roman" w:hAnsi="Times New Roman" w:cs="Times New Roman"/>
          <w:b/>
          <w:bCs/>
        </w:rPr>
        <w:fldChar w:fldCharType="begin"/>
      </w:r>
      <w:r w:rsidRPr="000A290B">
        <w:rPr>
          <w:rFonts w:ascii="Times New Roman" w:hAnsi="Times New Roman" w:cs="Times New Roman"/>
          <w:b/>
          <w:bCs/>
        </w:rPr>
        <w:instrText xml:space="preserve"> ADDIN EN.CITE &lt;EndNote&gt;&lt;Cite&gt;&lt;Author&gt;Müller&lt;/Author&gt;&lt;Year&gt;2014&lt;/Year&gt;&lt;IDText&gt;The endolysosomal cysteine cathepsins L and K are involved in macrophage-mediated clearance of Staphylococcus aureus and the concomitant cytokine induction&lt;/IDText&gt;&lt;DisplayText&gt;(Müller&lt;style face="italic"&gt; et al.&lt;/style&gt;, 2014)&lt;/DisplayText&gt;&lt;record&gt;&lt;dates&gt;&lt;pub-dates&gt;&lt;date&gt;Jan&lt;/date&gt;&lt;/pub-dates&gt;&lt;year&gt;2014&lt;/year&gt;&lt;/dates&gt;&lt;urls&gt;&lt;related-urls&gt;&lt;/related-urls&gt;&lt;/urls&gt;&lt;isbn&gt;0892-6638&lt;/isbn&gt;&lt;titles&gt;&lt;title&gt;The endolysosomal cysteine cathepsins L and K are involved in macrophage-mediated clearance of Staphylococcus aureus and the concomitant cytokine induction&lt;/title&gt;&lt;secondary-title&gt;Faseb Journal&lt;/secondary-title&gt;&lt;/titles&gt;&lt;pages&gt;162-175&lt;/pages&gt;&lt;number&gt;1&lt;/number&gt;&lt;contributors&gt;&lt;authors&gt;&lt;author&gt;Müller, S.&lt;/author&gt;&lt;author&gt;Faulhaber, A.&lt;/author&gt;&lt;author&gt;Sieber, C.&lt;/author&gt;&lt;author&gt;Pfeifer, D.&lt;/author&gt;&lt;author&gt;Hochberg, T.&lt;/author&gt;&lt;author&gt;Gansz, M.&lt;/author&gt;&lt;author&gt;Deshmukh, S. D.&lt;/author&gt;&lt;author&gt;Dauth, S.&lt;/author&gt;&lt;author&gt;Brix, K.&lt;/author&gt;&lt;author&gt;Saftig, P.&lt;/author&gt;&lt;author&gt;Peters, C.&lt;/author&gt;&lt;author&gt;Henneke, P.&lt;/author&gt;&lt;author&gt;Reinheckel, T.&lt;/author&gt;&lt;/authors&gt;&lt;/contributors&gt;&lt;added-date format="utc"&gt;1677286389&lt;/added-date&gt;&lt;ref-type name="Journal Article"&gt;17&lt;/ref-type&gt;&lt;rec-number&gt;537&lt;/rec-number&gt;&lt;last-updated-date format="utc"&gt;1677286867&lt;/last-updated-date&gt;&lt;accession-num&gt;WOS:000333526100018&lt;/accession-num&gt;&lt;electronic-resource-num&gt;10.1096/fj.13-232272&lt;/electronic-resource-num&gt;&lt;volume&gt;28&lt;/volume&gt;&lt;/record&gt;&lt;/Cite&gt;&lt;/EndNote&gt;</w:instrText>
      </w:r>
      <w:r w:rsidRPr="000A290B">
        <w:rPr>
          <w:rFonts w:ascii="Times New Roman" w:hAnsi="Times New Roman" w:cs="Times New Roman"/>
          <w:b/>
          <w:bCs/>
        </w:rPr>
        <w:fldChar w:fldCharType="separate"/>
      </w:r>
      <w:r w:rsidRPr="000A290B">
        <w:rPr>
          <w:rFonts w:ascii="Times New Roman" w:hAnsi="Times New Roman" w:cs="Times New Roman"/>
          <w:b/>
          <w:bCs/>
          <w:noProof/>
        </w:rPr>
        <w:t>(Müller</w:t>
      </w:r>
      <w:r w:rsidRPr="000A290B">
        <w:rPr>
          <w:rFonts w:ascii="Times New Roman" w:hAnsi="Times New Roman" w:cs="Times New Roman"/>
          <w:b/>
          <w:bCs/>
          <w:i/>
          <w:noProof/>
        </w:rPr>
        <w:t xml:space="preserve"> et al.</w:t>
      </w:r>
      <w:r w:rsidRPr="000A290B">
        <w:rPr>
          <w:rFonts w:ascii="Times New Roman" w:hAnsi="Times New Roman" w:cs="Times New Roman"/>
          <w:b/>
          <w:bCs/>
          <w:noProof/>
        </w:rPr>
        <w:t>, 2014)</w:t>
      </w:r>
      <w:r w:rsidRPr="000A290B">
        <w:rPr>
          <w:rFonts w:ascii="Times New Roman" w:hAnsi="Times New Roman" w:cs="Times New Roman"/>
          <w:b/>
          <w:bCs/>
        </w:rPr>
        <w:fldChar w:fldCharType="end"/>
      </w:r>
      <w:r>
        <w:rPr>
          <w:rFonts w:ascii="Times New Roman" w:hAnsi="Times New Roman" w:cs="Times New Roman"/>
        </w:rPr>
        <w:t xml:space="preserve">. Other degradative enzymes include phosphatases, lipases and nucleases. Phagocytes also produce cationic AMPs. The LL-37 cathelicidin is the sole member of the human cathelicidin family of AMPs, a cationic peptide that functions by interacting with and penetrating the negatively charged bacterial cell membrane, culminating in bacterial cell lysis </w:t>
      </w:r>
      <w:r w:rsidRPr="00335673">
        <w:rPr>
          <w:rFonts w:ascii="Times New Roman" w:hAnsi="Times New Roman" w:cs="Times New Roman"/>
          <w:b/>
          <w:bCs/>
        </w:rPr>
        <w:fldChar w:fldCharType="begin">
          <w:fldData xml:space="preserve">PEVuZE5vdGU+PENpdGU+PEF1dGhvcj5LdXJvZGE8L0F1dGhvcj48WWVhcj4yMDE1PC9ZZWFyPjxJ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</w:fldData>
        </w:fldChar>
      </w:r>
      <w:r w:rsidRPr="00335673">
        <w:rPr>
          <w:rFonts w:ascii="Times New Roman" w:hAnsi="Times New Roman" w:cs="Times New Roman"/>
          <w:b/>
          <w:bCs/>
        </w:rPr>
        <w:instrText xml:space="preserve"> ADDIN EN.CITE </w:instrText>
      </w:r>
      <w:r w:rsidRPr="00335673">
        <w:rPr>
          <w:rFonts w:ascii="Times New Roman" w:hAnsi="Times New Roman" w:cs="Times New Roman"/>
          <w:b/>
          <w:bCs/>
        </w:rPr>
        <w:fldChar w:fldCharType="begin">
          <w:fldData xml:space="preserve">PEVuZE5vdGU+PENpdGU+PEF1dGhvcj5LdXJvZGE8L0F1dGhvcj48WWVhcj4yMDE1PC9ZZWFyPjxJ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</w:fldData>
        </w:fldChar>
      </w:r>
      <w:r w:rsidRPr="00335673">
        <w:rPr>
          <w:rFonts w:ascii="Times New Roman" w:hAnsi="Times New Roman" w:cs="Times New Roman"/>
          <w:b/>
          <w:bCs/>
        </w:rPr>
        <w:instrText xml:space="preserve"> ADDIN EN.CITE.DATA </w:instrText>
      </w:r>
      <w:r w:rsidRPr="00335673">
        <w:rPr>
          <w:rFonts w:ascii="Times New Roman" w:hAnsi="Times New Roman" w:cs="Times New Roman"/>
          <w:b/>
          <w:bCs/>
        </w:rPr>
      </w:r>
      <w:r w:rsidRPr="00335673">
        <w:rPr>
          <w:rFonts w:ascii="Times New Roman" w:hAnsi="Times New Roman" w:cs="Times New Roman"/>
          <w:b/>
          <w:bCs/>
        </w:rPr>
        <w:fldChar w:fldCharType="end"/>
      </w:r>
      <w:r w:rsidRPr="00335673">
        <w:rPr>
          <w:rFonts w:ascii="Times New Roman" w:hAnsi="Times New Roman" w:cs="Times New Roman"/>
          <w:b/>
          <w:bCs/>
        </w:rPr>
      </w:r>
      <w:r w:rsidRPr="00335673">
        <w:rPr>
          <w:rFonts w:ascii="Times New Roman" w:hAnsi="Times New Roman" w:cs="Times New Roman"/>
          <w:b/>
          <w:bCs/>
        </w:rPr>
        <w:fldChar w:fldCharType="separate"/>
      </w:r>
      <w:r w:rsidRPr="00335673">
        <w:rPr>
          <w:rFonts w:ascii="Times New Roman" w:hAnsi="Times New Roman" w:cs="Times New Roman"/>
          <w:b/>
          <w:bCs/>
          <w:noProof/>
        </w:rPr>
        <w:t>(Kuroda</w:t>
      </w:r>
      <w:r w:rsidRPr="00335673">
        <w:rPr>
          <w:rFonts w:ascii="Times New Roman" w:hAnsi="Times New Roman" w:cs="Times New Roman"/>
          <w:b/>
          <w:bCs/>
          <w:i/>
          <w:noProof/>
        </w:rPr>
        <w:t xml:space="preserve"> et al.</w:t>
      </w:r>
      <w:r w:rsidRPr="00335673">
        <w:rPr>
          <w:rFonts w:ascii="Times New Roman" w:hAnsi="Times New Roman" w:cs="Times New Roman"/>
          <w:b/>
          <w:bCs/>
          <w:noProof/>
        </w:rPr>
        <w:t>, 2015; Kahlenberg and Kaplan, 2013)</w:t>
      </w:r>
      <w:r w:rsidRPr="00335673">
        <w:rPr>
          <w:rFonts w:ascii="Times New Roman" w:hAnsi="Times New Roman" w:cs="Times New Roman"/>
          <w:b/>
          <w:bCs/>
        </w:rPr>
        <w:fldChar w:fldCharType="end"/>
      </w:r>
      <w:r>
        <w:rPr>
          <w:rFonts w:ascii="Times New Roman" w:hAnsi="Times New Roman" w:cs="Times New Roman"/>
        </w:rPr>
        <w:t xml:space="preserve">. In addition to interacting with and killing </w:t>
      </w:r>
      <w:r>
        <w:rPr>
          <w:rFonts w:ascii="Times New Roman" w:hAnsi="Times New Roman" w:cs="Times New Roman"/>
          <w:i/>
          <w:iCs/>
        </w:rPr>
        <w:t>S. aureus</w:t>
      </w:r>
      <w:r>
        <w:rPr>
          <w:rFonts w:ascii="Times New Roman" w:hAnsi="Times New Roman" w:cs="Times New Roman"/>
        </w:rPr>
        <w:t xml:space="preserve">, LL-37 has immunomodulatory effects. LL-37 can opsonise bacteria in order to increase the rate of phagocytosis </w:t>
      </w:r>
      <w:r w:rsidRPr="00C36C05">
        <w:rPr>
          <w:rFonts w:ascii="Times New Roman" w:hAnsi="Times New Roman" w:cs="Times New Roman"/>
          <w:b/>
          <w:bCs/>
        </w:rPr>
        <w:fldChar w:fldCharType="begin"/>
      </w:r>
      <w:r w:rsidRPr="00C36C05">
        <w:rPr>
          <w:rFonts w:ascii="Times New Roman" w:hAnsi="Times New Roman" w:cs="Times New Roman"/>
          <w:b/>
          <w:bCs/>
        </w:rPr>
        <w:instrText xml:space="preserve"> ADDIN EN.CITE &lt;EndNote&gt;&lt;Cite&gt;&lt;Author&gt;Lishko&lt;/Author&gt;&lt;Year&gt;2016&lt;/Year&gt;&lt;IDText&gt;Identification of human cathelicidin peptide LL-37 as a ligand for macrophage integrin alpha(M)beta(2) (Mac-1, CD11b/CD18) that promotes phagocytosis by opsonizing bacteria&lt;/IDText&gt;&lt;DisplayText&gt;(Lishko&lt;style face="italic"&gt; et al.&lt;/style&gt;, 2016)&lt;/DisplayText&gt;&lt;record&gt;&lt;urls&gt;&lt;related-urls&gt;&lt;url&gt;&amp;lt;Go to ISI&amp;gt;://WOS:000382966800004&lt;/url&gt;&lt;/related-urls&gt;&lt;/urls&gt;&lt;titles&gt;&lt;title&gt;Identification of human cathelicidin peptide LL-37 as a ligand for macrophage integrin alpha(M)beta(2) (Mac-1, CD11b/CD18) that promotes phagocytosis by opsonizing bacteria&lt;/title&gt;&lt;secondary-title&gt;Research and Reports in Biochemistry&lt;/secondary-title&gt;&lt;/titles&gt;&lt;pages&gt;39-55&lt;/pages&gt;&lt;contributors&gt;&lt;authors&gt;&lt;author&gt;Lishko, V. K.&lt;/author&gt;&lt;author&gt;Moreno, B.&lt;/author&gt;&lt;author&gt;Podolnikova, N. P.&lt;/author&gt;&lt;author&gt;Ugarova, T. P.&lt;/author&gt;&lt;/authors&gt;&lt;/contributors&gt;&lt;added-date format="utc"&gt;1677281998&lt;/added-date&gt;&lt;ref-type name="Journal Article"&gt;17&lt;/ref-type&gt;&lt;dates&gt;&lt;year&gt;2016&lt;/year&gt;&lt;/dates&gt;&lt;rec-number&gt;534&lt;/rec-number&gt;&lt;last-updated-date format="utc"&gt;1677281998&lt;/last-updated-date&gt;&lt;accession-num&gt;WOS:000382966800004&lt;/accession-num&gt;&lt;electronic-resource-num&gt;10.2147/rrbc.s107070&lt;/electronic-resource-num&gt;&lt;volume&gt;6&lt;/volume&gt;&lt;/record&gt;&lt;/Cite&gt;&lt;/EndNote&gt;</w:instrText>
      </w:r>
      <w:r w:rsidRPr="00C36C05">
        <w:rPr>
          <w:rFonts w:ascii="Times New Roman" w:hAnsi="Times New Roman" w:cs="Times New Roman"/>
          <w:b/>
          <w:bCs/>
        </w:rPr>
        <w:fldChar w:fldCharType="separate"/>
      </w:r>
      <w:r w:rsidRPr="00C36C05">
        <w:rPr>
          <w:rFonts w:ascii="Times New Roman" w:hAnsi="Times New Roman" w:cs="Times New Roman"/>
          <w:b/>
          <w:bCs/>
          <w:noProof/>
        </w:rPr>
        <w:t>(Lishko</w:t>
      </w:r>
      <w:r w:rsidRPr="00C36C05">
        <w:rPr>
          <w:rFonts w:ascii="Times New Roman" w:hAnsi="Times New Roman" w:cs="Times New Roman"/>
          <w:b/>
          <w:bCs/>
          <w:i/>
          <w:noProof/>
        </w:rPr>
        <w:t xml:space="preserve"> et al.</w:t>
      </w:r>
      <w:r w:rsidRPr="00C36C05">
        <w:rPr>
          <w:rFonts w:ascii="Times New Roman" w:hAnsi="Times New Roman" w:cs="Times New Roman"/>
          <w:b/>
          <w:bCs/>
          <w:noProof/>
        </w:rPr>
        <w:t>, 2016)</w:t>
      </w:r>
      <w:r w:rsidRPr="00C36C05">
        <w:rPr>
          <w:rFonts w:ascii="Times New Roman" w:hAnsi="Times New Roman" w:cs="Times New Roman"/>
          <w:b/>
          <w:bCs/>
        </w:rPr>
        <w:fldChar w:fldCharType="end"/>
      </w:r>
      <w:r>
        <w:rPr>
          <w:rFonts w:ascii="Times New Roman" w:hAnsi="Times New Roman" w:cs="Times New Roman"/>
        </w:rPr>
        <w:t xml:space="preserve"> and was shown to aid intracellular killing of </w:t>
      </w:r>
      <w:r>
        <w:rPr>
          <w:rFonts w:ascii="Times New Roman" w:hAnsi="Times New Roman" w:cs="Times New Roman"/>
          <w:i/>
          <w:iCs/>
        </w:rPr>
        <w:t>S. aureus</w:t>
      </w:r>
      <w:r>
        <w:rPr>
          <w:rFonts w:ascii="Times New Roman" w:hAnsi="Times New Roman" w:cs="Times New Roman"/>
        </w:rPr>
        <w:t xml:space="preserve"> with an increase in ROS production </w:t>
      </w:r>
      <w:r w:rsidRPr="00D737D3">
        <w:rPr>
          <w:rFonts w:ascii="Times New Roman" w:hAnsi="Times New Roman" w:cs="Times New Roman"/>
          <w:b/>
          <w:bCs/>
        </w:rPr>
        <w:fldChar w:fldCharType="begin"/>
      </w:r>
      <w:r w:rsidRPr="00D737D3">
        <w:rPr>
          <w:rFonts w:ascii="Times New Roman" w:hAnsi="Times New Roman" w:cs="Times New Roman"/>
          <w:b/>
          <w:bCs/>
        </w:rPr>
        <w:instrText xml:space="preserve"> ADDIN EN.CITE &lt;EndNote&gt;&lt;Cite&gt;&lt;Author&gt;Tang&lt;/Author&gt;&lt;Year&gt;2015&lt;/Year&gt;&lt;IDText&gt;P2X(7) Receptor Regulates Internalization of Antimicrobial Peptide LL-37 by Human Macrophages That Promotes Intracellular Pathogen Clearance&lt;/IDText&gt;&lt;DisplayText&gt;(Tang&lt;style face="italic"&gt; et al.&lt;/style&gt;, 2015)&lt;/DisplayText&gt;&lt;record&gt;&lt;dates&gt;&lt;pub-dates&gt;&lt;date&gt;Aug&lt;/date&gt;&lt;/pub-dates&gt;&lt;year&gt;2015&lt;/year&gt;&lt;/dates&gt;&lt;urls&gt;&lt;related-urls&gt;&lt;url&gt;&amp;lt;Go to ISI&amp;gt;://WOS:000358070400048&lt;/url&gt;&lt;/related-urls&gt;&lt;/urls&gt;&lt;isbn&gt;0022-1767&lt;/isbn&gt;&lt;titles&gt;&lt;title&gt;P2X(7) Receptor Regulates Internalization of Antimicrobial Peptide LL-37 by Human Macrophages That Promotes Intracellular Pathogen Clearance&lt;/title&gt;&lt;secondary-title&gt;Journal of Immunology&lt;/secondary-title&gt;&lt;/titles&gt;&lt;pages&gt;1191-1201&lt;/pages&gt;&lt;number&gt;3&lt;/number&gt;&lt;contributors&gt;&lt;authors&gt;&lt;author&gt;Tang, X.&lt;/author&gt;&lt;author&gt;Basavarajappa, D.&lt;/author&gt;&lt;author&gt;Haeggstrom, J. Z.&lt;/author&gt;&lt;author&gt;Wan, M.&lt;/author&gt;&lt;/authors&gt;&lt;/contributors&gt;&lt;added-date format="utc"&gt;1677282477&lt;/added-date&gt;&lt;ref-type name="Journal Article"&gt;17&lt;/ref-type&gt;&lt;rec-number&gt;535&lt;/rec-number&gt;&lt;last-updated-date format="utc"&gt;1677282477&lt;/last-updated-date&gt;&lt;accession-num&gt;WOS:000358070400048&lt;/accession-num&gt;&lt;electronic-resource-num&gt;10.4049/jimmunol.1402845&lt;/electronic-resource-num&gt;&lt;volume&gt;195&lt;/volume&gt;&lt;/record&gt;&lt;/Cite&gt;&lt;/EndNote&gt;</w:instrText>
      </w:r>
      <w:r w:rsidRPr="00D737D3">
        <w:rPr>
          <w:rFonts w:ascii="Times New Roman" w:hAnsi="Times New Roman" w:cs="Times New Roman"/>
          <w:b/>
          <w:bCs/>
        </w:rPr>
        <w:fldChar w:fldCharType="separate"/>
      </w:r>
      <w:r w:rsidRPr="00D737D3">
        <w:rPr>
          <w:rFonts w:ascii="Times New Roman" w:hAnsi="Times New Roman" w:cs="Times New Roman"/>
          <w:b/>
          <w:bCs/>
          <w:noProof/>
        </w:rPr>
        <w:t>(Tang</w:t>
      </w:r>
      <w:r w:rsidRPr="00D737D3">
        <w:rPr>
          <w:rFonts w:ascii="Times New Roman" w:hAnsi="Times New Roman" w:cs="Times New Roman"/>
          <w:b/>
          <w:bCs/>
          <w:i/>
          <w:noProof/>
        </w:rPr>
        <w:t xml:space="preserve"> et al.</w:t>
      </w:r>
      <w:r w:rsidRPr="00D737D3">
        <w:rPr>
          <w:rFonts w:ascii="Times New Roman" w:hAnsi="Times New Roman" w:cs="Times New Roman"/>
          <w:b/>
          <w:bCs/>
          <w:noProof/>
        </w:rPr>
        <w:t>, 2015)</w:t>
      </w:r>
      <w:r w:rsidRPr="00D737D3">
        <w:rPr>
          <w:rFonts w:ascii="Times New Roman" w:hAnsi="Times New Roman" w:cs="Times New Roman"/>
          <w:b/>
          <w:bCs/>
        </w:rPr>
        <w:fldChar w:fldCharType="end"/>
      </w:r>
      <w:r>
        <w:rPr>
          <w:rFonts w:ascii="Times New Roman" w:hAnsi="Times New Roman" w:cs="Times New Roman"/>
        </w:rPr>
        <w:t xml:space="preserve">. Four of the six human </w:t>
      </w:r>
      <w:r w:rsidRPr="00257EA7">
        <w:rPr>
          <w:rFonts w:ascii="Times New Roman" w:hAnsi="Times New Roman" w:cs="Times New Roman"/>
        </w:rPr>
        <w:t>α</w:t>
      </w:r>
      <w:r>
        <w:rPr>
          <w:rFonts w:ascii="Times New Roman" w:hAnsi="Times New Roman" w:cs="Times New Roman"/>
        </w:rPr>
        <w:t>-defensins are found exclusively within neutrophils (</w:t>
      </w:r>
      <w:bookmarkStart w:id="54" w:name="_Hlk128180627"/>
      <w:r>
        <w:rPr>
          <w:rFonts w:ascii="Times New Roman" w:hAnsi="Times New Roman" w:cs="Times New Roman"/>
        </w:rPr>
        <w:t xml:space="preserve">human neutrophil </w:t>
      </w:r>
      <w:r w:rsidRPr="00257EA7">
        <w:rPr>
          <w:rFonts w:ascii="Times New Roman" w:hAnsi="Times New Roman" w:cs="Times New Roman"/>
        </w:rPr>
        <w:t>α</w:t>
      </w:r>
      <w:r>
        <w:rPr>
          <w:rFonts w:ascii="Times New Roman" w:hAnsi="Times New Roman" w:cs="Times New Roman"/>
        </w:rPr>
        <w:t>-defensin 1-4 (HNP1-4</w:t>
      </w:r>
      <w:bookmarkEnd w:id="54"/>
      <w:r>
        <w:rPr>
          <w:rFonts w:ascii="Times New Roman" w:hAnsi="Times New Roman" w:cs="Times New Roman"/>
        </w:rPr>
        <w:t xml:space="preserve">)), specifically the azurophilic granules. As mentioned previously, MprF and the </w:t>
      </w:r>
      <w:r w:rsidRPr="004E63B1">
        <w:rPr>
          <w:rFonts w:ascii="Times New Roman" w:hAnsi="Times New Roman" w:cs="Times New Roman"/>
          <w:i/>
          <w:iCs/>
        </w:rPr>
        <w:t>dltABCD</w:t>
      </w:r>
      <w:r>
        <w:rPr>
          <w:rFonts w:ascii="Times New Roman" w:hAnsi="Times New Roman" w:cs="Times New Roman"/>
        </w:rPr>
        <w:t xml:space="preserve"> operon are implicated in the resistance to peptides such as daptomycin. Extra copies of the </w:t>
      </w:r>
      <w:r w:rsidRPr="004E63B1">
        <w:rPr>
          <w:rFonts w:ascii="Times New Roman" w:hAnsi="Times New Roman" w:cs="Times New Roman"/>
          <w:i/>
          <w:iCs/>
        </w:rPr>
        <w:t xml:space="preserve">dltABCD </w:t>
      </w:r>
      <w:r>
        <w:rPr>
          <w:rFonts w:ascii="Times New Roman" w:hAnsi="Times New Roman" w:cs="Times New Roman"/>
        </w:rPr>
        <w:t xml:space="preserve">operon rendered </w:t>
      </w:r>
      <w:r>
        <w:rPr>
          <w:rFonts w:ascii="Times New Roman" w:hAnsi="Times New Roman" w:cs="Times New Roman"/>
          <w:i/>
          <w:iCs/>
        </w:rPr>
        <w:t>S. aureus</w:t>
      </w:r>
      <w:r>
        <w:rPr>
          <w:rFonts w:ascii="Times New Roman" w:hAnsi="Times New Roman" w:cs="Times New Roman"/>
        </w:rPr>
        <w:t xml:space="preserve"> resistant to HNP1-3 via membrane modification with LTA/WTA leading to an increase in net positive charge </w:t>
      </w:r>
      <w:r w:rsidRPr="004E63B1">
        <w:rPr>
          <w:rFonts w:ascii="Times New Roman" w:hAnsi="Times New Roman" w:cs="Times New Roman"/>
          <w:b/>
          <w:bCs/>
        </w:rPr>
        <w:fldChar w:fldCharType="begin"/>
      </w:r>
      <w:r w:rsidRPr="004E63B1">
        <w:rPr>
          <w:rFonts w:ascii="Times New Roman" w:hAnsi="Times New Roman" w:cs="Times New Roman"/>
          <w:b/>
          <w:bCs/>
        </w:rPr>
        <w:instrText xml:space="preserve"> ADDIN EN.CITE &lt;EndNote&gt;&lt;Cite&gt;&lt;Author&gt;Peschel&lt;/Author&gt;&lt;Year&gt;1999&lt;/Year&gt;&lt;IDText&gt;Inactivation of the dlt operon in Staphylococcus aureus confers sensitivity to defensins, protegrins, and other antimicrobial peptides&lt;/IDText&gt;&lt;DisplayText&gt;(Peschel&lt;style face="italic"&gt; et al.&lt;/style&gt;, 1999)&lt;/DisplayText&gt;&lt;record&gt;&lt;dates&gt;&lt;pub-dates&gt;&lt;date&gt;Mar&lt;/date&gt;&lt;/pub-dates&gt;&lt;year&gt;1999&lt;/year&gt;&lt;/dates&gt;&lt;urls&gt;&lt;related-urls&gt;&lt;url&gt;&amp;lt;Go to ISI&amp;gt;://WOS:000079451600013&lt;/url&gt;&lt;/related-urls&gt;&lt;/urls&gt;&lt;isbn&gt;0021-9258&lt;/isbn&gt;&lt;titles&gt;&lt;title&gt;Inactivation of the dlt operon in Staphylococcus aureus confers sensitivity to defensins, protegrins, and other antimicrobial peptides&lt;/title&gt;&lt;secondary-title&gt;Journal of Biological Chemistry&lt;/secondary-title&gt;&lt;/titles&gt;&lt;pages&gt;8405-8410&lt;/pages&gt;&lt;number&gt;13&lt;/number&gt;&lt;contributors&gt;&lt;authors&gt;&lt;author&gt;Peschel, A.&lt;/author&gt;&lt;author&gt;Otto, M.&lt;/author&gt;&lt;author&gt;Jack, R. W.&lt;/author&gt;&lt;author&gt;Kalbacher, H.&lt;/author&gt;&lt;author&gt;Jung, G.&lt;/author&gt;&lt;author&gt;Gotz, F.&lt;/author&gt;&lt;/authors&gt;&lt;/contributors&gt;&lt;added-date format="utc"&gt;1677288943&lt;/added-date&gt;&lt;ref-type name="Journal Article"&gt;17&lt;/ref-type&gt;&lt;rec-number&gt;540&lt;/rec-number&gt;&lt;last-updated-date format="utc"&gt;1677288943&lt;/last-updated-date&gt;&lt;accession-num&gt;WOS:000079451600013&lt;/accession-num&gt;&lt;electronic-resource-num&gt;10.1074/jbc.274.13.8405&lt;/electronic-resource-num&gt;&lt;volume&gt;274&lt;/volume&gt;&lt;/record&gt;&lt;/Cite&gt;&lt;/EndNote&gt;</w:instrText>
      </w:r>
      <w:r w:rsidRPr="004E63B1">
        <w:rPr>
          <w:rFonts w:ascii="Times New Roman" w:hAnsi="Times New Roman" w:cs="Times New Roman"/>
          <w:b/>
          <w:bCs/>
        </w:rPr>
        <w:fldChar w:fldCharType="separate"/>
      </w:r>
      <w:r w:rsidRPr="004E63B1">
        <w:rPr>
          <w:rFonts w:ascii="Times New Roman" w:hAnsi="Times New Roman" w:cs="Times New Roman"/>
          <w:b/>
          <w:bCs/>
          <w:noProof/>
        </w:rPr>
        <w:t>(Peschel</w:t>
      </w:r>
      <w:r w:rsidRPr="004E63B1">
        <w:rPr>
          <w:rFonts w:ascii="Times New Roman" w:hAnsi="Times New Roman" w:cs="Times New Roman"/>
          <w:b/>
          <w:bCs/>
          <w:i/>
          <w:noProof/>
        </w:rPr>
        <w:t xml:space="preserve"> et al.</w:t>
      </w:r>
      <w:r w:rsidRPr="004E63B1">
        <w:rPr>
          <w:rFonts w:ascii="Times New Roman" w:hAnsi="Times New Roman" w:cs="Times New Roman"/>
          <w:b/>
          <w:bCs/>
          <w:noProof/>
        </w:rPr>
        <w:t>, 1999)</w:t>
      </w:r>
      <w:r w:rsidRPr="004E63B1">
        <w:rPr>
          <w:rFonts w:ascii="Times New Roman" w:hAnsi="Times New Roman" w:cs="Times New Roman"/>
          <w:b/>
          <w:bCs/>
        </w:rPr>
        <w:fldChar w:fldCharType="end"/>
      </w:r>
      <w:r>
        <w:rPr>
          <w:rFonts w:ascii="Times New Roman" w:hAnsi="Times New Roman" w:cs="Times New Roman"/>
        </w:rPr>
        <w:t xml:space="preserve">. Similarly, MprF coordinates membrane lipid modification which enabled resistance to defensins </w:t>
      </w:r>
      <w:r w:rsidRPr="00592FFA">
        <w:rPr>
          <w:rFonts w:ascii="Times New Roman" w:hAnsi="Times New Roman" w:cs="Times New Roman"/>
          <w:b/>
          <w:bCs/>
        </w:rPr>
        <w:fldChar w:fldCharType="begin"/>
      </w:r>
      <w:r w:rsidRPr="00592FFA">
        <w:rPr>
          <w:rFonts w:ascii="Times New Roman" w:hAnsi="Times New Roman" w:cs="Times New Roman"/>
          <w:b/>
          <w:bCs/>
        </w:rPr>
        <w:instrText xml:space="preserve"> ADDIN EN.CITE &lt;EndNote&gt;&lt;Cite&gt;&lt;Author&gt;Peschel&lt;/Author&gt;&lt;Year&gt;2001&lt;/Year&gt;&lt;IDText&gt;Staphylococcus aureus resistance to human defensins and evasion of neutrophil killing via the novel virulence factor MprF is based on modification of membrane lipids with L-lysine&lt;/IDText&gt;&lt;DisplayText&gt;(Peschel&lt;style face="italic"&gt; et al.&lt;/style&gt;, 2001)&lt;/DisplayText&gt;&lt;record&gt;&lt;dates&gt;&lt;pub-dates&gt;&lt;date&gt;May&lt;/date&gt;&lt;/pub-dates&gt;&lt;year&gt;2001&lt;/year&gt;&lt;/dates&gt;&lt;urls&gt;&lt;related-urls&gt;&lt;url&gt;&amp;lt;Go to ISI&amp;gt;://WOS:000168677900009&lt;/url&gt;&lt;/related-urls&gt;&lt;/urls&gt;&lt;isbn&gt;0022-1007&lt;/isbn&gt;&lt;titles&gt;&lt;title&gt;Staphylococcus aureus resistance to human defensins and evasion of neutrophil killing via the novel virulence factor MprF is based on modification of membrane lipids with L-lysine&lt;/title&gt;&lt;secondary-title&gt;Journal of Experimental Medicine&lt;/secondary-title&gt;&lt;/titles&gt;&lt;pages&gt;1067-1076&lt;/pages&gt;&lt;number&gt;9&lt;/number&gt;&lt;contributors&gt;&lt;authors&gt;&lt;author&gt;Peschel, A.&lt;/author&gt;&lt;author&gt;Jack, R. W.&lt;/author&gt;&lt;author&gt;Otto, M.&lt;/author&gt;&lt;author&gt;Collins, L. V.&lt;/author&gt;&lt;author&gt;Staubitz, P.&lt;/author&gt;&lt;author&gt;Nicholson, G.&lt;/author&gt;&lt;author&gt;Kalbacher, H.&lt;/author&gt;&lt;author&gt;Nieuwenhuizen, W. F.&lt;/author&gt;&lt;author&gt;Jung, G.&lt;/author&gt;&lt;author&gt;Tarkowski, A.&lt;/author&gt;&lt;author&gt;van Kessel, K. P. M.&lt;/author&gt;&lt;author&gt;van Strijp, J. A. G.&lt;/author&gt;&lt;/authors&gt;&lt;/contributors&gt;&lt;added-date format="utc"&gt;1677289447&lt;/added-date&gt;&lt;ref-type name="Journal Article"&gt;17&lt;/ref-type&gt;&lt;rec-number&gt;541&lt;/rec-number&gt;&lt;last-updated-date format="utc"&gt;1677289447&lt;/last-updated-date&gt;&lt;accession-num&gt;WOS:000168677900009&lt;/accession-num&gt;&lt;electronic-resource-num&gt;10.1084/jem.193.9.1067&lt;/electronic-resource-num&gt;&lt;volume&gt;193&lt;/volume&gt;&lt;/record&gt;&lt;/Cite&gt;&lt;/EndNote&gt;</w:instrText>
      </w:r>
      <w:r w:rsidRPr="00592FFA">
        <w:rPr>
          <w:rFonts w:ascii="Times New Roman" w:hAnsi="Times New Roman" w:cs="Times New Roman"/>
          <w:b/>
          <w:bCs/>
        </w:rPr>
        <w:fldChar w:fldCharType="separate"/>
      </w:r>
      <w:r w:rsidRPr="00592FFA">
        <w:rPr>
          <w:rFonts w:ascii="Times New Roman" w:hAnsi="Times New Roman" w:cs="Times New Roman"/>
          <w:b/>
          <w:bCs/>
          <w:noProof/>
        </w:rPr>
        <w:t>(Peschel</w:t>
      </w:r>
      <w:r w:rsidRPr="00592FFA">
        <w:rPr>
          <w:rFonts w:ascii="Times New Roman" w:hAnsi="Times New Roman" w:cs="Times New Roman"/>
          <w:b/>
          <w:bCs/>
          <w:i/>
          <w:noProof/>
        </w:rPr>
        <w:t xml:space="preserve"> et al.</w:t>
      </w:r>
      <w:r w:rsidRPr="00592FFA">
        <w:rPr>
          <w:rFonts w:ascii="Times New Roman" w:hAnsi="Times New Roman" w:cs="Times New Roman"/>
          <w:b/>
          <w:bCs/>
          <w:noProof/>
        </w:rPr>
        <w:t>, 2001)</w:t>
      </w:r>
      <w:r w:rsidRPr="00592FFA">
        <w:rPr>
          <w:rFonts w:ascii="Times New Roman" w:hAnsi="Times New Roman" w:cs="Times New Roman"/>
          <w:b/>
          <w:bCs/>
        </w:rPr>
        <w:fldChar w:fldCharType="end"/>
      </w:r>
      <w:r>
        <w:rPr>
          <w:rFonts w:ascii="Times New Roman" w:hAnsi="Times New Roman" w:cs="Times New Roman"/>
        </w:rPr>
        <w:t>.</w:t>
      </w:r>
    </w:p>
    <w:p w14:paraId="0FDC24ED" w14:textId="77777777" w:rsidR="00033564" w:rsidRPr="00821B13" w:rsidRDefault="00033564" w:rsidP="00033564">
      <w:pPr>
        <w:pStyle w:val="Heading3"/>
      </w:pPr>
      <w:bookmarkStart w:id="55" w:name="_Toc142043580"/>
      <w:r>
        <w:t xml:space="preserve">1.3.5. </w:t>
      </w:r>
      <w:r>
        <w:rPr>
          <w:i/>
          <w:iCs/>
        </w:rPr>
        <w:t>S. aureus</w:t>
      </w:r>
      <w:r>
        <w:t xml:space="preserve"> escape from professional phagocytes</w:t>
      </w:r>
      <w:bookmarkEnd w:id="55"/>
    </w:p>
    <w:p w14:paraId="0B8160A2" w14:textId="77777777" w:rsidR="00033564" w:rsidRDefault="00033564" w:rsidP="00033564"/>
    <w:p w14:paraId="7D64D3BB" w14:textId="6D9F580C" w:rsidR="00033564" w:rsidRPr="008D0AC6" w:rsidRDefault="00033564" w:rsidP="00033564">
      <w:pPr>
        <w:spacing w:line="360" w:lineRule="auto"/>
        <w:jc w:val="both"/>
        <w:rPr>
          <w:rFonts w:ascii="Times New Roman" w:hAnsi="Times New Roman" w:cs="Times New Roman"/>
        </w:rPr>
      </w:pPr>
      <w:r>
        <w:rPr>
          <w:rFonts w:ascii="Times New Roman" w:hAnsi="Times New Roman" w:cs="Times New Roman"/>
        </w:rPr>
        <w:t xml:space="preserve">As demonstrated, the host immune system is equipped with a plethora of mechanisms to kill pathogens, from initial recognition to uptake into phagocytes and yet, </w:t>
      </w:r>
      <w:r>
        <w:rPr>
          <w:rFonts w:ascii="Times New Roman" w:hAnsi="Times New Roman" w:cs="Times New Roman"/>
          <w:i/>
          <w:iCs/>
        </w:rPr>
        <w:t>S. aureus</w:t>
      </w:r>
      <w:r>
        <w:rPr>
          <w:rFonts w:ascii="Times New Roman" w:hAnsi="Times New Roman" w:cs="Times New Roman"/>
        </w:rPr>
        <w:t xml:space="preserve"> is able to evade killing at nearly every step. </w:t>
      </w:r>
      <w:r>
        <w:rPr>
          <w:rFonts w:ascii="Times New Roman" w:hAnsi="Times New Roman" w:cs="Times New Roman"/>
          <w:i/>
          <w:iCs/>
        </w:rPr>
        <w:t>S. aureus</w:t>
      </w:r>
      <w:r>
        <w:rPr>
          <w:rFonts w:ascii="Times New Roman" w:hAnsi="Times New Roman" w:cs="Times New Roman"/>
        </w:rPr>
        <w:t xml:space="preserve"> is an intracellular pathogen and has </w:t>
      </w:r>
      <w:r w:rsidRPr="00D553E3">
        <w:rPr>
          <w:rFonts w:ascii="Times New Roman" w:hAnsi="Times New Roman" w:cs="Times New Roman"/>
        </w:rPr>
        <w:t xml:space="preserve">been revealed to undergo clonal expansion resulting from a bottleneck within professional phagocytes </w:t>
      </w:r>
      <w:r w:rsidRPr="00D553E3">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&lt;EndNote&gt;&lt;Cite&gt;&lt;Author&gt;McVicker&lt;/Author&gt;&lt;Year&gt;2014&lt;/Year&gt;&lt;IDText&gt;Clonal Expansion during Staphylococcus aureus Infection Dynamics Reveals the Effect of Antibiotic Intervention&lt;/IDText&gt;&lt;DisplayText&gt;(McVicker&lt;style face="italic"&gt; et al.&lt;/style&gt;, 2014)&lt;/DisplayText&gt;&lt;record&gt;&lt;dates&gt;&lt;pub-dates&gt;&lt;date&gt;Feb&lt;/date&gt;&lt;/pub-dates&gt;&lt;year&gt;2014&lt;/year&gt;&lt;/dates&gt;&lt;urls&gt;&lt;related-urls&gt;&lt;url&gt;&amp;lt;Go to ISI&amp;gt;://WOS:000332085900007&lt;/url&gt;&lt;/related-urls&gt;&lt;/urls&gt;&lt;isbn&gt;1553-7366&lt;/isbn&gt;&lt;titles&gt;&lt;title&gt;Clonal Expansion during Staphylococcus aureus Infection Dynamics Reveals the Effect of Antibiotic Intervention&lt;/title&gt;&lt;secondary-title&gt;Plos Pathogens&lt;/secondary-title&gt;&lt;/titles&gt;&lt;number&gt;2&lt;/number&gt;&lt;contributors&gt;&lt;authors&gt;&lt;author&gt;McVicker, G.&lt;/author&gt;&lt;author&gt;Prajsnar, T. K.&lt;/author&gt;&lt;author&gt;Williams, A.&lt;/author&gt;&lt;author&gt;Wagner, N. L.&lt;/author&gt;&lt;author&gt;Boots, M.&lt;/author&gt;&lt;author&gt;Renshaw, S. A.&lt;/author&gt;&lt;author&gt;Foster, S. J.&lt;/author&gt;&lt;/authors&gt;&lt;/contributors&gt;&lt;custom7&gt;e1003959&lt;/custom7&gt;&lt;added-date format="utc"&gt;1674941543&lt;/added-date&gt;&lt;ref-type name="Journal Article"&gt;17&lt;/ref-type&gt;&lt;rec-number&gt;284&lt;/rec-number&gt;&lt;last-updated-date format="utc"&gt;1674941543&lt;/last-updated-date&gt;&lt;accession-num&gt;WOS:000332085900007&lt;/accession-num&gt;&lt;electronic-resource-num&gt;10.1371/journal.ppat.1003959&lt;/electronic-resource-num&gt;&lt;volume&gt;10&lt;/volume&gt;&lt;/record&gt;&lt;/Cite&gt;&lt;/EndNote&gt;</w:instrText>
      </w:r>
      <w:r w:rsidRPr="00D553E3">
        <w:rPr>
          <w:rFonts w:ascii="Times New Roman" w:hAnsi="Times New Roman" w:cs="Times New Roman"/>
          <w:b/>
          <w:bCs/>
        </w:rPr>
        <w:fldChar w:fldCharType="separate"/>
      </w:r>
      <w:r>
        <w:rPr>
          <w:rFonts w:ascii="Times New Roman" w:hAnsi="Times New Roman" w:cs="Times New Roman"/>
          <w:b/>
          <w:bCs/>
          <w:noProof/>
        </w:rPr>
        <w:t>(McVicker</w:t>
      </w:r>
      <w:r w:rsidRPr="00F95468">
        <w:rPr>
          <w:rFonts w:ascii="Times New Roman" w:hAnsi="Times New Roman" w:cs="Times New Roman"/>
          <w:b/>
          <w:bCs/>
          <w:i/>
          <w:noProof/>
        </w:rPr>
        <w:t xml:space="preserve"> et al.</w:t>
      </w:r>
      <w:r>
        <w:rPr>
          <w:rFonts w:ascii="Times New Roman" w:hAnsi="Times New Roman" w:cs="Times New Roman"/>
          <w:b/>
          <w:bCs/>
          <w:noProof/>
        </w:rPr>
        <w:t>, 2014)</w:t>
      </w:r>
      <w:r w:rsidRPr="00D553E3">
        <w:rPr>
          <w:rFonts w:ascii="Times New Roman" w:hAnsi="Times New Roman" w:cs="Times New Roman"/>
          <w:b/>
          <w:bCs/>
        </w:rPr>
        <w:fldChar w:fldCharType="end"/>
      </w:r>
      <w:r>
        <w:rPr>
          <w:rFonts w:ascii="Times New Roman" w:hAnsi="Times New Roman" w:cs="Times New Roman"/>
        </w:rPr>
        <w:t>, therefore phagocytes can be used as a replication niche and thus, dissemination if able to escape</w:t>
      </w:r>
      <w:r w:rsidRPr="00D553E3">
        <w:rPr>
          <w:rFonts w:ascii="Times New Roman" w:hAnsi="Times New Roman" w:cs="Times New Roman"/>
        </w:rPr>
        <w:t>.</w:t>
      </w:r>
      <w:r>
        <w:rPr>
          <w:rFonts w:ascii="Times New Roman" w:hAnsi="Times New Roman" w:cs="Times New Roman"/>
        </w:rPr>
        <w:t xml:space="preserve"> Phagosomal escape by </w:t>
      </w:r>
      <w:r>
        <w:rPr>
          <w:rFonts w:ascii="Times New Roman" w:hAnsi="Times New Roman" w:cs="Times New Roman"/>
          <w:i/>
          <w:iCs/>
        </w:rPr>
        <w:t xml:space="preserve">S. aureus </w:t>
      </w:r>
      <w:r>
        <w:rPr>
          <w:rFonts w:ascii="Times New Roman" w:hAnsi="Times New Roman" w:cs="Times New Roman"/>
        </w:rPr>
        <w:t xml:space="preserve">was initially described in bovine mammary epithelial (MAC-T) cells by inducing host cell apoptosis </w:t>
      </w:r>
      <w:r w:rsidRPr="009A75A9">
        <w:rPr>
          <w:rFonts w:ascii="Times New Roman" w:hAnsi="Times New Roman" w:cs="Times New Roman"/>
          <w:b/>
          <w:bCs/>
        </w:rPr>
        <w:fldChar w:fldCharType="begin"/>
      </w:r>
      <w:r w:rsidRPr="009A75A9">
        <w:rPr>
          <w:rFonts w:ascii="Times New Roman" w:hAnsi="Times New Roman" w:cs="Times New Roman"/>
          <w:b/>
          <w:bCs/>
        </w:rPr>
        <w:instrText xml:space="preserve"> ADDIN EN.CITE &lt;EndNote&gt;&lt;Cite&gt;&lt;Author&gt;Bayles&lt;/Author&gt;&lt;Year&gt;1998&lt;/Year&gt;&lt;IDText&gt;Intracellular Staphylococcus aureus escapes the endosome and induces apoptosis in epithelial cells&lt;/IDText&gt;&lt;DisplayText&gt;(Bayles&lt;style face="italic"&gt; et al.&lt;/style&gt;, 1998)&lt;/DisplayText&gt;&lt;record&gt;&lt;dates&gt;&lt;pub-dates&gt;&lt;date&gt;Jan&lt;/date&gt;&lt;/pub-dates&gt;&lt;year&gt;1998&lt;/year&gt;&lt;/dates&gt;&lt;urls&gt;&lt;related-urls&gt;&lt;url&gt;&amp;lt;Go to ISI&amp;gt;://WOS:000071290000046&lt;/url&gt;&lt;/related-urls&gt;&lt;/urls&gt;&lt;isbn&gt;0019-9567&lt;/isbn&gt;&lt;titles&gt;&lt;title&gt;Intracellular Staphylococcus aureus escapes the endosome and induces apoptosis in epithelial cells&lt;/title&gt;&lt;secondary-title&gt;Infection and Immunity&lt;/secondary-title&gt;&lt;/titles&gt;&lt;pages&gt;336-342&lt;/pages&gt;&lt;number&gt;1&lt;/number&gt;&lt;contributors&gt;&lt;authors&gt;&lt;author&gt;Bayles, K. W.&lt;/author&gt;&lt;author&gt;Wesson, C. A.&lt;/author&gt;&lt;author&gt;Liou, L. E.&lt;/author&gt;&lt;author&gt;Fox, L. K.&lt;/author&gt;&lt;author&gt;Bohach, G. A.&lt;/author&gt;&lt;author&gt;Trumble, W. R.&lt;/author&gt;&lt;/authors&gt;&lt;/contributors&gt;&lt;added-date format="utc"&gt;1677364928&lt;/added-date&gt;&lt;ref-type name="Journal Article"&gt;17&lt;/ref-type&gt;&lt;rec-number&gt;555&lt;/rec-number&gt;&lt;last-updated-date format="utc"&gt;1677364928&lt;/last-updated-date&gt;&lt;accession-num&gt;WOS:000071290000046&lt;/accession-num&gt;&lt;electronic-resource-num&gt;10.1128/iai.66.1.336-342.1998&lt;/electronic-resource-num&gt;&lt;volume&gt;66&lt;/volume&gt;&lt;/record&gt;&lt;/Cite&gt;&lt;/EndNote&gt;</w:instrText>
      </w:r>
      <w:r w:rsidRPr="009A75A9">
        <w:rPr>
          <w:rFonts w:ascii="Times New Roman" w:hAnsi="Times New Roman" w:cs="Times New Roman"/>
          <w:b/>
          <w:bCs/>
        </w:rPr>
        <w:fldChar w:fldCharType="separate"/>
      </w:r>
      <w:r w:rsidRPr="009A75A9">
        <w:rPr>
          <w:rFonts w:ascii="Times New Roman" w:hAnsi="Times New Roman" w:cs="Times New Roman"/>
          <w:b/>
          <w:bCs/>
          <w:noProof/>
        </w:rPr>
        <w:t>(Bayles</w:t>
      </w:r>
      <w:r w:rsidRPr="009A75A9">
        <w:rPr>
          <w:rFonts w:ascii="Times New Roman" w:hAnsi="Times New Roman" w:cs="Times New Roman"/>
          <w:b/>
          <w:bCs/>
          <w:i/>
          <w:noProof/>
        </w:rPr>
        <w:t xml:space="preserve"> et al.</w:t>
      </w:r>
      <w:r w:rsidRPr="009A75A9">
        <w:rPr>
          <w:rFonts w:ascii="Times New Roman" w:hAnsi="Times New Roman" w:cs="Times New Roman"/>
          <w:b/>
          <w:bCs/>
          <w:noProof/>
        </w:rPr>
        <w:t>, 1998)</w:t>
      </w:r>
      <w:r w:rsidRPr="009A75A9">
        <w:rPr>
          <w:rFonts w:ascii="Times New Roman" w:hAnsi="Times New Roman" w:cs="Times New Roman"/>
          <w:b/>
          <w:bCs/>
        </w:rPr>
        <w:fldChar w:fldCharType="end"/>
      </w:r>
      <w:r>
        <w:rPr>
          <w:rFonts w:ascii="Times New Roman" w:hAnsi="Times New Roman" w:cs="Times New Roman"/>
        </w:rPr>
        <w:t xml:space="preserve">. </w:t>
      </w:r>
      <w:r>
        <w:rPr>
          <w:rFonts w:ascii="Times New Roman" w:hAnsi="Times New Roman" w:cs="Times New Roman"/>
          <w:i/>
          <w:iCs/>
        </w:rPr>
        <w:t xml:space="preserve">S. aureus </w:t>
      </w:r>
      <w:r>
        <w:rPr>
          <w:rFonts w:ascii="Times New Roman" w:hAnsi="Times New Roman" w:cs="Times New Roman"/>
        </w:rPr>
        <w:t xml:space="preserve">replicates prior to </w:t>
      </w:r>
      <w:r w:rsidR="007C0371">
        <w:rPr>
          <w:rFonts w:ascii="Times New Roman" w:hAnsi="Times New Roman" w:cs="Times New Roman"/>
        </w:rPr>
        <w:t xml:space="preserve">host </w:t>
      </w:r>
      <w:r>
        <w:rPr>
          <w:rFonts w:ascii="Times New Roman" w:hAnsi="Times New Roman" w:cs="Times New Roman"/>
        </w:rPr>
        <w:t>cell death and demonstrates membrane-blebbing,</w:t>
      </w:r>
      <w:r w:rsidR="00EA21C7">
        <w:rPr>
          <w:rFonts w:ascii="Times New Roman" w:hAnsi="Times New Roman" w:cs="Times New Roman"/>
        </w:rPr>
        <w:t xml:space="preserve"> a</w:t>
      </w:r>
      <w:r>
        <w:rPr>
          <w:rFonts w:ascii="Times New Roman" w:hAnsi="Times New Roman" w:cs="Times New Roman"/>
        </w:rPr>
        <w:t xml:space="preserve"> characteristic of apoptosis/necrosis </w:t>
      </w:r>
      <w:r w:rsidRPr="001B29C4">
        <w:rPr>
          <w:rFonts w:ascii="Times New Roman" w:hAnsi="Times New Roman" w:cs="Times New Roman"/>
          <w:b/>
          <w:bCs/>
        </w:rPr>
        <w:fldChar w:fldCharType="begin"/>
      </w:r>
      <w:r w:rsidRPr="001B29C4">
        <w:rPr>
          <w:rFonts w:ascii="Times New Roman" w:hAnsi="Times New Roman" w:cs="Times New Roman"/>
          <w:b/>
          <w:bCs/>
        </w:rPr>
        <w:instrText xml:space="preserve"> ADDIN EN.CITE &lt;EndNote&gt;&lt;Cite&gt;&lt;Author&gt;Flannagan&lt;/Author&gt;&lt;Year&gt;2016&lt;/Year&gt;&lt;IDText&gt;Intracellular replication of Staphylococcus aureus in mature phagolysosomes in macrophages precedes host cell death, and bacterial escape and dissemination&lt;/IDText&gt;&lt;DisplayText&gt;(Flannagan, Heit and Heinrichs, 2016)&lt;/DisplayText&gt;&lt;record&gt;&lt;dates&gt;&lt;pub-dates&gt;&lt;date&gt;Apr&lt;/date&gt;&lt;/pub-dates&gt;&lt;year&gt;2016&lt;/year&gt;&lt;/dates&gt;&lt;urls&gt;&lt;related-urls&gt;&lt;/related-urls&gt;&lt;/urls&gt;&lt;isbn&gt;1462-5814&lt;/isbn&gt;&lt;work-type&gt;Article&lt;/work-type&gt;&lt;titles&gt;&lt;title&gt;&lt;style font="default" size="100%"&gt;Intracellular replication of &lt;/style&gt;&lt;style face="italic" font="default" size="100%"&gt;Staphylococcus aureus&lt;/style&gt;&lt;style font="default" size="100%"&gt; in mature phagolysosomes in macrophages precedes host cell death, and bacterial escape and dissemination&lt;/style&gt;&lt;/title&gt;&lt;secondary-title&gt;Cellular Microbiology&lt;/secondary-title&gt;&lt;/titles&gt;&lt;pages&gt;514-535&lt;/pages&gt;&lt;number&gt;4&lt;/number&gt;&lt;contributors&gt;&lt;authors&gt;&lt;author&gt;Flannagan, Ronald S.&lt;/author&gt;&lt;author&gt;Heit, Bryan&lt;/author&gt;&lt;author&gt;Heinrichs, David E.&lt;/author&gt;&lt;/authors&gt;&lt;/contributors&gt;&lt;added-date format="utc"&gt;1674334759&lt;/added-date&gt;&lt;ref-type name="Journal Article"&gt;17&lt;/ref-type&gt;&lt;rec-number&gt;234&lt;/rec-number&gt;&lt;last-updated-date format="utc"&gt;1675729762&lt;/last-updated-date&gt;&lt;accession-num&gt;WOS:000373066100006&lt;/accession-num&gt;&lt;electronic-resource-num&gt;10.1111/cmi.12527&lt;/electronic-resource-num&gt;&lt;volume&gt;18&lt;/volume&gt;&lt;/record&gt;&lt;/Cite&gt;&lt;/EndNote&gt;</w:instrText>
      </w:r>
      <w:r w:rsidRPr="001B29C4">
        <w:rPr>
          <w:rFonts w:ascii="Times New Roman" w:hAnsi="Times New Roman" w:cs="Times New Roman"/>
          <w:b/>
          <w:bCs/>
        </w:rPr>
        <w:fldChar w:fldCharType="separate"/>
      </w:r>
      <w:r w:rsidRPr="001B29C4">
        <w:rPr>
          <w:rFonts w:ascii="Times New Roman" w:hAnsi="Times New Roman" w:cs="Times New Roman"/>
          <w:b/>
          <w:bCs/>
          <w:noProof/>
        </w:rPr>
        <w:t>(Flannagan, Heit and Heinrichs, 2016)</w:t>
      </w:r>
      <w:r w:rsidRPr="001B29C4">
        <w:rPr>
          <w:rFonts w:ascii="Times New Roman" w:hAnsi="Times New Roman" w:cs="Times New Roman"/>
          <w:b/>
          <w:bCs/>
        </w:rPr>
        <w:fldChar w:fldCharType="end"/>
      </w:r>
      <w:r>
        <w:rPr>
          <w:rFonts w:ascii="Times New Roman" w:hAnsi="Times New Roman" w:cs="Times New Roman"/>
        </w:rPr>
        <w:t xml:space="preserve">. Infection of THP-1 macrophages with </w:t>
      </w:r>
      <w:r>
        <w:rPr>
          <w:rFonts w:ascii="Times New Roman" w:hAnsi="Times New Roman" w:cs="Times New Roman"/>
          <w:i/>
          <w:iCs/>
        </w:rPr>
        <w:t>S. aureus</w:t>
      </w:r>
      <w:r>
        <w:rPr>
          <w:rFonts w:ascii="Times New Roman" w:hAnsi="Times New Roman" w:cs="Times New Roman"/>
        </w:rPr>
        <w:t xml:space="preserve"> demonstrated incomplete phagolysosomal maturation and reduced acidification as a result </w:t>
      </w:r>
      <w:r w:rsidRPr="00580EF5">
        <w:rPr>
          <w:rFonts w:ascii="Times New Roman" w:hAnsi="Times New Roman" w:cs="Times New Roman"/>
          <w:b/>
          <w:bCs/>
        </w:rPr>
        <w:fldChar w:fldCharType="begin"/>
      </w:r>
      <w:r w:rsidRPr="00580EF5">
        <w:rPr>
          <w:rFonts w:ascii="Times New Roman" w:hAnsi="Times New Roman" w:cs="Times New Roman"/>
          <w:b/>
          <w:bCs/>
        </w:rPr>
        <w:instrText xml:space="preserve"> ADDIN EN.CITE &lt;EndNote&gt;&lt;Cite&gt;&lt;Author&gt;Jubrail&lt;/Author&gt;&lt;Year&gt;2016&lt;/Year&gt;&lt;IDText&gt;Inability to sustain intraphagolysosomal killing of Staphylococcus aureus predisposes to bacterial persistence in macrophages&lt;/IDText&gt;&lt;DisplayText&gt;(Jubrail&lt;style face="italic"&gt; et al.&lt;/style&gt;, 2016)&lt;/DisplayText&gt;&lt;record&gt;&lt;dates&gt;&lt;pub-dates&gt;&lt;date&gt;Jan&lt;/date&gt;&lt;/pub-dates&gt;&lt;year&gt;2016&lt;/year&gt;&lt;/dates&gt;&lt;urls&gt;&lt;related-urls&gt;&lt;url&gt;&amp;lt;Go to ISI&amp;gt;://WOS:000370642900006&lt;/url&gt;&lt;/related-urls&gt;&lt;/urls&gt;&lt;isbn&gt;1462-5814&lt;/isbn&gt;&lt;titles&gt;&lt;title&gt;Inability to sustain intraphagolysosomal killing of Staphylococcus aureus predisposes to bacterial persistence in macrophages&lt;/title&gt;&lt;secondary-title&gt;Cellular Microbiology&lt;/secondary-title&gt;&lt;/titles&gt;&lt;pages&gt;80-96&lt;/pages&gt;&lt;number&gt;1&lt;/number&gt;&lt;contributors&gt;&lt;authors&gt;&lt;author&gt;Jubrail, J.&lt;/author&gt;&lt;author&gt;Morris, P.&lt;/author&gt;&lt;author&gt;Bewley, M. A.&lt;/author&gt;&lt;author&gt;Stoneham, S.&lt;/author&gt;&lt;author&gt;Johnston, S. A.&lt;/author&gt;&lt;author&gt;Foster, S. J.&lt;/author&gt;&lt;author&gt;Peden, A. A.&lt;/author&gt;&lt;author&gt;Read, R. C.&lt;/author&gt;&lt;author&gt;Marriott, H. M.&lt;/author&gt;&lt;author&gt;Dockrell, D. H.&lt;/author&gt;&lt;/authors&gt;&lt;/contributors&gt;&lt;added-date format="utc"&gt;1677295216&lt;/added-date&gt;&lt;ref-type name="Journal Article"&gt;17&lt;/ref-type&gt;&lt;rec-number&gt;542&lt;/rec-number&gt;&lt;last-updated-date format="utc"&gt;1677295216&lt;/last-updated-date&gt;&lt;accession-num&gt;WOS:000370642900006&lt;/accession-num&gt;&lt;electronic-resource-num&gt;10.1111/cmi.12485&lt;/electronic-resource-num&gt;&lt;volume&gt;18&lt;/volume&gt;&lt;/record&gt;&lt;/Cite&gt;&lt;/EndNote&gt;</w:instrText>
      </w:r>
      <w:r w:rsidRPr="00580EF5">
        <w:rPr>
          <w:rFonts w:ascii="Times New Roman" w:hAnsi="Times New Roman" w:cs="Times New Roman"/>
          <w:b/>
          <w:bCs/>
        </w:rPr>
        <w:fldChar w:fldCharType="separate"/>
      </w:r>
      <w:r w:rsidRPr="00580EF5">
        <w:rPr>
          <w:rFonts w:ascii="Times New Roman" w:hAnsi="Times New Roman" w:cs="Times New Roman"/>
          <w:b/>
          <w:bCs/>
          <w:noProof/>
        </w:rPr>
        <w:t>(Jubrail</w:t>
      </w:r>
      <w:r w:rsidRPr="00580EF5">
        <w:rPr>
          <w:rFonts w:ascii="Times New Roman" w:hAnsi="Times New Roman" w:cs="Times New Roman"/>
          <w:b/>
          <w:bCs/>
          <w:i/>
          <w:noProof/>
        </w:rPr>
        <w:t xml:space="preserve"> et al.</w:t>
      </w:r>
      <w:r w:rsidRPr="00580EF5">
        <w:rPr>
          <w:rFonts w:ascii="Times New Roman" w:hAnsi="Times New Roman" w:cs="Times New Roman"/>
          <w:b/>
          <w:bCs/>
          <w:noProof/>
        </w:rPr>
        <w:t>, 2016)</w:t>
      </w:r>
      <w:r w:rsidRPr="00580EF5">
        <w:rPr>
          <w:rFonts w:ascii="Times New Roman" w:hAnsi="Times New Roman" w:cs="Times New Roman"/>
          <w:b/>
          <w:bCs/>
        </w:rPr>
        <w:fldChar w:fldCharType="end"/>
      </w:r>
      <w:r>
        <w:rPr>
          <w:rFonts w:ascii="Times New Roman" w:hAnsi="Times New Roman" w:cs="Times New Roman"/>
        </w:rPr>
        <w:t xml:space="preserve">. However, infected macrophages were unable to initiate apoptosis/necrosis as a defence mechanism, suggesting that </w:t>
      </w:r>
      <w:r>
        <w:rPr>
          <w:rFonts w:ascii="Times New Roman" w:hAnsi="Times New Roman" w:cs="Times New Roman"/>
          <w:i/>
          <w:iCs/>
        </w:rPr>
        <w:t xml:space="preserve">S. aureus </w:t>
      </w:r>
      <w:r>
        <w:rPr>
          <w:rFonts w:ascii="Times New Roman" w:hAnsi="Times New Roman" w:cs="Times New Roman"/>
        </w:rPr>
        <w:t xml:space="preserve">may also manipulate host programmed cell death </w:t>
      </w:r>
      <w:r w:rsidRPr="00580EF5">
        <w:rPr>
          <w:rFonts w:ascii="Times New Roman" w:hAnsi="Times New Roman" w:cs="Times New Roman"/>
          <w:b/>
          <w:bCs/>
        </w:rPr>
        <w:fldChar w:fldCharType="begin">
          <w:fldData xml:space="preserve">PEVuZE5vdGU+PENpdGU+PEF1dGhvcj5LdWJpY2E8L0F1dGhvcj48WWVhcj4yMDA4PC9ZZWFyPjxJ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</w:fldData>
        </w:fldChar>
      </w:r>
      <w:r w:rsidRPr="00580EF5">
        <w:rPr>
          <w:rFonts w:ascii="Times New Roman" w:hAnsi="Times New Roman" w:cs="Times New Roman"/>
          <w:b/>
          <w:bCs/>
        </w:rPr>
        <w:instrText xml:space="preserve"> ADDIN EN.CITE </w:instrText>
      </w:r>
      <w:r w:rsidRPr="00580EF5">
        <w:rPr>
          <w:rFonts w:ascii="Times New Roman" w:hAnsi="Times New Roman" w:cs="Times New Roman"/>
          <w:b/>
          <w:bCs/>
        </w:rPr>
        <w:fldChar w:fldCharType="begin">
          <w:fldData xml:space="preserve">PEVuZE5vdGU+PENpdGU+PEF1dGhvcj5LdWJpY2E8L0F1dGhvcj48WWVhcj4yMDA4PC9ZZWFyPjxJ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</w:fldData>
        </w:fldChar>
      </w:r>
      <w:r w:rsidRPr="00580EF5">
        <w:rPr>
          <w:rFonts w:ascii="Times New Roman" w:hAnsi="Times New Roman" w:cs="Times New Roman"/>
          <w:b/>
          <w:bCs/>
        </w:rPr>
        <w:instrText xml:space="preserve"> ADDIN EN.CITE.DATA </w:instrText>
      </w:r>
      <w:r w:rsidRPr="00580EF5">
        <w:rPr>
          <w:rFonts w:ascii="Times New Roman" w:hAnsi="Times New Roman" w:cs="Times New Roman"/>
          <w:b/>
          <w:bCs/>
        </w:rPr>
      </w:r>
      <w:r w:rsidRPr="00580EF5">
        <w:rPr>
          <w:rFonts w:ascii="Times New Roman" w:hAnsi="Times New Roman" w:cs="Times New Roman"/>
          <w:b/>
          <w:bCs/>
        </w:rPr>
        <w:fldChar w:fldCharType="end"/>
      </w:r>
      <w:r w:rsidRPr="00580EF5">
        <w:rPr>
          <w:rFonts w:ascii="Times New Roman" w:hAnsi="Times New Roman" w:cs="Times New Roman"/>
          <w:b/>
          <w:bCs/>
        </w:rPr>
      </w:r>
      <w:r w:rsidRPr="00580EF5">
        <w:rPr>
          <w:rFonts w:ascii="Times New Roman" w:hAnsi="Times New Roman" w:cs="Times New Roman"/>
          <w:b/>
          <w:bCs/>
        </w:rPr>
        <w:fldChar w:fldCharType="separate"/>
      </w:r>
      <w:r w:rsidRPr="00580EF5">
        <w:rPr>
          <w:rFonts w:ascii="Times New Roman" w:hAnsi="Times New Roman" w:cs="Times New Roman"/>
          <w:b/>
          <w:bCs/>
          <w:noProof/>
        </w:rPr>
        <w:t>(Kubica</w:t>
      </w:r>
      <w:r w:rsidRPr="00580EF5">
        <w:rPr>
          <w:rFonts w:ascii="Times New Roman" w:hAnsi="Times New Roman" w:cs="Times New Roman"/>
          <w:b/>
          <w:bCs/>
          <w:i/>
          <w:noProof/>
        </w:rPr>
        <w:t xml:space="preserve"> et al.</w:t>
      </w:r>
      <w:r w:rsidRPr="00580EF5">
        <w:rPr>
          <w:rFonts w:ascii="Times New Roman" w:hAnsi="Times New Roman" w:cs="Times New Roman"/>
          <w:b/>
          <w:bCs/>
          <w:noProof/>
        </w:rPr>
        <w:t>, 2008; Jubrail</w:t>
      </w:r>
      <w:r w:rsidRPr="00580EF5">
        <w:rPr>
          <w:rFonts w:ascii="Times New Roman" w:hAnsi="Times New Roman" w:cs="Times New Roman"/>
          <w:b/>
          <w:bCs/>
          <w:i/>
          <w:noProof/>
        </w:rPr>
        <w:t xml:space="preserve"> et al.</w:t>
      </w:r>
      <w:r w:rsidRPr="00580EF5">
        <w:rPr>
          <w:rFonts w:ascii="Times New Roman" w:hAnsi="Times New Roman" w:cs="Times New Roman"/>
          <w:b/>
          <w:bCs/>
          <w:noProof/>
        </w:rPr>
        <w:t>, 2016)</w:t>
      </w:r>
      <w:r w:rsidRPr="00580EF5">
        <w:rPr>
          <w:rFonts w:ascii="Times New Roman" w:hAnsi="Times New Roman" w:cs="Times New Roman"/>
          <w:b/>
          <w:bCs/>
        </w:rPr>
        <w:fldChar w:fldCharType="end"/>
      </w:r>
      <w:r>
        <w:rPr>
          <w:rFonts w:ascii="Times New Roman" w:hAnsi="Times New Roman" w:cs="Times New Roman"/>
        </w:rPr>
        <w:t xml:space="preserve">. In contrast, infection of neutrophils with </w:t>
      </w:r>
      <w:r>
        <w:rPr>
          <w:rFonts w:ascii="Times New Roman" w:hAnsi="Times New Roman" w:cs="Times New Roman"/>
          <w:i/>
          <w:iCs/>
        </w:rPr>
        <w:t xml:space="preserve">S. aureus </w:t>
      </w:r>
      <w:r>
        <w:rPr>
          <w:rFonts w:ascii="Times New Roman" w:hAnsi="Times New Roman" w:cs="Times New Roman"/>
        </w:rPr>
        <w:t xml:space="preserve">led to cell death via programmed necrosis independent of the staphylococcal toxins </w:t>
      </w:r>
      <w:r w:rsidRPr="000435CA">
        <w:rPr>
          <w:rFonts w:ascii="Times New Roman" w:hAnsi="Times New Roman" w:cs="Times New Roman"/>
          <w:b/>
          <w:bCs/>
        </w:rPr>
        <w:fldChar w:fldCharType="begin"/>
      </w:r>
      <w:r w:rsidRPr="000435CA">
        <w:rPr>
          <w:rFonts w:ascii="Times New Roman" w:hAnsi="Times New Roman" w:cs="Times New Roman"/>
          <w:b/>
          <w:bCs/>
        </w:rPr>
        <w:instrText xml:space="preserve"> ADDIN EN.CITE &lt;EndNote&gt;&lt;Cite&gt;&lt;Author&gt;Kobayashi&lt;/Author&gt;&lt;Year&gt;2010&lt;/Year&gt;&lt;IDText&gt;Rapid Neutrophil Destruction following Phagocytosis of Staphylococcus aureus&lt;/IDText&gt;&lt;DisplayText&gt;(Kobayashi&lt;style face="italic"&gt; et al.&lt;/style&gt;, 2010)&lt;/DisplayText&gt;&lt;record&gt;&lt;urls&gt;&lt;related-urls&gt;&lt;url&gt;&amp;lt;Go to ISI&amp;gt;://WOS:000283333700006&lt;/url&gt;&lt;/related-urls&gt;&lt;/urls&gt;&lt;isbn&gt;1662-811X&lt;/isbn&gt;&lt;titles&gt;&lt;title&gt;Rapid Neutrophil Destruction following Phagocytosis of Staphylococcus aureus&lt;/title&gt;&lt;secondary-title&gt;Journal of Innate Immunity&lt;/secondary-title&gt;&lt;/titles&gt;&lt;pages&gt;560-575&lt;/pages&gt;&lt;number&gt;6&lt;/number&gt;&lt;contributors&gt;&lt;authors&gt;&lt;author&gt;Kobayashi, S. D.&lt;/author&gt;&lt;author&gt;Braughton, K. R.&lt;/author&gt;&lt;author&gt;Palazzolo-Ballance, A. M.&lt;/author&gt;&lt;author&gt;Kennedy, A. D.&lt;/author&gt;&lt;author&gt;Sampaio, E.&lt;/author&gt;&lt;author&gt;Kristosturyan, E.&lt;/author&gt;&lt;author&gt;Whitney, A. R.&lt;/author&gt;&lt;author&gt;Sturdevant, D. E.&lt;/author&gt;&lt;author&gt;Dorward, D. W.&lt;/author&gt;&lt;author&gt;Holland, S. M.&lt;/author&gt;&lt;author&gt;Kreiswirth, B. N.&lt;/author&gt;&lt;author&gt;Musser, J. M.&lt;/author&gt;&lt;author&gt;Deleo, F. R.&lt;/author&gt;&lt;/authors&gt;&lt;/contributors&gt;&lt;added-date format="utc"&gt;1677371216&lt;/added-date&gt;&lt;ref-type name="Journal Article"&gt;17&lt;/ref-type&gt;&lt;dates&gt;&lt;year&gt;2010&lt;/year&gt;&lt;/dates&gt;&lt;rec-number&gt;559&lt;/rec-number&gt;&lt;last-updated-date format="utc"&gt;1677371216&lt;/last-updated-date&gt;&lt;accession-num&gt;WOS:000283333700006&lt;/accession-num&gt;&lt;electronic-resource-num&gt;10.1159/000317134&lt;/electronic-resource-num&gt;&lt;volume&gt;2&lt;/volume&gt;&lt;/record&gt;&lt;/Cite&gt;&lt;/EndNote&gt;</w:instrText>
      </w:r>
      <w:r w:rsidRPr="000435CA">
        <w:rPr>
          <w:rFonts w:ascii="Times New Roman" w:hAnsi="Times New Roman" w:cs="Times New Roman"/>
          <w:b/>
          <w:bCs/>
        </w:rPr>
        <w:fldChar w:fldCharType="separate"/>
      </w:r>
      <w:r w:rsidRPr="000435CA">
        <w:rPr>
          <w:rFonts w:ascii="Times New Roman" w:hAnsi="Times New Roman" w:cs="Times New Roman"/>
          <w:b/>
          <w:bCs/>
          <w:noProof/>
        </w:rPr>
        <w:t>(Kobayashi</w:t>
      </w:r>
      <w:r w:rsidRPr="000435CA">
        <w:rPr>
          <w:rFonts w:ascii="Times New Roman" w:hAnsi="Times New Roman" w:cs="Times New Roman"/>
          <w:b/>
          <w:bCs/>
          <w:i/>
          <w:noProof/>
        </w:rPr>
        <w:t xml:space="preserve"> et al.</w:t>
      </w:r>
      <w:r w:rsidRPr="000435CA">
        <w:rPr>
          <w:rFonts w:ascii="Times New Roman" w:hAnsi="Times New Roman" w:cs="Times New Roman"/>
          <w:b/>
          <w:bCs/>
          <w:noProof/>
        </w:rPr>
        <w:t>, 2010)</w:t>
      </w:r>
      <w:r w:rsidRPr="000435CA">
        <w:rPr>
          <w:rFonts w:ascii="Times New Roman" w:hAnsi="Times New Roman" w:cs="Times New Roman"/>
          <w:b/>
          <w:bCs/>
        </w:rPr>
        <w:fldChar w:fldCharType="end"/>
      </w:r>
      <w:r>
        <w:rPr>
          <w:rFonts w:ascii="Times New Roman" w:hAnsi="Times New Roman" w:cs="Times New Roman"/>
        </w:rPr>
        <w:t xml:space="preserve">. </w:t>
      </w:r>
      <w:r>
        <w:rPr>
          <w:rFonts w:ascii="Times New Roman" w:hAnsi="Times New Roman" w:cs="Times New Roman"/>
          <w:i/>
          <w:iCs/>
        </w:rPr>
        <w:t xml:space="preserve">S. aureus </w:t>
      </w:r>
      <w:r>
        <w:rPr>
          <w:rFonts w:ascii="Times New Roman" w:hAnsi="Times New Roman" w:cs="Times New Roman"/>
        </w:rPr>
        <w:t xml:space="preserve">has survived for 3-4 days in MDM vacuoles before lysing cells and subsequently escaping, and contrary to the report by </w:t>
      </w:r>
      <w:r w:rsidRPr="000435CA">
        <w:rPr>
          <w:rFonts w:ascii="Times New Roman" w:hAnsi="Times New Roman" w:cs="Times New Roman"/>
        </w:rPr>
        <w:t>Kobayashi and colleagues,</w:t>
      </w:r>
      <w:r>
        <w:rPr>
          <w:rFonts w:ascii="Times New Roman" w:hAnsi="Times New Roman" w:cs="Times New Roman"/>
        </w:rPr>
        <w:t xml:space="preserve"> </w:t>
      </w:r>
      <w:r w:rsidRPr="00580EF5">
        <w:rPr>
          <w:rFonts w:ascii="Times New Roman" w:hAnsi="Times New Roman" w:cs="Times New Roman"/>
        </w:rPr>
        <w:t>α-toxin</w:t>
      </w:r>
      <w:r>
        <w:rPr>
          <w:rFonts w:ascii="Times New Roman" w:hAnsi="Times New Roman" w:cs="Times New Roman"/>
        </w:rPr>
        <w:t xml:space="preserve"> was required for</w:t>
      </w:r>
      <w:r>
        <w:rPr>
          <w:rFonts w:ascii="Times New Roman" w:hAnsi="Times New Roman" w:cs="Times New Roman"/>
          <w:i/>
          <w:iCs/>
        </w:rPr>
        <w:t xml:space="preserve"> </w:t>
      </w:r>
      <w:r>
        <w:rPr>
          <w:rFonts w:ascii="Times New Roman" w:hAnsi="Times New Roman" w:cs="Times New Roman"/>
        </w:rPr>
        <w:t xml:space="preserve">survival </w:t>
      </w:r>
      <w:r w:rsidRPr="00E0375D">
        <w:rPr>
          <w:rFonts w:ascii="Times New Roman" w:hAnsi="Times New Roman" w:cs="Times New Roman"/>
          <w:b/>
          <w:bCs/>
        </w:rPr>
        <w:fldChar w:fldCharType="begin"/>
      </w:r>
      <w:r w:rsidRPr="00E0375D">
        <w:rPr>
          <w:rFonts w:ascii="Times New Roman" w:hAnsi="Times New Roman" w:cs="Times New Roman"/>
          <w:b/>
          <w:bCs/>
        </w:rPr>
        <w:instrText xml:space="preserve"> ADDIN EN.CITE &lt;EndNote&gt;&lt;Cite&gt;&lt;Author&gt;Kubica&lt;/Author&gt;&lt;Year&gt;2008&lt;/Year&gt;&lt;IDText&gt;A Potential New Pathway for Staphylococcus aureus Dissemination: The Silent Survival of S. aureus Phagocytosed by Human Monocyte-Derived Macrophages&lt;/IDText&gt;&lt;DisplayText&gt;(Kubica&lt;style face="italic"&gt; et al.&lt;/style&gt;, 2008)&lt;/DisplayText&gt;&lt;record&gt;&lt;dates&gt;&lt;pub-dates&gt;&lt;date&gt;Jan 9&lt;/date&gt;&lt;/pub-dates&gt;&lt;year&gt;2008&lt;/year&gt;&lt;/dates&gt;&lt;urls&gt;&lt;related-urls&gt;&lt;url&gt;&amp;lt;Go to ISI&amp;gt;://WOS:000260469400006&lt;/url&gt;&lt;/related-urls&gt;&lt;/urls&gt;&lt;isbn&gt;1932-6203&lt;/isbn&gt;&lt;work-type&gt;Article&lt;/work-type&gt;&lt;titles&gt;&lt;title&gt;A Potential New Pathway for Staphylococcus aureus Dissemination: The Silent Survival of S. aureus Phagocytosed by Human Monocyte-Derived Macrophages&lt;/title&gt;&lt;secondary-title&gt;Plos One&lt;/secondary-title&gt;&lt;/titles&gt;&lt;number&gt;1&lt;/number&gt;&lt;contributors&gt;&lt;authors&gt;&lt;author&gt;Kubica, Malgorzata&lt;/author&gt;&lt;author&gt;Guzik, Krzysztof&lt;/author&gt;&lt;author&gt;Koziel, Joanna&lt;/author&gt;&lt;author&gt;Zarebski, Miroslaw&lt;/author&gt;&lt;author&gt;Richter, Walter&lt;/author&gt;&lt;author&gt;Gajkowska, Barbara&lt;/author&gt;&lt;author&gt;Golda, Anna&lt;/author&gt;&lt;author&gt;Maciag-Gudowska, Agnieszka&lt;/author&gt;&lt;author&gt;Brix, Klaudia&lt;/author&gt;&lt;author&gt;Shaw, Les&lt;/author&gt;&lt;author&gt;Foster, Timothy&lt;/author&gt;&lt;author&gt;Potempa, Jan&lt;/author&gt;&lt;/authors&gt;&lt;/contributors&gt;&lt;custom7&gt;e1409&lt;/custom7&gt;&lt;added-date format="utc"&gt;1672507345&lt;/added-date&gt;&lt;ref-type name="Journal Article"&gt;17&lt;/ref-type&gt;&lt;rec-number&gt;196&lt;/rec-number&gt;&lt;last-updated-date format="utc"&gt;1672515807&lt;/last-updated-date&gt;&lt;accession-num&gt;WOS:000260469400006&lt;/accession-num&gt;&lt;electronic-resource-num&gt;10.1371/journal.pone.0001409&lt;/electronic-resource-num&gt;&lt;volume&gt;3&lt;/volume&gt;&lt;/record&gt;&lt;/Cite&gt;&lt;/EndNote&gt;</w:instrText>
      </w:r>
      <w:r w:rsidRPr="00E0375D">
        <w:rPr>
          <w:rFonts w:ascii="Times New Roman" w:hAnsi="Times New Roman" w:cs="Times New Roman"/>
          <w:b/>
          <w:bCs/>
        </w:rPr>
        <w:fldChar w:fldCharType="separate"/>
      </w:r>
      <w:r w:rsidRPr="00E0375D">
        <w:rPr>
          <w:rFonts w:ascii="Times New Roman" w:hAnsi="Times New Roman" w:cs="Times New Roman"/>
          <w:b/>
          <w:bCs/>
          <w:noProof/>
        </w:rPr>
        <w:t>(Kubica</w:t>
      </w:r>
      <w:r w:rsidRPr="00E0375D">
        <w:rPr>
          <w:rFonts w:ascii="Times New Roman" w:hAnsi="Times New Roman" w:cs="Times New Roman"/>
          <w:b/>
          <w:bCs/>
          <w:i/>
          <w:noProof/>
        </w:rPr>
        <w:t xml:space="preserve"> et al.</w:t>
      </w:r>
      <w:r w:rsidRPr="00E0375D">
        <w:rPr>
          <w:rFonts w:ascii="Times New Roman" w:hAnsi="Times New Roman" w:cs="Times New Roman"/>
          <w:b/>
          <w:bCs/>
          <w:noProof/>
        </w:rPr>
        <w:t>, 2008)</w:t>
      </w:r>
      <w:r w:rsidRPr="00E0375D">
        <w:rPr>
          <w:rFonts w:ascii="Times New Roman" w:hAnsi="Times New Roman" w:cs="Times New Roman"/>
          <w:b/>
          <w:bCs/>
        </w:rPr>
        <w:fldChar w:fldCharType="end"/>
      </w:r>
      <w:r>
        <w:rPr>
          <w:rFonts w:ascii="Times New Roman" w:hAnsi="Times New Roman" w:cs="Times New Roman"/>
        </w:rPr>
        <w:t xml:space="preserve">. Thus, </w:t>
      </w:r>
      <w:r>
        <w:rPr>
          <w:rFonts w:ascii="Times New Roman" w:hAnsi="Times New Roman" w:cs="Times New Roman"/>
          <w:i/>
          <w:iCs/>
        </w:rPr>
        <w:t>S. aureus</w:t>
      </w:r>
      <w:r>
        <w:rPr>
          <w:rFonts w:ascii="Times New Roman" w:hAnsi="Times New Roman" w:cs="Times New Roman"/>
        </w:rPr>
        <w:t xml:space="preserve"> utilises its virulence factors to escape host killing. </w:t>
      </w:r>
      <w:r>
        <w:rPr>
          <w:rFonts w:ascii="Times New Roman" w:hAnsi="Times New Roman" w:cs="Times New Roman"/>
          <w:i/>
          <w:iCs/>
        </w:rPr>
        <w:t xml:space="preserve">S. aureus </w:t>
      </w:r>
      <w:r>
        <w:rPr>
          <w:rFonts w:ascii="Times New Roman" w:hAnsi="Times New Roman" w:cs="Times New Roman"/>
        </w:rPr>
        <w:t xml:space="preserve">escape from neutrophils can be facilitated by the leukocidin AB toxin by forming pores in the cell membrane </w:t>
      </w:r>
      <w:r w:rsidRPr="00E93DE3">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&lt;EndNote&gt;&lt;Cite&gt;&lt;Author&gt;DuMont&lt;/Author&gt;&lt;Year&gt;2013&lt;/Year&gt;&lt;IDText&gt;Staphylococcus aureus Elaborates Leukocidin AB To Mediate Escape from within Human Neutrophils&lt;/IDText&gt;&lt;DisplayText&gt;(DuMont&lt;style face="italic"&gt; et al.&lt;/style&gt;, 2013b)&lt;/DisplayText&gt;&lt;record&gt;&lt;dates&gt;&lt;pub-dates&gt;&lt;date&gt;May&lt;/date&gt;&lt;/pub-dates&gt;&lt;year&gt;2013&lt;/year&gt;&lt;/dates&gt;&lt;urls&gt;&lt;related-urls&gt;&lt;url&gt;&amp;lt;Go to ISI&amp;gt;://WOS:000317582700044&lt;/url&gt;&lt;/related-urls&gt;&lt;/urls&gt;&lt;isbn&gt;0019-9567&lt;/isbn&gt;&lt;titles&gt;&lt;title&gt;Staphylococcus aureus Elaborates Leukocidin AB To Mediate Escape from within Human Neutrophils&lt;/title&gt;&lt;secondary-title&gt;Infection and Immunity&lt;/secondary-title&gt;&lt;/titles&gt;&lt;pages&gt;1830-1841&lt;/pages&gt;&lt;number&gt;5&lt;/number&gt;&lt;contributors&gt;&lt;authors&gt;&lt;author&gt;DuMont, A. L.&lt;/author&gt;&lt;author&gt;Yoong, P.&lt;/author&gt;&lt;author&gt;Surewaard, B. G. J.&lt;/author&gt;&lt;author&gt;Benson, M. A.&lt;/author&gt;&lt;author&gt;Nijland, R.&lt;/author&gt;&lt;author&gt;van Strijp, J. A. G.&lt;/author&gt;&lt;author&gt;Torres, V. J.&lt;/author&gt;&lt;/authors&gt;&lt;/contributors&gt;&lt;added-date format="utc"&gt;1677296410&lt;/added-date&gt;&lt;ref-type name="Journal Article"&gt;17&lt;/ref-type&gt;&lt;rec-number&gt;543&lt;/rec-number&gt;&lt;last-updated-date format="utc"&gt;1677296410&lt;/last-updated-date&gt;&lt;accession-num&gt;WOS:000317582700044&lt;/accession-num&gt;&lt;electronic-resource-num&gt;10.1128/iai.00095-13&lt;/electronic-resource-num&gt;&lt;volume&gt;81&lt;/volume&gt;&lt;/record&gt;&lt;/Cite&gt;&lt;/EndNote&gt;</w:instrText>
      </w:r>
      <w:r w:rsidRPr="00E93DE3">
        <w:rPr>
          <w:rFonts w:ascii="Times New Roman" w:hAnsi="Times New Roman" w:cs="Times New Roman"/>
          <w:b/>
          <w:bCs/>
        </w:rPr>
        <w:fldChar w:fldCharType="separate"/>
      </w:r>
      <w:r>
        <w:rPr>
          <w:rFonts w:ascii="Times New Roman" w:hAnsi="Times New Roman" w:cs="Times New Roman"/>
          <w:b/>
          <w:bCs/>
          <w:noProof/>
        </w:rPr>
        <w:t>(DuMont</w:t>
      </w:r>
      <w:r w:rsidRPr="00EA44F9">
        <w:rPr>
          <w:rFonts w:ascii="Times New Roman" w:hAnsi="Times New Roman" w:cs="Times New Roman"/>
          <w:b/>
          <w:bCs/>
          <w:i/>
          <w:noProof/>
        </w:rPr>
        <w:t xml:space="preserve"> et al.</w:t>
      </w:r>
      <w:r>
        <w:rPr>
          <w:rFonts w:ascii="Times New Roman" w:hAnsi="Times New Roman" w:cs="Times New Roman"/>
          <w:b/>
          <w:bCs/>
          <w:noProof/>
        </w:rPr>
        <w:t>, 2013b)</w:t>
      </w:r>
      <w:r w:rsidRPr="00E93DE3">
        <w:rPr>
          <w:rFonts w:ascii="Times New Roman" w:hAnsi="Times New Roman" w:cs="Times New Roman"/>
          <w:b/>
          <w:bCs/>
        </w:rPr>
        <w:fldChar w:fldCharType="end"/>
      </w:r>
      <w:r>
        <w:rPr>
          <w:rFonts w:ascii="Times New Roman" w:hAnsi="Times New Roman" w:cs="Times New Roman"/>
        </w:rPr>
        <w:t xml:space="preserve">. The cytotoxic toxin </w:t>
      </w:r>
      <w:r>
        <w:rPr>
          <w:rFonts w:ascii="Times New Roman" w:hAnsi="Times New Roman" w:cs="Times New Roman"/>
          <w:color w:val="000000" w:themeColor="text1"/>
        </w:rPr>
        <w:t>PSM</w:t>
      </w:r>
      <w:r w:rsidRPr="00016032">
        <w:rPr>
          <w:rFonts w:ascii="Times New Roman" w:hAnsi="Times New Roman" w:cs="Times New Roman"/>
          <w:color w:val="000000" w:themeColor="text1"/>
        </w:rPr>
        <w:t>α is r</w:t>
      </w:r>
      <w:r>
        <w:rPr>
          <w:rFonts w:ascii="Times New Roman" w:hAnsi="Times New Roman" w:cs="Times New Roman"/>
          <w:color w:val="000000" w:themeColor="text1"/>
        </w:rPr>
        <w:t xml:space="preserve">equired for replication within and phagosomal escape from THP-1 macrophages </w:t>
      </w:r>
      <w:r w:rsidRPr="00016032">
        <w:rPr>
          <w:rFonts w:ascii="Times New Roman" w:hAnsi="Times New Roman" w:cs="Times New Roman"/>
          <w:b/>
          <w:bCs/>
          <w:color w:val="000000" w:themeColor="text1"/>
        </w:rPr>
        <w:fldChar w:fldCharType="begin"/>
      </w:r>
      <w:r w:rsidRPr="00016032">
        <w:rPr>
          <w:rFonts w:ascii="Times New Roman" w:hAnsi="Times New Roman" w:cs="Times New Roman"/>
          <w:b/>
          <w:bCs/>
          <w:color w:val="000000" w:themeColor="text1"/>
        </w:rPr>
        <w:instrText xml:space="preserve"> ADDIN EN.CITE &lt;EndNote&gt;&lt;Cite&gt;&lt;Author&gt;Grosz&lt;/Author&gt;&lt;Year&gt;2014&lt;/Year&gt;&lt;IDText&gt;Cytoplasmic replication of Staphylococcus aureus upon phagosomal escape triggered by phenol-soluble modulin alpha&lt;/IDText&gt;&lt;DisplayText&gt;(Grosz&lt;style face="italic"&gt; et al.&lt;/style&gt;, 2014)&lt;/DisplayText&gt;&lt;record&gt;&lt;dates&gt;&lt;pub-dates&gt;&lt;date&gt;Apr&lt;/date&gt;&lt;/pub-dates&gt;&lt;year&gt;2014&lt;/year&gt;&lt;/dates&gt;&lt;urls&gt;&lt;related-urls&gt;&lt;/related-urls&gt;&lt;/urls&gt;&lt;isbn&gt;1462-5814&lt;/isbn&gt;&lt;titles&gt;&lt;title&gt;&lt;style font="default" size="100%"&gt;Cytoplasmic replication of &lt;/style&gt;&lt;style face="italic" font="default" size="100%"&gt;Staphylococcus aureus&lt;/style&gt;&lt;style font="default" size="100%"&gt; upon phagosomal escape triggered by phenol-soluble modulin alpha&lt;/style&gt;&lt;/title&gt;&lt;secondary-title&gt;Cellular Microbiology&lt;/secondary-title&gt;&lt;/titles&gt;&lt;pages&gt;451-465&lt;/pages&gt;&lt;number&gt;4&lt;/number&gt;&lt;contributors&gt;&lt;authors&gt;&lt;author&gt;Grosz, Magdalena&lt;/author&gt;&lt;author&gt;Kolter, Julia&lt;/author&gt;&lt;author&gt;Paprotka, Kerstin&lt;/author&gt;&lt;author&gt;Winkler, Ann-Cathrin&lt;/author&gt;&lt;author&gt;Schaefer, Daniel&lt;/author&gt;&lt;author&gt;Chatterjee, Som Subra&lt;/author&gt;&lt;author&gt;Geiger, Tobias&lt;/author&gt;&lt;author&gt;Wolz, Christiane&lt;/author&gt;&lt;author&gt;Ohlsen, Knut&lt;/author&gt;&lt;author&gt;Otto, Michael&lt;/author&gt;&lt;author&gt;Rudel, Thomas&lt;/author&gt;&lt;author&gt;Sinha, Bhanu&lt;/author&gt;&lt;author&gt;Fraunholz, Martin&lt;/author&gt;&lt;/authors&gt;&lt;/contributors&gt;&lt;added-date format="utc"&gt;1663623874&lt;/added-date&gt;&lt;ref-type name="Journal Article"&gt;17&lt;/ref-type&gt;&lt;rec-number&gt;136&lt;/rec-number&gt;&lt;last-updated-date format="utc"&gt;1675730040&lt;/last-updated-date&gt;&lt;accession-num&gt;WOS:000332950100001&lt;/accession-num&gt;&lt;electronic-resource-num&gt;10.1111/cmi.12233&lt;/electronic-resource-num&gt;&lt;volume&gt;16&lt;/volume&gt;&lt;/record&gt;&lt;/Cite&gt;&lt;/EndNote&gt;</w:instrText>
      </w:r>
      <w:r w:rsidRPr="00016032">
        <w:rPr>
          <w:rFonts w:ascii="Times New Roman" w:hAnsi="Times New Roman" w:cs="Times New Roman"/>
          <w:b/>
          <w:bCs/>
          <w:color w:val="000000" w:themeColor="text1"/>
        </w:rPr>
        <w:fldChar w:fldCharType="separate"/>
      </w:r>
      <w:r w:rsidRPr="00016032">
        <w:rPr>
          <w:rFonts w:ascii="Times New Roman" w:hAnsi="Times New Roman" w:cs="Times New Roman"/>
          <w:b/>
          <w:bCs/>
          <w:noProof/>
          <w:color w:val="000000" w:themeColor="text1"/>
        </w:rPr>
        <w:t>(Grosz</w:t>
      </w:r>
      <w:r w:rsidRPr="00016032">
        <w:rPr>
          <w:rFonts w:ascii="Times New Roman" w:hAnsi="Times New Roman" w:cs="Times New Roman"/>
          <w:b/>
          <w:bCs/>
          <w:i/>
          <w:noProof/>
          <w:color w:val="000000" w:themeColor="text1"/>
        </w:rPr>
        <w:t xml:space="preserve"> et al.</w:t>
      </w:r>
      <w:r w:rsidRPr="00016032">
        <w:rPr>
          <w:rFonts w:ascii="Times New Roman" w:hAnsi="Times New Roman" w:cs="Times New Roman"/>
          <w:b/>
          <w:bCs/>
          <w:noProof/>
          <w:color w:val="000000" w:themeColor="text1"/>
        </w:rPr>
        <w:t>, 2014)</w:t>
      </w:r>
      <w:r w:rsidRPr="00016032">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Furthermore, the expression of the </w:t>
      </w:r>
      <w:r>
        <w:rPr>
          <w:rFonts w:ascii="Times New Roman" w:hAnsi="Times New Roman" w:cs="Times New Roman"/>
          <w:i/>
          <w:iCs/>
          <w:color w:val="000000" w:themeColor="text1"/>
        </w:rPr>
        <w:t xml:space="preserve">agr </w:t>
      </w:r>
      <w:r>
        <w:rPr>
          <w:rFonts w:ascii="Times New Roman" w:hAnsi="Times New Roman" w:cs="Times New Roman"/>
          <w:color w:val="000000" w:themeColor="text1"/>
        </w:rPr>
        <w:t xml:space="preserve">locus ultimately led to membrane permeabilisation that enabled endosomal escape from MAC-T </w:t>
      </w:r>
      <w:r w:rsidRPr="00BD4FD4">
        <w:rPr>
          <w:rFonts w:ascii="Times New Roman" w:hAnsi="Times New Roman" w:cs="Times New Roman"/>
          <w:b/>
          <w:bCs/>
          <w:color w:val="000000" w:themeColor="text1"/>
        </w:rPr>
        <w:fldChar w:fldCharType="begin">
          <w:fldData xml:space="preserve">PEVuZE5vdGU+PENpdGU+PEF1dGhvcj5RYXppPC9BdXRob3I+PFllYXI+MjAwMTwvWWVhcj48SURU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</w:fldData>
        </w:fldChar>
      </w:r>
      <w:r w:rsidRPr="00BD4FD4">
        <w:rPr>
          <w:rFonts w:ascii="Times New Roman" w:hAnsi="Times New Roman" w:cs="Times New Roman"/>
          <w:b/>
          <w:bCs/>
          <w:color w:val="000000" w:themeColor="text1"/>
        </w:rPr>
        <w:instrText xml:space="preserve"> ADDIN EN.CITE </w:instrText>
      </w:r>
      <w:r w:rsidRPr="00BD4FD4">
        <w:rPr>
          <w:rFonts w:ascii="Times New Roman" w:hAnsi="Times New Roman" w:cs="Times New Roman"/>
          <w:b/>
          <w:bCs/>
          <w:color w:val="000000" w:themeColor="text1"/>
        </w:rPr>
        <w:fldChar w:fldCharType="begin">
          <w:fldData xml:space="preserve">PEVuZE5vdGU+PENpdGU+PEF1dGhvcj5RYXppPC9BdXRob3I+PFllYXI+MjAwMTwvWWVhcj48SURU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</w:fldData>
        </w:fldChar>
      </w:r>
      <w:r w:rsidRPr="00BD4FD4">
        <w:rPr>
          <w:rFonts w:ascii="Times New Roman" w:hAnsi="Times New Roman" w:cs="Times New Roman"/>
          <w:b/>
          <w:bCs/>
          <w:color w:val="000000" w:themeColor="text1"/>
        </w:rPr>
        <w:instrText xml:space="preserve"> ADDIN EN.CITE.DATA </w:instrText>
      </w:r>
      <w:r w:rsidRPr="00BD4FD4">
        <w:rPr>
          <w:rFonts w:ascii="Times New Roman" w:hAnsi="Times New Roman" w:cs="Times New Roman"/>
          <w:b/>
          <w:bCs/>
          <w:color w:val="000000" w:themeColor="text1"/>
        </w:rPr>
      </w:r>
      <w:r w:rsidRPr="00BD4FD4">
        <w:rPr>
          <w:rFonts w:ascii="Times New Roman" w:hAnsi="Times New Roman" w:cs="Times New Roman"/>
          <w:b/>
          <w:bCs/>
          <w:color w:val="000000" w:themeColor="text1"/>
        </w:rPr>
        <w:fldChar w:fldCharType="end"/>
      </w:r>
      <w:r w:rsidRPr="00BD4FD4">
        <w:rPr>
          <w:rFonts w:ascii="Times New Roman" w:hAnsi="Times New Roman" w:cs="Times New Roman"/>
          <w:b/>
          <w:bCs/>
          <w:color w:val="000000" w:themeColor="text1"/>
        </w:rPr>
      </w:r>
      <w:r w:rsidRPr="00BD4FD4">
        <w:rPr>
          <w:rFonts w:ascii="Times New Roman" w:hAnsi="Times New Roman" w:cs="Times New Roman"/>
          <w:b/>
          <w:bCs/>
          <w:color w:val="000000" w:themeColor="text1"/>
        </w:rPr>
        <w:fldChar w:fldCharType="separate"/>
      </w:r>
      <w:r w:rsidRPr="00BD4FD4">
        <w:rPr>
          <w:rFonts w:ascii="Times New Roman" w:hAnsi="Times New Roman" w:cs="Times New Roman"/>
          <w:b/>
          <w:bCs/>
          <w:noProof/>
          <w:color w:val="000000" w:themeColor="text1"/>
        </w:rPr>
        <w:t>(Qazi</w:t>
      </w:r>
      <w:r w:rsidRPr="00BD4FD4">
        <w:rPr>
          <w:rFonts w:ascii="Times New Roman" w:hAnsi="Times New Roman" w:cs="Times New Roman"/>
          <w:b/>
          <w:bCs/>
          <w:i/>
          <w:noProof/>
          <w:color w:val="000000" w:themeColor="text1"/>
        </w:rPr>
        <w:t xml:space="preserve"> et al.</w:t>
      </w:r>
      <w:r w:rsidRPr="00BD4FD4">
        <w:rPr>
          <w:rFonts w:ascii="Times New Roman" w:hAnsi="Times New Roman" w:cs="Times New Roman"/>
          <w:b/>
          <w:bCs/>
          <w:noProof/>
          <w:color w:val="000000" w:themeColor="text1"/>
        </w:rPr>
        <w:t>, 2001; Shompole</w:t>
      </w:r>
      <w:r w:rsidRPr="00BD4FD4">
        <w:rPr>
          <w:rFonts w:ascii="Times New Roman" w:hAnsi="Times New Roman" w:cs="Times New Roman"/>
          <w:b/>
          <w:bCs/>
          <w:i/>
          <w:noProof/>
          <w:color w:val="000000" w:themeColor="text1"/>
        </w:rPr>
        <w:t xml:space="preserve"> et al.</w:t>
      </w:r>
      <w:r w:rsidRPr="00BD4FD4">
        <w:rPr>
          <w:rFonts w:ascii="Times New Roman" w:hAnsi="Times New Roman" w:cs="Times New Roman"/>
          <w:b/>
          <w:bCs/>
          <w:noProof/>
          <w:color w:val="000000" w:themeColor="text1"/>
        </w:rPr>
        <w:t>, 2003)</w:t>
      </w:r>
      <w:r w:rsidRPr="00BD4FD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The </w:t>
      </w:r>
      <w:r>
        <w:rPr>
          <w:rFonts w:ascii="Times New Roman" w:hAnsi="Times New Roman" w:cs="Times New Roman"/>
          <w:i/>
          <w:iCs/>
          <w:color w:val="000000" w:themeColor="text1"/>
        </w:rPr>
        <w:t>agr</w:t>
      </w:r>
      <w:r>
        <w:rPr>
          <w:rFonts w:ascii="Times New Roman" w:hAnsi="Times New Roman" w:cs="Times New Roman"/>
          <w:color w:val="000000" w:themeColor="text1"/>
        </w:rPr>
        <w:t xml:space="preserve"> effector RNAIII encodes for </w:t>
      </w:r>
      <w:r w:rsidRPr="00BD4FD4">
        <w:rPr>
          <w:rFonts w:ascii="Times New Roman" w:hAnsi="Times New Roman" w:cs="Times New Roman"/>
          <w:color w:val="000000" w:themeColor="text1"/>
        </w:rPr>
        <w:t>δ-toxin</w:t>
      </w:r>
      <w:r>
        <w:rPr>
          <w:rFonts w:ascii="Times New Roman" w:hAnsi="Times New Roman" w:cs="Times New Roman"/>
          <w:color w:val="000000" w:themeColor="text1"/>
        </w:rPr>
        <w:t xml:space="preserve">, which is able to disrupt membranes in cooperation with </w:t>
      </w:r>
      <w:bookmarkStart w:id="56" w:name="_Hlk128600694"/>
      <w:r>
        <w:rPr>
          <w:rFonts w:ascii="Times New Roman" w:hAnsi="Times New Roman" w:cs="Times New Roman"/>
          <w:color w:val="000000" w:themeColor="text1"/>
        </w:rPr>
        <w:t xml:space="preserve">β-toxin (staphylococcal sphingomyelinase) </w:t>
      </w:r>
      <w:bookmarkEnd w:id="56"/>
      <w:r>
        <w:rPr>
          <w:rFonts w:ascii="Times New Roman" w:hAnsi="Times New Roman" w:cs="Times New Roman"/>
          <w:color w:val="000000" w:themeColor="text1"/>
        </w:rPr>
        <w:t xml:space="preserve">to coordinate endosomal escape from epithelial and endothelial cells </w:t>
      </w:r>
      <w:r w:rsidRPr="008D0AC6">
        <w:rPr>
          <w:rFonts w:ascii="Times New Roman" w:hAnsi="Times New Roman" w:cs="Times New Roman"/>
          <w:b/>
          <w:bCs/>
          <w:color w:val="000000" w:themeColor="text1"/>
        </w:rPr>
        <w:fldChar w:fldCharType="begin"/>
      </w:r>
      <w:r w:rsidRPr="008D0AC6">
        <w:rPr>
          <w:rFonts w:ascii="Times New Roman" w:hAnsi="Times New Roman" w:cs="Times New Roman"/>
          <w:b/>
          <w:bCs/>
          <w:color w:val="000000" w:themeColor="text1"/>
        </w:rPr>
        <w:instrText xml:space="preserve"> ADDIN EN.CITE &lt;EndNote&gt;&lt;Cite&gt;&lt;Author&gt;Giese&lt;/Author&gt;&lt;Year&gt;2011&lt;/Year&gt;&lt;IDText&gt;Expression of delta-toxin by Staphylococcus aureus mediates escape from phago-endosomes of human epithelial and endothelial cells in the presence of beta-toxin&lt;/IDText&gt;&lt;DisplayText&gt;(Giese&lt;style face="italic"&gt; et al.&lt;/style&gt;, 2011)&lt;/DisplayText&gt;&lt;record&gt;&lt;dates&gt;&lt;pub-dates&gt;&lt;date&gt;Feb&lt;/date&gt;&lt;/pub-dates&gt;&lt;year&gt;2011&lt;/year&gt;&lt;/dates&gt;&lt;urls&gt;&lt;related-urls&gt;&lt;url&gt;&amp;lt;Go to ISI&amp;gt;://WOS:000286206100012&lt;/url&gt;&lt;/related-urls&gt;&lt;/urls&gt;&lt;isbn&gt;1462-5814&lt;/isbn&gt;&lt;titles&gt;&lt;title&gt;Expression of delta-toxin by Staphylococcus aureus mediates escape from phago-endosomes of human epithelial and endothelial cells in the presence of beta-toxin&lt;/title&gt;&lt;secondary-title&gt;Cellular Microbiology&lt;/secondary-title&gt;&lt;/titles&gt;&lt;pages&gt;316-329&lt;/pages&gt;&lt;number&gt;2&lt;/number&gt;&lt;contributors&gt;&lt;authors&gt;&lt;author&gt;Giese, B.&lt;/author&gt;&lt;author&gt;Glowinski, F.&lt;/author&gt;&lt;author&gt;Paprotka, K.&lt;/author&gt;&lt;author&gt;Dittmann, S.&lt;/author&gt;&lt;author&gt;Steiner, T.&lt;/author&gt;&lt;author&gt;Sinha, B.&lt;/author&gt;&lt;author&gt;Fraunholz, M. J.&lt;/author&gt;&lt;/authors&gt;&lt;/contributors&gt;&lt;added-date format="utc"&gt;1677370706&lt;/added-date&gt;&lt;ref-type name="Journal Article"&gt;17&lt;/ref-type&gt;&lt;rec-number&gt;558&lt;/rec-number&gt;&lt;last-updated-date format="utc"&gt;1677370706&lt;/last-updated-date&gt;&lt;accession-num&gt;WOS:000286206100012&lt;/accession-num&gt;&lt;electronic-resource-num&gt;10.1111/j.1462-5822.2010.01538.x&lt;/electronic-resource-num&gt;&lt;volume&gt;13&lt;/volume&gt;&lt;/record&gt;&lt;/Cite&gt;&lt;/EndNote&gt;</w:instrText>
      </w:r>
      <w:r w:rsidRPr="008D0AC6">
        <w:rPr>
          <w:rFonts w:ascii="Times New Roman" w:hAnsi="Times New Roman" w:cs="Times New Roman"/>
          <w:b/>
          <w:bCs/>
          <w:color w:val="000000" w:themeColor="text1"/>
        </w:rPr>
        <w:fldChar w:fldCharType="separate"/>
      </w:r>
      <w:r w:rsidRPr="008D0AC6">
        <w:rPr>
          <w:rFonts w:ascii="Times New Roman" w:hAnsi="Times New Roman" w:cs="Times New Roman"/>
          <w:b/>
          <w:bCs/>
          <w:noProof/>
          <w:color w:val="000000" w:themeColor="text1"/>
        </w:rPr>
        <w:t>(Giese</w:t>
      </w:r>
      <w:r w:rsidRPr="008D0AC6">
        <w:rPr>
          <w:rFonts w:ascii="Times New Roman" w:hAnsi="Times New Roman" w:cs="Times New Roman"/>
          <w:b/>
          <w:bCs/>
          <w:i/>
          <w:noProof/>
          <w:color w:val="000000" w:themeColor="text1"/>
        </w:rPr>
        <w:t xml:space="preserve"> et al.</w:t>
      </w:r>
      <w:r w:rsidRPr="008D0AC6">
        <w:rPr>
          <w:rFonts w:ascii="Times New Roman" w:hAnsi="Times New Roman" w:cs="Times New Roman"/>
          <w:b/>
          <w:bCs/>
          <w:noProof/>
          <w:color w:val="000000" w:themeColor="text1"/>
        </w:rPr>
        <w:t>, 2011)</w:t>
      </w:r>
      <w:r w:rsidRPr="008D0AC6">
        <w:rPr>
          <w:rFonts w:ascii="Times New Roman" w:hAnsi="Times New Roman" w:cs="Times New Roman"/>
          <w:b/>
          <w:bCs/>
          <w:color w:val="000000" w:themeColor="text1"/>
        </w:rPr>
        <w:fldChar w:fldCharType="end"/>
      </w:r>
      <w:r>
        <w:rPr>
          <w:rFonts w:ascii="Times New Roman" w:hAnsi="Times New Roman" w:cs="Times New Roman"/>
          <w:color w:val="000000" w:themeColor="text1"/>
        </w:rPr>
        <w:t>. These studies emphasise the importance of the staphylococcal toxins for survival within both professional and non-professional phagocytes.</w:t>
      </w:r>
    </w:p>
    <w:p w14:paraId="201BA592" w14:textId="77777777" w:rsidR="00033564" w:rsidRDefault="00033564" w:rsidP="00033564">
      <w:pPr>
        <w:pStyle w:val="Heading3"/>
      </w:pPr>
      <w:bookmarkStart w:id="57" w:name="_Toc142043581"/>
      <w:bookmarkEnd w:id="49"/>
      <w:r>
        <w:t>1.3.6. Non-professional phagocytes: human tonsillar epithelial cells</w:t>
      </w:r>
      <w:bookmarkEnd w:id="57"/>
    </w:p>
    <w:p w14:paraId="5FAB9699" w14:textId="77777777" w:rsidR="00033564" w:rsidRDefault="00033564" w:rsidP="00033564">
      <w:pPr>
        <w:spacing w:line="360" w:lineRule="auto"/>
        <w:jc w:val="both"/>
        <w:rPr>
          <w:rFonts w:ascii="Times New Roman" w:hAnsi="Times New Roman" w:cs="Times New Roman"/>
        </w:rPr>
      </w:pPr>
    </w:p>
    <w:p w14:paraId="54BD4D23" w14:textId="4B060B23" w:rsidR="00033564" w:rsidRDefault="00033564" w:rsidP="00033564">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Unlike professional phagocytes, n</w:t>
      </w:r>
      <w:r w:rsidRPr="000A1812">
        <w:rPr>
          <w:rFonts w:ascii="Times New Roman" w:hAnsi="Times New Roman" w:cs="Times New Roman"/>
          <w:color w:val="000000" w:themeColor="text1"/>
        </w:rPr>
        <w:t xml:space="preserve">on-professional phagocytes are named as such due to their ability to phagocytose but this not being their main function </w:t>
      </w:r>
      <w:r w:rsidRPr="000A1812">
        <w:rPr>
          <w:rFonts w:ascii="Times New Roman" w:hAnsi="Times New Roman" w:cs="Times New Roman"/>
          <w:b/>
          <w:bCs/>
          <w:color w:val="000000" w:themeColor="text1"/>
        </w:rPr>
        <w:fldChar w:fldCharType="begin"/>
      </w:r>
      <w:r w:rsidRPr="000A1812">
        <w:rPr>
          <w:rFonts w:ascii="Times New Roman" w:hAnsi="Times New Roman" w:cs="Times New Roman"/>
          <w:b/>
          <w:bCs/>
          <w:color w:val="000000" w:themeColor="text1"/>
        </w:rPr>
        <w:instrText xml:space="preserve"> ADDIN EN.CITE &lt;EndNote&gt;&lt;Cite&gt;&lt;Author&gt;Rabinovitch&lt;/Author&gt;&lt;Year&gt;1995&lt;/Year&gt;&lt;IDText&gt;Professional and non-professional phagocytes: an introduction&lt;/IDText&gt;&lt;DisplayText&gt;(Rabinovitch, 1995)&lt;/DisplayText&gt;&lt;record&gt;&lt;titles&gt;&lt;title&gt;Professional and non-professional phagocytes: an introduction&lt;/title&gt;&lt;secondary-title&gt;Trends in Cell Biology&lt;/secondary-title&gt;&lt;/titles&gt;&lt;pages&gt;85-87&lt;/pages&gt;&lt;number&gt;3&lt;/number&gt;&lt;contributors&gt;&lt;authors&gt;&lt;author&gt;Rabinovitch, Michel&lt;/author&gt;&lt;/authors&gt;&lt;/contributors&gt;&lt;added-date format="utc"&gt;1676746488&lt;/added-date&gt;&lt;ref-type name="Journal Article"&gt;17&lt;/ref-type&gt;&lt;dates&gt;&lt;year&gt;1995&lt;/year&gt;&lt;/dates&gt;&lt;rec-number&gt;403&lt;/rec-number&gt;&lt;last-updated-date format="utc"&gt;1676746558&lt;/last-updated-date&gt;&lt;volume&gt;5&lt;/volume&gt;&lt;/record&gt;&lt;/Cite&gt;&lt;/EndNote&gt;</w:instrText>
      </w:r>
      <w:r w:rsidRPr="000A1812">
        <w:rPr>
          <w:rFonts w:ascii="Times New Roman" w:hAnsi="Times New Roman" w:cs="Times New Roman"/>
          <w:b/>
          <w:bCs/>
          <w:color w:val="000000" w:themeColor="text1"/>
        </w:rPr>
        <w:fldChar w:fldCharType="separate"/>
      </w:r>
      <w:r w:rsidRPr="000A1812">
        <w:rPr>
          <w:rFonts w:ascii="Times New Roman" w:hAnsi="Times New Roman" w:cs="Times New Roman"/>
          <w:b/>
          <w:bCs/>
          <w:noProof/>
          <w:color w:val="000000" w:themeColor="text1"/>
        </w:rPr>
        <w:t>(Rabinovitch, 1995)</w:t>
      </w:r>
      <w:r w:rsidRPr="000A1812">
        <w:rPr>
          <w:rFonts w:ascii="Times New Roman" w:hAnsi="Times New Roman" w:cs="Times New Roman"/>
          <w:b/>
          <w:bCs/>
          <w:color w:val="000000" w:themeColor="text1"/>
        </w:rPr>
        <w:fldChar w:fldCharType="end"/>
      </w:r>
      <w:r w:rsidRPr="000A1812">
        <w:rPr>
          <w:rFonts w:ascii="Times New Roman" w:hAnsi="Times New Roman" w:cs="Times New Roman"/>
          <w:color w:val="000000" w:themeColor="text1"/>
        </w:rPr>
        <w:t>. These cells include epithelial and endothelial cells,</w:t>
      </w:r>
      <w:r>
        <w:rPr>
          <w:rFonts w:ascii="Times New Roman" w:hAnsi="Times New Roman" w:cs="Times New Roman"/>
          <w:color w:val="000000" w:themeColor="text1"/>
        </w:rPr>
        <w:t xml:space="preserve"> </w:t>
      </w:r>
      <w:r w:rsidRPr="000A1812">
        <w:rPr>
          <w:rFonts w:ascii="Times New Roman" w:hAnsi="Times New Roman" w:cs="Times New Roman"/>
          <w:color w:val="000000" w:themeColor="text1"/>
        </w:rPr>
        <w:t>among many.</w:t>
      </w:r>
      <w:r>
        <w:rPr>
          <w:rFonts w:ascii="Times New Roman" w:hAnsi="Times New Roman" w:cs="Times New Roman"/>
          <w:color w:val="000000" w:themeColor="text1"/>
        </w:rPr>
        <w:t xml:space="preserve"> Epithelial cells also represent the first line of </w:t>
      </w:r>
      <w:r w:rsidR="00346D67">
        <w:rPr>
          <w:rFonts w:ascii="Times New Roman" w:hAnsi="Times New Roman" w:cs="Times New Roman"/>
          <w:color w:val="000000" w:themeColor="text1"/>
        </w:rPr>
        <w:t xml:space="preserve">physical </w:t>
      </w:r>
      <w:r>
        <w:rPr>
          <w:rFonts w:ascii="Times New Roman" w:hAnsi="Times New Roman" w:cs="Times New Roman"/>
          <w:color w:val="000000" w:themeColor="text1"/>
        </w:rPr>
        <w:t xml:space="preserve">defence against pathogens and are categorised as sentinels. Stratified epithelium of the skin and squamous epithelia that protects multiple body organs represent the cell types that pathogens encounter before invasion of the host </w:t>
      </w:r>
      <w:r w:rsidRPr="00723B56">
        <w:rPr>
          <w:rFonts w:ascii="Times New Roman" w:hAnsi="Times New Roman" w:cs="Times New Roman"/>
          <w:b/>
          <w:bCs/>
          <w:color w:val="000000" w:themeColor="text1"/>
        </w:rPr>
        <w:fldChar w:fldCharType="begin"/>
      </w:r>
      <w:r w:rsidRPr="00723B56">
        <w:rPr>
          <w:rFonts w:ascii="Times New Roman" w:hAnsi="Times New Roman" w:cs="Times New Roman"/>
          <w:b/>
          <w:bCs/>
          <w:color w:val="000000" w:themeColor="text1"/>
        </w:rPr>
        <w:instrText xml:space="preserve"> ADDIN EN.CITE &lt;EndNote&gt;&lt;Cite&gt;&lt;Author&gt;Günther&lt;/Author&gt;&lt;Year&gt;2018&lt;/Year&gt;&lt;IDText&gt;The first line of defence: insights into mechanisms and relevance of phagocytosis in epithelial cells&lt;/IDText&gt;&lt;DisplayText&gt;(Günther and Seyfert, 2018)&lt;/DisplayText&gt;&lt;record&gt;&lt;dates&gt;&lt;pub-dates&gt;&lt;date&gt;Nov&lt;/date&gt;&lt;/pub-dates&gt;&lt;year&gt;2018&lt;/year&gt;&lt;/dates&gt;&lt;urls&gt;&lt;related-urls&gt;&lt;url&gt;&amp;lt;Go to ISI&amp;gt;://WOS:000449004600005&lt;/url&gt;&lt;/related-urls&gt;&lt;/urls&gt;&lt;isbn&gt;1863-2297&lt;/isbn&gt;&lt;work-type&gt;Review&lt;/work-type&gt;&lt;titles&gt;&lt;title&gt;The first line of defence: insights into mechanisms and relevance of phagocytosis in epithelial cells&lt;/title&gt;&lt;secondary-title&gt;Seminars in Immunopathology&lt;/secondary-title&gt;&lt;/titles&gt;&lt;pages&gt;555-565&lt;/pages&gt;&lt;number&gt;6&lt;/number&gt;&lt;contributors&gt;&lt;authors&gt;&lt;author&gt;Günther, Juliane&lt;/author&gt;&lt;author&gt;Seyfert, Hans-Martin&lt;/author&gt;&lt;/authors&gt;&lt;/contributors&gt;&lt;added-date format="utc"&gt;1674673671&lt;/added-date&gt;&lt;ref-type name="Journal Article"&gt;17&lt;/ref-type&gt;&lt;rec-number&gt;261&lt;/rec-number&gt;&lt;last-updated-date format="utc"&gt;1677341129&lt;/last-updated-date&gt;&lt;accession-num&gt;WOS:000449004600005&lt;/accession-num&gt;&lt;electronic-resource-num&gt;10.1007/s00281-018-0701-1&lt;/electronic-resource-num&gt;&lt;volume&gt;40&lt;/volume&gt;&lt;/record&gt;&lt;/Cite&gt;&lt;/EndNote&gt;</w:instrText>
      </w:r>
      <w:r w:rsidRPr="00723B56">
        <w:rPr>
          <w:rFonts w:ascii="Times New Roman" w:hAnsi="Times New Roman" w:cs="Times New Roman"/>
          <w:b/>
          <w:bCs/>
          <w:color w:val="000000" w:themeColor="text1"/>
        </w:rPr>
        <w:fldChar w:fldCharType="separate"/>
      </w:r>
      <w:r w:rsidRPr="00723B56">
        <w:rPr>
          <w:rFonts w:ascii="Times New Roman" w:hAnsi="Times New Roman" w:cs="Times New Roman"/>
          <w:b/>
          <w:bCs/>
          <w:noProof/>
          <w:color w:val="000000" w:themeColor="text1"/>
        </w:rPr>
        <w:t>(Günther and Seyfert, 2018)</w:t>
      </w:r>
      <w:r w:rsidRPr="00723B56">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Thus, these cells are able to recognise PAMPs and DAMPs using PRRs. Like macrophages, epithelial cells also participate in the clearance of dying/dead cells, however they utilise efferocytosis (ingestion of apoptotic cells) or extrusion (the shedding of an apoptotic layer of cells) </w:t>
      </w:r>
      <w:r w:rsidRPr="0060574B">
        <w:rPr>
          <w:rFonts w:ascii="Times New Roman" w:hAnsi="Times New Roman" w:cs="Times New Roman"/>
          <w:b/>
          <w:bCs/>
          <w:color w:val="000000" w:themeColor="text1"/>
        </w:rPr>
        <w:fldChar w:fldCharType="begin">
          <w:fldData xml:space="preserve">PEVuZE5vdGU+PENpdGU+PEF1dGhvcj5GcmVlbWFuPC9BdXRob3I+PFllYXI+MjAxNjwvWWVhcj48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</w:fldData>
        </w:fldChar>
      </w:r>
      <w:r w:rsidRPr="0060574B">
        <w:rPr>
          <w:rFonts w:ascii="Times New Roman" w:hAnsi="Times New Roman" w:cs="Times New Roman"/>
          <w:b/>
          <w:bCs/>
          <w:color w:val="000000" w:themeColor="text1"/>
        </w:rPr>
        <w:instrText xml:space="preserve"> ADDIN EN.CITE </w:instrText>
      </w:r>
      <w:r w:rsidRPr="0060574B">
        <w:rPr>
          <w:rFonts w:ascii="Times New Roman" w:hAnsi="Times New Roman" w:cs="Times New Roman"/>
          <w:b/>
          <w:bCs/>
          <w:color w:val="000000" w:themeColor="text1"/>
        </w:rPr>
        <w:fldChar w:fldCharType="begin">
          <w:fldData xml:space="preserve">PEVuZE5vdGU+PENpdGU+PEF1dGhvcj5GcmVlbWFuPC9BdXRob3I+PFllYXI+MjAxNjwvWWVhcj48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</w:fldData>
        </w:fldChar>
      </w:r>
      <w:r w:rsidRPr="0060574B">
        <w:rPr>
          <w:rFonts w:ascii="Times New Roman" w:hAnsi="Times New Roman" w:cs="Times New Roman"/>
          <w:b/>
          <w:bCs/>
          <w:color w:val="000000" w:themeColor="text1"/>
        </w:rPr>
        <w:instrText xml:space="preserve"> ADDIN EN.CITE.DATA </w:instrText>
      </w:r>
      <w:r w:rsidRPr="0060574B">
        <w:rPr>
          <w:rFonts w:ascii="Times New Roman" w:hAnsi="Times New Roman" w:cs="Times New Roman"/>
          <w:b/>
          <w:bCs/>
          <w:color w:val="000000" w:themeColor="text1"/>
        </w:rPr>
      </w:r>
      <w:r w:rsidRPr="0060574B">
        <w:rPr>
          <w:rFonts w:ascii="Times New Roman" w:hAnsi="Times New Roman" w:cs="Times New Roman"/>
          <w:b/>
          <w:bCs/>
          <w:color w:val="000000" w:themeColor="text1"/>
        </w:rPr>
        <w:fldChar w:fldCharType="end"/>
      </w:r>
      <w:r w:rsidRPr="0060574B">
        <w:rPr>
          <w:rFonts w:ascii="Times New Roman" w:hAnsi="Times New Roman" w:cs="Times New Roman"/>
          <w:b/>
          <w:bCs/>
          <w:color w:val="000000" w:themeColor="text1"/>
        </w:rPr>
      </w:r>
      <w:r w:rsidRPr="0060574B">
        <w:rPr>
          <w:rFonts w:ascii="Times New Roman" w:hAnsi="Times New Roman" w:cs="Times New Roman"/>
          <w:b/>
          <w:bCs/>
          <w:color w:val="000000" w:themeColor="text1"/>
        </w:rPr>
        <w:fldChar w:fldCharType="separate"/>
      </w:r>
      <w:r w:rsidRPr="0060574B">
        <w:rPr>
          <w:rFonts w:ascii="Times New Roman" w:hAnsi="Times New Roman" w:cs="Times New Roman"/>
          <w:b/>
          <w:bCs/>
          <w:noProof/>
          <w:color w:val="000000" w:themeColor="text1"/>
        </w:rPr>
        <w:t>(Freeman and Grinstein, 2016; Günther and Seyfert, 2018)</w:t>
      </w:r>
      <w:r w:rsidRPr="0060574B">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Pathogens can also invade epithelial cells, particularly those that are intracellular such as </w:t>
      </w:r>
      <w:r>
        <w:rPr>
          <w:rFonts w:ascii="Times New Roman" w:hAnsi="Times New Roman" w:cs="Times New Roman"/>
          <w:i/>
          <w:iCs/>
          <w:color w:val="000000" w:themeColor="text1"/>
        </w:rPr>
        <w:t>S. aureus</w:t>
      </w:r>
      <w:r>
        <w:rPr>
          <w:rFonts w:ascii="Times New Roman" w:hAnsi="Times New Roman" w:cs="Times New Roman"/>
          <w:color w:val="000000" w:themeColor="text1"/>
        </w:rPr>
        <w:t xml:space="preserve"> and </w:t>
      </w:r>
      <w:r>
        <w:rPr>
          <w:rFonts w:ascii="Times New Roman" w:hAnsi="Times New Roman" w:cs="Times New Roman"/>
          <w:i/>
          <w:iCs/>
          <w:color w:val="000000" w:themeColor="text1"/>
        </w:rPr>
        <w:t>L. monocytogenes</w:t>
      </w:r>
      <w:r w:rsidR="00F33866">
        <w:rPr>
          <w:rFonts w:ascii="Times New Roman" w:hAnsi="Times New Roman" w:cs="Times New Roman"/>
          <w:i/>
          <w:iCs/>
          <w:color w:val="000000" w:themeColor="text1"/>
        </w:rPr>
        <w:t xml:space="preserve"> </w:t>
      </w:r>
      <w:r w:rsidR="00F33866" w:rsidRPr="00066900">
        <w:rPr>
          <w:rFonts w:ascii="Times New Roman" w:hAnsi="Times New Roman" w:cs="Times New Roman"/>
          <w:b/>
          <w:bCs/>
          <w:color w:val="000000" w:themeColor="text1"/>
        </w:rPr>
        <w:fldChar w:fldCharType="begin">
          <w:fldData xml:space="preserve">PEVuZE5vdGU+PENpdGU+PEF1dGhvcj5CYXlsZXM8L0F1dGhvcj48WWVhcj4xOTk4PC9ZZWFyPjxJ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</w:fldData>
        </w:fldChar>
      </w:r>
      <w:r w:rsidR="00F33866" w:rsidRPr="00066900">
        <w:rPr>
          <w:rFonts w:ascii="Times New Roman" w:hAnsi="Times New Roman" w:cs="Times New Roman"/>
          <w:b/>
          <w:bCs/>
          <w:color w:val="000000" w:themeColor="text1"/>
        </w:rPr>
        <w:instrText xml:space="preserve"> ADDIN EN.CITE </w:instrText>
      </w:r>
      <w:r w:rsidR="00F33866" w:rsidRPr="00066900">
        <w:rPr>
          <w:rFonts w:ascii="Times New Roman" w:hAnsi="Times New Roman" w:cs="Times New Roman"/>
          <w:b/>
          <w:bCs/>
          <w:color w:val="000000" w:themeColor="text1"/>
        </w:rPr>
        <w:fldChar w:fldCharType="begin">
          <w:fldData xml:space="preserve">PEVuZE5vdGU+PENpdGU+PEF1dGhvcj5CYXlsZXM8L0F1dGhvcj48WWVhcj4xOTk4PC9ZZWFyPjxJ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</w:fldData>
        </w:fldChar>
      </w:r>
      <w:r w:rsidR="00F33866" w:rsidRPr="00066900">
        <w:rPr>
          <w:rFonts w:ascii="Times New Roman" w:hAnsi="Times New Roman" w:cs="Times New Roman"/>
          <w:b/>
          <w:bCs/>
          <w:color w:val="000000" w:themeColor="text1"/>
        </w:rPr>
        <w:instrText xml:space="preserve"> ADDIN EN.CITE.DATA </w:instrText>
      </w:r>
      <w:r w:rsidR="00F33866" w:rsidRPr="00066900">
        <w:rPr>
          <w:rFonts w:ascii="Times New Roman" w:hAnsi="Times New Roman" w:cs="Times New Roman"/>
          <w:b/>
          <w:bCs/>
          <w:color w:val="000000" w:themeColor="text1"/>
        </w:rPr>
      </w:r>
      <w:r w:rsidR="00F33866" w:rsidRPr="00066900">
        <w:rPr>
          <w:rFonts w:ascii="Times New Roman" w:hAnsi="Times New Roman" w:cs="Times New Roman"/>
          <w:b/>
          <w:bCs/>
          <w:color w:val="000000" w:themeColor="text1"/>
        </w:rPr>
        <w:fldChar w:fldCharType="end"/>
      </w:r>
      <w:r w:rsidR="00F33866" w:rsidRPr="00066900">
        <w:rPr>
          <w:rFonts w:ascii="Times New Roman" w:hAnsi="Times New Roman" w:cs="Times New Roman"/>
          <w:b/>
          <w:bCs/>
          <w:color w:val="000000" w:themeColor="text1"/>
        </w:rPr>
      </w:r>
      <w:r w:rsidR="00F33866" w:rsidRPr="00066900">
        <w:rPr>
          <w:rFonts w:ascii="Times New Roman" w:hAnsi="Times New Roman" w:cs="Times New Roman"/>
          <w:b/>
          <w:bCs/>
          <w:color w:val="000000" w:themeColor="text1"/>
        </w:rPr>
        <w:fldChar w:fldCharType="separate"/>
      </w:r>
      <w:r w:rsidR="00F33866" w:rsidRPr="00066900">
        <w:rPr>
          <w:rFonts w:ascii="Times New Roman" w:hAnsi="Times New Roman" w:cs="Times New Roman"/>
          <w:b/>
          <w:bCs/>
          <w:noProof/>
          <w:color w:val="000000" w:themeColor="text1"/>
        </w:rPr>
        <w:t>(Bayles et al., 1998; Ortega, Koslover and Theriot, 2019)</w:t>
      </w:r>
      <w:r w:rsidR="00F33866" w:rsidRPr="00066900">
        <w:rPr>
          <w:rFonts w:ascii="Times New Roman" w:hAnsi="Times New Roman" w:cs="Times New Roman"/>
          <w:b/>
          <w:bCs/>
          <w:color w:val="000000" w:themeColor="text1"/>
        </w:rPr>
        <w:fldChar w:fldCharType="end"/>
      </w:r>
      <w:r>
        <w:rPr>
          <w:rFonts w:ascii="Times New Roman" w:hAnsi="Times New Roman" w:cs="Times New Roman"/>
          <w:color w:val="000000" w:themeColor="text1"/>
        </w:rPr>
        <w:t>.</w:t>
      </w:r>
    </w:p>
    <w:p w14:paraId="7D452495" w14:textId="77777777" w:rsidR="00033564" w:rsidRDefault="00033564" w:rsidP="00033564">
      <w:pPr>
        <w:pStyle w:val="Heading4"/>
      </w:pPr>
      <w:r>
        <w:t>1.3.6.1. Epithelial cell immune defence</w:t>
      </w:r>
    </w:p>
    <w:p w14:paraId="60996568" w14:textId="77777777" w:rsidR="00033564" w:rsidRPr="00B147E4" w:rsidRDefault="00033564" w:rsidP="00033564"/>
    <w:p w14:paraId="77D43B97" w14:textId="77777777" w:rsidR="00033564" w:rsidRDefault="00033564" w:rsidP="00033564">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As part of the host defence, the airway epithelium is lined with mucus that acts to protects against but can also trap pathogens </w:t>
      </w:r>
      <w:r w:rsidRPr="00316FC9">
        <w:rPr>
          <w:rFonts w:ascii="Times New Roman" w:hAnsi="Times New Roman" w:cs="Times New Roman"/>
          <w:b/>
          <w:bCs/>
          <w:color w:val="000000" w:themeColor="text1"/>
        </w:rPr>
        <w:fldChar w:fldCharType="begin"/>
      </w:r>
      <w:r w:rsidRPr="00316FC9">
        <w:rPr>
          <w:rFonts w:ascii="Times New Roman" w:hAnsi="Times New Roman" w:cs="Times New Roman"/>
          <w:b/>
          <w:bCs/>
          <w:color w:val="000000" w:themeColor="text1"/>
        </w:rPr>
        <w:instrText xml:space="preserve"> ADDIN EN.CITE &lt;EndNote&gt;&lt;Cite&gt;&lt;Author&gt;Pietrocola&lt;/Author&gt;&lt;Year&gt;2017&lt;/Year&gt;&lt;IDText&gt;Staphylococcus aureus Manipulates Innate Immunity through Own and Host-Expressed Proteases&lt;/IDText&gt;&lt;DisplayText&gt;(Pietrocola&lt;style face="italic"&gt; et al.&lt;/style&gt;, 2017)&lt;/DisplayText&gt;&lt;record&gt;&lt;dates&gt;&lt;pub-dates&gt;&lt;date&gt;May&lt;/date&gt;&lt;/pub-dates&gt;&lt;year&gt;2017&lt;/year&gt;&lt;/dates&gt;&lt;urls&gt;&lt;related-urls&gt;&lt;url&gt;&amp;lt;Go to ISI&amp;gt;://WOS:000400747100002&lt;/url&gt;&lt;/related-urls&gt;&lt;/urls&gt;&lt;isbn&gt;2235-2988&lt;/isbn&gt;&lt;titles&gt;&lt;title&gt;Staphylococcus aureus Manipulates Innate Immunity through Own and Host-Expressed Proteases&lt;/title&gt;&lt;secondary-title&gt;Frontiers in Cellular and Infection Microbiology&lt;/secondary-title&gt;&lt;/titles&gt;&lt;contributors&gt;&lt;authors&gt;&lt;author&gt;Pietrocola, G.&lt;/author&gt;&lt;author&gt;Nobile, G.&lt;/author&gt;&lt;author&gt;Rindi, S.&lt;/author&gt;&lt;author&gt;Speziale, P.&lt;/author&gt;&lt;/authors&gt;&lt;/contributors&gt;&lt;custom7&gt;166&lt;/custom7&gt;&lt;added-date format="utc"&gt;1677354901&lt;/added-date&gt;&lt;ref-type name="Journal Article"&gt;17&lt;/ref-type&gt;&lt;rec-number&gt;550&lt;/rec-number&gt;&lt;last-updated-date format="utc"&gt;1677354901&lt;/last-updated-date&gt;&lt;accession-num&gt;WOS:000400747100002&lt;/accession-num&gt;&lt;electronic-resource-num&gt;10.3389/fcimb.2017.00166&lt;/electronic-resource-num&gt;&lt;volume&gt;7&lt;/volume&gt;&lt;/record&gt;&lt;/Cite&gt;&lt;/EndNote&gt;</w:instrText>
      </w:r>
      <w:r w:rsidRPr="00316FC9">
        <w:rPr>
          <w:rFonts w:ascii="Times New Roman" w:hAnsi="Times New Roman" w:cs="Times New Roman"/>
          <w:b/>
          <w:bCs/>
          <w:color w:val="000000" w:themeColor="text1"/>
        </w:rPr>
        <w:fldChar w:fldCharType="separate"/>
      </w:r>
      <w:r w:rsidRPr="00316FC9">
        <w:rPr>
          <w:rFonts w:ascii="Times New Roman" w:hAnsi="Times New Roman" w:cs="Times New Roman"/>
          <w:b/>
          <w:bCs/>
          <w:noProof/>
          <w:color w:val="000000" w:themeColor="text1"/>
        </w:rPr>
        <w:t>(Pietrocola</w:t>
      </w:r>
      <w:r w:rsidRPr="00316FC9">
        <w:rPr>
          <w:rFonts w:ascii="Times New Roman" w:hAnsi="Times New Roman" w:cs="Times New Roman"/>
          <w:b/>
          <w:bCs/>
          <w:i/>
          <w:noProof/>
          <w:color w:val="000000" w:themeColor="text1"/>
        </w:rPr>
        <w:t xml:space="preserve"> et al.</w:t>
      </w:r>
      <w:r w:rsidRPr="00316FC9">
        <w:rPr>
          <w:rFonts w:ascii="Times New Roman" w:hAnsi="Times New Roman" w:cs="Times New Roman"/>
          <w:b/>
          <w:bCs/>
          <w:noProof/>
          <w:color w:val="000000" w:themeColor="text1"/>
        </w:rPr>
        <w:t>, 2017)</w:t>
      </w:r>
      <w:r w:rsidRPr="00316FC9">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The main defence mechanism by epithelial cells is the production of AMPs. Epithelial cells secrete AMPs such as the β-defensins, which have also demonstrated anti-staphylococcal activity </w:t>
      </w:r>
      <w:r>
        <w:rPr>
          <w:rFonts w:ascii="Times New Roman" w:hAnsi="Times New Roman" w:cs="Times New Roman"/>
          <w:i/>
          <w:iCs/>
          <w:color w:val="000000" w:themeColor="text1"/>
        </w:rPr>
        <w:t>in vitro</w:t>
      </w:r>
      <w:r>
        <w:rPr>
          <w:rFonts w:ascii="Times New Roman" w:hAnsi="Times New Roman" w:cs="Times New Roman"/>
          <w:b/>
          <w:bCs/>
          <w:color w:val="000000" w:themeColor="text1"/>
        </w:rPr>
        <w:t xml:space="preserve"> </w:t>
      </w:r>
      <w:r>
        <w:rPr>
          <w:rFonts w:ascii="Times New Roman" w:hAnsi="Times New Roman" w:cs="Times New Roman"/>
          <w:b/>
          <w:bCs/>
          <w:color w:val="000000" w:themeColor="text1"/>
        </w:rPr>
        <w:fldChar w:fldCharType="begin">
          <w:fldData xml:space="preserve">PEVuZE5vdGU+PENpdGU+PEF1dGhvcj5MZWhyZXI8L0F1dGhvcj48WWVhcj4xOTk5PC9ZZWFyPjxJ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=
</w:fldData>
        </w:fldChar>
      </w:r>
      <w:r>
        <w:rPr>
          <w:rFonts w:ascii="Times New Roman" w:hAnsi="Times New Roman" w:cs="Times New Roman"/>
          <w:b/>
          <w:bCs/>
          <w:color w:val="000000" w:themeColor="text1"/>
        </w:rPr>
        <w:instrText xml:space="preserve"> ADDIN EN.CITE </w:instrText>
      </w:r>
      <w:r>
        <w:rPr>
          <w:rFonts w:ascii="Times New Roman" w:hAnsi="Times New Roman" w:cs="Times New Roman"/>
          <w:b/>
          <w:bCs/>
          <w:color w:val="000000" w:themeColor="text1"/>
        </w:rPr>
        <w:fldChar w:fldCharType="begin">
          <w:fldData xml:space="preserve">PEVuZE5vdGU+PENpdGU+PEF1dGhvcj5MZWhyZXI8L0F1dGhvcj48WWVhcj4xOTk5PC9ZZWFyPjxJ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=
</w:fldData>
        </w:fldChar>
      </w:r>
      <w:r>
        <w:rPr>
          <w:rFonts w:ascii="Times New Roman" w:hAnsi="Times New Roman" w:cs="Times New Roman"/>
          <w:b/>
          <w:bCs/>
          <w:color w:val="000000" w:themeColor="text1"/>
        </w:rPr>
        <w:instrText xml:space="preserve"> ADDIN EN.CITE.DATA </w:instrText>
      </w:r>
      <w:r>
        <w:rPr>
          <w:rFonts w:ascii="Times New Roman" w:hAnsi="Times New Roman" w:cs="Times New Roman"/>
          <w:b/>
          <w:bCs/>
          <w:color w:val="000000" w:themeColor="text1"/>
        </w:rPr>
      </w:r>
      <w:r>
        <w:rPr>
          <w:rFonts w:ascii="Times New Roman" w:hAnsi="Times New Roman" w:cs="Times New Roman"/>
          <w:b/>
          <w:bCs/>
          <w:color w:val="000000" w:themeColor="text1"/>
        </w:rPr>
        <w:fldChar w:fldCharType="end"/>
      </w:r>
      <w:r>
        <w:rPr>
          <w:rFonts w:ascii="Times New Roman" w:hAnsi="Times New Roman" w:cs="Times New Roman"/>
          <w:b/>
          <w:bCs/>
          <w:color w:val="000000" w:themeColor="text1"/>
        </w:rPr>
      </w:r>
      <w:r>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(Lehrer and Ganz, 1999; Chen</w:t>
      </w:r>
      <w:r w:rsidRPr="002C6ADA">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2005)</w:t>
      </w:r>
      <w:r>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Furthermore, LL-37 is also expressed in airway epithelia </w:t>
      </w:r>
      <w:r w:rsidRPr="00316FC9">
        <w:rPr>
          <w:rFonts w:ascii="Times New Roman" w:hAnsi="Times New Roman" w:cs="Times New Roman"/>
          <w:b/>
          <w:bCs/>
          <w:color w:val="000000" w:themeColor="text1"/>
        </w:rPr>
        <w:fldChar w:fldCharType="begin"/>
      </w:r>
      <w:r w:rsidRPr="00316FC9">
        <w:rPr>
          <w:rFonts w:ascii="Times New Roman" w:hAnsi="Times New Roman" w:cs="Times New Roman"/>
          <w:b/>
          <w:bCs/>
          <w:color w:val="000000" w:themeColor="text1"/>
        </w:rPr>
        <w:instrText xml:space="preserve"> ADDIN EN.CITE &lt;EndNote&gt;&lt;Cite&gt;&lt;Author&gt;Bals&lt;/Author&gt;&lt;Year&gt;1998&lt;/Year&gt;&lt;IDText&gt;The peptide antibiotic LL-37/hCAP-18 is expressed in epithelia of the human lung where it has broad antimicrobial activity at the airway surface&lt;/IDText&gt;&lt;DisplayText&gt;(Bals&lt;style face="italic"&gt; et al.&lt;/style&gt;, 1998)&lt;/DisplayText&gt;&lt;record&gt;&lt;dates&gt;&lt;pub-dates&gt;&lt;date&gt;Aug&lt;/date&gt;&lt;/pub-dates&gt;&lt;year&gt;1998&lt;/year&gt;&lt;/dates&gt;&lt;urls&gt;&lt;related-urls&gt;&lt;url&gt;&amp;lt;Go to ISI&amp;gt;://WOS:000075246600086&lt;/url&gt;&lt;/related-urls&gt;&lt;/urls&gt;&lt;isbn&gt;0027-8424&lt;/isbn&gt;&lt;titles&gt;&lt;title&gt;The peptide antibiotic LL-37/hCAP-18 is expressed in epithelia of the human lung where it has broad antimicrobial activity at the airway surface&lt;/title&gt;&lt;secondary-title&gt;Proceedings of the National Academy of Sciences of the United States of America&lt;/secondary-title&gt;&lt;/titles&gt;&lt;pages&gt;9541-9546&lt;/pages&gt;&lt;number&gt;16&lt;/number&gt;&lt;contributors&gt;&lt;authors&gt;&lt;author&gt;Bals, R.&lt;/author&gt;&lt;author&gt;Wang, X. R.&lt;/author&gt;&lt;author&gt;Zasloff, M.&lt;/author&gt;&lt;author&gt;Wilson, J. M.&lt;/author&gt;&lt;/authors&gt;&lt;/contributors&gt;&lt;added-date format="utc"&gt;1677355429&lt;/added-date&gt;&lt;ref-type name="Journal Article"&gt;17&lt;/ref-type&gt;&lt;rec-number&gt;551&lt;/rec-number&gt;&lt;last-updated-date format="utc"&gt;1677355429&lt;/last-updated-date&gt;&lt;accession-num&gt;WOS:000075246600086&lt;/accession-num&gt;&lt;electronic-resource-num&gt;10.1073/pnas.95.16.9541&lt;/electronic-resource-num&gt;&lt;volume&gt;95&lt;/volume&gt;&lt;/record&gt;&lt;/Cite&gt;&lt;/EndNote&gt;</w:instrText>
      </w:r>
      <w:r w:rsidRPr="00316FC9">
        <w:rPr>
          <w:rFonts w:ascii="Times New Roman" w:hAnsi="Times New Roman" w:cs="Times New Roman"/>
          <w:b/>
          <w:bCs/>
          <w:color w:val="000000" w:themeColor="text1"/>
        </w:rPr>
        <w:fldChar w:fldCharType="separate"/>
      </w:r>
      <w:r w:rsidRPr="00316FC9">
        <w:rPr>
          <w:rFonts w:ascii="Times New Roman" w:hAnsi="Times New Roman" w:cs="Times New Roman"/>
          <w:b/>
          <w:bCs/>
          <w:noProof/>
          <w:color w:val="000000" w:themeColor="text1"/>
        </w:rPr>
        <w:t>(Bals</w:t>
      </w:r>
      <w:r w:rsidRPr="00316FC9">
        <w:rPr>
          <w:rFonts w:ascii="Times New Roman" w:hAnsi="Times New Roman" w:cs="Times New Roman"/>
          <w:b/>
          <w:bCs/>
          <w:i/>
          <w:noProof/>
          <w:color w:val="000000" w:themeColor="text1"/>
        </w:rPr>
        <w:t xml:space="preserve"> et al.</w:t>
      </w:r>
      <w:r w:rsidRPr="00316FC9">
        <w:rPr>
          <w:rFonts w:ascii="Times New Roman" w:hAnsi="Times New Roman" w:cs="Times New Roman"/>
          <w:b/>
          <w:bCs/>
          <w:noProof/>
          <w:color w:val="000000" w:themeColor="text1"/>
        </w:rPr>
        <w:t>, 1998)</w:t>
      </w:r>
      <w:r w:rsidRPr="00316FC9">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However, pathogens are still able to invade epithelial cells. Invasion by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 xml:space="preserve">is mediated via the zipper mechanism, which utilises cell surface receptors for internalisation and is used by bacteria such as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 xml:space="preserve">and </w:t>
      </w:r>
      <w:r>
        <w:rPr>
          <w:rFonts w:ascii="Times New Roman" w:hAnsi="Times New Roman" w:cs="Times New Roman"/>
          <w:i/>
          <w:iCs/>
          <w:color w:val="000000" w:themeColor="text1"/>
        </w:rPr>
        <w:t xml:space="preserve">L. monocytogenes </w:t>
      </w:r>
      <w:r w:rsidRPr="00C479F9">
        <w:rPr>
          <w:rFonts w:ascii="Times New Roman" w:hAnsi="Times New Roman" w:cs="Times New Roman"/>
          <w:b/>
          <w:bCs/>
          <w:color w:val="000000" w:themeColor="text1"/>
        </w:rPr>
        <w:fldChar w:fldCharType="begin"/>
      </w:r>
      <w:r w:rsidRPr="00C479F9">
        <w:rPr>
          <w:rFonts w:ascii="Times New Roman" w:hAnsi="Times New Roman" w:cs="Times New Roman"/>
          <w:b/>
          <w:bCs/>
          <w:color w:val="000000" w:themeColor="text1"/>
        </w:rPr>
        <w:instrText xml:space="preserve"> ADDIN EN.CITE &lt;EndNote&gt;&lt;Cite&gt;&lt;Author&gt;Veiga&lt;/Author&gt;&lt;Year&gt;2007&lt;/Year&gt;&lt;IDText&gt;Invasive and adherent bacterial pathogens co-opt host clathrin for infection&lt;/IDText&gt;&lt;DisplayText&gt;(Veiga&lt;style face="italic"&gt; et al.&lt;/style&gt;, 2007)&lt;/DisplayText&gt;&lt;record&gt;&lt;dates&gt;&lt;pub-dates&gt;&lt;date&gt;Nov&lt;/date&gt;&lt;/pub-dates&gt;&lt;year&gt;2007&lt;/year&gt;&lt;/dates&gt;&lt;urls&gt;&lt;related-urls&gt;&lt;url&gt;&amp;lt;Go to ISI&amp;gt;://WOS:000251124300011&lt;/url&gt;&lt;/related-urls&gt;&lt;/urls&gt;&lt;isbn&gt;1931-3128&lt;/isbn&gt;&lt;titles&gt;&lt;title&gt;Invasive and adherent bacterial pathogens co-opt host clathrin for infection&lt;/title&gt;&lt;secondary-title&gt;Cell Host &amp;amp; Microbe&lt;/secondary-title&gt;&lt;/titles&gt;&lt;pages&gt;340-351&lt;/pages&gt;&lt;number&gt;5&lt;/number&gt;&lt;contributors&gt;&lt;authors&gt;&lt;author&gt;Veiga, E.&lt;/author&gt;&lt;author&gt;Guttman, J. A.&lt;/author&gt;&lt;author&gt;Bonazzi, M.&lt;/author&gt;&lt;author&gt;Boucrot, E.&lt;/author&gt;&lt;author&gt;Toledo-Arana, A.&lt;/author&gt;&lt;author&gt;Lin, A. E.&lt;/author&gt;&lt;author&gt;Enninga, J.&lt;/author&gt;&lt;author&gt;Pizarro-Cerda, J.&lt;/author&gt;&lt;author&gt;Finlay, B. B.&lt;/author&gt;&lt;author&gt;Kirchhausen, T.&lt;/author&gt;&lt;author&gt;Cossart, P.&lt;/author&gt;&lt;/authors&gt;&lt;/contributors&gt;&lt;added-date format="utc"&gt;1677351043&lt;/added-date&gt;&lt;ref-type name="Journal Article"&gt;17&lt;/ref-type&gt;&lt;rec-number&gt;548&lt;/rec-number&gt;&lt;last-updated-date format="utc"&gt;1677351043&lt;/last-updated-date&gt;&lt;accession-num&gt;WOS:000251124300011&lt;/accession-num&gt;&lt;electronic-resource-num&gt;10.1016/j.chom.2007.10.001&lt;/electronic-resource-num&gt;&lt;volume&gt;2&lt;/volume&gt;&lt;/record&gt;&lt;/Cite&gt;&lt;/EndNote&gt;</w:instrText>
      </w:r>
      <w:r w:rsidRPr="00C479F9">
        <w:rPr>
          <w:rFonts w:ascii="Times New Roman" w:hAnsi="Times New Roman" w:cs="Times New Roman"/>
          <w:b/>
          <w:bCs/>
          <w:color w:val="000000" w:themeColor="text1"/>
        </w:rPr>
        <w:fldChar w:fldCharType="separate"/>
      </w:r>
      <w:r w:rsidRPr="00C479F9">
        <w:rPr>
          <w:rFonts w:ascii="Times New Roman" w:hAnsi="Times New Roman" w:cs="Times New Roman"/>
          <w:b/>
          <w:bCs/>
          <w:noProof/>
          <w:color w:val="000000" w:themeColor="text1"/>
        </w:rPr>
        <w:t>(Veiga et al., 2007)</w:t>
      </w:r>
      <w:r w:rsidRPr="00C479F9">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Staphylococcal adhesins such as FnBPA/B interact with host cell surface </w:t>
      </w:r>
      <w:r w:rsidRPr="004F503A">
        <w:rPr>
          <w:rFonts w:ascii="Times New Roman" w:hAnsi="Times New Roman" w:cs="Times New Roman"/>
          <w:color w:val="000000" w:themeColor="text1"/>
        </w:rPr>
        <w:t>α</w:t>
      </w:r>
      <w:r w:rsidRPr="004F503A">
        <w:rPr>
          <w:rFonts w:ascii="Times New Roman" w:hAnsi="Times New Roman" w:cs="Times New Roman"/>
          <w:color w:val="000000" w:themeColor="text1"/>
          <w:vertAlign w:val="subscript"/>
        </w:rPr>
        <w:t>5</w:t>
      </w:r>
      <w:r w:rsidRPr="004F503A">
        <w:rPr>
          <w:rFonts w:ascii="Times New Roman" w:hAnsi="Times New Roman" w:cs="Times New Roman"/>
          <w:color w:val="000000" w:themeColor="text1"/>
        </w:rPr>
        <w:t>β</w:t>
      </w:r>
      <w:r w:rsidRPr="004F503A">
        <w:rPr>
          <w:rFonts w:ascii="Times New Roman" w:hAnsi="Times New Roman" w:cs="Times New Roman"/>
          <w:color w:val="000000" w:themeColor="text1"/>
          <w:vertAlign w:val="subscript"/>
        </w:rPr>
        <w:t>1</w:t>
      </w:r>
      <w:r w:rsidRPr="004F503A">
        <w:rPr>
          <w:rFonts w:ascii="Times New Roman" w:hAnsi="Times New Roman" w:cs="Times New Roman"/>
          <w:color w:val="000000" w:themeColor="text1"/>
        </w:rPr>
        <w:t> integrins</w:t>
      </w:r>
      <w:r>
        <w:rPr>
          <w:rFonts w:ascii="Times New Roman" w:hAnsi="Times New Roman" w:cs="Times New Roman"/>
          <w:color w:val="000000" w:themeColor="text1"/>
        </w:rPr>
        <w:t xml:space="preserve"> to coordinate entry </w:t>
      </w:r>
      <w:r w:rsidRPr="00C479F9">
        <w:rPr>
          <w:rFonts w:ascii="Times New Roman" w:hAnsi="Times New Roman" w:cs="Times New Roman"/>
          <w:b/>
          <w:bCs/>
          <w:color w:val="000000" w:themeColor="text1"/>
        </w:rPr>
        <w:fldChar w:fldCharType="begin">
          <w:fldData xml:space="preserve">PEVuZE5vdGU+PENpdGU+PEF1dGhvcj5TaW5oYTwvQXV0aG9yPjxZZWFyPjE5OTk8L1llYXI+PElE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</w:fldData>
        </w:fldChar>
      </w:r>
      <w:r>
        <w:rPr>
          <w:rFonts w:ascii="Times New Roman" w:hAnsi="Times New Roman" w:cs="Times New Roman"/>
          <w:b/>
          <w:bCs/>
          <w:color w:val="000000" w:themeColor="text1"/>
        </w:rPr>
        <w:instrText xml:space="preserve"> ADDIN EN.CITE </w:instrText>
      </w:r>
      <w:r>
        <w:rPr>
          <w:rFonts w:ascii="Times New Roman" w:hAnsi="Times New Roman" w:cs="Times New Roman"/>
          <w:b/>
          <w:bCs/>
          <w:color w:val="000000" w:themeColor="text1"/>
        </w:rPr>
        <w:fldChar w:fldCharType="begin">
          <w:fldData xml:space="preserve">PEVuZE5vdGU+PENpdGU+PEF1dGhvcj5TaW5oYTwvQXV0aG9yPjxZZWFyPjE5OTk8L1llYXI+PElE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</w:fldData>
        </w:fldChar>
      </w:r>
      <w:r>
        <w:rPr>
          <w:rFonts w:ascii="Times New Roman" w:hAnsi="Times New Roman" w:cs="Times New Roman"/>
          <w:b/>
          <w:bCs/>
          <w:color w:val="000000" w:themeColor="text1"/>
        </w:rPr>
        <w:instrText xml:space="preserve"> ADDIN EN.CITE.DATA </w:instrText>
      </w:r>
      <w:r>
        <w:rPr>
          <w:rFonts w:ascii="Times New Roman" w:hAnsi="Times New Roman" w:cs="Times New Roman"/>
          <w:b/>
          <w:bCs/>
          <w:color w:val="000000" w:themeColor="text1"/>
        </w:rPr>
      </w:r>
      <w:r>
        <w:rPr>
          <w:rFonts w:ascii="Times New Roman" w:hAnsi="Times New Roman" w:cs="Times New Roman"/>
          <w:b/>
          <w:bCs/>
          <w:color w:val="000000" w:themeColor="text1"/>
        </w:rPr>
        <w:fldChar w:fldCharType="end"/>
      </w:r>
      <w:r w:rsidRPr="00C479F9">
        <w:rPr>
          <w:rFonts w:ascii="Times New Roman" w:hAnsi="Times New Roman" w:cs="Times New Roman"/>
          <w:b/>
          <w:bCs/>
          <w:color w:val="000000" w:themeColor="text1"/>
        </w:rPr>
      </w:r>
      <w:r w:rsidRPr="00C479F9">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(Sinha</w:t>
      </w:r>
      <w:r w:rsidRPr="003F6B73">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1999; Sinha</w:t>
      </w:r>
      <w:r w:rsidRPr="003F6B73">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2000)</w:t>
      </w:r>
      <w:r w:rsidRPr="00C479F9">
        <w:rPr>
          <w:rFonts w:ascii="Times New Roman" w:hAnsi="Times New Roman" w:cs="Times New Roman"/>
          <w:b/>
          <w:bCs/>
          <w:color w:val="000000" w:themeColor="text1"/>
        </w:rPr>
        <w:fldChar w:fldCharType="end"/>
      </w:r>
      <w:r>
        <w:rPr>
          <w:rFonts w:ascii="Times New Roman" w:hAnsi="Times New Roman" w:cs="Times New Roman"/>
          <w:b/>
          <w:bCs/>
          <w:color w:val="000000" w:themeColor="text1"/>
        </w:rPr>
        <w:t>.</w:t>
      </w:r>
      <w:r>
        <w:rPr>
          <w:rFonts w:ascii="Times New Roman" w:hAnsi="Times New Roman" w:cs="Times New Roman"/>
          <w:color w:val="000000" w:themeColor="text1"/>
        </w:rPr>
        <w:t xml:space="preserve"> Once internalised by epithelial cells,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 xml:space="preserve">was shown to be trafficked into phagolysosomes </w:t>
      </w:r>
      <w:r w:rsidRPr="004F503A">
        <w:rPr>
          <w:rFonts w:ascii="Times New Roman" w:hAnsi="Times New Roman" w:cs="Times New Roman"/>
          <w:b/>
          <w:bCs/>
          <w:color w:val="000000" w:themeColor="text1"/>
        </w:rPr>
        <w:fldChar w:fldCharType="begin"/>
      </w:r>
      <w:r w:rsidRPr="004F503A">
        <w:rPr>
          <w:rFonts w:ascii="Times New Roman" w:hAnsi="Times New Roman" w:cs="Times New Roman"/>
          <w:b/>
          <w:bCs/>
          <w:color w:val="000000" w:themeColor="text1"/>
        </w:rPr>
        <w:instrText xml:space="preserve"> ADDIN EN.CITE &lt;EndNote&gt;&lt;Cite&gt;&lt;Author&gt;Lam&lt;/Author&gt;&lt;Year&gt;2010&lt;/Year&gt;&lt;IDText&gt;Phagolysosomal Integrity Is Generally Maintained after Staphylococcus aureus Invasion of Nonprofessional Phagocytes but Is Modulated by Strain 6850&lt;/IDText&gt;&lt;DisplayText&gt;(Lam&lt;style face="italic"&gt; et al.&lt;/style&gt;, 2010)&lt;/DisplayText&gt;&lt;record&gt;&lt;dates&gt;&lt;pub-dates&gt;&lt;date&gt;Aug&lt;/date&gt;&lt;/pub-dates&gt;&lt;year&gt;2010&lt;/year&gt;&lt;/dates&gt;&lt;urls&gt;&lt;related-urls&gt;&lt;url&gt;&amp;lt;Go to ISI&amp;gt;://WOS:000279990400008&lt;/url&gt;&lt;/related-urls&gt;&lt;/urls&gt;&lt;isbn&gt;0019-9567&lt;/isbn&gt;&lt;work-type&gt;Article&lt;/work-type&gt;&lt;titles&gt;&lt;title&gt;Phagolysosomal Integrity Is Generally Maintained after Staphylococcus aureus Invasion of Nonprofessional Phagocytes but Is Modulated by Strain 6850&lt;/title&gt;&lt;secondary-title&gt;Infection and Immunity&lt;/secondary-title&gt;&lt;/titles&gt;&lt;pages&gt;3392-3403&lt;/pages&gt;&lt;number&gt;8&lt;/number&gt;&lt;contributors&gt;&lt;authors&gt;&lt;author&gt;Lam, Thien-Tri&lt;/author&gt;&lt;author&gt;Giese, Bernd&lt;/author&gt;&lt;author&gt;Chikkaballi, Deepak&lt;/author&gt;&lt;author&gt;Kuehn, Anika&lt;/author&gt;&lt;author&gt;Wolber, Wanja&lt;/author&gt;&lt;author&gt;Pane-Farre, Jan&lt;/author&gt;&lt;author&gt;Schaefer, Daniel&lt;/author&gt;&lt;author&gt;Engelmann, Susanne&lt;/author&gt;&lt;author&gt;Fraunholz, Martin&lt;/author&gt;&lt;author&gt;Sinha, Bhanu&lt;/author&gt;&lt;/authors&gt;&lt;/contributors&gt;&lt;added-date format="utc"&gt;1674671595&lt;/added-date&gt;&lt;ref-type name="Journal Article"&gt;17&lt;/ref-type&gt;&lt;rec-number&gt;260&lt;/rec-number&gt;&lt;last-updated-date format="utc"&gt;1675008997&lt;/last-updated-date&gt;&lt;accession-num&gt;WOS:000279990400008&lt;/accession-num&gt;&lt;electronic-resource-num&gt;10.1128/iai.00012-10&lt;/electronic-resource-num&gt;&lt;volume&gt;78&lt;/volume&gt;&lt;/record&gt;&lt;/Cite&gt;&lt;/EndNote&gt;</w:instrText>
      </w:r>
      <w:r w:rsidRPr="004F503A">
        <w:rPr>
          <w:rFonts w:ascii="Times New Roman" w:hAnsi="Times New Roman" w:cs="Times New Roman"/>
          <w:b/>
          <w:bCs/>
          <w:color w:val="000000" w:themeColor="text1"/>
        </w:rPr>
        <w:fldChar w:fldCharType="separate"/>
      </w:r>
      <w:r w:rsidRPr="004F503A">
        <w:rPr>
          <w:rFonts w:ascii="Times New Roman" w:hAnsi="Times New Roman" w:cs="Times New Roman"/>
          <w:b/>
          <w:bCs/>
          <w:noProof/>
          <w:color w:val="000000" w:themeColor="text1"/>
        </w:rPr>
        <w:t>(Lam</w:t>
      </w:r>
      <w:r w:rsidRPr="004F503A">
        <w:rPr>
          <w:rFonts w:ascii="Times New Roman" w:hAnsi="Times New Roman" w:cs="Times New Roman"/>
          <w:b/>
          <w:bCs/>
          <w:i/>
          <w:noProof/>
          <w:color w:val="000000" w:themeColor="text1"/>
        </w:rPr>
        <w:t xml:space="preserve"> et al.</w:t>
      </w:r>
      <w:r w:rsidRPr="004F503A">
        <w:rPr>
          <w:rFonts w:ascii="Times New Roman" w:hAnsi="Times New Roman" w:cs="Times New Roman"/>
          <w:b/>
          <w:bCs/>
          <w:noProof/>
          <w:color w:val="000000" w:themeColor="text1"/>
        </w:rPr>
        <w:t>, 2010)</w:t>
      </w:r>
      <w:r w:rsidRPr="004F503A">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highlighting the similarities in killing by professional and non-professional phagocytes. </w:t>
      </w:r>
    </w:p>
    <w:p w14:paraId="23FF16E1" w14:textId="77777777" w:rsidR="00033564" w:rsidRDefault="00033564" w:rsidP="00033564">
      <w:pPr>
        <w:pStyle w:val="Heading4"/>
      </w:pPr>
      <w:r>
        <w:t xml:space="preserve">1.3.6.2. The role of </w:t>
      </w:r>
      <w:r>
        <w:rPr>
          <w:i/>
        </w:rPr>
        <w:t xml:space="preserve">S. aureus </w:t>
      </w:r>
      <w:r>
        <w:t>in recurrent tonsillitis</w:t>
      </w:r>
    </w:p>
    <w:p w14:paraId="0C1D7581" w14:textId="77777777" w:rsidR="00033564" w:rsidRPr="000E43A8" w:rsidRDefault="00033564" w:rsidP="00033564"/>
    <w:p w14:paraId="61319F71" w14:textId="77777777" w:rsidR="00033564" w:rsidRPr="00FF6EBE" w:rsidRDefault="00033564" w:rsidP="00033564">
      <w:pPr>
        <w:spacing w:line="360" w:lineRule="auto"/>
        <w:jc w:val="both"/>
        <w:rPr>
          <w:rFonts w:ascii="Times New Roman" w:hAnsi="Times New Roman" w:cs="Times New Roman"/>
          <w:color w:val="000000" w:themeColor="text1"/>
        </w:rPr>
      </w:pPr>
      <w:r>
        <w:rPr>
          <w:rFonts w:ascii="Times New Roman" w:hAnsi="Times New Roman" w:cs="Times New Roman"/>
        </w:rPr>
        <w:tab/>
        <w:t>Human tonsillar epithelial (HTE) cells</w:t>
      </w:r>
      <w:r w:rsidRPr="00AB5692">
        <w:rPr>
          <w:rFonts w:ascii="Times New Roman" w:hAnsi="Times New Roman" w:cs="Times New Roman"/>
        </w:rPr>
        <w:t xml:space="preserve"> </w:t>
      </w:r>
      <w:r>
        <w:rPr>
          <w:rFonts w:ascii="Times New Roman" w:hAnsi="Times New Roman" w:cs="Times New Roman"/>
        </w:rPr>
        <w:t xml:space="preserve">constitute multiple layers of stratified squamous epithelium and serve as a first line of defence in the human tonsils. The tonsils are a set of lymphoid organs of which there are four types: palatine, pharyngeal, lingual and tubual. The palatine tonsils are located in the lateral oropharynx, encountering inhaled and ingested pathogens </w:t>
      </w:r>
      <w:r w:rsidRPr="00AE3EC4">
        <w:rPr>
          <w:rFonts w:ascii="Times New Roman" w:hAnsi="Times New Roman" w:cs="Times New Roman"/>
          <w:b/>
          <w:bCs/>
        </w:rPr>
        <w:fldChar w:fldCharType="begin"/>
      </w:r>
      <w:r w:rsidRPr="00AE3EC4">
        <w:rPr>
          <w:rFonts w:ascii="Times New Roman" w:hAnsi="Times New Roman" w:cs="Times New Roman"/>
          <w:b/>
          <w:bCs/>
        </w:rPr>
        <w:instrText xml:space="preserve"> ADDIN EN.CITE &lt;EndNote&gt;&lt;Cite&gt;&lt;Author&gt;Olofsson&lt;/Author&gt;&lt;Year&gt;1998&lt;/Year&gt;&lt;IDText&gt;The surface epithelium of recurrent infected palatine tonsils is rich in gamma delta T cells&lt;/IDText&gt;&lt;DisplayText&gt;(Olofsson, Hellstrom and Hammarstrom, 1998)&lt;/DisplayText&gt;&lt;record&gt;&lt;dates&gt;&lt;pub-dates&gt;&lt;date&gt;Jan&lt;/date&gt;&lt;/pub-dates&gt;&lt;year&gt;1998&lt;/year&gt;&lt;/dates&gt;&lt;urls&gt;&lt;related-urls&gt;&lt;url&gt;&amp;lt;Go to ISI&amp;gt;://WOS:000071623700006&lt;/url&gt;&lt;/related-urls&gt;&lt;/urls&gt;&lt;isbn&gt;0009-9104&lt;/isbn&gt;&lt;titles&gt;&lt;title&gt;The surface epithelium of recurrent infected palatine tonsils is rich in gamma delta T cells&lt;/title&gt;&lt;secondary-title&gt;Clinical and Experimental Immunology&lt;/secondary-title&gt;&lt;/titles&gt;&lt;pages&gt;36-47&lt;/pages&gt;&lt;number&gt;1&lt;/number&gt;&lt;contributors&gt;&lt;authors&gt;&lt;author&gt;Olofsson, K.&lt;/author&gt;&lt;author&gt;Hellstrom, S.&lt;/author&gt;&lt;author&gt;Hammarstrom, M. L.&lt;/author&gt;&lt;/authors&gt;&lt;/contributors&gt;&lt;added-date format="utc"&gt;1677344825&lt;/added-date&gt;&lt;ref-type name="Journal Article"&gt;17&lt;/ref-type&gt;&lt;rec-number&gt;545&lt;/rec-number&gt;&lt;last-updated-date format="utc"&gt;1677344825&lt;/last-updated-date&gt;&lt;accession-num&gt;WOS:000071623700006&lt;/accession-num&gt;&lt;volume&gt;111&lt;/volume&gt;&lt;/record&gt;&lt;/Cite&gt;&lt;/EndNote&gt;</w:instrText>
      </w:r>
      <w:r w:rsidRPr="00AE3EC4">
        <w:rPr>
          <w:rFonts w:ascii="Times New Roman" w:hAnsi="Times New Roman" w:cs="Times New Roman"/>
          <w:b/>
          <w:bCs/>
        </w:rPr>
        <w:fldChar w:fldCharType="separate"/>
      </w:r>
      <w:r w:rsidRPr="00AE3EC4">
        <w:rPr>
          <w:rFonts w:ascii="Times New Roman" w:hAnsi="Times New Roman" w:cs="Times New Roman"/>
          <w:b/>
          <w:bCs/>
          <w:noProof/>
        </w:rPr>
        <w:t>(Olofsson, Hellstrom and Hammarstrom, 1998)</w:t>
      </w:r>
      <w:r w:rsidRPr="00AE3EC4">
        <w:rPr>
          <w:rFonts w:ascii="Times New Roman" w:hAnsi="Times New Roman" w:cs="Times New Roman"/>
          <w:b/>
          <w:bCs/>
        </w:rPr>
        <w:fldChar w:fldCharType="end"/>
      </w:r>
      <w:r w:rsidRPr="00AE3EC4">
        <w:rPr>
          <w:rFonts w:ascii="Times New Roman" w:hAnsi="Times New Roman" w:cs="Times New Roman"/>
          <w:b/>
          <w:bCs/>
        </w:rPr>
        <w:t xml:space="preserve"> </w:t>
      </w:r>
      <w:r>
        <w:rPr>
          <w:rFonts w:ascii="Times New Roman" w:hAnsi="Times New Roman" w:cs="Times New Roman"/>
        </w:rPr>
        <w:t xml:space="preserve">and thus are thought to have immune functions, for example, tonsillar immune cells produce IgA </w:t>
      </w:r>
      <w:r w:rsidRPr="00AE3EC4">
        <w:rPr>
          <w:rFonts w:ascii="Times New Roman" w:hAnsi="Times New Roman" w:cs="Times New Roman"/>
          <w:b/>
          <w:bCs/>
        </w:rPr>
        <w:fldChar w:fldCharType="begin"/>
      </w:r>
      <w:r w:rsidRPr="00AE3EC4">
        <w:rPr>
          <w:rFonts w:ascii="Times New Roman" w:hAnsi="Times New Roman" w:cs="Times New Roman"/>
          <w:b/>
          <w:bCs/>
        </w:rPr>
        <w:instrText xml:space="preserve"> ADDIN EN.CITE &lt;EndNote&gt;&lt;Cite&gt;&lt;Author&gt;Cantani&lt;/Author&gt;&lt;Year&gt;1986&lt;/Year&gt;&lt;IDText&gt;SERUM IMMUNOGLOBULINS AND SECRETORY IGA DEFICIENCY IN TONSILLECTOMIZED CHILDREN&lt;/IDText&gt;&lt;DisplayText&gt;(Cantani&lt;style face="italic"&gt; et al.&lt;/style&gt;, 1986)&lt;/DisplayText&gt;&lt;record&gt;&lt;dates&gt;&lt;pub-dates&gt;&lt;date&gt;Dec&lt;/date&gt;&lt;/pub-dates&gt;&lt;year&gt;1986&lt;/year&gt;&lt;/dates&gt;&lt;urls&gt;&lt;related-urls&gt;&lt;url&gt;&amp;lt;Go to ISI&amp;gt;://WOS:A1986F250000007&lt;/url&gt;&lt;/related-urls&gt;&lt;/urls&gt;&lt;isbn&gt;0003-4738&lt;/isbn&gt;&lt;titles&gt;&lt;title&gt;SERUM IMMUNOGLOBULINS AND SECRETORY IGA DEFICIENCY IN TONSILLECTOMIZED CHILDREN&lt;/title&gt;&lt;secondary-title&gt;Annals of Allergy&lt;/secondary-title&gt;&lt;/titles&gt;&lt;pages&gt;413-416&lt;/pages&gt;&lt;number&gt;6&lt;/number&gt;&lt;contributors&gt;&lt;authors&gt;&lt;author&gt;Cantani, A.&lt;/author&gt;&lt;author&gt;Bellioni, P.&lt;/author&gt;&lt;author&gt;Salvinelli, F.&lt;/author&gt;&lt;author&gt;Businco, L.&lt;/author&gt;&lt;/authors&gt;&lt;/contributors&gt;&lt;added-date format="utc"&gt;1677344853&lt;/added-date&gt;&lt;ref-type name="Journal Article"&gt;17&lt;/ref-type&gt;&lt;rec-number&gt;546&lt;/rec-number&gt;&lt;last-updated-date format="utc"&gt;1677344853&lt;/last-updated-date&gt;&lt;accession-num&gt;WOS:A1986F250000007&lt;/accession-num&gt;&lt;volume&gt;57&lt;/volume&gt;&lt;/record&gt;&lt;/Cite&gt;&lt;/EndNote&gt;</w:instrText>
      </w:r>
      <w:r w:rsidRPr="00AE3EC4">
        <w:rPr>
          <w:rFonts w:ascii="Times New Roman" w:hAnsi="Times New Roman" w:cs="Times New Roman"/>
          <w:b/>
          <w:bCs/>
        </w:rPr>
        <w:fldChar w:fldCharType="separate"/>
      </w:r>
      <w:r w:rsidRPr="00AE3EC4">
        <w:rPr>
          <w:rFonts w:ascii="Times New Roman" w:hAnsi="Times New Roman" w:cs="Times New Roman"/>
          <w:b/>
          <w:bCs/>
          <w:noProof/>
        </w:rPr>
        <w:t>(Cantani</w:t>
      </w:r>
      <w:r w:rsidRPr="00AE3EC4">
        <w:rPr>
          <w:rFonts w:ascii="Times New Roman" w:hAnsi="Times New Roman" w:cs="Times New Roman"/>
          <w:b/>
          <w:bCs/>
          <w:i/>
          <w:noProof/>
        </w:rPr>
        <w:t xml:space="preserve"> et al.</w:t>
      </w:r>
      <w:r w:rsidRPr="00AE3EC4">
        <w:rPr>
          <w:rFonts w:ascii="Times New Roman" w:hAnsi="Times New Roman" w:cs="Times New Roman"/>
          <w:b/>
          <w:bCs/>
          <w:noProof/>
        </w:rPr>
        <w:t>, 1986)</w:t>
      </w:r>
      <w:r w:rsidRPr="00AE3EC4">
        <w:rPr>
          <w:rFonts w:ascii="Times New Roman" w:hAnsi="Times New Roman" w:cs="Times New Roman"/>
          <w:b/>
          <w:bCs/>
        </w:rPr>
        <w:fldChar w:fldCharType="end"/>
      </w:r>
      <w:r>
        <w:rPr>
          <w:rFonts w:ascii="Times New Roman" w:hAnsi="Times New Roman" w:cs="Times New Roman"/>
        </w:rPr>
        <w:t>. However, inflammation of the palatine tonsils occurs frequently and is termed tonsilitis, an upper respiratory tract infection. While both bacteria and viruses are causative agents of tonsillitis,</w:t>
      </w:r>
      <w:r>
        <w:rPr>
          <w:rFonts w:ascii="Times New Roman" w:hAnsi="Times New Roman" w:cs="Times New Roman"/>
          <w:i/>
          <w:iCs/>
        </w:rPr>
        <w:t xml:space="preserve"> S. aureus</w:t>
      </w:r>
      <w:r>
        <w:rPr>
          <w:rFonts w:ascii="Times New Roman" w:hAnsi="Times New Roman" w:cs="Times New Roman"/>
        </w:rPr>
        <w:t xml:space="preserve"> is one of the predominant pathogens in addition to </w:t>
      </w:r>
      <w:r>
        <w:rPr>
          <w:rFonts w:ascii="Times New Roman" w:hAnsi="Times New Roman" w:cs="Times New Roman"/>
          <w:i/>
          <w:iCs/>
        </w:rPr>
        <w:t>Streptococcus pyogenes</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with approximately 57.7 % of cases attributed to the former while 20.2 % are attributed to the latter </w:t>
      </w:r>
      <w:r w:rsidRPr="002110FE">
        <w:rPr>
          <w:rFonts w:ascii="Times New Roman" w:hAnsi="Times New Roman" w:cs="Times New Roman"/>
          <w:b/>
          <w:bCs/>
        </w:rPr>
        <w:fldChar w:fldCharType="begin">
          <w:fldData xml:space="preserve">PEVuZE5vdGU+PENpdGU+PEF1dGhvcj5aYXV0bmVyPC9BdXRob3I+PFllYXI+MjAxMDwvWWVhcj48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PEVuZE5vdGU+PENpdGU+PEF1dGhvcj5aYXV0bmVyPC9BdXRob3I+PFllYXI+MjAxMDwvWWVhcj48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2110FE">
        <w:rPr>
          <w:rFonts w:ascii="Times New Roman" w:hAnsi="Times New Roman" w:cs="Times New Roman"/>
          <w:b/>
          <w:bCs/>
        </w:rPr>
      </w:r>
      <w:r w:rsidRPr="002110FE">
        <w:rPr>
          <w:rFonts w:ascii="Times New Roman" w:hAnsi="Times New Roman" w:cs="Times New Roman"/>
          <w:b/>
          <w:bCs/>
        </w:rPr>
        <w:fldChar w:fldCharType="separate"/>
      </w:r>
      <w:r>
        <w:rPr>
          <w:rFonts w:ascii="Times New Roman" w:hAnsi="Times New Roman" w:cs="Times New Roman"/>
          <w:b/>
          <w:bCs/>
          <w:noProof/>
        </w:rPr>
        <w:t>(Zautner</w:t>
      </w:r>
      <w:r w:rsidRPr="00F95468">
        <w:rPr>
          <w:rFonts w:ascii="Times New Roman" w:hAnsi="Times New Roman" w:cs="Times New Roman"/>
          <w:b/>
          <w:bCs/>
          <w:i/>
          <w:noProof/>
        </w:rPr>
        <w:t xml:space="preserve"> et al.</w:t>
      </w:r>
      <w:r>
        <w:rPr>
          <w:rFonts w:ascii="Times New Roman" w:hAnsi="Times New Roman" w:cs="Times New Roman"/>
          <w:b/>
          <w:bCs/>
          <w:noProof/>
        </w:rPr>
        <w:t>, 2010; Cavalcanti</w:t>
      </w:r>
      <w:r w:rsidRPr="00F95468">
        <w:rPr>
          <w:rFonts w:ascii="Times New Roman" w:hAnsi="Times New Roman" w:cs="Times New Roman"/>
          <w:b/>
          <w:bCs/>
          <w:i/>
          <w:noProof/>
        </w:rPr>
        <w:t xml:space="preserve"> et al.</w:t>
      </w:r>
      <w:r>
        <w:rPr>
          <w:rFonts w:ascii="Times New Roman" w:hAnsi="Times New Roman" w:cs="Times New Roman"/>
          <w:b/>
          <w:bCs/>
          <w:noProof/>
        </w:rPr>
        <w:t>, 2019; Katkowska, Garbacz and Stromkowski, 2017; Kostic</w:t>
      </w:r>
      <w:r w:rsidRPr="00F95468">
        <w:rPr>
          <w:rFonts w:ascii="Times New Roman" w:hAnsi="Times New Roman" w:cs="Times New Roman"/>
          <w:b/>
          <w:bCs/>
          <w:i/>
          <w:noProof/>
        </w:rPr>
        <w:t xml:space="preserve"> et al.</w:t>
      </w:r>
      <w:r>
        <w:rPr>
          <w:rFonts w:ascii="Times New Roman" w:hAnsi="Times New Roman" w:cs="Times New Roman"/>
          <w:b/>
          <w:bCs/>
          <w:noProof/>
        </w:rPr>
        <w:t>, 2022)</w:t>
      </w:r>
      <w:r w:rsidRPr="002110FE">
        <w:rPr>
          <w:rFonts w:ascii="Times New Roman" w:hAnsi="Times New Roman" w:cs="Times New Roman"/>
          <w:b/>
          <w:bCs/>
        </w:rPr>
        <w:fldChar w:fldCharType="end"/>
      </w:r>
      <w:r>
        <w:rPr>
          <w:rFonts w:ascii="Times New Roman" w:hAnsi="Times New Roman" w:cs="Times New Roman"/>
        </w:rPr>
        <w:t xml:space="preserve">. When antibiotic therapy is unsuccessful at treating recurrent tonsilitis as high rates of resistance to β-lactams have been reported </w:t>
      </w:r>
      <w:r w:rsidRPr="00B6415D">
        <w:rPr>
          <w:rFonts w:ascii="Times New Roman" w:hAnsi="Times New Roman" w:cs="Times New Roman"/>
          <w:b/>
          <w:bCs/>
        </w:rPr>
        <w:fldChar w:fldCharType="begin"/>
      </w:r>
      <w:r w:rsidRPr="00B6415D">
        <w:rPr>
          <w:rFonts w:ascii="Times New Roman" w:hAnsi="Times New Roman" w:cs="Times New Roman"/>
          <w:b/>
          <w:bCs/>
        </w:rPr>
        <w:instrText xml:space="preserve"> ADDIN EN.CITE &lt;EndNote&gt;&lt;Cite&gt;&lt;Author&gt;Cavalcanti&lt;/Author&gt;&lt;Year&gt;2019&lt;/Year&gt;&lt;IDText&gt;Staphylococcus aureus in tonsils of patients with recurrent tonsillitis: prevalence, susceptibility profile, and genotypic characterization&lt;/IDText&gt;&lt;DisplayText&gt;(Cavalcanti&lt;style face="italic"&gt; et al.&lt;/style&gt;, 2019)&lt;/DisplayText&gt;&lt;record&gt;&lt;dates&gt;&lt;pub-dates&gt;&lt;date&gt;Jan-Feb&lt;/date&gt;&lt;/pub-dates&gt;&lt;year&gt;2019&lt;/year&gt;&lt;/dates&gt;&lt;urls&gt;&lt;related-urls&gt;&lt;/related-urls&gt;&lt;/urls&gt;&lt;isbn&gt;1413-8670&lt;/isbn&gt;&lt;work-type&gt;Article&lt;/work-type&gt;&lt;titles&gt;&lt;title&gt;&lt;style face="italic" font="default" size="100%"&gt;Staphylococcus aureus&lt;/style&gt;&lt;style font="default" size="100%"&gt; in tonsils of patients with recurrent tonsillitis: prevalence, susceptibility profile, and genotypic characterization&lt;/style&gt;&lt;/title&gt;&lt;secondary-title&gt;Brazilian Journal of Infectious Diseases&lt;/secondary-title&gt;&lt;/titles&gt;&lt;pages&gt;8-14&lt;/pages&gt;&lt;number&gt;1&lt;/number&gt;&lt;contributors&gt;&lt;authors&gt;&lt;author&gt;Cavalcanti, Veraluce Paolini&lt;/author&gt;&lt;author&gt;de Camargo, Leandro Azevedo&lt;/author&gt;&lt;author&gt;Moura, Fabiano Santana&lt;/author&gt;&lt;author&gt;de Melo Fernandes, Edson Junior&lt;/author&gt;&lt;author&gt;Lamaro-Cardoso, Juliana&lt;/author&gt;&lt;author&gt;da Silva Bitencourt Braga, Carla Afonso&lt;/author&gt;&lt;author&gt;Porfirio Andre, Maria Claudia&lt;/author&gt;&lt;/authors&gt;&lt;/contributors&gt;&lt;added-date format="utc"&gt;1673968967&lt;/added-date&gt;&lt;ref-type name="Journal Article"&gt;17&lt;/ref-type&gt;&lt;rec-number&gt;203&lt;/rec-number&gt;&lt;last-updated-date format="utc"&gt;1675729404&lt;/last-updated-date&gt;&lt;accession-num&gt;WOS:000486053500003&lt;/accession-num&gt;&lt;electronic-resource-num&gt;10.1016/j.bjid.2018.12.003&lt;/electronic-resource-num&gt;&lt;volume&gt;23&lt;/volume&gt;&lt;/record&gt;&lt;/Cite&gt;&lt;/EndNote&gt;</w:instrText>
      </w:r>
      <w:r w:rsidRPr="00B6415D">
        <w:rPr>
          <w:rFonts w:ascii="Times New Roman" w:hAnsi="Times New Roman" w:cs="Times New Roman"/>
          <w:b/>
          <w:bCs/>
        </w:rPr>
        <w:fldChar w:fldCharType="separate"/>
      </w:r>
      <w:r w:rsidRPr="00B6415D">
        <w:rPr>
          <w:rFonts w:ascii="Times New Roman" w:hAnsi="Times New Roman" w:cs="Times New Roman"/>
          <w:b/>
          <w:bCs/>
          <w:noProof/>
        </w:rPr>
        <w:t>(Cavalcanti</w:t>
      </w:r>
      <w:r w:rsidRPr="00B6415D">
        <w:rPr>
          <w:rFonts w:ascii="Times New Roman" w:hAnsi="Times New Roman" w:cs="Times New Roman"/>
          <w:b/>
          <w:bCs/>
          <w:i/>
          <w:noProof/>
        </w:rPr>
        <w:t xml:space="preserve"> et al.</w:t>
      </w:r>
      <w:r w:rsidRPr="00B6415D">
        <w:rPr>
          <w:rFonts w:ascii="Times New Roman" w:hAnsi="Times New Roman" w:cs="Times New Roman"/>
          <w:b/>
          <w:bCs/>
          <w:noProof/>
        </w:rPr>
        <w:t>, 2019)</w:t>
      </w:r>
      <w:r w:rsidRPr="00B6415D">
        <w:rPr>
          <w:rFonts w:ascii="Times New Roman" w:hAnsi="Times New Roman" w:cs="Times New Roman"/>
          <w:b/>
          <w:bCs/>
        </w:rPr>
        <w:fldChar w:fldCharType="end"/>
      </w:r>
      <w:r>
        <w:rPr>
          <w:rFonts w:ascii="Times New Roman" w:hAnsi="Times New Roman" w:cs="Times New Roman"/>
        </w:rPr>
        <w:t>, tonsillectomies are required</w:t>
      </w:r>
      <w:r w:rsidRPr="00B6415D">
        <w:rPr>
          <w:rFonts w:ascii="Times New Roman" w:hAnsi="Times New Roman" w:cs="Times New Roman"/>
          <w:b/>
          <w:bCs/>
        </w:rPr>
        <w:t xml:space="preserve"> </w:t>
      </w:r>
      <w:r w:rsidRPr="00B6415D">
        <w:rPr>
          <w:rFonts w:ascii="Times New Roman" w:hAnsi="Times New Roman" w:cs="Times New Roman"/>
          <w:b/>
          <w:bCs/>
        </w:rPr>
        <w:fldChar w:fldCharType="begin"/>
      </w:r>
      <w:r w:rsidRPr="00B6415D">
        <w:rPr>
          <w:rFonts w:ascii="Times New Roman" w:hAnsi="Times New Roman" w:cs="Times New Roman"/>
          <w:b/>
          <w:bCs/>
        </w:rPr>
        <w:instrText xml:space="preserve"> ADDIN EN.CITE &lt;EndNote&gt;&lt;Cite&gt;&lt;Author&gt;Zautner&lt;/Author&gt;&lt;Year&gt;2010&lt;/Year&gt;&lt;IDText&gt;Intracellular Persisting Staphylococcus aureus Is the Major Pathogen in Recurrent Tonsillitis&lt;/IDText&gt;&lt;DisplayText&gt;(Zautner&lt;style face="italic"&gt; et al.&lt;/style&gt;, 2010)&lt;/DisplayText&gt;&lt;record&gt;&lt;dates&gt;&lt;pub-dates&gt;&lt;date&gt;Mar 1&lt;/date&gt;&lt;/pub-dates&gt;&lt;year&gt;2010&lt;/year&gt;&lt;/dates&gt;&lt;urls&gt;&lt;related-urls&gt;&lt;url&gt;&amp;lt;Go to ISI&amp;gt;://WOS:000274997100004&lt;/url&gt;&lt;/related-urls&gt;&lt;/urls&gt;&lt;isbn&gt;1932-6203&lt;/isbn&gt;&lt;work-type&gt;Article&lt;/work-type&gt;&lt;titles&gt;&lt;title&gt;Intracellular Persisting Staphylococcus aureus Is the Major Pathogen in Recurrent Tonsillitis&lt;/title&gt;&lt;secondary-title&gt;Plos One&lt;/secondary-title&gt;&lt;/titles&gt;&lt;number&gt;3&lt;/number&gt;&lt;contributors&gt;&lt;authors&gt;&lt;author&gt;Zautner, Andreas E.&lt;/author&gt;&lt;author&gt;Krause, Merit&lt;/author&gt;&lt;author&gt;Stropahl, Gerhard&lt;/author&gt;&lt;author&gt;Holtfreter, Silva&lt;/author&gt;&lt;author&gt;Frickmann, Hagen&lt;/author&gt;&lt;author&gt;Maletzki, Claudia&lt;/author&gt;&lt;author&gt;Kreikemeyer, Bernd&lt;/author&gt;&lt;author&gt;Pau, Hans Wilhelm&lt;/author&gt;&lt;author&gt;Podbielski, Andreas&lt;/author&gt;&lt;/authors&gt;&lt;/contributors&gt;&lt;custom7&gt;e9452&lt;/custom7&gt;&lt;added-date format="utc"&gt;1673968930&lt;/added-date&gt;&lt;ref-type name="Journal Article"&gt;17&lt;/ref-type&gt;&lt;rec-number&gt;202&lt;/rec-number&gt;&lt;last-updated-date format="utc"&gt;1673972573&lt;/last-updated-date&gt;&lt;accession-num&gt;WOS:000274997100004&lt;/accession-num&gt;&lt;electronic-resource-num&gt;10.1371/journal.pone.0009452&lt;/electronic-resource-num&gt;&lt;volume&gt;5&lt;/volume&gt;&lt;/record&gt;&lt;/Cite&gt;&lt;/EndNote&gt;</w:instrText>
      </w:r>
      <w:r w:rsidRPr="00B6415D">
        <w:rPr>
          <w:rFonts w:ascii="Times New Roman" w:hAnsi="Times New Roman" w:cs="Times New Roman"/>
          <w:b/>
          <w:bCs/>
        </w:rPr>
        <w:fldChar w:fldCharType="separate"/>
      </w:r>
      <w:r w:rsidRPr="00B6415D">
        <w:rPr>
          <w:rFonts w:ascii="Times New Roman" w:hAnsi="Times New Roman" w:cs="Times New Roman"/>
          <w:b/>
          <w:bCs/>
          <w:noProof/>
        </w:rPr>
        <w:t>(Zautner</w:t>
      </w:r>
      <w:r w:rsidRPr="00B6415D">
        <w:rPr>
          <w:rFonts w:ascii="Times New Roman" w:hAnsi="Times New Roman" w:cs="Times New Roman"/>
          <w:b/>
          <w:bCs/>
          <w:i/>
          <w:noProof/>
        </w:rPr>
        <w:t xml:space="preserve"> et al.</w:t>
      </w:r>
      <w:r w:rsidRPr="00B6415D">
        <w:rPr>
          <w:rFonts w:ascii="Times New Roman" w:hAnsi="Times New Roman" w:cs="Times New Roman"/>
          <w:b/>
          <w:bCs/>
          <w:noProof/>
        </w:rPr>
        <w:t>, 2010)</w:t>
      </w:r>
      <w:r w:rsidRPr="00B6415D">
        <w:rPr>
          <w:rFonts w:ascii="Times New Roman" w:hAnsi="Times New Roman" w:cs="Times New Roman"/>
          <w:b/>
          <w:bCs/>
        </w:rPr>
        <w:fldChar w:fldCharType="end"/>
      </w:r>
      <w:r>
        <w:rPr>
          <w:rFonts w:ascii="Times New Roman" w:hAnsi="Times New Roman" w:cs="Times New Roman"/>
        </w:rPr>
        <w:t xml:space="preserve">. Recurrent infections occur due to persistence of </w:t>
      </w:r>
      <w:r>
        <w:rPr>
          <w:rFonts w:ascii="Times New Roman" w:hAnsi="Times New Roman" w:cs="Times New Roman"/>
          <w:i/>
          <w:iCs/>
        </w:rPr>
        <w:t>S. aureus</w:t>
      </w:r>
      <w:r>
        <w:rPr>
          <w:rFonts w:ascii="Times New Roman" w:hAnsi="Times New Roman" w:cs="Times New Roman"/>
        </w:rPr>
        <w:t xml:space="preserve"> within the tonsillar tissue </w:t>
      </w:r>
      <w:r w:rsidRPr="00036D7F">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&lt;EndNote&gt;&lt;Cite&gt;&lt;Author&gt;Cavalcanti&lt;/Author&gt;&lt;Year&gt;2019&lt;/Year&gt;&lt;IDText&gt;Staphylococcus aureus in tonsils of patients with recurrent tonsillitis: prevalence, susceptibility profile, and genotypic characterization&lt;/IDText&gt;&lt;DisplayText&gt;(Cavalcanti&lt;style face="italic"&gt; et al.&lt;/style&gt;, 2019)&lt;/DisplayText&gt;&lt;record&gt;&lt;dates&gt;&lt;pub-dates&gt;&lt;date&gt;Jan-Feb&lt;/date&gt;&lt;/pub-dates&gt;&lt;year&gt;2019&lt;/year&gt;&lt;/dates&gt;&lt;urls&gt;&lt;related-urls&gt;&lt;url&gt;&amp;lt;Go to ISI&amp;gt;://WOS:000486053500003&lt;/url&gt;&lt;/related-urls&gt;&lt;/urls&gt;&lt;isbn&gt;1413-8670&lt;/isbn&gt;&lt;work-type&gt;Article&lt;/work-type&gt;&lt;titles&gt;&lt;title&gt;Staphylococcus aureus in tonsils of patients with recurrent tonsillitis: prevalence, susceptibility profile, and genotypic characterization&lt;/title&gt;&lt;secondary-title&gt;Brazilian Journal of Infectious Diseases&lt;/secondary-title&gt;&lt;/titles&gt;&lt;pages&gt;8-14&lt;/pages&gt;&lt;number&gt;1&lt;/number&gt;&lt;contributors&gt;&lt;authors&gt;&lt;author&gt;Cavalcanti, Veraluce Paolini&lt;/author&gt;&lt;author&gt;de Camargo, Leandro Azevedo&lt;/author&gt;&lt;author&gt;Moura, Fabiano Santana&lt;/author&gt;&lt;author&gt;de Melo Fernandes, Edson Junior&lt;/author&gt;&lt;author&gt;Lamaro-Cardoso, Juliana&lt;/author&gt;&lt;author&gt;da Silva Bitencourt Braga, Carla Afonso&lt;/author&gt;&lt;author&gt;Porfirio Andre, Maria Claudia&lt;/author&gt;&lt;/authors&gt;&lt;/contributors&gt;&lt;added-date format="utc"&gt;1673968967&lt;/added-date&gt;&lt;ref-type name="Journal Article"&gt;17&lt;/ref-type&gt;&lt;rec-number&gt;203&lt;/rec-number&gt;&lt;last-updated-date format="utc"&gt;1673972573&lt;/last-updated-date&gt;&lt;accession-num&gt;WOS:000486053500003&lt;/accession-num&gt;&lt;electronic-resource-num&gt;10.1016/j.bjid.2018.12.003&lt;/electronic-resource-num&gt;&lt;volume&gt;23&lt;/volume&gt;&lt;/record&gt;&lt;/Cite&gt;&lt;/EndNote&gt;</w:instrText>
      </w:r>
      <w:r w:rsidRPr="00036D7F">
        <w:rPr>
          <w:rFonts w:ascii="Times New Roman" w:hAnsi="Times New Roman" w:cs="Times New Roman"/>
          <w:b/>
          <w:bCs/>
        </w:rPr>
        <w:fldChar w:fldCharType="separate"/>
      </w:r>
      <w:r>
        <w:rPr>
          <w:rFonts w:ascii="Times New Roman" w:hAnsi="Times New Roman" w:cs="Times New Roman"/>
          <w:b/>
          <w:bCs/>
          <w:noProof/>
        </w:rPr>
        <w:t>(Cavalcanti</w:t>
      </w:r>
      <w:r w:rsidRPr="00F95468">
        <w:rPr>
          <w:rFonts w:ascii="Times New Roman" w:hAnsi="Times New Roman" w:cs="Times New Roman"/>
          <w:b/>
          <w:bCs/>
          <w:i/>
          <w:noProof/>
        </w:rPr>
        <w:t xml:space="preserve"> et al.</w:t>
      </w:r>
      <w:r>
        <w:rPr>
          <w:rFonts w:ascii="Times New Roman" w:hAnsi="Times New Roman" w:cs="Times New Roman"/>
          <w:b/>
          <w:bCs/>
          <w:noProof/>
        </w:rPr>
        <w:t>, 2019)</w:t>
      </w:r>
      <w:r w:rsidRPr="00036D7F">
        <w:rPr>
          <w:rFonts w:ascii="Times New Roman" w:hAnsi="Times New Roman" w:cs="Times New Roman"/>
          <w:b/>
          <w:bCs/>
        </w:rPr>
        <w:fldChar w:fldCharType="end"/>
      </w:r>
      <w:r>
        <w:rPr>
          <w:rFonts w:ascii="Times New Roman" w:hAnsi="Times New Roman" w:cs="Times New Roman"/>
        </w:rPr>
        <w:t>, which may occur as a result of upper airway colonisation</w:t>
      </w:r>
      <w:r>
        <w:rPr>
          <w:rFonts w:ascii="Times New Roman" w:hAnsi="Times New Roman" w:cs="Times New Roman"/>
          <w:color w:val="000000" w:themeColor="text1"/>
        </w:rPr>
        <w:t xml:space="preserve"> </w:t>
      </w:r>
      <w:r w:rsidRPr="00F9464B">
        <w:rPr>
          <w:rFonts w:ascii="Times New Roman" w:hAnsi="Times New Roman" w:cs="Times New Roman"/>
          <w:b/>
          <w:bCs/>
          <w:color w:val="000000" w:themeColor="text1"/>
        </w:rPr>
        <w:fldChar w:fldCharType="begin"/>
      </w:r>
      <w:r w:rsidRPr="00F9464B">
        <w:rPr>
          <w:rFonts w:ascii="Times New Roman" w:hAnsi="Times New Roman" w:cs="Times New Roman"/>
          <w:b/>
          <w:bCs/>
          <w:color w:val="000000" w:themeColor="text1"/>
        </w:rPr>
        <w:instrText xml:space="preserve"> ADDIN EN.CITE &lt;EndNote&gt;&lt;Cite&gt;&lt;Author&gt;Fredheim&lt;/Author&gt;&lt;Year&gt;2015&lt;/Year&gt;&lt;IDText&gt;Colonisation and interaction between S-epidermidis and S-aureus in the nose and throat of healthy adolescents&lt;/IDText&gt;&lt;DisplayText&gt;(Fredheim&lt;style face="italic"&gt; et al.&lt;/style&gt;, 2015)&lt;/DisplayText&gt;&lt;record&gt;&lt;dates&gt;&lt;pub-dates&gt;&lt;date&gt;Jan&lt;/date&gt;&lt;/pub-dates&gt;&lt;year&gt;2015&lt;/year&gt;&lt;/dates&gt;&lt;urls&gt;&lt;related-urls&gt;&lt;url&gt;&amp;lt;Go to ISI&amp;gt;://WOS:000347160700015&lt;/url&gt;&lt;/related-urls&gt;&lt;/urls&gt;&lt;isbn&gt;0934-9723&lt;/isbn&gt;&lt;titles&gt;&lt;title&gt;Colonisation and interaction between S-epidermidis and S-aureus in the nose and throat of healthy adolescents&lt;/title&gt;&lt;secondary-title&gt;European Journal of Clinical Microbiology &amp;amp; Infectious Diseases&lt;/secondary-title&gt;&lt;/titles&gt;&lt;pages&gt;123-129&lt;/pages&gt;&lt;number&gt;1&lt;/number&gt;&lt;contributors&gt;&lt;authors&gt;&lt;author&gt;Fredheim, E. G. A.&lt;/author&gt;&lt;author&gt;Flaegstad, T.&lt;/author&gt;&lt;author&gt;Askarian, F.&lt;/author&gt;&lt;author&gt;Klingenberg, C.&lt;/author&gt;&lt;/authors&gt;&lt;/contributors&gt;&lt;added-date format="utc"&gt;1677360100&lt;/added-date&gt;&lt;ref-type name="Journal Article"&gt;17&lt;/ref-type&gt;&lt;rec-number&gt;552&lt;/rec-number&gt;&lt;last-updated-date format="utc"&gt;1677360100&lt;/last-updated-date&gt;&lt;accession-num&gt;WOS:000347160700015&lt;/accession-num&gt;&lt;electronic-resource-num&gt;10.1007/s10096-014-2197-5&lt;/electronic-resource-num&gt;&lt;volume&gt;34&lt;/volume&gt;&lt;/record&gt;&lt;/Cite&gt;&lt;/EndNote&gt;</w:instrText>
      </w:r>
      <w:r w:rsidRPr="00F9464B">
        <w:rPr>
          <w:rFonts w:ascii="Times New Roman" w:hAnsi="Times New Roman" w:cs="Times New Roman"/>
          <w:b/>
          <w:bCs/>
          <w:color w:val="000000" w:themeColor="text1"/>
        </w:rPr>
        <w:fldChar w:fldCharType="separate"/>
      </w:r>
      <w:r w:rsidRPr="00F9464B">
        <w:rPr>
          <w:rFonts w:ascii="Times New Roman" w:hAnsi="Times New Roman" w:cs="Times New Roman"/>
          <w:b/>
          <w:bCs/>
          <w:noProof/>
          <w:color w:val="000000" w:themeColor="text1"/>
        </w:rPr>
        <w:t>(Fredheim</w:t>
      </w:r>
      <w:r w:rsidRPr="00F9464B">
        <w:rPr>
          <w:rFonts w:ascii="Times New Roman" w:hAnsi="Times New Roman" w:cs="Times New Roman"/>
          <w:b/>
          <w:bCs/>
          <w:i/>
          <w:noProof/>
          <w:color w:val="000000" w:themeColor="text1"/>
        </w:rPr>
        <w:t xml:space="preserve"> et al.</w:t>
      </w:r>
      <w:r w:rsidRPr="00F9464B">
        <w:rPr>
          <w:rFonts w:ascii="Times New Roman" w:hAnsi="Times New Roman" w:cs="Times New Roman"/>
          <w:b/>
          <w:bCs/>
          <w:noProof/>
          <w:color w:val="000000" w:themeColor="text1"/>
        </w:rPr>
        <w:t>, 2015)</w:t>
      </w:r>
      <w:r w:rsidRPr="00F9464B">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The mechanisms utilised by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 xml:space="preserve">to cause recurrent tonsillitis are currently unclear, however </w:t>
      </w:r>
      <w:r w:rsidRPr="00346D67">
        <w:rPr>
          <w:rFonts w:ascii="Times New Roman" w:hAnsi="Times New Roman" w:cs="Times New Roman"/>
          <w:color w:val="000000" w:themeColor="text1"/>
        </w:rPr>
        <w:t>α</w:t>
      </w:r>
      <w:r>
        <w:rPr>
          <w:rFonts w:ascii="Times New Roman" w:hAnsi="Times New Roman" w:cs="Times New Roman"/>
          <w:color w:val="000000" w:themeColor="text1"/>
        </w:rPr>
        <w:t xml:space="preserve">-toxin can affect intestinal epithelial barrier function by reducing the expression of proteins involved in tight junction formation </w:t>
      </w:r>
      <w:r w:rsidRPr="00B2122A">
        <w:rPr>
          <w:rFonts w:ascii="Times New Roman" w:hAnsi="Times New Roman" w:cs="Times New Roman"/>
          <w:b/>
          <w:bCs/>
          <w:color w:val="000000" w:themeColor="text1"/>
        </w:rPr>
        <w:fldChar w:fldCharType="begin"/>
      </w:r>
      <w:r w:rsidRPr="00B2122A">
        <w:rPr>
          <w:rFonts w:ascii="Times New Roman" w:hAnsi="Times New Roman" w:cs="Times New Roman"/>
          <w:b/>
          <w:bCs/>
          <w:color w:val="000000" w:themeColor="text1"/>
        </w:rPr>
        <w:instrText xml:space="preserve"> ADDIN EN.CITE &lt;EndNote&gt;&lt;Cite&gt;&lt;Author&gt;Kwak&lt;/Author&gt;&lt;Year&gt;2012&lt;/Year&gt;&lt;IDText&gt;The Staphylococcus aureus Alpha-Toxin Perturbs the Barrier Function in Caco-2 Epithelial Cell Monolayers by Altering Junctional Integrity&lt;/IDText&gt;&lt;DisplayText&gt;(Kwak&lt;style face="italic"&gt; et al.&lt;/style&gt;, 2012)&lt;/DisplayText&gt;&lt;record&gt;&lt;dates&gt;&lt;pub-dates&gt;&lt;date&gt;May&lt;/date&gt;&lt;/pub-dates&gt;&lt;year&gt;2012&lt;/year&gt;&lt;/dates&gt;&lt;urls&gt;&lt;related-urls&gt;&lt;url&gt;&amp;lt;Go to ISI&amp;gt;://WOS:000302791100006&lt;/url&gt;&lt;/related-urls&gt;&lt;/urls&gt;&lt;isbn&gt;0019-9567&lt;/isbn&gt;&lt;titles&gt;&lt;title&gt;The Staphylococcus aureus Alpha-Toxin Perturbs the Barrier Function in Caco-2 Epithelial Cell Monolayers by Altering Junctional Integrity&lt;/title&gt;&lt;secondary-title&gt;Infection and Immunity&lt;/secondary-title&gt;&lt;/titles&gt;&lt;pages&gt;1670-1680&lt;/pages&gt;&lt;number&gt;5&lt;/number&gt;&lt;contributors&gt;&lt;authors&gt;&lt;author&gt;Kwak, Y. K.&lt;/author&gt;&lt;author&gt;Vikstrom, E.&lt;/author&gt;&lt;author&gt;Magnusson, K. E.&lt;/author&gt;&lt;author&gt;Vecsey-Semjen, B.&lt;/author&gt;&lt;author&gt;Colque-Navarro, P.&lt;/author&gt;&lt;author&gt;Mollby, R.&lt;/author&gt;&lt;/authors&gt;&lt;/contributors&gt;&lt;added-date format="utc"&gt;1677363150&lt;/added-date&gt;&lt;ref-type name="Journal Article"&gt;17&lt;/ref-type&gt;&lt;rec-number&gt;554&lt;/rec-number&gt;&lt;last-updated-date format="utc"&gt;1677363150&lt;/last-updated-date&gt;&lt;accession-num&gt;WOS:000302791100006&lt;/accession-num&gt;&lt;electronic-resource-num&gt;10.1128/iai.00001-12&lt;/electronic-resource-num&gt;&lt;volume&gt;80&lt;/volume&gt;&lt;/record&gt;&lt;/Cite&gt;&lt;/EndNote&gt;</w:instrText>
      </w:r>
      <w:r w:rsidRPr="00B2122A">
        <w:rPr>
          <w:rFonts w:ascii="Times New Roman" w:hAnsi="Times New Roman" w:cs="Times New Roman"/>
          <w:b/>
          <w:bCs/>
          <w:color w:val="000000" w:themeColor="text1"/>
        </w:rPr>
        <w:fldChar w:fldCharType="separate"/>
      </w:r>
      <w:r w:rsidRPr="00B2122A">
        <w:rPr>
          <w:rFonts w:ascii="Times New Roman" w:hAnsi="Times New Roman" w:cs="Times New Roman"/>
          <w:b/>
          <w:bCs/>
          <w:noProof/>
          <w:color w:val="000000" w:themeColor="text1"/>
        </w:rPr>
        <w:t>(Kwak</w:t>
      </w:r>
      <w:r w:rsidRPr="00B2122A">
        <w:rPr>
          <w:rFonts w:ascii="Times New Roman" w:hAnsi="Times New Roman" w:cs="Times New Roman"/>
          <w:b/>
          <w:bCs/>
          <w:i/>
          <w:noProof/>
          <w:color w:val="000000" w:themeColor="text1"/>
        </w:rPr>
        <w:t xml:space="preserve"> et al.</w:t>
      </w:r>
      <w:r w:rsidRPr="00B2122A">
        <w:rPr>
          <w:rFonts w:ascii="Times New Roman" w:hAnsi="Times New Roman" w:cs="Times New Roman"/>
          <w:b/>
          <w:bCs/>
          <w:noProof/>
          <w:color w:val="000000" w:themeColor="text1"/>
        </w:rPr>
        <w:t>, 2012)</w:t>
      </w:r>
      <w:r w:rsidRPr="00B2122A">
        <w:rPr>
          <w:rFonts w:ascii="Times New Roman" w:hAnsi="Times New Roman" w:cs="Times New Roman"/>
          <w:b/>
          <w:bCs/>
          <w:color w:val="000000" w:themeColor="text1"/>
        </w:rPr>
        <w:fldChar w:fldCharType="end"/>
      </w:r>
      <w:r>
        <w:rPr>
          <w:rFonts w:ascii="Times New Roman" w:hAnsi="Times New Roman" w:cs="Times New Roman"/>
          <w:color w:val="000000" w:themeColor="text1"/>
        </w:rPr>
        <w:t>. PSM</w:t>
      </w:r>
      <w:r w:rsidRPr="00016032">
        <w:rPr>
          <w:rFonts w:ascii="Times New Roman" w:hAnsi="Times New Roman" w:cs="Times New Roman"/>
          <w:color w:val="000000" w:themeColor="text1"/>
        </w:rPr>
        <w:t>α is r</w:t>
      </w:r>
      <w:r>
        <w:rPr>
          <w:rFonts w:ascii="Times New Roman" w:hAnsi="Times New Roman" w:cs="Times New Roman"/>
          <w:color w:val="000000" w:themeColor="text1"/>
        </w:rPr>
        <w:t xml:space="preserve">equired for replication within and phagosomal escape from HeLa epithelial cells </w:t>
      </w:r>
      <w:r w:rsidRPr="00016032">
        <w:rPr>
          <w:rFonts w:ascii="Times New Roman" w:hAnsi="Times New Roman" w:cs="Times New Roman"/>
          <w:b/>
          <w:bCs/>
          <w:color w:val="000000" w:themeColor="text1"/>
        </w:rPr>
        <w:fldChar w:fldCharType="begin"/>
      </w:r>
      <w:r w:rsidRPr="00016032">
        <w:rPr>
          <w:rFonts w:ascii="Times New Roman" w:hAnsi="Times New Roman" w:cs="Times New Roman"/>
          <w:b/>
          <w:bCs/>
          <w:color w:val="000000" w:themeColor="text1"/>
        </w:rPr>
        <w:instrText xml:space="preserve"> ADDIN EN.CITE &lt;EndNote&gt;&lt;Cite&gt;&lt;Author&gt;Grosz&lt;/Author&gt;&lt;Year&gt;2014&lt;/Year&gt;&lt;IDText&gt;Cytoplasmic replication of Staphylococcus aureus upon phagosomal escape triggered by phenol-soluble modulin alpha&lt;/IDText&gt;&lt;DisplayText&gt;(Grosz&lt;style face="italic"&gt; et al.&lt;/style&gt;, 2014)&lt;/DisplayText&gt;&lt;record&gt;&lt;dates&gt;&lt;pub-dates&gt;&lt;date&gt;Apr&lt;/date&gt;&lt;/pub-dates&gt;&lt;year&gt;2014&lt;/year&gt;&lt;/dates&gt;&lt;urls&gt;&lt;related-urls&gt;&lt;/related-urls&gt;&lt;/urls&gt;&lt;isbn&gt;1462-5814&lt;/isbn&gt;&lt;titles&gt;&lt;title&gt;&lt;style font="default" size="100%"&gt;Cytoplasmic replication of &lt;/style&gt;&lt;style face="italic" font="default" size="100%"&gt;Staphylococcus aureus&lt;/style&gt;&lt;style font="default" size="100%"&gt; upon phagosomal escape triggered by phenol-soluble modulin alpha&lt;/style&gt;&lt;/title&gt;&lt;secondary-title&gt;Cellular Microbiology&lt;/secondary-title&gt;&lt;/titles&gt;&lt;pages&gt;451-465&lt;/pages&gt;&lt;number&gt;4&lt;/number&gt;&lt;contributors&gt;&lt;authors&gt;&lt;author&gt;Grosz, Magdalena&lt;/author&gt;&lt;author&gt;Kolter, Julia&lt;/author&gt;&lt;author&gt;Paprotka, Kerstin&lt;/author&gt;&lt;author&gt;Winkler, Ann-Cathrin&lt;/author&gt;&lt;author&gt;Schaefer, Daniel&lt;/author&gt;&lt;author&gt;Chatterjee, Som Subra&lt;/author&gt;&lt;author&gt;Geiger, Tobias&lt;/author&gt;&lt;author&gt;Wolz, Christiane&lt;/author&gt;&lt;author&gt;Ohlsen, Knut&lt;/author&gt;&lt;author&gt;Otto, Michael&lt;/author&gt;&lt;author&gt;Rudel, Thomas&lt;/author&gt;&lt;author&gt;Sinha, Bhanu&lt;/author&gt;&lt;author&gt;Fraunholz, Martin&lt;/author&gt;&lt;/authors&gt;&lt;/contributors&gt;&lt;added-date format="utc"&gt;1663623874&lt;/added-date&gt;&lt;ref-type name="Journal Article"&gt;17&lt;/ref-type&gt;&lt;rec-number&gt;136&lt;/rec-number&gt;&lt;last-updated-date format="utc"&gt;1675730040&lt;/last-updated-date&gt;&lt;accession-num&gt;WOS:000332950100001&lt;/accession-num&gt;&lt;electronic-resource-num&gt;10.1111/cmi.12233&lt;/electronic-resource-num&gt;&lt;volume&gt;16&lt;/volume&gt;&lt;/record&gt;&lt;/Cite&gt;&lt;/EndNote&gt;</w:instrText>
      </w:r>
      <w:r w:rsidRPr="00016032">
        <w:rPr>
          <w:rFonts w:ascii="Times New Roman" w:hAnsi="Times New Roman" w:cs="Times New Roman"/>
          <w:b/>
          <w:bCs/>
          <w:color w:val="000000" w:themeColor="text1"/>
        </w:rPr>
        <w:fldChar w:fldCharType="separate"/>
      </w:r>
      <w:r w:rsidRPr="00016032">
        <w:rPr>
          <w:rFonts w:ascii="Times New Roman" w:hAnsi="Times New Roman" w:cs="Times New Roman"/>
          <w:b/>
          <w:bCs/>
          <w:noProof/>
          <w:color w:val="000000" w:themeColor="text1"/>
        </w:rPr>
        <w:t>(Grosz</w:t>
      </w:r>
      <w:r w:rsidRPr="00016032">
        <w:rPr>
          <w:rFonts w:ascii="Times New Roman" w:hAnsi="Times New Roman" w:cs="Times New Roman"/>
          <w:b/>
          <w:bCs/>
          <w:i/>
          <w:noProof/>
          <w:color w:val="000000" w:themeColor="text1"/>
        </w:rPr>
        <w:t xml:space="preserve"> et al.</w:t>
      </w:r>
      <w:r w:rsidRPr="00016032">
        <w:rPr>
          <w:rFonts w:ascii="Times New Roman" w:hAnsi="Times New Roman" w:cs="Times New Roman"/>
          <w:b/>
          <w:bCs/>
          <w:noProof/>
          <w:color w:val="000000" w:themeColor="text1"/>
        </w:rPr>
        <w:t>, 2014)</w:t>
      </w:r>
      <w:r w:rsidRPr="00016032">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Furthermore, the cysteine protease staphopain was identified to facilitate host intracellular killing of epithelial cells and was required for mouse lung colonisation </w:t>
      </w:r>
      <w:r w:rsidRPr="00B2122A">
        <w:rPr>
          <w:rFonts w:ascii="Times New Roman" w:hAnsi="Times New Roman" w:cs="Times New Roman"/>
          <w:b/>
          <w:bCs/>
          <w:color w:val="000000" w:themeColor="text1"/>
        </w:rPr>
        <w:fldChar w:fldCharType="begin"/>
      </w:r>
      <w:r w:rsidRPr="00B2122A">
        <w:rPr>
          <w:rFonts w:ascii="Times New Roman" w:hAnsi="Times New Roman" w:cs="Times New Roman"/>
          <w:b/>
          <w:bCs/>
          <w:color w:val="000000" w:themeColor="text1"/>
        </w:rPr>
        <w:instrText xml:space="preserve"> ADDIN EN.CITE &lt;EndNote&gt;&lt;Cite&gt;&lt;Author&gt;Stelzner&lt;/Author&gt;&lt;Year&gt;2021&lt;/Year&gt;&lt;IDText&gt;Intracellular Staphylococcus aureus employs the cysteine protease staphopain A to induce host cell death in epithelial cells&lt;/IDText&gt;&lt;DisplayText&gt;(Stelzner&lt;style face="italic"&gt; et al.&lt;/style&gt;, 2021)&lt;/DisplayText&gt;&lt;record&gt;&lt;dates&gt;&lt;pub-dates&gt;&lt;date&gt;Sep&lt;/date&gt;&lt;/pub-dates&gt;&lt;year&gt;2021&lt;/year&gt;&lt;/dates&gt;&lt;urls&gt;&lt;related-urls&gt;&lt;url&gt;&amp;lt;Go to ISI&amp;gt;://WOS:000724166200005&lt;/url&gt;&lt;/related-urls&gt;&lt;/urls&gt;&lt;isbn&gt;1553-7366&lt;/isbn&gt;&lt;titles&gt;&lt;title&gt;Intracellular Staphylococcus aureus employs the cysteine protease staphopain A to induce host cell death in epithelial cells&lt;/title&gt;&lt;secondary-title&gt;Plos Pathogens&lt;/secondary-title&gt;&lt;/titles&gt;&lt;number&gt;9&lt;/number&gt;&lt;contributors&gt;&lt;authors&gt;&lt;author&gt;Stelzner, K.&lt;/author&gt;&lt;author&gt;Boyny, A.&lt;/author&gt;&lt;author&gt;Hertlein, T.&lt;/author&gt;&lt;author&gt;Sroka, A.&lt;/author&gt;&lt;author&gt;Moldovan, A.&lt;/author&gt;&lt;author&gt;Paprotka, K.&lt;/author&gt;&lt;author&gt;Kessie, D.&lt;/author&gt;&lt;author&gt;Mehling, H.&lt;/author&gt;&lt;author&gt;Potempa, J.&lt;/author&gt;&lt;author&gt;Ohlsen, K.&lt;/author&gt;&lt;author&gt;Fraunholz, M. J.&lt;/author&gt;&lt;author&gt;Thomas, R.&lt;/author&gt;&lt;/authors&gt;&lt;/contributors&gt;&lt;added-date format="utc"&gt;1677362706&lt;/added-date&gt;&lt;ref-type name="Journal Article"&gt;17&lt;/ref-type&gt;&lt;rec-number&gt;553&lt;/rec-number&gt;&lt;last-updated-date format="utc"&gt;1677362706&lt;/last-updated-date&gt;&lt;accession-num&gt;WOS:000724166200005&lt;/accession-num&gt;&lt;electronic-resource-num&gt;10.1371/journal.ppat.1009874&lt;/electronic-resource-num&gt;&lt;volume&gt;17&lt;/volume&gt;&lt;/record&gt;&lt;/Cite&gt;&lt;/EndNote&gt;</w:instrText>
      </w:r>
      <w:r w:rsidRPr="00B2122A">
        <w:rPr>
          <w:rFonts w:ascii="Times New Roman" w:hAnsi="Times New Roman" w:cs="Times New Roman"/>
          <w:b/>
          <w:bCs/>
          <w:color w:val="000000" w:themeColor="text1"/>
        </w:rPr>
        <w:fldChar w:fldCharType="separate"/>
      </w:r>
      <w:r w:rsidRPr="00B2122A">
        <w:rPr>
          <w:rFonts w:ascii="Times New Roman" w:hAnsi="Times New Roman" w:cs="Times New Roman"/>
          <w:b/>
          <w:bCs/>
          <w:noProof/>
          <w:color w:val="000000" w:themeColor="text1"/>
        </w:rPr>
        <w:t>(Stelzner</w:t>
      </w:r>
      <w:r w:rsidRPr="00B2122A">
        <w:rPr>
          <w:rFonts w:ascii="Times New Roman" w:hAnsi="Times New Roman" w:cs="Times New Roman"/>
          <w:b/>
          <w:bCs/>
          <w:i/>
          <w:noProof/>
          <w:color w:val="000000" w:themeColor="text1"/>
        </w:rPr>
        <w:t xml:space="preserve"> et al.</w:t>
      </w:r>
      <w:r w:rsidRPr="00B2122A">
        <w:rPr>
          <w:rFonts w:ascii="Times New Roman" w:hAnsi="Times New Roman" w:cs="Times New Roman"/>
          <w:b/>
          <w:bCs/>
          <w:noProof/>
          <w:color w:val="000000" w:themeColor="text1"/>
        </w:rPr>
        <w:t>, 2021)</w:t>
      </w:r>
      <w:r w:rsidRPr="00B2122A">
        <w:rPr>
          <w:rFonts w:ascii="Times New Roman" w:hAnsi="Times New Roman" w:cs="Times New Roman"/>
          <w:b/>
          <w:bCs/>
          <w:color w:val="000000" w:themeColor="text1"/>
        </w:rPr>
        <w:fldChar w:fldCharType="end"/>
      </w:r>
      <w:r>
        <w:rPr>
          <w:rFonts w:ascii="Times New Roman" w:hAnsi="Times New Roman" w:cs="Times New Roman"/>
          <w:color w:val="000000" w:themeColor="text1"/>
        </w:rPr>
        <w:t>.</w:t>
      </w:r>
    </w:p>
    <w:p w14:paraId="47BE9A20" w14:textId="77777777" w:rsidR="00033564" w:rsidRPr="002C6ADA" w:rsidRDefault="00033564" w:rsidP="00033564">
      <w:pPr>
        <w:pStyle w:val="Heading2"/>
        <w:rPr>
          <w:sz w:val="22"/>
        </w:rPr>
      </w:pPr>
      <w:bookmarkStart w:id="58" w:name="_Toc142043582"/>
      <w:r>
        <w:t>1.4. Zebrafish embryos as an animal model</w:t>
      </w:r>
      <w:bookmarkEnd w:id="58"/>
    </w:p>
    <w:p w14:paraId="762BA2ED" w14:textId="77777777" w:rsidR="00033564" w:rsidRDefault="00033564" w:rsidP="00033564">
      <w:pPr>
        <w:spacing w:line="360" w:lineRule="auto"/>
        <w:jc w:val="both"/>
        <w:rPr>
          <w:rFonts w:ascii="Times New Roman" w:hAnsi="Times New Roman" w:cs="Times New Roman"/>
          <w:b/>
          <w:bCs/>
        </w:rPr>
      </w:pPr>
    </w:p>
    <w:p w14:paraId="0BD31F2E" w14:textId="2B6EE72C" w:rsidR="00033564" w:rsidRDefault="00033564" w:rsidP="00033564">
      <w:pPr>
        <w:spacing w:line="360" w:lineRule="auto"/>
        <w:jc w:val="both"/>
        <w:rPr>
          <w:rFonts w:ascii="Times New Roman" w:hAnsi="Times New Roman" w:cs="Times New Roman"/>
        </w:rPr>
      </w:pPr>
      <w:r>
        <w:rPr>
          <w:rFonts w:ascii="Times New Roman" w:hAnsi="Times New Roman" w:cs="Times New Roman"/>
        </w:rPr>
        <w:t>The m</w:t>
      </w:r>
      <w:r w:rsidRPr="00C50961">
        <w:rPr>
          <w:rFonts w:ascii="Times New Roman" w:hAnsi="Times New Roman" w:cs="Times New Roman"/>
        </w:rPr>
        <w:t xml:space="preserve">ammalian </w:t>
      </w:r>
      <w:r>
        <w:rPr>
          <w:rFonts w:ascii="Times New Roman" w:hAnsi="Times New Roman" w:cs="Times New Roman"/>
        </w:rPr>
        <w:t>murine model</w:t>
      </w:r>
      <w:r w:rsidRPr="00C50961">
        <w:rPr>
          <w:rFonts w:ascii="Times New Roman" w:hAnsi="Times New Roman" w:cs="Times New Roman"/>
        </w:rPr>
        <w:t xml:space="preserve"> of </w:t>
      </w:r>
      <w:r w:rsidRPr="00C50961">
        <w:rPr>
          <w:rFonts w:ascii="Times New Roman" w:hAnsi="Times New Roman" w:cs="Times New Roman"/>
          <w:i/>
          <w:iCs/>
        </w:rPr>
        <w:t xml:space="preserve">S. aureus </w:t>
      </w:r>
      <w:r w:rsidRPr="00C50961">
        <w:rPr>
          <w:rFonts w:ascii="Times New Roman" w:hAnsi="Times New Roman" w:cs="Times New Roman"/>
        </w:rPr>
        <w:t xml:space="preserve">infection </w:t>
      </w:r>
      <w:r>
        <w:rPr>
          <w:rFonts w:ascii="Times New Roman" w:hAnsi="Times New Roman" w:cs="Times New Roman"/>
        </w:rPr>
        <w:t xml:space="preserve">is recognised for being one of the most beneficial models to staphylococcal infection research, due to the genetic, anatomical and physiological similarities between mice and humans </w:t>
      </w:r>
      <w:r w:rsidRPr="001D17C7">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&lt;EndNote&gt;&lt;Cite&gt;&lt;Author&gt;Parker&lt;/Author&gt;&lt;Year&gt;2017&lt;/Year&gt;&lt;IDText&gt;Humanized Mouse Models of Staphylococcus aureus infection&lt;/IDText&gt;&lt;DisplayText&gt;(Parker, 2017; Dow and Lowe, 2012)&lt;/DisplayText&gt;&lt;record&gt;&lt;dates&gt;&lt;pub-dates&gt;&lt;date&gt;May&lt;/date&gt;&lt;/pub-dates&gt;&lt;year&gt;2017&lt;/year&gt;&lt;/dates&gt;&lt;urls&gt;&lt;related-urls&gt;&lt;url&gt;&amp;lt;Go to ISI&amp;gt;://WOS:000400706300001&lt;/url&gt;&lt;/related-urls&gt;&lt;/urls&gt;&lt;isbn&gt;1664-3224&lt;/isbn&gt;&lt;titles&gt;&lt;title&gt;Humanized Mouse Models of Staphylococcus aureus infection&lt;/title&gt;&lt;secondary-title&gt;Frontiers in Immunology&lt;/secondary-title&gt;&lt;/titles&gt;&lt;contributors&gt;&lt;authors&gt;&lt;author&gt;Parker, D.&lt;/author&gt;&lt;/authors&gt;&lt;/contributors&gt;&lt;custom7&gt;512&lt;/custom7&gt;&lt;added-date format="utc"&gt;1677444319&lt;/added-date&gt;&lt;ref-type name="Journal Article"&gt;17&lt;/ref-type&gt;&lt;rec-number&gt;560&lt;/rec-number&gt;&lt;last-updated-date format="utc"&gt;1677444319&lt;/last-updated-date&gt;&lt;accession-num&gt;WOS:000400706300001&lt;/accession-num&gt;&lt;electronic-resource-num&gt;10.3389/fimmu.2017.00512&lt;/electronic-resource-num&gt;&lt;volume&gt;8&lt;/volume&gt;&lt;/record&gt;&lt;/Cite&gt;&lt;Cite&gt;&lt;Author&gt;Dow&lt;/Author&gt;&lt;Year&gt;2012&lt;/Year&gt;&lt;IDText&gt;Life in the Fast Lane: Mammalian Disease Models in the Genomics Era&lt;/IDText&gt;&lt;record&gt;&lt;dates&gt;&lt;pub-dates&gt;&lt;date&gt;Mar&lt;/date&gt;&lt;/pub-dates&gt;&lt;year&gt;2012&lt;/year&gt;&lt;/dates&gt;&lt;urls&gt;&lt;related-urls&gt;&lt;url&gt;&amp;lt;Go to ISI&amp;gt;://WOS:000301889500009&lt;/url&gt;&lt;/related-urls&gt;&lt;/urls&gt;&lt;isbn&gt;0092-8674&lt;/isbn&gt;&lt;titles&gt;&lt;title&gt;Life in the Fast Lane: Mammalian Disease Models in the Genomics Era&lt;/title&gt;&lt;secondary-title&gt;Cell&lt;/secondary-title&gt;&lt;/titles&gt;&lt;pages&gt;1099-1109&lt;/pages&gt;&lt;number&gt;6&lt;/number&gt;&lt;contributors&gt;&lt;authors&gt;&lt;author&gt;Dow, L. E.&lt;/author&gt;&lt;author&gt;Lowe, S. W.&lt;/author&gt;&lt;/authors&gt;&lt;/contributors&gt;&lt;added-date format="utc"&gt;1677530830&lt;/added-date&gt;&lt;ref-type name="Journal Article"&gt;17&lt;/ref-type&gt;&lt;rec-number&gt;572&lt;/rec-number&gt;&lt;last-updated-date format="utc"&gt;1677530830&lt;/last-updated-date&gt;&lt;accession-num&gt;WOS:000301889500009&lt;/accession-num&gt;&lt;electronic-resource-num&gt;10.1016/j.cell.2012.02.023&lt;/electronic-resource-num&gt;&lt;volume&gt;148&lt;/volume&gt;&lt;/record&gt;&lt;/Cite&gt;&lt;/EndNote&gt;</w:instrText>
      </w:r>
      <w:r w:rsidRPr="001D17C7">
        <w:rPr>
          <w:rFonts w:ascii="Times New Roman" w:hAnsi="Times New Roman" w:cs="Times New Roman"/>
          <w:b/>
          <w:bCs/>
        </w:rPr>
        <w:fldChar w:fldCharType="separate"/>
      </w:r>
      <w:r>
        <w:rPr>
          <w:rFonts w:ascii="Times New Roman" w:hAnsi="Times New Roman" w:cs="Times New Roman"/>
          <w:b/>
          <w:bCs/>
          <w:noProof/>
        </w:rPr>
        <w:t>(Parker, 2017; Dow and Lowe, 2012)</w:t>
      </w:r>
      <w:r w:rsidRPr="001D17C7">
        <w:rPr>
          <w:rFonts w:ascii="Times New Roman" w:hAnsi="Times New Roman" w:cs="Times New Roman"/>
          <w:b/>
          <w:bCs/>
        </w:rPr>
        <w:fldChar w:fldCharType="end"/>
      </w:r>
      <w:r>
        <w:rPr>
          <w:rFonts w:ascii="Times New Roman" w:hAnsi="Times New Roman" w:cs="Times New Roman"/>
        </w:rPr>
        <w:t xml:space="preserve">. Many </w:t>
      </w:r>
      <w:r>
        <w:rPr>
          <w:rFonts w:ascii="Times New Roman" w:hAnsi="Times New Roman" w:cs="Times New Roman"/>
          <w:i/>
          <w:iCs/>
        </w:rPr>
        <w:t>S. aureus</w:t>
      </w:r>
      <w:r>
        <w:rPr>
          <w:rFonts w:ascii="Times New Roman" w:hAnsi="Times New Roman" w:cs="Times New Roman"/>
        </w:rPr>
        <w:t xml:space="preserve"> infections have been studied in murine models, </w:t>
      </w:r>
      <w:r w:rsidRPr="00C50961">
        <w:rPr>
          <w:rFonts w:ascii="Times New Roman" w:hAnsi="Times New Roman" w:cs="Times New Roman"/>
        </w:rPr>
        <w:t>for example, sepsis</w:t>
      </w:r>
      <w:r>
        <w:rPr>
          <w:rFonts w:ascii="Times New Roman" w:hAnsi="Times New Roman" w:cs="Times New Roman"/>
        </w:rPr>
        <w:t xml:space="preserve"> </w:t>
      </w:r>
      <w:r w:rsidRPr="00C50961">
        <w:rPr>
          <w:rFonts w:ascii="Times New Roman" w:hAnsi="Times New Roman" w:cs="Times New Roman"/>
          <w:b/>
          <w:bCs/>
        </w:rPr>
        <w:fldChar w:fldCharType="begin"/>
      </w:r>
      <w:r w:rsidRPr="00C50961">
        <w:rPr>
          <w:rFonts w:ascii="Times New Roman" w:hAnsi="Times New Roman" w:cs="Times New Roman"/>
          <w:b/>
          <w:bCs/>
        </w:rPr>
        <w:instrText xml:space="preserve"> ADDIN EN.CITE &lt;EndNote&gt;&lt;Cite&gt;&lt;Author&gt;Tarkowski&lt;/Author&gt;&lt;Year&gt;2001&lt;/Year&gt;&lt;IDText&gt;Model systems: Modeling human staphylococcal arthritis and sepsis in the mouse&lt;/IDText&gt;&lt;DisplayText&gt;(Tarkowski&lt;style face="italic"&gt; et al.&lt;/style&gt;, 2001)&lt;/DisplayText&gt;&lt;record&gt;&lt;dates&gt;&lt;pub-dates&gt;&lt;date&gt;Jul&lt;/date&gt;&lt;/pub-dates&gt;&lt;year&gt;2001&lt;/year&gt;&lt;/dates&gt;&lt;urls&gt;&lt;related-urls&gt;&lt;url&gt;&amp;lt;Go to ISI&amp;gt;://WOS:000169812500014&lt;/url&gt;&lt;/related-urls&gt;&lt;/urls&gt;&lt;isbn&gt;0966-842X&lt;/isbn&gt;&lt;titles&gt;&lt;title&gt;Model systems: Modeling human staphylococcal arthritis and sepsis in the mouse&lt;/title&gt;&lt;secondary-title&gt;Trends in Microbiology&lt;/secondary-title&gt;&lt;/titles&gt;&lt;pages&gt;321-326&lt;/pages&gt;&lt;number&gt;7&lt;/number&gt;&lt;contributors&gt;&lt;authors&gt;&lt;author&gt;Tarkowski, A.&lt;/author&gt;&lt;author&gt;Collins, L. V.&lt;/author&gt;&lt;author&gt;Gjertsson, I.&lt;/author&gt;&lt;author&gt;Hultgren, O. H.&lt;/author&gt;&lt;author&gt;Jonsson, I. M.&lt;/author&gt;&lt;author&gt;Sakiniene, E.&lt;/author&gt;&lt;author&gt;Verdrengh, M.&lt;/author&gt;&lt;/authors&gt;&lt;/contributors&gt;&lt;added-date format="utc"&gt;1663624140&lt;/added-date&gt;&lt;ref-type name="Journal Article"&gt;17&lt;/ref-type&gt;&lt;rec-number&gt;142&lt;/rec-number&gt;&lt;last-updated-date format="utc"&gt;1663624413&lt;/last-updated-date&gt;&lt;accession-num&gt;WOS:000169812500014&lt;/accession-num&gt;&lt;electronic-resource-num&gt;10.1016/s0966-842x(01)02078-9&lt;/electronic-resource-num&gt;&lt;volume&gt;9&lt;/volume&gt;&lt;/record&gt;&lt;/Cite&gt;&lt;/EndNote&gt;</w:instrText>
      </w:r>
      <w:r w:rsidRPr="00C50961">
        <w:rPr>
          <w:rFonts w:ascii="Times New Roman" w:hAnsi="Times New Roman" w:cs="Times New Roman"/>
          <w:b/>
          <w:bCs/>
        </w:rPr>
        <w:fldChar w:fldCharType="separate"/>
      </w:r>
      <w:r w:rsidRPr="00C50961">
        <w:rPr>
          <w:rFonts w:ascii="Times New Roman" w:hAnsi="Times New Roman" w:cs="Times New Roman"/>
          <w:b/>
          <w:bCs/>
          <w:noProof/>
        </w:rPr>
        <w:t>(Tarkowski</w:t>
      </w:r>
      <w:r w:rsidRPr="00C50961">
        <w:rPr>
          <w:rFonts w:ascii="Times New Roman" w:hAnsi="Times New Roman" w:cs="Times New Roman"/>
          <w:b/>
          <w:bCs/>
          <w:i/>
          <w:noProof/>
        </w:rPr>
        <w:t xml:space="preserve"> et al.</w:t>
      </w:r>
      <w:r w:rsidRPr="00C50961">
        <w:rPr>
          <w:rFonts w:ascii="Times New Roman" w:hAnsi="Times New Roman" w:cs="Times New Roman"/>
          <w:b/>
          <w:bCs/>
          <w:noProof/>
        </w:rPr>
        <w:t>, 2001)</w:t>
      </w:r>
      <w:r w:rsidRPr="00C50961">
        <w:rPr>
          <w:rFonts w:ascii="Times New Roman" w:hAnsi="Times New Roman" w:cs="Times New Roman"/>
          <w:b/>
          <w:bCs/>
        </w:rPr>
        <w:fldChar w:fldCharType="end"/>
      </w:r>
      <w:r>
        <w:rPr>
          <w:rFonts w:ascii="Times New Roman" w:hAnsi="Times New Roman" w:cs="Times New Roman"/>
        </w:rPr>
        <w:t xml:space="preserve">, nasal colonisation </w:t>
      </w:r>
      <w:r w:rsidRPr="00943BE0">
        <w:rPr>
          <w:rFonts w:ascii="Times New Roman" w:hAnsi="Times New Roman" w:cs="Times New Roman"/>
          <w:b/>
          <w:bCs/>
        </w:rPr>
        <w:fldChar w:fldCharType="begin"/>
      </w:r>
      <w:r w:rsidRPr="00943BE0">
        <w:rPr>
          <w:rFonts w:ascii="Times New Roman" w:hAnsi="Times New Roman" w:cs="Times New Roman"/>
          <w:b/>
          <w:bCs/>
        </w:rPr>
        <w:instrText xml:space="preserve"> ADDIN EN.CITE &lt;EndNote&gt;&lt;Cite&gt;&lt;Author&gt;Xu&lt;/Author&gt;&lt;Year&gt;2015&lt;/Year&gt;&lt;IDText&gt;Superantigens Modulate Bacterial Density during Staphylococcus aureus Nasal Colonization&lt;/IDText&gt;&lt;DisplayText&gt;(Xu&lt;style face="italic"&gt; et al.&lt;/style&gt;, 2015)&lt;/DisplayText&gt;&lt;record&gt;&lt;dates&gt;&lt;pub-dates&gt;&lt;date&gt;May&lt;/date&gt;&lt;/pub-dates&gt;&lt;year&gt;2015&lt;/year&gt;&lt;/dates&gt;&lt;urls&gt;&lt;related-urls&gt;&lt;url&gt;&amp;lt;Go to ISI&amp;gt;://WOS:000356240600023&lt;/url&gt;&lt;/related-urls&gt;&lt;/urls&gt;&lt;isbn&gt;2072-6651&lt;/isbn&gt;&lt;titles&gt;&lt;title&gt;Superantigens Modulate Bacterial Density during Staphylococcus aureus Nasal Colonization&lt;/title&gt;&lt;secondary-title&gt;Toxins&lt;/secondary-title&gt;&lt;/titles&gt;&lt;pages&gt;1821-1836&lt;/pages&gt;&lt;number&gt;5&lt;/number&gt;&lt;contributors&gt;&lt;authors&gt;&lt;author&gt;Xu, S. X.&lt;/author&gt;&lt;author&gt;Kasper, K. J.&lt;/author&gt;&lt;author&gt;Zeppa, J. J.&lt;/author&gt;&lt;author&gt;McCormick, J. K.&lt;/author&gt;&lt;/authors&gt;&lt;/contributors&gt;&lt;added-date format="utc"&gt;1677445027&lt;/added-date&gt;&lt;ref-type name="Journal Article"&gt;17&lt;/ref-type&gt;&lt;rec-number&gt;561&lt;/rec-number&gt;&lt;last-updated-date format="utc"&gt;1677445027&lt;/last-updated-date&gt;&lt;accession-num&gt;WOS:000356240600023&lt;/accession-num&gt;&lt;electronic-resource-num&gt;10.3390/toxins7051821&lt;/electronic-resource-num&gt;&lt;volume&gt;7&lt;/volume&gt;&lt;/record&gt;&lt;/Cite&gt;&lt;/EndNote&gt;</w:instrText>
      </w:r>
      <w:r w:rsidRPr="00943BE0">
        <w:rPr>
          <w:rFonts w:ascii="Times New Roman" w:hAnsi="Times New Roman" w:cs="Times New Roman"/>
          <w:b/>
          <w:bCs/>
        </w:rPr>
        <w:fldChar w:fldCharType="separate"/>
      </w:r>
      <w:r w:rsidRPr="00943BE0">
        <w:rPr>
          <w:rFonts w:ascii="Times New Roman" w:hAnsi="Times New Roman" w:cs="Times New Roman"/>
          <w:b/>
          <w:bCs/>
          <w:noProof/>
        </w:rPr>
        <w:t>(Xu</w:t>
      </w:r>
      <w:r w:rsidRPr="00943BE0">
        <w:rPr>
          <w:rFonts w:ascii="Times New Roman" w:hAnsi="Times New Roman" w:cs="Times New Roman"/>
          <w:b/>
          <w:bCs/>
          <w:i/>
          <w:noProof/>
        </w:rPr>
        <w:t xml:space="preserve"> et al.</w:t>
      </w:r>
      <w:r w:rsidRPr="00943BE0">
        <w:rPr>
          <w:rFonts w:ascii="Times New Roman" w:hAnsi="Times New Roman" w:cs="Times New Roman"/>
          <w:b/>
          <w:bCs/>
          <w:noProof/>
        </w:rPr>
        <w:t>, 2015)</w:t>
      </w:r>
      <w:r w:rsidRPr="00943BE0">
        <w:rPr>
          <w:rFonts w:ascii="Times New Roman" w:hAnsi="Times New Roman" w:cs="Times New Roman"/>
          <w:b/>
          <w:bCs/>
        </w:rPr>
        <w:fldChar w:fldCharType="end"/>
      </w:r>
      <w:r>
        <w:rPr>
          <w:rFonts w:ascii="Times New Roman" w:hAnsi="Times New Roman" w:cs="Times New Roman"/>
        </w:rPr>
        <w:t xml:space="preserve"> and endocarditis </w:t>
      </w:r>
      <w:r w:rsidRPr="00943BE0">
        <w:rPr>
          <w:rFonts w:ascii="Times New Roman" w:hAnsi="Times New Roman" w:cs="Times New Roman"/>
          <w:b/>
          <w:bCs/>
        </w:rPr>
        <w:fldChar w:fldCharType="begin"/>
      </w:r>
      <w:r w:rsidRPr="00943BE0">
        <w:rPr>
          <w:rFonts w:ascii="Times New Roman" w:hAnsi="Times New Roman" w:cs="Times New Roman"/>
          <w:b/>
          <w:bCs/>
        </w:rPr>
        <w:instrText xml:space="preserve"> ADDIN EN.CITE &lt;EndNote&gt;&lt;Cite&gt;&lt;Author&gt;Gibson&lt;/Author&gt;&lt;Year&gt;2007&lt;/Year&gt;&lt;IDText&gt;Development of a mouse model of induced Staphylococcus aureus infective endocarditis&lt;/IDText&gt;&lt;DisplayText&gt;(Gibson&lt;style face="italic"&gt; et al.&lt;/style&gt;, 2007)&lt;/DisplayText&gt;&lt;record&gt;&lt;dates&gt;&lt;pub-dates&gt;&lt;date&gt;Dec&lt;/date&gt;&lt;/pub-dates&gt;&lt;year&gt;2007&lt;/year&gt;&lt;/dates&gt;&lt;urls&gt;&lt;related-urls&gt;&lt;url&gt;&amp;lt;Go to ISI&amp;gt;://WOS:000251954300006&lt;/url&gt;&lt;/related-urls&gt;&lt;/urls&gt;&lt;isbn&gt;1532-0820&lt;/isbn&gt;&lt;titles&gt;&lt;title&gt;Development of a mouse model of induced Staphylococcus aureus infective endocarditis&lt;/title&gt;&lt;secondary-title&gt;Comparative Medicine&lt;/secondary-title&gt;&lt;/titles&gt;&lt;pages&gt;563-569&lt;/pages&gt;&lt;number&gt;6&lt;/number&gt;&lt;contributors&gt;&lt;authors&gt;&lt;author&gt;Gibson, G. W.&lt;/author&gt;&lt;author&gt;Kreuser, S. C.&lt;/author&gt;&lt;author&gt;Riley, J. M.&lt;/author&gt;&lt;author&gt;Rosebury-Smith, W. S.&lt;/author&gt;&lt;author&gt;Courtney, C. L.&lt;/author&gt;&lt;author&gt;Juneau, P. L.&lt;/author&gt;&lt;author&gt;Hollembaek, J. M.&lt;/author&gt;&lt;author&gt;Zhu, T.&lt;/author&gt;&lt;author&gt;Huband, M. D.&lt;/author&gt;&lt;author&gt;Brammer, D. W.&lt;/author&gt;&lt;author&gt;Brieland, J. K.&lt;/author&gt;&lt;author&gt;Sulavik, M. C.&lt;/author&gt;&lt;/authors&gt;&lt;/contributors&gt;&lt;added-date format="utc"&gt;1677445071&lt;/added-date&gt;&lt;ref-type name="Journal Article"&gt;17&lt;/ref-type&gt;&lt;rec-number&gt;562&lt;/rec-number&gt;&lt;last-updated-date format="utc"&gt;1677445071&lt;/last-updated-date&gt;&lt;accession-num&gt;WOS:000251954300006&lt;/accession-num&gt;&lt;volume&gt;57&lt;/volume&gt;&lt;/record&gt;&lt;/Cite&gt;&lt;/EndNote&gt;</w:instrText>
      </w:r>
      <w:r w:rsidRPr="00943BE0">
        <w:rPr>
          <w:rFonts w:ascii="Times New Roman" w:hAnsi="Times New Roman" w:cs="Times New Roman"/>
          <w:b/>
          <w:bCs/>
        </w:rPr>
        <w:fldChar w:fldCharType="separate"/>
      </w:r>
      <w:r w:rsidRPr="00943BE0">
        <w:rPr>
          <w:rFonts w:ascii="Times New Roman" w:hAnsi="Times New Roman" w:cs="Times New Roman"/>
          <w:b/>
          <w:bCs/>
          <w:noProof/>
        </w:rPr>
        <w:t>(Gibson</w:t>
      </w:r>
      <w:r w:rsidRPr="00943BE0">
        <w:rPr>
          <w:rFonts w:ascii="Times New Roman" w:hAnsi="Times New Roman" w:cs="Times New Roman"/>
          <w:b/>
          <w:bCs/>
          <w:i/>
          <w:noProof/>
        </w:rPr>
        <w:t xml:space="preserve"> et al.</w:t>
      </w:r>
      <w:r w:rsidRPr="00943BE0">
        <w:rPr>
          <w:rFonts w:ascii="Times New Roman" w:hAnsi="Times New Roman" w:cs="Times New Roman"/>
          <w:b/>
          <w:bCs/>
          <w:noProof/>
        </w:rPr>
        <w:t>, 2007)</w:t>
      </w:r>
      <w:r w:rsidRPr="00943BE0">
        <w:rPr>
          <w:rFonts w:ascii="Times New Roman" w:hAnsi="Times New Roman" w:cs="Times New Roman"/>
          <w:b/>
          <w:bCs/>
        </w:rPr>
        <w:fldChar w:fldCharType="end"/>
      </w:r>
      <w:r>
        <w:rPr>
          <w:rFonts w:ascii="Times New Roman" w:hAnsi="Times New Roman" w:cs="Times New Roman"/>
        </w:rPr>
        <w:t>.</w:t>
      </w:r>
      <w:r w:rsidRPr="00C50961">
        <w:rPr>
          <w:rFonts w:ascii="Times New Roman" w:hAnsi="Times New Roman" w:cs="Times New Roman"/>
        </w:rPr>
        <w:t xml:space="preserve"> </w:t>
      </w:r>
      <w:r>
        <w:rPr>
          <w:rFonts w:ascii="Times New Roman" w:hAnsi="Times New Roman" w:cs="Times New Roman"/>
        </w:rPr>
        <w:t>W</w:t>
      </w:r>
      <w:r w:rsidRPr="00C50961">
        <w:rPr>
          <w:rFonts w:ascii="Times New Roman" w:hAnsi="Times New Roman" w:cs="Times New Roman"/>
        </w:rPr>
        <w:t xml:space="preserve">hile the use of mammalian models has contributed immensely to infection research, there are many disadvantages including the necessity of large amounts of mammals for experiments </w:t>
      </w:r>
      <w:r w:rsidRPr="00943BE0">
        <w:rPr>
          <w:rFonts w:ascii="Times New Roman" w:hAnsi="Times New Roman" w:cs="Times New Roman"/>
          <w:b/>
          <w:bCs/>
        </w:rPr>
        <w:t>(Garcia-Lara et al., 2005)</w:t>
      </w:r>
      <w:r w:rsidRPr="00C50961">
        <w:rPr>
          <w:rFonts w:ascii="Times New Roman" w:hAnsi="Times New Roman" w:cs="Times New Roman"/>
        </w:rPr>
        <w:t xml:space="preserve">. </w:t>
      </w:r>
      <w:r>
        <w:rPr>
          <w:rFonts w:ascii="Times New Roman" w:hAnsi="Times New Roman" w:cs="Times New Roman"/>
        </w:rPr>
        <w:t xml:space="preserve">Importantly, though mice are similar to humans, they are still significantly different. Mice do not respond to </w:t>
      </w:r>
      <w:r>
        <w:rPr>
          <w:rFonts w:ascii="Times New Roman" w:hAnsi="Times New Roman" w:cs="Times New Roman"/>
          <w:i/>
          <w:iCs/>
        </w:rPr>
        <w:t>S. aureus</w:t>
      </w:r>
      <w:r>
        <w:rPr>
          <w:rFonts w:ascii="Times New Roman" w:hAnsi="Times New Roman" w:cs="Times New Roman"/>
        </w:rPr>
        <w:t xml:space="preserve"> infections as humans do due to the preference and specificity of staphylococcal virulence factors to the human counterparts </w:t>
      </w:r>
      <w:r w:rsidRPr="004B54B9">
        <w:rPr>
          <w:rFonts w:ascii="Times New Roman" w:hAnsi="Times New Roman" w:cs="Times New Roman"/>
          <w:b/>
          <w:bCs/>
        </w:rPr>
        <w:fldChar w:fldCharType="begin"/>
      </w:r>
      <w:r w:rsidRPr="004B54B9">
        <w:rPr>
          <w:rFonts w:ascii="Times New Roman" w:hAnsi="Times New Roman" w:cs="Times New Roman"/>
          <w:b/>
          <w:bCs/>
        </w:rPr>
        <w:instrText xml:space="preserve"> ADDIN EN.CITE &lt;EndNote&gt;&lt;Cite&gt;&lt;Author&gt;Parker&lt;/Author&gt;&lt;Year&gt;2017&lt;/Year&gt;&lt;IDText&gt;Humanized Mouse Models of Staphylococcus aureus infection&lt;/IDText&gt;&lt;DisplayText&gt;(Parker, 2017)&lt;/DisplayText&gt;&lt;record&gt;&lt;dates&gt;&lt;pub-dates&gt;&lt;date&gt;May&lt;/date&gt;&lt;/pub-dates&gt;&lt;year&gt;2017&lt;/year&gt;&lt;/dates&gt;&lt;urls&gt;&lt;related-urls&gt;&lt;url&gt;&amp;lt;Go to ISI&amp;gt;://WOS:000400706300001&lt;/url&gt;&lt;/related-urls&gt;&lt;/urls&gt;&lt;isbn&gt;1664-3224&lt;/isbn&gt;&lt;titles&gt;&lt;title&gt;Humanized Mouse Models of Staphylococcus aureus infection&lt;/title&gt;&lt;secondary-title&gt;Frontiers in Immunology&lt;/secondary-title&gt;&lt;/titles&gt;&lt;contributors&gt;&lt;authors&gt;&lt;author&gt;Parker, D.&lt;/author&gt;&lt;/authors&gt;&lt;/contributors&gt;&lt;custom7&gt;512&lt;/custom7&gt;&lt;added-date format="utc"&gt;1677444319&lt;/added-date&gt;&lt;ref-type name="Journal Article"&gt;17&lt;/ref-type&gt;&lt;rec-number&gt;560&lt;/rec-number&gt;&lt;last-updated-date format="utc"&gt;1677444319&lt;/last-updated-date&gt;&lt;accession-num&gt;WOS:000400706300001&lt;/accession-num&gt;&lt;electronic-resource-num&gt;10.3389/fimmu.2017.00512&lt;/electronic-resource-num&gt;&lt;volume&gt;8&lt;/volume&gt;&lt;/record&gt;&lt;/Cite&gt;&lt;/EndNote&gt;</w:instrText>
      </w:r>
      <w:r w:rsidRPr="004B54B9">
        <w:rPr>
          <w:rFonts w:ascii="Times New Roman" w:hAnsi="Times New Roman" w:cs="Times New Roman"/>
          <w:b/>
          <w:bCs/>
        </w:rPr>
        <w:fldChar w:fldCharType="separate"/>
      </w:r>
      <w:r w:rsidRPr="004B54B9">
        <w:rPr>
          <w:rFonts w:ascii="Times New Roman" w:hAnsi="Times New Roman" w:cs="Times New Roman"/>
          <w:b/>
          <w:bCs/>
          <w:noProof/>
        </w:rPr>
        <w:t>(Parker, 2017)</w:t>
      </w:r>
      <w:r w:rsidRPr="004B54B9">
        <w:rPr>
          <w:rFonts w:ascii="Times New Roman" w:hAnsi="Times New Roman" w:cs="Times New Roman"/>
          <w:b/>
          <w:bCs/>
        </w:rPr>
        <w:fldChar w:fldCharType="end"/>
      </w:r>
      <w:r>
        <w:rPr>
          <w:rFonts w:ascii="Times New Roman" w:hAnsi="Times New Roman" w:cs="Times New Roman"/>
        </w:rPr>
        <w:t xml:space="preserve">. For example, the LukAB toxin interacts with the human CD11b subunit I domain of CR3 but binding was undetectable with regards to the murine counterpart </w:t>
      </w:r>
      <w:r w:rsidRPr="00EA44F9">
        <w:rPr>
          <w:rFonts w:ascii="Times New Roman" w:hAnsi="Times New Roman" w:cs="Times New Roman"/>
          <w:b/>
          <w:bCs/>
        </w:rPr>
        <w:fldChar w:fldCharType="begin"/>
      </w:r>
      <w:r w:rsidRPr="00EA44F9">
        <w:rPr>
          <w:rFonts w:ascii="Times New Roman" w:hAnsi="Times New Roman" w:cs="Times New Roman"/>
          <w:b/>
          <w:bCs/>
        </w:rPr>
        <w:instrText xml:space="preserve"> ADDIN EN.CITE &lt;EndNote&gt;&lt;Cite&gt;&lt;Author&gt;DuMont&lt;/Author&gt;&lt;Year&gt;2013&lt;/Year&gt;&lt;IDText&gt;Staphylococcus aureus LukAB cytotoxin kills human neutrophils by targeting the CD11b subunit of the integrin Mac-1&lt;/IDText&gt;&lt;DisplayText&gt;(DuMont&lt;style face="italic"&gt; et al.&lt;/style&gt;, 2013a)&lt;/DisplayText&gt;&lt;record&gt;&lt;dates&gt;&lt;pub-dates&gt;&lt;date&gt;Jun&lt;/date&gt;&lt;/pub-dates&gt;&lt;year&gt;2013&lt;/year&gt;&lt;/dates&gt;&lt;urls&gt;&lt;related-urls&gt;&lt;url&gt;&amp;lt;Go to ISI&amp;gt;://WOS:000321503700075&lt;/url&gt;&lt;/related-urls&gt;&lt;/urls&gt;&lt;isbn&gt;0027-8424&lt;/isbn&gt;&lt;titles&gt;&lt;title&gt;Staphylococcus aureus LukAB cytotoxin kills human neutrophils by targeting the CD11b subunit of the integrin Mac-1&lt;/title&gt;&lt;secondary-title&gt;Proceedings of the National Academy of Sciences of the United States of America&lt;/secondary-title&gt;&lt;/titles&gt;&lt;pages&gt;10794-10799&lt;/pages&gt;&lt;number&gt;26&lt;/number&gt;&lt;contributors&gt;&lt;authors&gt;&lt;author&gt;DuMont, A. L.&lt;/author&gt;&lt;author&gt;Yoong, P.&lt;/author&gt;&lt;author&gt;Day, C. J.&lt;/author&gt;&lt;author&gt;Alonzo, F.&lt;/author&gt;&lt;author&gt;McDonald, W. H.&lt;/author&gt;&lt;author&gt;Jennings, M. P.&lt;/author&gt;&lt;author&gt;Torres, V. J.&lt;/author&gt;&lt;/authors&gt;&lt;/contributors&gt;&lt;added-date format="utc"&gt;1677451039&lt;/added-date&gt;&lt;ref-type name="Journal Article"&gt;17&lt;/ref-type&gt;&lt;rec-number&gt;563&lt;/rec-number&gt;&lt;last-updated-date format="utc"&gt;1677451039&lt;/last-updated-date&gt;&lt;accession-num&gt;WOS:000321503700075&lt;/accession-num&gt;&lt;electronic-resource-num&gt;10.1073/pnas.1305121110&lt;/electronic-resource-num&gt;&lt;volume&gt;110&lt;/volume&gt;&lt;/record&gt;&lt;/Cite&gt;&lt;/EndNote&gt;</w:instrText>
      </w:r>
      <w:r w:rsidRPr="00EA44F9">
        <w:rPr>
          <w:rFonts w:ascii="Times New Roman" w:hAnsi="Times New Roman" w:cs="Times New Roman"/>
          <w:b/>
          <w:bCs/>
        </w:rPr>
        <w:fldChar w:fldCharType="separate"/>
      </w:r>
      <w:r w:rsidRPr="00EA44F9">
        <w:rPr>
          <w:rFonts w:ascii="Times New Roman" w:hAnsi="Times New Roman" w:cs="Times New Roman"/>
          <w:b/>
          <w:bCs/>
          <w:noProof/>
        </w:rPr>
        <w:t>(DuMont</w:t>
      </w:r>
      <w:r w:rsidRPr="00EA44F9">
        <w:rPr>
          <w:rFonts w:ascii="Times New Roman" w:hAnsi="Times New Roman" w:cs="Times New Roman"/>
          <w:b/>
          <w:bCs/>
          <w:i/>
          <w:noProof/>
        </w:rPr>
        <w:t xml:space="preserve"> et al.</w:t>
      </w:r>
      <w:r w:rsidRPr="00EA44F9">
        <w:rPr>
          <w:rFonts w:ascii="Times New Roman" w:hAnsi="Times New Roman" w:cs="Times New Roman"/>
          <w:b/>
          <w:bCs/>
          <w:noProof/>
        </w:rPr>
        <w:t>, 2013a)</w:t>
      </w:r>
      <w:r w:rsidRPr="00EA44F9">
        <w:rPr>
          <w:rFonts w:ascii="Times New Roman" w:hAnsi="Times New Roman" w:cs="Times New Roman"/>
          <w:b/>
          <w:bCs/>
        </w:rPr>
        <w:fldChar w:fldCharType="end"/>
      </w:r>
      <w:r>
        <w:rPr>
          <w:rFonts w:ascii="Times New Roman" w:hAnsi="Times New Roman" w:cs="Times New Roman"/>
        </w:rPr>
        <w:t>. Furthermore, financial and ethical reasons and the need</w:t>
      </w:r>
      <w:r w:rsidRPr="00C50961">
        <w:rPr>
          <w:rFonts w:ascii="Times New Roman" w:hAnsi="Times New Roman" w:cs="Times New Roman"/>
        </w:rPr>
        <w:t xml:space="preserve"> for higher throughput models</w:t>
      </w:r>
      <w:r>
        <w:rPr>
          <w:rFonts w:ascii="Times New Roman" w:hAnsi="Times New Roman" w:cs="Times New Roman"/>
        </w:rPr>
        <w:t xml:space="preserve"> has led to</w:t>
      </w:r>
      <w:r w:rsidRPr="00C50961">
        <w:rPr>
          <w:rFonts w:ascii="Times New Roman" w:hAnsi="Times New Roman" w:cs="Times New Roman"/>
        </w:rPr>
        <w:t xml:space="preserve"> invertebrate</w:t>
      </w:r>
      <w:r>
        <w:rPr>
          <w:rFonts w:ascii="Times New Roman" w:hAnsi="Times New Roman" w:cs="Times New Roman"/>
        </w:rPr>
        <w:t xml:space="preserve"> models</w:t>
      </w:r>
      <w:r w:rsidRPr="00C50961">
        <w:rPr>
          <w:rFonts w:ascii="Times New Roman" w:hAnsi="Times New Roman" w:cs="Times New Roman"/>
        </w:rPr>
        <w:t xml:space="preserve"> </w:t>
      </w:r>
      <w:r>
        <w:rPr>
          <w:rFonts w:ascii="Times New Roman" w:hAnsi="Times New Roman" w:cs="Times New Roman"/>
        </w:rPr>
        <w:t xml:space="preserve">being utilised </w:t>
      </w:r>
      <w:r w:rsidRPr="00E67B7A">
        <w:rPr>
          <w:rFonts w:ascii="Times New Roman" w:hAnsi="Times New Roman" w:cs="Times New Roman"/>
          <w:b/>
          <w:bCs/>
        </w:rPr>
        <w:t>(Garcia-Lara et al., 2005)</w:t>
      </w:r>
      <w:r>
        <w:rPr>
          <w:rFonts w:ascii="Times New Roman" w:hAnsi="Times New Roman" w:cs="Times New Roman"/>
        </w:rPr>
        <w:t xml:space="preserve">. For instance, approximately 60% of proteins found in humans can also be found in the fruit fly </w:t>
      </w:r>
      <w:r>
        <w:rPr>
          <w:rFonts w:ascii="Times New Roman" w:hAnsi="Times New Roman" w:cs="Times New Roman"/>
          <w:i/>
          <w:iCs/>
        </w:rPr>
        <w:t xml:space="preserve">D. </w:t>
      </w:r>
      <w:r w:rsidRPr="0097136A">
        <w:rPr>
          <w:rFonts w:ascii="Times New Roman" w:hAnsi="Times New Roman" w:cs="Times New Roman"/>
          <w:i/>
          <w:iCs/>
        </w:rPr>
        <w:t>melanogaster</w:t>
      </w:r>
      <w:r>
        <w:rPr>
          <w:rFonts w:ascii="Times New Roman" w:hAnsi="Times New Roman" w:cs="Times New Roman"/>
        </w:rPr>
        <w:t xml:space="preserve">. In comparison, zebrafish are a high-throughput vertebrate model containing &gt;80% of disease-causing genes that occur in humans </w:t>
      </w:r>
      <w:r w:rsidRPr="005B1EF5">
        <w:rPr>
          <w:rFonts w:ascii="Times New Roman" w:hAnsi="Times New Roman" w:cs="Times New Roman"/>
          <w:b/>
          <w:bCs/>
        </w:rPr>
        <w:fldChar w:fldCharType="begin">
          <w:fldData xml:space="preserve">PEVuZE5vdGU+PENpdGU+PEF1dGhvcj5Ib3dlPC9BdXRob3I+PFllYXI+MjAxMzwvWWVhcj48SURU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</w:fldData>
        </w:fldChar>
      </w:r>
      <w:r w:rsidRPr="005B1EF5">
        <w:rPr>
          <w:rFonts w:ascii="Times New Roman" w:hAnsi="Times New Roman" w:cs="Times New Roman"/>
          <w:b/>
          <w:bCs/>
        </w:rPr>
        <w:instrText xml:space="preserve"> ADDIN EN.CITE </w:instrText>
      </w:r>
      <w:r w:rsidRPr="005B1EF5">
        <w:rPr>
          <w:rFonts w:ascii="Times New Roman" w:hAnsi="Times New Roman" w:cs="Times New Roman"/>
          <w:b/>
          <w:bCs/>
        </w:rPr>
        <w:fldChar w:fldCharType="begin">
          <w:fldData xml:space="preserve">PEVuZE5vdGU+PENpdGU+PEF1dGhvcj5Ib3dlPC9BdXRob3I+PFllYXI+MjAxMzwvWWVhcj48SURU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</w:fldData>
        </w:fldChar>
      </w:r>
      <w:r w:rsidRPr="005B1EF5">
        <w:rPr>
          <w:rFonts w:ascii="Times New Roman" w:hAnsi="Times New Roman" w:cs="Times New Roman"/>
          <w:b/>
          <w:bCs/>
        </w:rPr>
        <w:instrText xml:space="preserve"> ADDIN EN.CITE.DATA </w:instrText>
      </w:r>
      <w:r w:rsidRPr="005B1EF5">
        <w:rPr>
          <w:rFonts w:ascii="Times New Roman" w:hAnsi="Times New Roman" w:cs="Times New Roman"/>
          <w:b/>
          <w:bCs/>
        </w:rPr>
      </w:r>
      <w:r w:rsidRPr="005B1EF5">
        <w:rPr>
          <w:rFonts w:ascii="Times New Roman" w:hAnsi="Times New Roman" w:cs="Times New Roman"/>
          <w:b/>
          <w:bCs/>
        </w:rPr>
        <w:fldChar w:fldCharType="end"/>
      </w:r>
      <w:r w:rsidRPr="005B1EF5">
        <w:rPr>
          <w:rFonts w:ascii="Times New Roman" w:hAnsi="Times New Roman" w:cs="Times New Roman"/>
          <w:b/>
          <w:bCs/>
        </w:rPr>
      </w:r>
      <w:r w:rsidRPr="005B1EF5">
        <w:rPr>
          <w:rFonts w:ascii="Times New Roman" w:hAnsi="Times New Roman" w:cs="Times New Roman"/>
          <w:b/>
          <w:bCs/>
        </w:rPr>
        <w:fldChar w:fldCharType="separate"/>
      </w:r>
      <w:r w:rsidRPr="005B1EF5">
        <w:rPr>
          <w:rFonts w:ascii="Times New Roman" w:hAnsi="Times New Roman" w:cs="Times New Roman"/>
          <w:b/>
          <w:bCs/>
          <w:noProof/>
        </w:rPr>
        <w:t>(Howe</w:t>
      </w:r>
      <w:r w:rsidRPr="005B1EF5">
        <w:rPr>
          <w:rFonts w:ascii="Times New Roman" w:hAnsi="Times New Roman" w:cs="Times New Roman"/>
          <w:b/>
          <w:bCs/>
          <w:i/>
          <w:noProof/>
        </w:rPr>
        <w:t xml:space="preserve"> et al.</w:t>
      </w:r>
      <w:r w:rsidRPr="005B1EF5">
        <w:rPr>
          <w:rFonts w:ascii="Times New Roman" w:hAnsi="Times New Roman" w:cs="Times New Roman"/>
          <w:b/>
          <w:bCs/>
          <w:noProof/>
        </w:rPr>
        <w:t>, 2013)</w:t>
      </w:r>
      <w:r w:rsidRPr="005B1EF5">
        <w:rPr>
          <w:rFonts w:ascii="Times New Roman" w:hAnsi="Times New Roman" w:cs="Times New Roman"/>
          <w:b/>
          <w:bCs/>
        </w:rPr>
        <w:fldChar w:fldCharType="end"/>
      </w:r>
      <w:r>
        <w:rPr>
          <w:rFonts w:ascii="Times New Roman" w:hAnsi="Times New Roman" w:cs="Times New Roman"/>
        </w:rPr>
        <w:t xml:space="preserve"> and </w:t>
      </w:r>
      <w:r w:rsidRPr="00C50961">
        <w:rPr>
          <w:rFonts w:ascii="Times New Roman" w:hAnsi="Times New Roman" w:cs="Times New Roman"/>
        </w:rPr>
        <w:t>are considered to be as good a model as mice</w:t>
      </w:r>
      <w:r w:rsidR="000622E5">
        <w:rPr>
          <w:rFonts w:ascii="Times New Roman" w:hAnsi="Times New Roman" w:cs="Times New Roman"/>
        </w:rPr>
        <w:t xml:space="preserve"> as an infection model</w:t>
      </w:r>
      <w:r>
        <w:rPr>
          <w:rFonts w:ascii="Times New Roman" w:hAnsi="Times New Roman" w:cs="Times New Roman"/>
        </w:rPr>
        <w:t xml:space="preserve"> </w:t>
      </w:r>
      <w:r w:rsidRPr="00E44A4E">
        <w:rPr>
          <w:rFonts w:ascii="Times New Roman" w:hAnsi="Times New Roman" w:cs="Times New Roman"/>
          <w:b/>
          <w:bCs/>
        </w:rPr>
        <w:fldChar w:fldCharType="begin"/>
      </w:r>
      <w:r w:rsidRPr="00E44A4E">
        <w:rPr>
          <w:rFonts w:ascii="Times New Roman" w:hAnsi="Times New Roman" w:cs="Times New Roman"/>
          <w:b/>
          <w:bCs/>
        </w:rPr>
        <w:instrText xml:space="preserve"> ADDIN EN.CITE &lt;EndNote&gt;&lt;Cite&gt;&lt;Author&gt;Buchan&lt;/Author&gt;&lt;Year&gt;2019&lt;/Year&gt;&lt;IDText&gt;Staphylococcus aureus: setting its sights on the human innate immune system&lt;/IDText&gt;&lt;DisplayText&gt;(Buchan, Foster and Renshaw, 2019)&lt;/DisplayText&gt;&lt;record&gt;&lt;dates&gt;&lt;pub-dates&gt;&lt;date&gt;Apr&lt;/date&gt;&lt;/pub-dates&gt;&lt;year&gt;2019&lt;/year&gt;&lt;/dates&gt;&lt;urls&gt;&lt;related-urls&gt;&lt;/related-urls&gt;&lt;/urls&gt;&lt;isbn&gt;1350-0872&lt;/isbn&gt;&lt;titles&gt;&lt;title&gt;&lt;style face="italic" font="default" size="100%"&gt;Staphylococcus aureus&lt;/style&gt;&lt;style font="default" size="100%"&gt;: setting its sights on the human innate immune system&lt;/style&gt;&lt;/title&gt;&lt;secondary-title&gt;Microbiology-Sgm&lt;/secondary-title&gt;&lt;/titles&gt;&lt;pages&gt;367-385&lt;/pages&gt;&lt;number&gt;4&lt;/number&gt;&lt;contributors&gt;&lt;authors&gt;&lt;author&gt;Buchan, Kyle D.&lt;/author&gt;&lt;author&gt;Foster, Simon J.&lt;/author&gt;&lt;author&gt;Renshaw, Stephen A.&lt;/author&gt;&lt;/authors&gt;&lt;/contributors&gt;&lt;added-date format="utc"&gt;1663624174&lt;/added-date&gt;&lt;ref-type name="Journal Article"&gt;17&lt;/ref-type&gt;&lt;rec-number&gt;144&lt;/rec-number&gt;&lt;last-updated-date format="utc"&gt;1675729260&lt;/last-updated-date&gt;&lt;accession-num&gt;WOS:000466843400001&lt;/accession-num&gt;&lt;electronic-resource-num&gt;10.1099/mic.0.000759&lt;/electronic-resource-num&gt;&lt;volume&gt;165&lt;/volume&gt;&lt;/record&gt;&lt;/Cite&gt;&lt;/EndNote&gt;</w:instrText>
      </w:r>
      <w:r w:rsidRPr="00E44A4E">
        <w:rPr>
          <w:rFonts w:ascii="Times New Roman" w:hAnsi="Times New Roman" w:cs="Times New Roman"/>
          <w:b/>
          <w:bCs/>
        </w:rPr>
        <w:fldChar w:fldCharType="separate"/>
      </w:r>
      <w:r w:rsidRPr="00E44A4E">
        <w:rPr>
          <w:rFonts w:ascii="Times New Roman" w:hAnsi="Times New Roman" w:cs="Times New Roman"/>
          <w:b/>
          <w:bCs/>
          <w:noProof/>
        </w:rPr>
        <w:t>(Buchan, Foster and Renshaw, 2019)</w:t>
      </w:r>
      <w:r w:rsidRPr="00E44A4E">
        <w:rPr>
          <w:rFonts w:ascii="Times New Roman" w:hAnsi="Times New Roman" w:cs="Times New Roman"/>
          <w:b/>
          <w:bCs/>
        </w:rPr>
        <w:fldChar w:fldCharType="end"/>
      </w:r>
      <w:r w:rsidR="00BF0AF4">
        <w:rPr>
          <w:rFonts w:ascii="Times New Roman" w:hAnsi="Times New Roman" w:cs="Times New Roman"/>
        </w:rPr>
        <w:t>.</w:t>
      </w:r>
    </w:p>
    <w:p w14:paraId="3D5FD591" w14:textId="77777777" w:rsidR="00033564" w:rsidRDefault="00033564" w:rsidP="00033564">
      <w:pPr>
        <w:spacing w:line="360" w:lineRule="auto"/>
        <w:jc w:val="both"/>
      </w:pPr>
      <w:r>
        <w:rPr>
          <w:rFonts w:ascii="Times New Roman" w:hAnsi="Times New Roman" w:cs="Times New Roman"/>
        </w:rPr>
        <w:tab/>
      </w:r>
      <w:r w:rsidRPr="00CB00B5">
        <w:rPr>
          <w:rFonts w:ascii="Times New Roman" w:hAnsi="Times New Roman" w:cs="Times New Roman"/>
        </w:rPr>
        <w:t>Zebrafish (</w:t>
      </w:r>
      <w:r w:rsidRPr="00CB00B5">
        <w:rPr>
          <w:rFonts w:ascii="Times New Roman" w:hAnsi="Times New Roman" w:cs="Times New Roman"/>
          <w:i/>
          <w:iCs/>
        </w:rPr>
        <w:t>Danio rerio</w:t>
      </w:r>
      <w:r w:rsidRPr="00CB00B5">
        <w:rPr>
          <w:rFonts w:ascii="Times New Roman" w:hAnsi="Times New Roman" w:cs="Times New Roman"/>
        </w:rPr>
        <w:t>) are a small freshwater tropical fish, around ~4 cm in length, that are native to South Asia. Their embryos develop rapidly and are approximately 1 mm in diameter, enabling researchers to visualise and exploit the different stages of development under basic light microscopy. Furthermore, as zebrafish embryos are transparent, they can easily be visualised under light/confocal microscopy</w:t>
      </w:r>
      <w:r>
        <w:rPr>
          <w:rFonts w:ascii="Times New Roman" w:hAnsi="Times New Roman" w:cs="Times New Roman"/>
        </w:rPr>
        <w:t>,</w:t>
      </w:r>
      <w:r w:rsidRPr="00CB00B5">
        <w:rPr>
          <w:rFonts w:ascii="Times New Roman" w:hAnsi="Times New Roman" w:cs="Times New Roman"/>
        </w:rPr>
        <w:t xml:space="preserve"> which is useful when utilising transgenic lines or fluorescent pathogens. Their small size as both embryos and adults makes them easy to maintain – this and their ability to reproduce quickly and in abundance, makes zebrafish suitable for high-throughput screening and infection studies.</w:t>
      </w:r>
      <w:r>
        <w:t xml:space="preserve"> </w:t>
      </w:r>
    </w:p>
    <w:p w14:paraId="2090FBD0" w14:textId="09511261" w:rsidR="00033564" w:rsidRDefault="00033564" w:rsidP="00033564">
      <w:pPr>
        <w:spacing w:line="360" w:lineRule="auto"/>
        <w:jc w:val="both"/>
        <w:rPr>
          <w:rFonts w:ascii="Times New Roman" w:hAnsi="Times New Roman" w:cs="Times New Roman"/>
        </w:rPr>
      </w:pPr>
      <w:r>
        <w:tab/>
      </w:r>
      <w:r w:rsidRPr="00CB00B5">
        <w:rPr>
          <w:rFonts w:ascii="Times New Roman" w:hAnsi="Times New Roman" w:cs="Times New Roman"/>
        </w:rPr>
        <w:t xml:space="preserve">Zebrafish embryos gain a functional innate immune system within the first two days of life: macrophages emerge in the bloodstream at 25 hours post fertilisation (hpf) and neutrophils at 30 hpf </w:t>
      </w:r>
      <w:r w:rsidRPr="00CB00B5">
        <w:rPr>
          <w:rFonts w:ascii="Times New Roman" w:hAnsi="Times New Roman" w:cs="Times New Roman"/>
          <w:b/>
          <w:bCs/>
        </w:rPr>
        <w:fldChar w:fldCharType="begin">
          <w:fldData xml:space="preserve">PEVuZE5vdGU+PENpdGU+PEF1dGhvcj5IZXJib21lbDwvQXV0aG9yPjxZZWFyPjE5OTk8L1llYXI+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</w:fldData>
        </w:fldChar>
      </w:r>
      <w:r w:rsidRPr="00CB00B5">
        <w:rPr>
          <w:rFonts w:ascii="Times New Roman" w:hAnsi="Times New Roman" w:cs="Times New Roman"/>
          <w:b/>
          <w:bCs/>
        </w:rPr>
        <w:instrText xml:space="preserve"> ADDIN EN.CITE </w:instrText>
      </w:r>
      <w:r w:rsidRPr="00CB00B5">
        <w:rPr>
          <w:rFonts w:ascii="Times New Roman" w:hAnsi="Times New Roman" w:cs="Times New Roman"/>
          <w:b/>
          <w:bCs/>
        </w:rPr>
        <w:fldChar w:fldCharType="begin">
          <w:fldData xml:space="preserve">PEVuZE5vdGU+PENpdGU+PEF1dGhvcj5IZXJib21lbDwvQXV0aG9yPjxZZWFyPjE5OTk8L1llYXI+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</w:fldData>
        </w:fldChar>
      </w:r>
      <w:r w:rsidRPr="00CB00B5">
        <w:rPr>
          <w:rFonts w:ascii="Times New Roman" w:hAnsi="Times New Roman" w:cs="Times New Roman"/>
          <w:b/>
          <w:bCs/>
        </w:rPr>
        <w:instrText xml:space="preserve"> ADDIN EN.CITE.DATA </w:instrText>
      </w:r>
      <w:r w:rsidRPr="00CB00B5">
        <w:rPr>
          <w:rFonts w:ascii="Times New Roman" w:hAnsi="Times New Roman" w:cs="Times New Roman"/>
          <w:b/>
          <w:bCs/>
        </w:rPr>
      </w:r>
      <w:r w:rsidRPr="00CB00B5">
        <w:rPr>
          <w:rFonts w:ascii="Times New Roman" w:hAnsi="Times New Roman" w:cs="Times New Roman"/>
          <w:b/>
          <w:bCs/>
        </w:rPr>
        <w:fldChar w:fldCharType="end"/>
      </w:r>
      <w:r w:rsidRPr="00CB00B5">
        <w:rPr>
          <w:rFonts w:ascii="Times New Roman" w:hAnsi="Times New Roman" w:cs="Times New Roman"/>
          <w:b/>
          <w:bCs/>
        </w:rPr>
      </w:r>
      <w:r w:rsidRPr="00CB00B5">
        <w:rPr>
          <w:rFonts w:ascii="Times New Roman" w:hAnsi="Times New Roman" w:cs="Times New Roman"/>
          <w:b/>
          <w:bCs/>
        </w:rPr>
        <w:fldChar w:fldCharType="separate"/>
      </w:r>
      <w:r w:rsidRPr="00CB00B5">
        <w:rPr>
          <w:rFonts w:ascii="Times New Roman" w:hAnsi="Times New Roman" w:cs="Times New Roman"/>
          <w:b/>
          <w:bCs/>
          <w:noProof/>
        </w:rPr>
        <w:t>(Herbomel, Thisse and Thisse, 1999; Lieschke</w:t>
      </w:r>
      <w:r w:rsidRPr="00CB00B5">
        <w:rPr>
          <w:rFonts w:ascii="Times New Roman" w:hAnsi="Times New Roman" w:cs="Times New Roman"/>
          <w:b/>
          <w:bCs/>
          <w:i/>
          <w:noProof/>
        </w:rPr>
        <w:t xml:space="preserve"> et al.</w:t>
      </w:r>
      <w:r w:rsidRPr="00CB00B5">
        <w:rPr>
          <w:rFonts w:ascii="Times New Roman" w:hAnsi="Times New Roman" w:cs="Times New Roman"/>
          <w:b/>
          <w:bCs/>
          <w:noProof/>
        </w:rPr>
        <w:t>, 2001)</w:t>
      </w:r>
      <w:r w:rsidRPr="00CB00B5">
        <w:rPr>
          <w:rFonts w:ascii="Times New Roman" w:hAnsi="Times New Roman" w:cs="Times New Roman"/>
          <w:b/>
          <w:bCs/>
        </w:rPr>
        <w:fldChar w:fldCharType="end"/>
      </w:r>
      <w:r w:rsidRPr="00CB00B5">
        <w:rPr>
          <w:rFonts w:ascii="Times New Roman" w:hAnsi="Times New Roman" w:cs="Times New Roman"/>
        </w:rPr>
        <w:t xml:space="preserve">. Zebrafish also possess the complement system and are able to mount all three complement cascades </w:t>
      </w:r>
      <w:r w:rsidRPr="00CB00B5">
        <w:rPr>
          <w:rFonts w:ascii="Times New Roman" w:hAnsi="Times New Roman" w:cs="Times New Roman"/>
          <w:b/>
          <w:bCs/>
        </w:rPr>
        <w:fldChar w:fldCharType="begin">
          <w:fldData xml:space="preserve">PEVuZE5vdGU+PENpdGU+PEF1dGhvcj5Hb25nb3JhPC9BdXRob3I+PFllYXI+MTk5ODwvWWVhcj48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=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PEVuZE5vdGU+PENpdGU+PEF1dGhvcj5Hb25nb3JhPC9BdXRob3I+PFllYXI+MTk5ODwvWWVhcj48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=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CB00B5">
        <w:rPr>
          <w:rFonts w:ascii="Times New Roman" w:hAnsi="Times New Roman" w:cs="Times New Roman"/>
          <w:b/>
          <w:bCs/>
        </w:rPr>
      </w:r>
      <w:r w:rsidRPr="00CB00B5">
        <w:rPr>
          <w:rFonts w:ascii="Times New Roman" w:hAnsi="Times New Roman" w:cs="Times New Roman"/>
          <w:b/>
          <w:bCs/>
        </w:rPr>
        <w:fldChar w:fldCharType="separate"/>
      </w:r>
      <w:r>
        <w:rPr>
          <w:rFonts w:ascii="Times New Roman" w:hAnsi="Times New Roman" w:cs="Times New Roman"/>
          <w:b/>
          <w:bCs/>
          <w:noProof/>
        </w:rPr>
        <w:t>(Gongora, Figueroa and Klein, 1998; Traver</w:t>
      </w:r>
      <w:r w:rsidRPr="00CB00B5">
        <w:rPr>
          <w:rFonts w:ascii="Times New Roman" w:hAnsi="Times New Roman" w:cs="Times New Roman"/>
          <w:b/>
          <w:bCs/>
          <w:i/>
          <w:noProof/>
        </w:rPr>
        <w:t xml:space="preserve"> et al.</w:t>
      </w:r>
      <w:r>
        <w:rPr>
          <w:rFonts w:ascii="Times New Roman" w:hAnsi="Times New Roman" w:cs="Times New Roman"/>
          <w:b/>
          <w:bCs/>
          <w:noProof/>
        </w:rPr>
        <w:t>, 2003)</w:t>
      </w:r>
      <w:r w:rsidRPr="00CB00B5">
        <w:rPr>
          <w:rFonts w:ascii="Times New Roman" w:hAnsi="Times New Roman" w:cs="Times New Roman"/>
          <w:b/>
          <w:bCs/>
        </w:rPr>
        <w:fldChar w:fldCharType="end"/>
      </w:r>
      <w:r w:rsidRPr="00CB00B5">
        <w:rPr>
          <w:rFonts w:ascii="Times New Roman" w:hAnsi="Times New Roman" w:cs="Times New Roman"/>
        </w:rPr>
        <w:t xml:space="preserve">. As jawed vertebrates, the zebrafish adaptive immune system develops approximately 4-6 weeks post fertilisation and this is when the immune system becomes functionally mature </w:t>
      </w:r>
      <w:r w:rsidRPr="00CB00B5">
        <w:rPr>
          <w:rFonts w:ascii="Times New Roman" w:hAnsi="Times New Roman" w:cs="Times New Roman"/>
          <w:b/>
          <w:bCs/>
        </w:rPr>
        <w:fldChar w:fldCharType="begin">
          <w:fldData xml:space="preserve">PEVuZE5vdGU+PENpdGU+PEF1dGhvcj5MYW08L0F1dGhvcj48WWVhcj4yMDA0PC9ZZWFyPjxJRFRl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</w:fldData>
        </w:fldChar>
      </w:r>
      <w:r w:rsidRPr="00CB00B5">
        <w:rPr>
          <w:rFonts w:ascii="Times New Roman" w:hAnsi="Times New Roman" w:cs="Times New Roman"/>
          <w:b/>
          <w:bCs/>
        </w:rPr>
        <w:instrText xml:space="preserve"> ADDIN EN.CITE </w:instrText>
      </w:r>
      <w:r w:rsidRPr="00CB00B5">
        <w:rPr>
          <w:rFonts w:ascii="Times New Roman" w:hAnsi="Times New Roman" w:cs="Times New Roman"/>
          <w:b/>
          <w:bCs/>
        </w:rPr>
        <w:fldChar w:fldCharType="begin">
          <w:fldData xml:space="preserve">PEVuZE5vdGU+PENpdGU+PEF1dGhvcj5MYW08L0F1dGhvcj48WWVhcj4yMDA0PC9ZZWFyPjxJRFRl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</w:fldData>
        </w:fldChar>
      </w:r>
      <w:r w:rsidRPr="00CB00B5">
        <w:rPr>
          <w:rFonts w:ascii="Times New Roman" w:hAnsi="Times New Roman" w:cs="Times New Roman"/>
          <w:b/>
          <w:bCs/>
        </w:rPr>
        <w:instrText xml:space="preserve"> ADDIN EN.CITE.DATA </w:instrText>
      </w:r>
      <w:r w:rsidRPr="00CB00B5">
        <w:rPr>
          <w:rFonts w:ascii="Times New Roman" w:hAnsi="Times New Roman" w:cs="Times New Roman"/>
          <w:b/>
          <w:bCs/>
        </w:rPr>
      </w:r>
      <w:r w:rsidRPr="00CB00B5">
        <w:rPr>
          <w:rFonts w:ascii="Times New Roman" w:hAnsi="Times New Roman" w:cs="Times New Roman"/>
          <w:b/>
          <w:bCs/>
        </w:rPr>
        <w:fldChar w:fldCharType="end"/>
      </w:r>
      <w:r w:rsidRPr="00CB00B5">
        <w:rPr>
          <w:rFonts w:ascii="Times New Roman" w:hAnsi="Times New Roman" w:cs="Times New Roman"/>
          <w:b/>
          <w:bCs/>
        </w:rPr>
      </w:r>
      <w:r w:rsidRPr="00CB00B5">
        <w:rPr>
          <w:rFonts w:ascii="Times New Roman" w:hAnsi="Times New Roman" w:cs="Times New Roman"/>
          <w:b/>
          <w:bCs/>
        </w:rPr>
        <w:fldChar w:fldCharType="separate"/>
      </w:r>
      <w:r w:rsidRPr="00CB00B5">
        <w:rPr>
          <w:rFonts w:ascii="Times New Roman" w:hAnsi="Times New Roman" w:cs="Times New Roman"/>
          <w:b/>
          <w:bCs/>
          <w:noProof/>
        </w:rPr>
        <w:t>(Lam</w:t>
      </w:r>
      <w:r w:rsidRPr="00CB00B5">
        <w:rPr>
          <w:rFonts w:ascii="Times New Roman" w:hAnsi="Times New Roman" w:cs="Times New Roman"/>
          <w:b/>
          <w:bCs/>
          <w:i/>
          <w:noProof/>
        </w:rPr>
        <w:t xml:space="preserve"> et al.</w:t>
      </w:r>
      <w:r w:rsidRPr="00CB00B5">
        <w:rPr>
          <w:rFonts w:ascii="Times New Roman" w:hAnsi="Times New Roman" w:cs="Times New Roman"/>
          <w:b/>
          <w:bCs/>
          <w:noProof/>
        </w:rPr>
        <w:t>, 2004; Howe</w:t>
      </w:r>
      <w:r w:rsidRPr="00CB00B5">
        <w:rPr>
          <w:rFonts w:ascii="Times New Roman" w:hAnsi="Times New Roman" w:cs="Times New Roman"/>
          <w:b/>
          <w:bCs/>
          <w:i/>
          <w:noProof/>
        </w:rPr>
        <w:t xml:space="preserve"> et al.</w:t>
      </w:r>
      <w:r w:rsidRPr="00CB00B5">
        <w:rPr>
          <w:rFonts w:ascii="Times New Roman" w:hAnsi="Times New Roman" w:cs="Times New Roman"/>
          <w:b/>
          <w:bCs/>
          <w:noProof/>
        </w:rPr>
        <w:t>, 2013)</w:t>
      </w:r>
      <w:r w:rsidRPr="00CB00B5">
        <w:rPr>
          <w:rFonts w:ascii="Times New Roman" w:hAnsi="Times New Roman" w:cs="Times New Roman"/>
          <w:b/>
          <w:bCs/>
        </w:rPr>
        <w:fldChar w:fldCharType="end"/>
      </w:r>
      <w:r w:rsidRPr="00CB00B5">
        <w:rPr>
          <w:rFonts w:ascii="Times New Roman" w:hAnsi="Times New Roman" w:cs="Times New Roman"/>
        </w:rPr>
        <w:t>. Th</w:t>
      </w:r>
      <w:r>
        <w:rPr>
          <w:rFonts w:ascii="Times New Roman" w:hAnsi="Times New Roman" w:cs="Times New Roman"/>
        </w:rPr>
        <w:t>erefore, by</w:t>
      </w:r>
      <w:r w:rsidRPr="00CB00B5">
        <w:rPr>
          <w:rFonts w:ascii="Times New Roman" w:hAnsi="Times New Roman" w:cs="Times New Roman"/>
        </w:rPr>
        <w:t xml:space="preserve"> using zebrafish embryos, the innate immune system can be studied discretely from the adaptive immune system. Pathogens injected into to fluid-filled compartments such as the circulation are </w:t>
      </w:r>
      <w:r>
        <w:rPr>
          <w:rFonts w:ascii="Times New Roman" w:hAnsi="Times New Roman" w:cs="Times New Roman"/>
        </w:rPr>
        <w:t xml:space="preserve">mainly </w:t>
      </w:r>
      <w:r w:rsidRPr="00CB00B5">
        <w:rPr>
          <w:rFonts w:ascii="Times New Roman" w:hAnsi="Times New Roman" w:cs="Times New Roman"/>
        </w:rPr>
        <w:t xml:space="preserve">ingested by macrophages however, neutrophils are the primary phagocytes when pathogens are present on tissue surfaces </w:t>
      </w:r>
      <w:r w:rsidRPr="00CB00B5">
        <w:rPr>
          <w:rFonts w:ascii="Times New Roman" w:hAnsi="Times New Roman" w:cs="Times New Roman"/>
          <w:b/>
          <w:bCs/>
        </w:rPr>
        <w:fldChar w:fldCharType="begin">
          <w:fldData xml:space="preserve">PEVuZE5vdGU+PENpdGU+PEF1dGhvcj5QcmFqc25hcjwvQXV0aG9yPjxZZWFyPjIwMDg8L1llYXI+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</w:fldData>
        </w:fldChar>
      </w:r>
      <w:r w:rsidRPr="00CB00B5">
        <w:rPr>
          <w:rFonts w:ascii="Times New Roman" w:hAnsi="Times New Roman" w:cs="Times New Roman"/>
          <w:b/>
          <w:bCs/>
        </w:rPr>
        <w:instrText xml:space="preserve"> ADDIN EN.CITE </w:instrText>
      </w:r>
      <w:r w:rsidRPr="00CB00B5">
        <w:rPr>
          <w:rFonts w:ascii="Times New Roman" w:hAnsi="Times New Roman" w:cs="Times New Roman"/>
          <w:b/>
          <w:bCs/>
        </w:rPr>
        <w:fldChar w:fldCharType="begin">
          <w:fldData xml:space="preserve">PEVuZE5vdGU+PENpdGU+PEF1dGhvcj5QcmFqc25hcjwvQXV0aG9yPjxZZWFyPjIwMDg8L1llYXI+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</w:fldData>
        </w:fldChar>
      </w:r>
      <w:r w:rsidRPr="00CB00B5">
        <w:rPr>
          <w:rFonts w:ascii="Times New Roman" w:hAnsi="Times New Roman" w:cs="Times New Roman"/>
          <w:b/>
          <w:bCs/>
        </w:rPr>
        <w:instrText xml:space="preserve"> ADDIN EN.CITE.DATA </w:instrText>
      </w:r>
      <w:r w:rsidRPr="00CB00B5">
        <w:rPr>
          <w:rFonts w:ascii="Times New Roman" w:hAnsi="Times New Roman" w:cs="Times New Roman"/>
          <w:b/>
          <w:bCs/>
        </w:rPr>
      </w:r>
      <w:r w:rsidRPr="00CB00B5">
        <w:rPr>
          <w:rFonts w:ascii="Times New Roman" w:hAnsi="Times New Roman" w:cs="Times New Roman"/>
          <w:b/>
          <w:bCs/>
        </w:rPr>
        <w:fldChar w:fldCharType="end"/>
      </w:r>
      <w:r w:rsidRPr="00CB00B5">
        <w:rPr>
          <w:rFonts w:ascii="Times New Roman" w:hAnsi="Times New Roman" w:cs="Times New Roman"/>
          <w:b/>
          <w:bCs/>
        </w:rPr>
      </w:r>
      <w:r w:rsidRPr="00CB00B5">
        <w:rPr>
          <w:rFonts w:ascii="Times New Roman" w:hAnsi="Times New Roman" w:cs="Times New Roman"/>
          <w:b/>
          <w:bCs/>
        </w:rPr>
        <w:fldChar w:fldCharType="separate"/>
      </w:r>
      <w:r w:rsidRPr="00CB00B5">
        <w:rPr>
          <w:rFonts w:ascii="Times New Roman" w:hAnsi="Times New Roman" w:cs="Times New Roman"/>
          <w:b/>
          <w:bCs/>
          <w:noProof/>
        </w:rPr>
        <w:t>(Prajsnar</w:t>
      </w:r>
      <w:r w:rsidRPr="00CB00B5">
        <w:rPr>
          <w:rFonts w:ascii="Times New Roman" w:hAnsi="Times New Roman" w:cs="Times New Roman"/>
          <w:b/>
          <w:bCs/>
          <w:i/>
          <w:noProof/>
        </w:rPr>
        <w:t xml:space="preserve"> et al.</w:t>
      </w:r>
      <w:r w:rsidRPr="00CB00B5">
        <w:rPr>
          <w:rFonts w:ascii="Times New Roman" w:hAnsi="Times New Roman" w:cs="Times New Roman"/>
          <w:b/>
          <w:bCs/>
          <w:noProof/>
        </w:rPr>
        <w:t>, 2008; Colucci-Guyon</w:t>
      </w:r>
      <w:r w:rsidRPr="00CB00B5">
        <w:rPr>
          <w:rFonts w:ascii="Times New Roman" w:hAnsi="Times New Roman" w:cs="Times New Roman"/>
          <w:b/>
          <w:bCs/>
          <w:i/>
          <w:noProof/>
        </w:rPr>
        <w:t xml:space="preserve"> et al.</w:t>
      </w:r>
      <w:r w:rsidRPr="00CB00B5">
        <w:rPr>
          <w:rFonts w:ascii="Times New Roman" w:hAnsi="Times New Roman" w:cs="Times New Roman"/>
          <w:b/>
          <w:bCs/>
          <w:noProof/>
        </w:rPr>
        <w:t>, 2011)</w:t>
      </w:r>
      <w:r w:rsidRPr="00CB00B5">
        <w:rPr>
          <w:rFonts w:ascii="Times New Roman" w:hAnsi="Times New Roman" w:cs="Times New Roman"/>
          <w:b/>
          <w:bCs/>
        </w:rPr>
        <w:fldChar w:fldCharType="end"/>
      </w:r>
      <w:r w:rsidRPr="00CB00B5">
        <w:rPr>
          <w:rFonts w:ascii="Times New Roman" w:hAnsi="Times New Roman" w:cs="Times New Roman"/>
        </w:rPr>
        <w:t>, a feature that is shared with humans</w:t>
      </w:r>
      <w:r w:rsidRPr="00CB00B5">
        <w:rPr>
          <w:rFonts w:ascii="Times New Roman" w:hAnsi="Times New Roman" w:cs="Times New Roman"/>
          <w:b/>
          <w:bCs/>
        </w:rPr>
        <w:t xml:space="preserve"> </w:t>
      </w:r>
      <w:r w:rsidRPr="00CB00B5">
        <w:rPr>
          <w:rFonts w:ascii="Times New Roman" w:hAnsi="Times New Roman" w:cs="Times New Roman"/>
          <w:b/>
          <w:bCs/>
        </w:rPr>
        <w:fldChar w:fldCharType="begin"/>
      </w:r>
      <w:r w:rsidRPr="00CB00B5">
        <w:rPr>
          <w:rFonts w:ascii="Times New Roman" w:hAnsi="Times New Roman" w:cs="Times New Roman"/>
          <w:b/>
          <w:bCs/>
        </w:rPr>
        <w:instrText xml:space="preserve"> ADDIN EN.CITE &lt;EndNote&gt;&lt;Cite&gt;&lt;Author&gt;Renshaw&lt;/Author&gt;&lt;Year&gt;2012&lt;/Year&gt;&lt;IDText&gt;A model 450 million years in the making: zebrafish and vertebrate immunity&lt;/IDText&gt;&lt;DisplayText&gt;(Renshaw and Trede, 2012)&lt;/DisplayText&gt;&lt;record&gt;&lt;dates&gt;&lt;pub-dates&gt;&lt;date&gt;Jan&lt;/date&gt;&lt;/pub-dates&gt;&lt;year&gt;2012&lt;/year&gt;&lt;/dates&gt;&lt;urls&gt;&lt;related-urls&gt;&lt;url&gt;&amp;lt;Go to ISI&amp;gt;://WOS:000300642200007&lt;/url&gt;&lt;/related-urls&gt;&lt;/urls&gt;&lt;isbn&gt;1754-8403&lt;/isbn&gt;&lt;titles&gt;&lt;title&gt;A model 450 million years in the making: zebrafish and vertebrate immunity&lt;/title&gt;&lt;secondary-title&gt;Disease Models &amp;amp; Mechanisms&lt;/secondary-title&gt;&lt;/titles&gt;&lt;pages&gt;38-47&lt;/pages&gt;&lt;number&gt;1&lt;/number&gt;&lt;contributors&gt;&lt;authors&gt;&lt;author&gt;Renshaw, S. A.&lt;/author&gt;&lt;author&gt;Trede, N. S.&lt;/author&gt;&lt;/authors&gt;&lt;/contributors&gt;&lt;added-date format="utc"&gt;1677519804&lt;/added-date&gt;&lt;ref-type name="Journal Article"&gt;17&lt;/ref-type&gt;&lt;rec-number&gt;568&lt;/rec-number&gt;&lt;last-updated-date format="utc"&gt;1677519804&lt;/last-updated-date&gt;&lt;accession-num&gt;WOS:000300642200007&lt;/accession-num&gt;&lt;electronic-resource-num&gt;10.1242/dmm.007138&lt;/electronic-resource-num&gt;&lt;volume&gt;5&lt;/volume&gt;&lt;/record&gt;&lt;/Cite&gt;&lt;/EndNote&gt;</w:instrText>
      </w:r>
      <w:r w:rsidRPr="00CB00B5">
        <w:rPr>
          <w:rFonts w:ascii="Times New Roman" w:hAnsi="Times New Roman" w:cs="Times New Roman"/>
          <w:b/>
          <w:bCs/>
        </w:rPr>
        <w:fldChar w:fldCharType="separate"/>
      </w:r>
      <w:r w:rsidRPr="00CB00B5">
        <w:rPr>
          <w:rFonts w:ascii="Times New Roman" w:hAnsi="Times New Roman" w:cs="Times New Roman"/>
          <w:b/>
          <w:bCs/>
          <w:noProof/>
        </w:rPr>
        <w:t>(Renshaw and Trede, 2012)</w:t>
      </w:r>
      <w:r w:rsidRPr="00CB00B5">
        <w:rPr>
          <w:rFonts w:ascii="Times New Roman" w:hAnsi="Times New Roman" w:cs="Times New Roman"/>
          <w:b/>
          <w:bCs/>
        </w:rPr>
        <w:fldChar w:fldCharType="end"/>
      </w:r>
      <w:r w:rsidRPr="00CB00B5">
        <w:rPr>
          <w:rFonts w:ascii="Times New Roman" w:hAnsi="Times New Roman" w:cs="Times New Roman"/>
        </w:rPr>
        <w:t xml:space="preserve">. </w:t>
      </w:r>
      <w:r>
        <w:rPr>
          <w:rFonts w:ascii="Times New Roman" w:hAnsi="Times New Roman" w:cs="Times New Roman"/>
        </w:rPr>
        <w:t xml:space="preserve">Zebrafish macrophages and neutrophils use the respiratory burst as a microbicidal mechanism </w:t>
      </w:r>
      <w:r w:rsidRPr="002E44DB">
        <w:rPr>
          <w:rFonts w:ascii="Times New Roman" w:hAnsi="Times New Roman" w:cs="Times New Roman"/>
          <w:b/>
          <w:bCs/>
        </w:rPr>
        <w:fldChar w:fldCharType="begin"/>
      </w:r>
      <w:r w:rsidRPr="002E44DB">
        <w:rPr>
          <w:rFonts w:ascii="Times New Roman" w:hAnsi="Times New Roman" w:cs="Times New Roman"/>
          <w:b/>
          <w:bCs/>
        </w:rPr>
        <w:instrText xml:space="preserve"> ADDIN EN.CITE &lt;EndNote&gt;&lt;Cite&gt;&lt;Author&gt;Hermann&lt;/Author&gt;&lt;Year&gt;2004&lt;/Year&gt;&lt;IDText&gt;Development of a respiratory burst assay using zebrafish kidneys and embryos&lt;/IDText&gt;&lt;DisplayText&gt;(Hermann&lt;style face="italic"&gt; et al.&lt;/style&gt;, 2004)&lt;/DisplayText&gt;&lt;record&gt;&lt;dates&gt;&lt;pub-dates&gt;&lt;date&gt;Sep&lt;/date&gt;&lt;/pub-dates&gt;&lt;year&gt;2004&lt;/year&gt;&lt;/dates&gt;&lt;urls&gt;&lt;related-urls&gt;&lt;url&gt;&amp;lt;Go to ISI&amp;gt;://WOS:000223935200011&lt;/url&gt;&lt;/related-urls&gt;&lt;/urls&gt;&lt;isbn&gt;0022-1759&lt;/isbn&gt;&lt;titles&gt;&lt;title&gt;Development of a respiratory burst assay using zebrafish kidneys and embryos&lt;/title&gt;&lt;secondary-title&gt;Journal of Immunological Methods&lt;/secondary-title&gt;&lt;/titles&gt;&lt;pages&gt;119-129&lt;/pages&gt;&lt;number&gt;1-2&lt;/number&gt;&lt;contributors&gt;&lt;authors&gt;&lt;author&gt;Hermann, A. C.&lt;/author&gt;&lt;author&gt;Millard, P. J.&lt;/author&gt;&lt;author&gt;Blake, S. L.&lt;/author&gt;&lt;author&gt;Kim, C. H.&lt;/author&gt;&lt;/authors&gt;&lt;/contributors&gt;&lt;added-date format="utc"&gt;1677526687&lt;/added-date&gt;&lt;ref-type name="Journal Article"&gt;17&lt;/ref-type&gt;&lt;rec-number&gt;571&lt;/rec-number&gt;&lt;last-updated-date format="utc"&gt;1677526687&lt;/last-updated-date&gt;&lt;accession-num&gt;WOS:000223935200011&lt;/accession-num&gt;&lt;electronic-resource-num&gt;10.1016/j.jim.2004.06.016&lt;/electronic-resource-num&gt;&lt;volume&gt;292&lt;/volume&gt;&lt;/record&gt;&lt;/Cite&gt;&lt;/EndNote&gt;</w:instrText>
      </w:r>
      <w:r w:rsidRPr="002E44DB">
        <w:rPr>
          <w:rFonts w:ascii="Times New Roman" w:hAnsi="Times New Roman" w:cs="Times New Roman"/>
          <w:b/>
          <w:bCs/>
        </w:rPr>
        <w:fldChar w:fldCharType="separate"/>
      </w:r>
      <w:r w:rsidRPr="002E44DB">
        <w:rPr>
          <w:rFonts w:ascii="Times New Roman" w:hAnsi="Times New Roman" w:cs="Times New Roman"/>
          <w:b/>
          <w:bCs/>
          <w:noProof/>
        </w:rPr>
        <w:t>(Hermann</w:t>
      </w:r>
      <w:r w:rsidRPr="002E44DB">
        <w:rPr>
          <w:rFonts w:ascii="Times New Roman" w:hAnsi="Times New Roman" w:cs="Times New Roman"/>
          <w:b/>
          <w:bCs/>
          <w:i/>
          <w:noProof/>
        </w:rPr>
        <w:t xml:space="preserve"> et al.</w:t>
      </w:r>
      <w:r w:rsidRPr="002E44DB">
        <w:rPr>
          <w:rFonts w:ascii="Times New Roman" w:hAnsi="Times New Roman" w:cs="Times New Roman"/>
          <w:b/>
          <w:bCs/>
          <w:noProof/>
        </w:rPr>
        <w:t>, 2004)</w:t>
      </w:r>
      <w:r w:rsidRPr="002E44DB">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and can produce antibodies upon immunisation </w:t>
      </w:r>
      <w:r w:rsidRPr="002E44DB">
        <w:rPr>
          <w:rFonts w:ascii="Times New Roman" w:hAnsi="Times New Roman" w:cs="Times New Roman"/>
          <w:b/>
          <w:bCs/>
        </w:rPr>
        <w:fldChar w:fldCharType="begin"/>
      </w:r>
      <w:r w:rsidRPr="002E44DB">
        <w:rPr>
          <w:rFonts w:ascii="Times New Roman" w:hAnsi="Times New Roman" w:cs="Times New Roman"/>
          <w:b/>
          <w:bCs/>
        </w:rPr>
        <w:instrText xml:space="preserve"> ADDIN EN.CITE &lt;EndNote&gt;&lt;Cite&gt;&lt;Author&gt;Lam&lt;/Author&gt;&lt;Year&gt;2004&lt;/Year&gt;&lt;IDText&gt;Development and maturation of the immune system in zebrafish, Danio rerio: a gene expression profiling, in situ hybridization and immunological study&lt;/IDText&gt;&lt;DisplayText&gt;(Lam&lt;style face="italic"&gt; et al.&lt;/style&gt;, 2004)&lt;/DisplayText&gt;&lt;record&gt;&lt;dates&gt;&lt;pub-dates&gt;&lt;date&gt;Jan&lt;/date&gt;&lt;/pub-dates&gt;&lt;year&gt;2004&lt;/year&gt;&lt;/dates&gt;&lt;urls&gt;&lt;related-urls&gt;&lt;url&gt;&amp;lt;Go to ISI&amp;gt;://WOS:000186722000002&lt;/url&gt;&lt;/related-urls&gt;&lt;/urls&gt;&lt;isbn&gt;0145-305X&lt;/isbn&gt;&lt;titles&gt;&lt;title&gt;Development and maturation of the immune system in zebrafish, Danio rerio: a gene expression profiling, in situ hybridization and immunological study&lt;/title&gt;&lt;secondary-title&gt;Developmental and Comparative Immunology&lt;/secondary-title&gt;&lt;/titles&gt;&lt;pages&gt;9-28&lt;/pages&gt;&lt;number&gt;1&lt;/number&gt;&lt;contributors&gt;&lt;authors&gt;&lt;author&gt;Lam, S. H.&lt;/author&gt;&lt;author&gt;Chua, H. L.&lt;/author&gt;&lt;author&gt;Gong, Z.&lt;/author&gt;&lt;author&gt;Lam, T. J.&lt;/author&gt;&lt;author&gt;Sin, Y. M.&lt;/author&gt;&lt;/authors&gt;&lt;/contributors&gt;&lt;added-date format="utc"&gt;1677516907&lt;/added-date&gt;&lt;ref-type name="Journal Article"&gt;17&lt;/ref-type&gt;&lt;rec-number&gt;566&lt;/rec-number&gt;&lt;last-updated-date format="utc"&gt;1677516907&lt;/last-updated-date&gt;&lt;accession-num&gt;WOS:000186722000002&lt;/accession-num&gt;&lt;electronic-resource-num&gt;10.1016/s0145-305x(03)00103-4&lt;/electronic-resource-num&gt;&lt;volume&gt;28&lt;/volume&gt;&lt;/record&gt;&lt;/Cite&gt;&lt;/EndNote&gt;</w:instrText>
      </w:r>
      <w:r w:rsidRPr="002E44DB">
        <w:rPr>
          <w:rFonts w:ascii="Times New Roman" w:hAnsi="Times New Roman" w:cs="Times New Roman"/>
          <w:b/>
          <w:bCs/>
        </w:rPr>
        <w:fldChar w:fldCharType="separate"/>
      </w:r>
      <w:r w:rsidRPr="002E44DB">
        <w:rPr>
          <w:rFonts w:ascii="Times New Roman" w:hAnsi="Times New Roman" w:cs="Times New Roman"/>
          <w:b/>
          <w:bCs/>
          <w:noProof/>
        </w:rPr>
        <w:t>(Lam</w:t>
      </w:r>
      <w:r w:rsidRPr="002E44DB">
        <w:rPr>
          <w:rFonts w:ascii="Times New Roman" w:hAnsi="Times New Roman" w:cs="Times New Roman"/>
          <w:b/>
          <w:bCs/>
          <w:i/>
          <w:noProof/>
        </w:rPr>
        <w:t xml:space="preserve"> et al.</w:t>
      </w:r>
      <w:r w:rsidRPr="002E44DB">
        <w:rPr>
          <w:rFonts w:ascii="Times New Roman" w:hAnsi="Times New Roman" w:cs="Times New Roman"/>
          <w:b/>
          <w:bCs/>
          <w:noProof/>
        </w:rPr>
        <w:t>, 2004)</w:t>
      </w:r>
      <w:r w:rsidRPr="002E44DB">
        <w:rPr>
          <w:rFonts w:ascii="Times New Roman" w:hAnsi="Times New Roman" w:cs="Times New Roman"/>
          <w:b/>
          <w:bCs/>
        </w:rPr>
        <w:fldChar w:fldCharType="end"/>
      </w:r>
      <w:r>
        <w:rPr>
          <w:rFonts w:ascii="Times New Roman" w:hAnsi="Times New Roman" w:cs="Times New Roman"/>
        </w:rPr>
        <w:t xml:space="preserve">. This highlights similarities between the zebrafish and human immune systems that contributes to their usefulness as an infection model. </w:t>
      </w:r>
    </w:p>
    <w:p w14:paraId="75190FC2" w14:textId="77777777" w:rsidR="00033564" w:rsidRPr="002E44DB" w:rsidRDefault="00033564" w:rsidP="00033564">
      <w:pPr>
        <w:pStyle w:val="Heading3"/>
        <w:rPr>
          <w:sz w:val="22"/>
        </w:rPr>
      </w:pPr>
      <w:bookmarkStart w:id="59" w:name="_Toc142043583"/>
      <w:r>
        <w:t>1.4.1. Advances in zebrafish transgenesis</w:t>
      </w:r>
      <w:bookmarkEnd w:id="59"/>
    </w:p>
    <w:p w14:paraId="5D7E8454" w14:textId="77777777" w:rsidR="00033564" w:rsidRPr="006308AA" w:rsidRDefault="00033564" w:rsidP="00033564">
      <w:pPr>
        <w:pStyle w:val="Default"/>
        <w:spacing w:line="360" w:lineRule="auto"/>
        <w:jc w:val="both"/>
        <w:rPr>
          <w:color w:val="auto"/>
          <w:sz w:val="20"/>
          <w:szCs w:val="20"/>
        </w:rPr>
      </w:pPr>
    </w:p>
    <w:p w14:paraId="59A77849" w14:textId="5905825B" w:rsidR="00033564" w:rsidRDefault="00033564" w:rsidP="00033564">
      <w:pPr>
        <w:pStyle w:val="Default"/>
        <w:spacing w:line="360" w:lineRule="auto"/>
        <w:jc w:val="both"/>
        <w:rPr>
          <w:sz w:val="22"/>
          <w:szCs w:val="22"/>
        </w:rPr>
      </w:pPr>
      <w:r w:rsidRPr="002541E9">
        <w:rPr>
          <w:color w:val="auto"/>
          <w:sz w:val="22"/>
          <w:szCs w:val="22"/>
        </w:rPr>
        <w:t>Zebrafish are used to advance our knowledge of the vertebrate immune system.</w:t>
      </w:r>
      <w:r>
        <w:rPr>
          <w:color w:val="auto"/>
          <w:sz w:val="22"/>
          <w:szCs w:val="22"/>
        </w:rPr>
        <w:t xml:space="preserve"> </w:t>
      </w:r>
      <w:r w:rsidRPr="00747084">
        <w:rPr>
          <w:sz w:val="22"/>
          <w:szCs w:val="22"/>
        </w:rPr>
        <w:t>The zebrafish genome can be easily manipulated and is th</w:t>
      </w:r>
      <w:r>
        <w:rPr>
          <w:sz w:val="22"/>
          <w:szCs w:val="22"/>
        </w:rPr>
        <w:t>erefore</w:t>
      </w:r>
      <w:r w:rsidRPr="00747084">
        <w:rPr>
          <w:sz w:val="22"/>
          <w:szCs w:val="22"/>
        </w:rPr>
        <w:t>, genetically tractable with its fully sequenced genome available for use</w:t>
      </w:r>
      <w:r>
        <w:rPr>
          <w:sz w:val="22"/>
          <w:szCs w:val="22"/>
        </w:rPr>
        <w:t>. DNA manipulation/genome editing techniques have allowed the construction of transgenic zebrafish cell lines. The first transgenic line was constructed via the injection of restriction-enzyme linearised DNA into the one-cell stage zebrafish embryo – approximately 5% of injected fish after four months contained this foreign DNA</w:t>
      </w:r>
      <w:r w:rsidRPr="00A25EEF">
        <w:rPr>
          <w:b/>
          <w:bCs/>
          <w:sz w:val="22"/>
          <w:szCs w:val="22"/>
        </w:rPr>
        <w:t xml:space="preserve"> </w:t>
      </w:r>
      <w:r w:rsidRPr="00A25EEF">
        <w:rPr>
          <w:b/>
          <w:bCs/>
          <w:sz w:val="22"/>
          <w:szCs w:val="22"/>
        </w:rPr>
        <w:fldChar w:fldCharType="begin"/>
      </w:r>
      <w:r w:rsidRPr="00A25EEF">
        <w:rPr>
          <w:b/>
          <w:bCs/>
          <w:sz w:val="22"/>
          <w:szCs w:val="22"/>
        </w:rPr>
        <w:instrText xml:space="preserve"> ADDIN EN.CITE &lt;EndNote&gt;&lt;Cite&gt;&lt;Author&gt;Stuart&lt;/Author&gt;&lt;Year&gt;1988&lt;/Year&gt;&lt;IDText&gt;REPLICATION, INTEGRATION AND STABLE GERM-LINE TRANSMISSION OF FOREIGN SEQUENCES INJECTED INTO EARLY ZEBRAFISH EMBRYOS&lt;/IDText&gt;&lt;DisplayText&gt;(Stuart, McMurray and Westerfield, 1988)&lt;/DisplayText&gt;&lt;record&gt;&lt;dates&gt;&lt;pub-dates&gt;&lt;date&gt;Jun&lt;/date&gt;&lt;/pub-dates&gt;&lt;year&gt;1988&lt;/year&gt;&lt;/dates&gt;&lt;urls&gt;&lt;related-urls&gt;&lt;url&gt;&amp;lt;Go to ISI&amp;gt;://WOS:A1988N764900016&lt;/url&gt;&lt;/related-urls&gt;&lt;/urls&gt;&lt;isbn&gt;0950-1991&lt;/isbn&gt;&lt;titles&gt;&lt;title&gt;REPLICATION, INTEGRATION AND STABLE GERM-LINE TRANSMISSION OF FOREIGN SEQUENCES INJECTED INTO EARLY ZEBRAFISH EMBRYOS&lt;/title&gt;&lt;secondary-title&gt;Development&lt;/secondary-title&gt;&lt;/titles&gt;&lt;pages&gt;403-412&lt;/pages&gt;&lt;number&gt;2&lt;/number&gt;&lt;contributors&gt;&lt;authors&gt;&lt;author&gt;Stuart, G. W.&lt;/author&gt;&lt;author&gt;McMurray, J. V.&lt;/author&gt;&lt;author&gt;Westerfield, M.&lt;/author&gt;&lt;/authors&gt;&lt;/contributors&gt;&lt;added-date format="utc"&gt;1677543583&lt;/added-date&gt;&lt;ref-type name="Journal Article"&gt;17&lt;/ref-type&gt;&lt;rec-number&gt;573&lt;/rec-number&gt;&lt;last-updated-date format="utc"&gt;1677543583&lt;/last-updated-date&gt;&lt;accession-num&gt;WOS:A1988N764900016&lt;/accession-num&gt;&lt;volume&gt;103&lt;/volume&gt;&lt;/record&gt;&lt;/Cite&gt;&lt;/EndNote&gt;</w:instrText>
      </w:r>
      <w:r w:rsidRPr="00A25EEF">
        <w:rPr>
          <w:b/>
          <w:bCs/>
          <w:sz w:val="22"/>
          <w:szCs w:val="22"/>
        </w:rPr>
        <w:fldChar w:fldCharType="separate"/>
      </w:r>
      <w:r w:rsidRPr="00A25EEF">
        <w:rPr>
          <w:b/>
          <w:bCs/>
          <w:noProof/>
          <w:sz w:val="22"/>
          <w:szCs w:val="22"/>
        </w:rPr>
        <w:t>(Stuart, McMurray and Westerfield, 1988)</w:t>
      </w:r>
      <w:r w:rsidRPr="00A25EEF">
        <w:rPr>
          <w:b/>
          <w:bCs/>
          <w:sz w:val="22"/>
          <w:szCs w:val="22"/>
        </w:rPr>
        <w:fldChar w:fldCharType="end"/>
      </w:r>
      <w:r>
        <w:rPr>
          <w:sz w:val="22"/>
          <w:szCs w:val="22"/>
        </w:rPr>
        <w:t xml:space="preserve">. Since then, other methods of creating transgenic lines have been developed. Retroviral vectors have been utilised and while success rates are often 100%, viral vectors are labour intensive to construct and can only carry small DNA sequences </w:t>
      </w:r>
      <w:r w:rsidRPr="00A21835">
        <w:rPr>
          <w:b/>
          <w:bCs/>
          <w:sz w:val="22"/>
          <w:szCs w:val="22"/>
        </w:rPr>
        <w:fldChar w:fldCharType="begin"/>
      </w:r>
      <w:r w:rsidRPr="00A21835">
        <w:rPr>
          <w:b/>
          <w:bCs/>
          <w:sz w:val="22"/>
          <w:szCs w:val="22"/>
        </w:rPr>
        <w:instrText xml:space="preserve"> ADDIN EN.CITE &lt;EndNote&gt;&lt;Cite&gt;&lt;Author&gt;Lin&lt;/Author&gt;&lt;Year&gt;1994&lt;/Year&gt;&lt;IDText&gt;INTEGRATION AND GERM-LINE TRANSMISSION OF A PSEUDOTYPED RETROVIRAL VECTOR IN ZEBRAFISH&lt;/IDText&gt;&lt;DisplayText&gt;(Lin&lt;style face="italic"&gt; et al.&lt;/style&gt;, 1994; Suster&lt;style face="italic"&gt; et al.&lt;/style&gt;, 2009)&lt;/DisplayText&gt;&lt;record&gt;&lt;dates&gt;&lt;pub-dates&gt;&lt;date&gt;Jul&lt;/date&gt;&lt;/pub-dates&gt;&lt;year&gt;1994&lt;/year&gt;&lt;/dates&gt;&lt;urls&gt;&lt;related-urls&gt;&lt;url&gt;&amp;lt;Go to ISI&amp;gt;://WOS:A1994NZ53800034&lt;/url&gt;&lt;/related-urls&gt;&lt;/urls&gt;&lt;isbn&gt;0036-8075&lt;/isbn&gt;&lt;titles&gt;&lt;title&gt;INTEGRATION AND GERM-LINE TRANSMISSION OF A PSEUDOTYPED RETROVIRAL VECTOR IN ZEBRAFISH&lt;/title&gt;&lt;secondary-title&gt;Science&lt;/secondary-title&gt;&lt;/titles&gt;&lt;pages&gt;666-669&lt;/pages&gt;&lt;number&gt;5172&lt;/number&gt;&lt;contributors&gt;&lt;authors&gt;&lt;author&gt;Lin, S.&lt;/author&gt;&lt;author&gt;Gaiano, N.&lt;/author&gt;&lt;author&gt;Culp, P.&lt;/author&gt;&lt;author&gt;Burns, J. C.&lt;/author&gt;&lt;author&gt;Friedmann, T.&lt;/author&gt;&lt;author&gt;Yee, J. K.&lt;/author&gt;&lt;author&gt;Hopkins, N.&lt;/author&gt;&lt;/authors&gt;&lt;/contributors&gt;&lt;added-date format="utc"&gt;1677544128&lt;/added-date&gt;&lt;ref-type name="Journal Article"&gt;17&lt;/ref-type&gt;&lt;rec-number&gt;575&lt;/rec-number&gt;&lt;last-updated-date format="utc"&gt;1677544128&lt;/last-updated-date&gt;&lt;accession-num&gt;WOS:A1994NZ53800034&lt;/accession-num&gt;&lt;electronic-resource-num&gt;10.1126/science.8036514&lt;/electronic-resource-num&gt;&lt;volume&gt;265&lt;/volume&gt;&lt;/record&gt;&lt;/Cite&gt;&lt;Cite&gt;&lt;Author&gt;Suster&lt;/Author&gt;&lt;Year&gt;2009&lt;/Year&gt;&lt;IDText&gt;Transgenesis Techniques, Methods in Molecular Biology&lt;/IDText&gt;&lt;record&gt;&lt;titles&gt;&lt;title&gt;Transgenesis Techniques, Methods in Molecular Biology&lt;/title&gt;&lt;/titles&gt;&lt;contributors&gt;&lt;authors&gt;&lt;author&gt;Suster, Maximiliano L&lt;/author&gt;&lt;author&gt;Kikuta, Hiroshi&lt;/author&gt;&lt;author&gt;Urasaki, Akihiro&lt;/author&gt;&lt;author&gt;Asakawa, Kazuhide&lt;/author&gt;&lt;author&gt;Kawakami, Koichi&lt;/author&gt;&lt;/authors&gt;&lt;/contributors&gt;&lt;section&gt;41-63&lt;/section&gt;&lt;added-date format="utc"&gt;1677544559&lt;/added-date&gt;&lt;ref-type name="Book"&gt;6&lt;/ref-type&gt;&lt;dates&gt;&lt;year&gt;2009&lt;/year&gt;&lt;/dates&gt;&lt;rec-number&gt;576&lt;/rec-number&gt;&lt;publisher&gt;Springer Protocols&lt;/publisher&gt;&lt;last-updated-date format="utc"&gt;1677544719&lt;/last-updated-date&gt;&lt;volume&gt;561&lt;/volume&gt;&lt;/record&gt;&lt;/Cite&gt;&lt;/EndNote&gt;</w:instrText>
      </w:r>
      <w:r w:rsidRPr="00A21835">
        <w:rPr>
          <w:b/>
          <w:bCs/>
          <w:sz w:val="22"/>
          <w:szCs w:val="22"/>
        </w:rPr>
        <w:fldChar w:fldCharType="separate"/>
      </w:r>
      <w:r w:rsidRPr="00A21835">
        <w:rPr>
          <w:b/>
          <w:bCs/>
          <w:noProof/>
          <w:sz w:val="22"/>
          <w:szCs w:val="22"/>
        </w:rPr>
        <w:t>(Lin</w:t>
      </w:r>
      <w:r w:rsidRPr="00A21835">
        <w:rPr>
          <w:b/>
          <w:bCs/>
          <w:i/>
          <w:noProof/>
          <w:sz w:val="22"/>
          <w:szCs w:val="22"/>
        </w:rPr>
        <w:t xml:space="preserve"> et al.</w:t>
      </w:r>
      <w:r w:rsidRPr="00A21835">
        <w:rPr>
          <w:b/>
          <w:bCs/>
          <w:noProof/>
          <w:sz w:val="22"/>
          <w:szCs w:val="22"/>
        </w:rPr>
        <w:t>, 1994; Suster</w:t>
      </w:r>
      <w:r w:rsidRPr="00A21835">
        <w:rPr>
          <w:b/>
          <w:bCs/>
          <w:i/>
          <w:noProof/>
          <w:sz w:val="22"/>
          <w:szCs w:val="22"/>
        </w:rPr>
        <w:t xml:space="preserve"> et al.</w:t>
      </w:r>
      <w:r w:rsidRPr="00A21835">
        <w:rPr>
          <w:b/>
          <w:bCs/>
          <w:noProof/>
          <w:sz w:val="22"/>
          <w:szCs w:val="22"/>
        </w:rPr>
        <w:t>, 2009)</w:t>
      </w:r>
      <w:r w:rsidRPr="00A21835">
        <w:rPr>
          <w:b/>
          <w:bCs/>
          <w:sz w:val="22"/>
          <w:szCs w:val="22"/>
        </w:rPr>
        <w:fldChar w:fldCharType="end"/>
      </w:r>
      <w:r>
        <w:rPr>
          <w:sz w:val="22"/>
          <w:szCs w:val="22"/>
        </w:rPr>
        <w:t xml:space="preserve">. The Tol2 transposable element allows the insertion of specific genes flanked by Tol2 ends and can carry sequences up to 11 kb </w:t>
      </w:r>
      <w:r w:rsidRPr="00FF236B">
        <w:rPr>
          <w:b/>
          <w:bCs/>
          <w:sz w:val="22"/>
          <w:szCs w:val="22"/>
        </w:rPr>
        <w:fldChar w:fldCharType="begin">
          <w:fldData xml:space="preserve">PEVuZE5vdGU+PENpdGU+PEF1dGhvcj5LYXdha2FtaTwvQXV0aG9yPjxZZWFyPjIwMDc8L1llYXI+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</w:fldData>
        </w:fldChar>
      </w:r>
      <w:r w:rsidRPr="00FF236B">
        <w:rPr>
          <w:b/>
          <w:bCs/>
          <w:sz w:val="22"/>
          <w:szCs w:val="22"/>
        </w:rPr>
        <w:instrText xml:space="preserve"> ADDIN EN.CITE </w:instrText>
      </w:r>
      <w:r w:rsidRPr="00FF236B">
        <w:rPr>
          <w:b/>
          <w:bCs/>
          <w:sz w:val="22"/>
          <w:szCs w:val="22"/>
        </w:rPr>
        <w:fldChar w:fldCharType="begin">
          <w:fldData xml:space="preserve">PEVuZE5vdGU+PENpdGU+PEF1dGhvcj5LYXdha2FtaTwvQXV0aG9yPjxZZWFyPjIwMDc8L1llYXI+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</w:fldData>
        </w:fldChar>
      </w:r>
      <w:r w:rsidRPr="00FF236B">
        <w:rPr>
          <w:b/>
          <w:bCs/>
          <w:sz w:val="22"/>
          <w:szCs w:val="22"/>
        </w:rPr>
        <w:instrText xml:space="preserve"> ADDIN EN.CITE.DATA </w:instrText>
      </w:r>
      <w:r w:rsidRPr="00FF236B">
        <w:rPr>
          <w:b/>
          <w:bCs/>
          <w:sz w:val="22"/>
          <w:szCs w:val="22"/>
        </w:rPr>
      </w:r>
      <w:r w:rsidRPr="00FF236B">
        <w:rPr>
          <w:b/>
          <w:bCs/>
          <w:sz w:val="22"/>
          <w:szCs w:val="22"/>
        </w:rPr>
        <w:fldChar w:fldCharType="end"/>
      </w:r>
      <w:r w:rsidRPr="00FF236B">
        <w:rPr>
          <w:b/>
          <w:bCs/>
          <w:sz w:val="22"/>
          <w:szCs w:val="22"/>
        </w:rPr>
      </w:r>
      <w:r w:rsidRPr="00FF236B">
        <w:rPr>
          <w:b/>
          <w:bCs/>
          <w:sz w:val="22"/>
          <w:szCs w:val="22"/>
        </w:rPr>
        <w:fldChar w:fldCharType="separate"/>
      </w:r>
      <w:r w:rsidRPr="00FF236B">
        <w:rPr>
          <w:b/>
          <w:bCs/>
          <w:noProof/>
          <w:sz w:val="22"/>
          <w:szCs w:val="22"/>
        </w:rPr>
        <w:t>(Kawakami, 2007; Urasaki, Morvan and Kawakami, 2006)</w:t>
      </w:r>
      <w:r w:rsidRPr="00FF236B">
        <w:rPr>
          <w:b/>
          <w:bCs/>
          <w:sz w:val="22"/>
          <w:szCs w:val="22"/>
        </w:rPr>
        <w:fldChar w:fldCharType="end"/>
      </w:r>
      <w:r>
        <w:rPr>
          <w:sz w:val="22"/>
          <w:szCs w:val="22"/>
        </w:rPr>
        <w:t xml:space="preserve">. Bacterial artificial chromosomes (BAC) have also been employed that make use of Tol2 ends and can carry up to 350 kb of DNA, which is necessary when promoter sequences are </w:t>
      </w:r>
      <w:r w:rsidRPr="00F4313D">
        <w:rPr>
          <w:sz w:val="22"/>
          <w:szCs w:val="22"/>
        </w:rPr>
        <w:t xml:space="preserve">large </w:t>
      </w:r>
      <w:r w:rsidRPr="00077BE3">
        <w:rPr>
          <w:b/>
          <w:bCs/>
          <w:sz w:val="22"/>
          <w:szCs w:val="22"/>
        </w:rPr>
        <w:fldChar w:fldCharType="begin">
          <w:fldData xml:space="preserve">PEVuZE5vdGU+PENpdGU+PEF1dGhvcj5ZYW5nPC9BdXRob3I+PFllYXI+MjAxMTwvWWVhcj48SURU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</w:fldData>
        </w:fldChar>
      </w:r>
      <w:r w:rsidRPr="00077BE3">
        <w:rPr>
          <w:b/>
          <w:bCs/>
          <w:sz w:val="22"/>
          <w:szCs w:val="22"/>
        </w:rPr>
        <w:instrText xml:space="preserve"> ADDIN EN.CITE </w:instrText>
      </w:r>
      <w:r w:rsidRPr="00077BE3">
        <w:rPr>
          <w:b/>
          <w:bCs/>
          <w:sz w:val="22"/>
          <w:szCs w:val="22"/>
        </w:rPr>
        <w:fldChar w:fldCharType="begin">
          <w:fldData xml:space="preserve">PEVuZE5vdGU+PENpdGU+PEF1dGhvcj5ZYW5nPC9BdXRob3I+PFllYXI+MjAxMTwvWWVhcj48SURU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</w:fldData>
        </w:fldChar>
      </w:r>
      <w:r w:rsidRPr="00077BE3">
        <w:rPr>
          <w:b/>
          <w:bCs/>
          <w:sz w:val="22"/>
          <w:szCs w:val="22"/>
        </w:rPr>
        <w:instrText xml:space="preserve"> ADDIN EN.CITE.DATA </w:instrText>
      </w:r>
      <w:r w:rsidRPr="00077BE3">
        <w:rPr>
          <w:b/>
          <w:bCs/>
          <w:sz w:val="22"/>
          <w:szCs w:val="22"/>
        </w:rPr>
      </w:r>
      <w:r w:rsidRPr="00077BE3">
        <w:rPr>
          <w:b/>
          <w:bCs/>
          <w:sz w:val="22"/>
          <w:szCs w:val="22"/>
        </w:rPr>
        <w:fldChar w:fldCharType="end"/>
      </w:r>
      <w:r w:rsidRPr="00077BE3">
        <w:rPr>
          <w:b/>
          <w:bCs/>
          <w:sz w:val="22"/>
          <w:szCs w:val="22"/>
        </w:rPr>
      </w:r>
      <w:r w:rsidRPr="00077BE3">
        <w:rPr>
          <w:b/>
          <w:bCs/>
          <w:sz w:val="22"/>
          <w:szCs w:val="22"/>
        </w:rPr>
        <w:fldChar w:fldCharType="separate"/>
      </w:r>
      <w:r w:rsidRPr="00077BE3">
        <w:rPr>
          <w:b/>
          <w:bCs/>
          <w:noProof/>
          <w:sz w:val="22"/>
          <w:szCs w:val="22"/>
        </w:rPr>
        <w:t>(Yang</w:t>
      </w:r>
      <w:r w:rsidRPr="00077BE3">
        <w:rPr>
          <w:b/>
          <w:bCs/>
          <w:i/>
          <w:noProof/>
          <w:sz w:val="22"/>
          <w:szCs w:val="22"/>
        </w:rPr>
        <w:t xml:space="preserve"> et al.</w:t>
      </w:r>
      <w:r w:rsidRPr="00077BE3">
        <w:rPr>
          <w:b/>
          <w:bCs/>
          <w:noProof/>
          <w:sz w:val="22"/>
          <w:szCs w:val="22"/>
        </w:rPr>
        <w:t>, 2011; Bussmann and Schulte-Merker, 2011)</w:t>
      </w:r>
      <w:r w:rsidRPr="00077BE3">
        <w:rPr>
          <w:b/>
          <w:bCs/>
          <w:sz w:val="22"/>
          <w:szCs w:val="22"/>
        </w:rPr>
        <w:fldChar w:fldCharType="end"/>
      </w:r>
      <w:r>
        <w:rPr>
          <w:sz w:val="22"/>
          <w:szCs w:val="22"/>
        </w:rPr>
        <w:t xml:space="preserve">. Using methods such as these, fluorophores including green fluorescent protein (GFP) can be placed under the control of a promoter of interest in zebrafish and different cell types can be fluorescently tagged leading to the construction of many transgenic lines </w:t>
      </w:r>
      <w:r w:rsidRPr="00FF6EBE">
        <w:rPr>
          <w:b/>
          <w:bCs/>
          <w:sz w:val="22"/>
          <w:szCs w:val="22"/>
        </w:rPr>
        <w:fldChar w:fldCharType="begin"/>
      </w:r>
      <w:r w:rsidRPr="00FF6EBE">
        <w:rPr>
          <w:b/>
          <w:bCs/>
          <w:sz w:val="22"/>
          <w:szCs w:val="22"/>
        </w:rPr>
        <w:instrText xml:space="preserve"> ADDIN EN.CITE &lt;EndNote&gt;&lt;Cite&gt;&lt;Author&gt;Choe&lt;/Author&gt;&lt;Year&gt;2021&lt;/Year&gt;&lt;IDText&gt;Transgenic fluorescent zebrafish lines that have revolutionized biomedical research&lt;/IDText&gt;&lt;DisplayText&gt;(Choe&lt;style face="italic"&gt; et al.&lt;/style&gt;, 2021)&lt;/DisplayText&gt;&lt;record&gt;&lt;dates&gt;&lt;pub-dates&gt;&lt;date&gt;Sep&lt;/date&gt;&lt;/pub-dates&gt;&lt;year&gt;2021&lt;/year&gt;&lt;/dates&gt;&lt;urls&gt;&lt;related-urls&gt;&lt;url&gt;&amp;lt;Go to ISI&amp;gt;://WOS:000693871100001&lt;/url&gt;&lt;/related-urls&gt;&lt;/urls&gt;&lt;isbn&gt;1738-6055&lt;/isbn&gt;&lt;titles&gt;&lt;title&gt;Transgenic fluorescent zebrafish lines that have revolutionized biomedical research&lt;/title&gt;&lt;secondary-title&gt;Laboratory Animal Research&lt;/secondary-title&gt;&lt;/titles&gt;&lt;number&gt;1&lt;/number&gt;&lt;contributors&gt;&lt;authors&gt;&lt;author&gt;Choe, C. P.&lt;/author&gt;&lt;author&gt;Choi, S. Y.&lt;/author&gt;&lt;author&gt;Kee, Y.&lt;/author&gt;&lt;author&gt;Kim, M. J.&lt;/author&gt;&lt;author&gt;Kim, S. H.&lt;/author&gt;&lt;author&gt;Lee, Y.&lt;/author&gt;&lt;author&gt;Park, H. C.&lt;/author&gt;&lt;author&gt;Ro, H.&lt;/author&gt;&lt;/authors&gt;&lt;/contributors&gt;&lt;custom7&gt;26&lt;/custom7&gt;&lt;added-date format="utc"&gt;1677552723&lt;/added-date&gt;&lt;ref-type name="Journal Article"&gt;17&lt;/ref-type&gt;&lt;rec-number&gt;583&lt;/rec-number&gt;&lt;last-updated-date format="utc"&gt;1677552723&lt;/last-updated-date&gt;&lt;accession-num&gt;WOS:000693871100001&lt;/accession-num&gt;&lt;electronic-resource-num&gt;10.1186/s42826-021-00103-2&lt;/electronic-resource-num&gt;&lt;volume&gt;37&lt;/volume&gt;&lt;/record&gt;&lt;/Cite&gt;&lt;/EndNote&gt;</w:instrText>
      </w:r>
      <w:r w:rsidRPr="00FF6EBE">
        <w:rPr>
          <w:b/>
          <w:bCs/>
          <w:sz w:val="22"/>
          <w:szCs w:val="22"/>
        </w:rPr>
        <w:fldChar w:fldCharType="separate"/>
      </w:r>
      <w:r w:rsidRPr="00FF6EBE">
        <w:rPr>
          <w:b/>
          <w:bCs/>
          <w:noProof/>
          <w:sz w:val="22"/>
          <w:szCs w:val="22"/>
        </w:rPr>
        <w:t>(Choe</w:t>
      </w:r>
      <w:r w:rsidRPr="00FF6EBE">
        <w:rPr>
          <w:b/>
          <w:bCs/>
          <w:i/>
          <w:noProof/>
          <w:sz w:val="22"/>
          <w:szCs w:val="22"/>
        </w:rPr>
        <w:t xml:space="preserve"> et al.</w:t>
      </w:r>
      <w:r w:rsidRPr="00FF6EBE">
        <w:rPr>
          <w:b/>
          <w:bCs/>
          <w:noProof/>
          <w:sz w:val="22"/>
          <w:szCs w:val="22"/>
        </w:rPr>
        <w:t>, 2021)</w:t>
      </w:r>
      <w:r w:rsidRPr="00FF6EBE">
        <w:rPr>
          <w:b/>
          <w:bCs/>
          <w:sz w:val="22"/>
          <w:szCs w:val="22"/>
        </w:rPr>
        <w:fldChar w:fldCharType="end"/>
      </w:r>
      <w:r>
        <w:rPr>
          <w:sz w:val="22"/>
          <w:szCs w:val="22"/>
        </w:rPr>
        <w:t xml:space="preserve">. Given that zebrafish embryos are transparent, visualising </w:t>
      </w:r>
      <w:r w:rsidR="008F097F">
        <w:rPr>
          <w:sz w:val="22"/>
          <w:szCs w:val="22"/>
        </w:rPr>
        <w:t xml:space="preserve">fluorescently </w:t>
      </w:r>
      <w:r>
        <w:rPr>
          <w:sz w:val="22"/>
          <w:szCs w:val="22"/>
        </w:rPr>
        <w:t xml:space="preserve">tagged cells </w:t>
      </w:r>
      <w:r>
        <w:rPr>
          <w:i/>
          <w:iCs/>
          <w:sz w:val="22"/>
          <w:szCs w:val="22"/>
        </w:rPr>
        <w:t xml:space="preserve">in vivo </w:t>
      </w:r>
      <w:r>
        <w:rPr>
          <w:sz w:val="22"/>
          <w:szCs w:val="22"/>
        </w:rPr>
        <w:t xml:space="preserve">is a major advantage that this model poses over mammalian models. GFP has been expressed under the control of the MPO promoter, allowing neutrophil activity to be visually tracked </w:t>
      </w:r>
      <w:r>
        <w:rPr>
          <w:i/>
          <w:iCs/>
          <w:sz w:val="22"/>
          <w:szCs w:val="22"/>
        </w:rPr>
        <w:t>in vivo</w:t>
      </w:r>
      <w:r>
        <w:rPr>
          <w:sz w:val="22"/>
          <w:szCs w:val="22"/>
        </w:rPr>
        <w:t xml:space="preserve"> in real-time and has provided insight into neutrophil-mediated inflammation </w:t>
      </w:r>
      <w:r w:rsidRPr="001F215D">
        <w:rPr>
          <w:b/>
          <w:bCs/>
          <w:sz w:val="22"/>
          <w:szCs w:val="22"/>
        </w:rPr>
        <w:fldChar w:fldCharType="begin">
          <w:fldData xml:space="preserve">PEVuZE5vdGU+PENpdGU+PEF1dGhvcj5SZW5zaGF3PC9BdXRob3I+PFllYXI+MjAwNjwvWWVhcj48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</w:fldData>
        </w:fldChar>
      </w:r>
      <w:r w:rsidRPr="001F215D">
        <w:rPr>
          <w:b/>
          <w:bCs/>
          <w:sz w:val="22"/>
          <w:szCs w:val="22"/>
        </w:rPr>
        <w:instrText xml:space="preserve"> ADDIN EN.CITE </w:instrText>
      </w:r>
      <w:r w:rsidRPr="001F215D">
        <w:rPr>
          <w:b/>
          <w:bCs/>
          <w:sz w:val="22"/>
          <w:szCs w:val="22"/>
        </w:rPr>
        <w:fldChar w:fldCharType="begin">
          <w:fldData xml:space="preserve">PEVuZE5vdGU+PENpdGU+PEF1dGhvcj5SZW5zaGF3PC9BdXRob3I+PFllYXI+MjAwNjwvWWVhcj48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</w:fldData>
        </w:fldChar>
      </w:r>
      <w:r w:rsidRPr="001F215D">
        <w:rPr>
          <w:b/>
          <w:bCs/>
          <w:sz w:val="22"/>
          <w:szCs w:val="22"/>
        </w:rPr>
        <w:instrText xml:space="preserve"> ADDIN EN.CITE.DATA </w:instrText>
      </w:r>
      <w:r w:rsidRPr="001F215D">
        <w:rPr>
          <w:b/>
          <w:bCs/>
          <w:sz w:val="22"/>
          <w:szCs w:val="22"/>
        </w:rPr>
      </w:r>
      <w:r w:rsidRPr="001F215D">
        <w:rPr>
          <w:b/>
          <w:bCs/>
          <w:sz w:val="22"/>
          <w:szCs w:val="22"/>
        </w:rPr>
        <w:fldChar w:fldCharType="end"/>
      </w:r>
      <w:r w:rsidRPr="001F215D">
        <w:rPr>
          <w:b/>
          <w:bCs/>
          <w:sz w:val="22"/>
          <w:szCs w:val="22"/>
        </w:rPr>
      </w:r>
      <w:r w:rsidRPr="001F215D">
        <w:rPr>
          <w:b/>
          <w:bCs/>
          <w:sz w:val="22"/>
          <w:szCs w:val="22"/>
        </w:rPr>
        <w:fldChar w:fldCharType="separate"/>
      </w:r>
      <w:r w:rsidRPr="001F215D">
        <w:rPr>
          <w:b/>
          <w:bCs/>
          <w:noProof/>
          <w:sz w:val="22"/>
          <w:szCs w:val="22"/>
        </w:rPr>
        <w:t>(Renshaw</w:t>
      </w:r>
      <w:r w:rsidRPr="001F215D">
        <w:rPr>
          <w:b/>
          <w:bCs/>
          <w:i/>
          <w:noProof/>
          <w:sz w:val="22"/>
          <w:szCs w:val="22"/>
        </w:rPr>
        <w:t xml:space="preserve"> et al.</w:t>
      </w:r>
      <w:r w:rsidRPr="001F215D">
        <w:rPr>
          <w:b/>
          <w:bCs/>
          <w:noProof/>
          <w:sz w:val="22"/>
          <w:szCs w:val="22"/>
        </w:rPr>
        <w:t>, 2006; Mathias</w:t>
      </w:r>
      <w:r w:rsidRPr="001F215D">
        <w:rPr>
          <w:b/>
          <w:bCs/>
          <w:i/>
          <w:noProof/>
          <w:sz w:val="22"/>
          <w:szCs w:val="22"/>
        </w:rPr>
        <w:t xml:space="preserve"> et al.</w:t>
      </w:r>
      <w:r w:rsidRPr="001F215D">
        <w:rPr>
          <w:b/>
          <w:bCs/>
          <w:noProof/>
          <w:sz w:val="22"/>
          <w:szCs w:val="22"/>
        </w:rPr>
        <w:t>, 2006)</w:t>
      </w:r>
      <w:r w:rsidRPr="001F215D">
        <w:rPr>
          <w:b/>
          <w:bCs/>
          <w:sz w:val="22"/>
          <w:szCs w:val="22"/>
        </w:rPr>
        <w:fldChar w:fldCharType="end"/>
      </w:r>
      <w:r>
        <w:rPr>
          <w:sz w:val="22"/>
          <w:szCs w:val="22"/>
        </w:rPr>
        <w:t>. The promoter of macrophage expressed gene 1, a gene expressed exclusively by macrophages, has been used to visualise macrophages and</w:t>
      </w:r>
      <w:r w:rsidR="008F097F">
        <w:rPr>
          <w:sz w:val="22"/>
          <w:szCs w:val="22"/>
        </w:rPr>
        <w:t xml:space="preserve"> has</w:t>
      </w:r>
      <w:r>
        <w:rPr>
          <w:sz w:val="22"/>
          <w:szCs w:val="22"/>
        </w:rPr>
        <w:t xml:space="preserve"> enabled their interactions with neutrophils to be tracked </w:t>
      </w:r>
      <w:r w:rsidRPr="0027385F">
        <w:rPr>
          <w:b/>
          <w:bCs/>
          <w:sz w:val="22"/>
          <w:szCs w:val="22"/>
        </w:rPr>
        <w:fldChar w:fldCharType="begin"/>
      </w:r>
      <w:r w:rsidRPr="0027385F">
        <w:rPr>
          <w:b/>
          <w:bCs/>
          <w:sz w:val="22"/>
          <w:szCs w:val="22"/>
        </w:rPr>
        <w:instrText xml:space="preserve"> ADDIN EN.CITE &lt;EndNote&gt;&lt;Cite&gt;&lt;Author&gt;Ellett&lt;/Author&gt;&lt;Year&gt;2011&lt;/Year&gt;&lt;IDText&gt;mpeg1 promoter transgenes direct macrophage-lineage expression in zebrafish&lt;/IDText&gt;&lt;DisplayText&gt;(Ellett&lt;style face="italic"&gt; et al.&lt;/style&gt;, 2011)&lt;/DisplayText&gt;&lt;record&gt;&lt;dates&gt;&lt;pub-dates&gt;&lt;date&gt;2011-Jan-27&lt;/date&gt;&lt;/pub-dates&gt;&lt;year&gt;2011&lt;/year&gt;&lt;/dates&gt;&lt;urls&gt;&lt;related-urls&gt;&lt;url&gt;&amp;lt;Go to ISI&amp;gt;://MEDLINE:21084707&lt;/url&gt;&lt;/related-urls&gt;&lt;/urls&gt;&lt;titles&gt;&lt;title&gt;&lt;style face="italic" font="default" size="100%"&gt;mpeg1&lt;/style&gt;&lt;style font="default" size="100%"&gt; promoter transgenes direct macrophage-lineage expression in zebrafish&lt;/style&gt;&lt;/title&gt;&lt;secondary-title&gt;Blood&lt;/secondary-title&gt;&lt;/titles&gt;&lt;pages&gt;e49-56&lt;/pages&gt;&lt;number&gt;4&lt;/number&gt;&lt;contributors&gt;&lt;authors&gt;&lt;author&gt;Ellett, Felix&lt;/author&gt;&lt;author&gt;Pase, Luke&lt;/author&gt;&lt;author&gt;Hayman, John W.&lt;/author&gt;&lt;author&gt;Andrianopoulos, Alex&lt;/author&gt;&lt;author&gt;Lieschke, Graham J.&lt;/author&gt;&lt;/authors&gt;&lt;/contributors&gt;&lt;added-date format="utc"&gt;1663624311&lt;/added-date&gt;&lt;ref-type name="Journal Article"&gt;17&lt;/ref-type&gt;&lt;rec-number&gt;146&lt;/rec-number&gt;&lt;last-updated-date format="utc"&gt;1675729697&lt;/last-updated-date&gt;&lt;accession-num&gt;MEDLINE:21084707&lt;/accession-num&gt;&lt;electronic-resource-num&gt;10.1182/blood-2010-10-314120&lt;/electronic-resource-num&gt;&lt;volume&gt;117&lt;/volume&gt;&lt;/record&gt;&lt;/Cite&gt;&lt;/EndNote&gt;</w:instrText>
      </w:r>
      <w:r w:rsidRPr="0027385F">
        <w:rPr>
          <w:b/>
          <w:bCs/>
          <w:sz w:val="22"/>
          <w:szCs w:val="22"/>
        </w:rPr>
        <w:fldChar w:fldCharType="separate"/>
      </w:r>
      <w:r w:rsidRPr="0027385F">
        <w:rPr>
          <w:b/>
          <w:bCs/>
          <w:noProof/>
          <w:sz w:val="22"/>
          <w:szCs w:val="22"/>
        </w:rPr>
        <w:t>(Ellett</w:t>
      </w:r>
      <w:r w:rsidRPr="0027385F">
        <w:rPr>
          <w:b/>
          <w:bCs/>
          <w:i/>
          <w:noProof/>
          <w:sz w:val="22"/>
          <w:szCs w:val="22"/>
        </w:rPr>
        <w:t xml:space="preserve"> et al.</w:t>
      </w:r>
      <w:r w:rsidRPr="0027385F">
        <w:rPr>
          <w:b/>
          <w:bCs/>
          <w:noProof/>
          <w:sz w:val="22"/>
          <w:szCs w:val="22"/>
        </w:rPr>
        <w:t>, 2011)</w:t>
      </w:r>
      <w:r w:rsidRPr="0027385F">
        <w:rPr>
          <w:b/>
          <w:bCs/>
          <w:sz w:val="22"/>
          <w:szCs w:val="22"/>
        </w:rPr>
        <w:fldChar w:fldCharType="end"/>
      </w:r>
      <w:r>
        <w:rPr>
          <w:sz w:val="22"/>
          <w:szCs w:val="22"/>
        </w:rPr>
        <w:t xml:space="preserve">. Lymphocytes have also been tagged by utilising genes involved in antibody production </w:t>
      </w:r>
      <w:r w:rsidRPr="00C8124C">
        <w:rPr>
          <w:b/>
          <w:bCs/>
          <w:sz w:val="22"/>
          <w:szCs w:val="22"/>
        </w:rPr>
        <w:fldChar w:fldCharType="begin"/>
      </w:r>
      <w:r w:rsidRPr="00C8124C">
        <w:rPr>
          <w:b/>
          <w:bCs/>
          <w:sz w:val="22"/>
          <w:szCs w:val="22"/>
        </w:rPr>
        <w:instrText xml:space="preserve"> ADDIN EN.CITE &lt;EndNote&gt;&lt;Cite&gt;&lt;Author&gt;Jessen&lt;/Author&gt;&lt;Year&gt;1998&lt;/Year&gt;&lt;IDText&gt;Modification of bacterial artificial chromosomes through Chi-stimulated homologous recombination and its application in zebrafish transgenesis&lt;/IDText&gt;&lt;DisplayText&gt;(Jessen&lt;style face="italic"&gt; et al.&lt;/style&gt;, 1998)&lt;/DisplayText&gt;&lt;record&gt;&lt;dates&gt;&lt;pub-dates&gt;&lt;date&gt;Apr&lt;/date&gt;&lt;/pub-dates&gt;&lt;year&gt;1998&lt;/year&gt;&lt;/dates&gt;&lt;urls&gt;&lt;related-urls&gt;&lt;url&gt;&amp;lt;Go to ISI&amp;gt;://WOS:000073415700062&lt;/url&gt;&lt;/related-urls&gt;&lt;/urls&gt;&lt;isbn&gt;0027-8424&lt;/isbn&gt;&lt;titles&gt;&lt;title&gt;Modification of bacterial artificial chromosomes through Chi-stimulated homologous recombination and its application in zebrafish transgenesis&lt;/title&gt;&lt;secondary-title&gt;Proceedings of the National Academy of Sciences of the United States of America&lt;/secondary-title&gt;&lt;/titles&gt;&lt;pages&gt;5121-5126&lt;/pages&gt;&lt;number&gt;9&lt;/number&gt;&lt;contributors&gt;&lt;authors&gt;&lt;author&gt;Jessen, J. R.&lt;/author&gt;&lt;author&gt;Meng, A. M.&lt;/author&gt;&lt;author&gt;McFarlane, R. J.&lt;/author&gt;&lt;author&gt;Paw, B. H.&lt;/author&gt;&lt;author&gt;Zon, L. I.&lt;/author&gt;&lt;author&gt;Smith, G. R.&lt;/author&gt;&lt;author&gt;Lin, S.&lt;/author&gt;&lt;/authors&gt;&lt;/contributors&gt;&lt;added-date format="utc"&gt;1677551913&lt;/added-date&gt;&lt;ref-type name="Journal Article"&gt;17&lt;/ref-type&gt;&lt;rec-number&gt;582&lt;/rec-number&gt;&lt;last-updated-date format="utc"&gt;1677551913&lt;/last-updated-date&gt;&lt;accession-num&gt;WOS:000073415700062&lt;/accession-num&gt;&lt;electronic-resource-num&gt;10.1073/pnas.95.9.5121&lt;/electronic-resource-num&gt;&lt;volume&gt;95&lt;/volume&gt;&lt;/record&gt;&lt;/Cite&gt;&lt;/EndNote&gt;</w:instrText>
      </w:r>
      <w:r w:rsidRPr="00C8124C">
        <w:rPr>
          <w:b/>
          <w:bCs/>
          <w:sz w:val="22"/>
          <w:szCs w:val="22"/>
        </w:rPr>
        <w:fldChar w:fldCharType="separate"/>
      </w:r>
      <w:r w:rsidRPr="00C8124C">
        <w:rPr>
          <w:b/>
          <w:bCs/>
          <w:noProof/>
          <w:sz w:val="22"/>
          <w:szCs w:val="22"/>
        </w:rPr>
        <w:t>(Jessen</w:t>
      </w:r>
      <w:r w:rsidRPr="00C8124C">
        <w:rPr>
          <w:b/>
          <w:bCs/>
          <w:i/>
          <w:noProof/>
          <w:sz w:val="22"/>
          <w:szCs w:val="22"/>
        </w:rPr>
        <w:t xml:space="preserve"> et al.</w:t>
      </w:r>
      <w:r w:rsidRPr="00C8124C">
        <w:rPr>
          <w:b/>
          <w:bCs/>
          <w:noProof/>
          <w:sz w:val="22"/>
          <w:szCs w:val="22"/>
        </w:rPr>
        <w:t>, 1998)</w:t>
      </w:r>
      <w:r w:rsidRPr="00C8124C">
        <w:rPr>
          <w:b/>
          <w:bCs/>
          <w:sz w:val="22"/>
          <w:szCs w:val="22"/>
        </w:rPr>
        <w:fldChar w:fldCharType="end"/>
      </w:r>
      <w:r>
        <w:rPr>
          <w:sz w:val="22"/>
          <w:szCs w:val="22"/>
        </w:rPr>
        <w:t xml:space="preserve">. </w:t>
      </w:r>
    </w:p>
    <w:p w14:paraId="08BE6655" w14:textId="77777777" w:rsidR="00033564" w:rsidRDefault="00033564" w:rsidP="00033564">
      <w:pPr>
        <w:pStyle w:val="Default"/>
        <w:spacing w:line="360" w:lineRule="auto"/>
        <w:jc w:val="both"/>
        <w:rPr>
          <w:sz w:val="22"/>
          <w:szCs w:val="22"/>
        </w:rPr>
      </w:pPr>
    </w:p>
    <w:p w14:paraId="0B688E3E" w14:textId="77777777" w:rsidR="00033564" w:rsidRDefault="00033564" w:rsidP="00033564">
      <w:pPr>
        <w:pStyle w:val="Heading3"/>
      </w:pPr>
      <w:bookmarkStart w:id="60" w:name="_Toc142043584"/>
      <w:r>
        <w:t>1.4.2. Zebrafish embryo models of bacterial infection</w:t>
      </w:r>
      <w:bookmarkEnd w:id="60"/>
      <w:r>
        <w:t xml:space="preserve"> </w:t>
      </w:r>
    </w:p>
    <w:p w14:paraId="45259F50" w14:textId="77777777" w:rsidR="00033564" w:rsidRDefault="00033564" w:rsidP="00033564">
      <w:pPr>
        <w:pStyle w:val="Default"/>
        <w:spacing w:line="360" w:lineRule="auto"/>
        <w:jc w:val="both"/>
        <w:rPr>
          <w:sz w:val="22"/>
          <w:szCs w:val="22"/>
        </w:rPr>
      </w:pPr>
    </w:p>
    <w:p w14:paraId="4F5DA225" w14:textId="2C22B14B" w:rsidR="00033564" w:rsidRPr="00987E10" w:rsidRDefault="00033564" w:rsidP="00033564">
      <w:pPr>
        <w:pStyle w:val="Default"/>
        <w:spacing w:line="360" w:lineRule="auto"/>
        <w:jc w:val="both"/>
      </w:pPr>
      <w:r w:rsidRPr="002702D7">
        <w:rPr>
          <w:color w:val="auto"/>
          <w:sz w:val="22"/>
          <w:szCs w:val="22"/>
        </w:rPr>
        <w:t>Due to the many advantages of zebrafish</w:t>
      </w:r>
      <w:r>
        <w:rPr>
          <w:color w:val="auto"/>
          <w:sz w:val="22"/>
          <w:szCs w:val="22"/>
        </w:rPr>
        <w:t>,</w:t>
      </w:r>
      <w:r w:rsidRPr="002702D7">
        <w:rPr>
          <w:color w:val="auto"/>
          <w:sz w:val="22"/>
          <w:szCs w:val="22"/>
        </w:rPr>
        <w:t xml:space="preserve"> as well as the advent of tools such as transgenic lines, zebrafish embryos have been used to model various infection types from</w:t>
      </w:r>
      <w:r>
        <w:rPr>
          <w:color w:val="auto"/>
          <w:sz w:val="22"/>
          <w:szCs w:val="22"/>
        </w:rPr>
        <w:t xml:space="preserve"> several </w:t>
      </w:r>
      <w:r w:rsidRPr="002702D7">
        <w:rPr>
          <w:color w:val="auto"/>
          <w:sz w:val="22"/>
          <w:szCs w:val="22"/>
        </w:rPr>
        <w:t>organ systems</w:t>
      </w:r>
      <w:r>
        <w:rPr>
          <w:color w:val="auto"/>
          <w:sz w:val="22"/>
          <w:szCs w:val="22"/>
        </w:rPr>
        <w:t xml:space="preserve"> and probe the role of the immune system</w:t>
      </w:r>
      <w:r w:rsidRPr="002702D7">
        <w:rPr>
          <w:color w:val="auto"/>
          <w:sz w:val="22"/>
          <w:szCs w:val="22"/>
        </w:rPr>
        <w:t xml:space="preserve">. </w:t>
      </w:r>
      <w:r w:rsidRPr="002702D7">
        <w:rPr>
          <w:i/>
          <w:iCs/>
          <w:color w:val="auto"/>
          <w:sz w:val="22"/>
          <w:szCs w:val="22"/>
        </w:rPr>
        <w:t>Mycobacterium marinum</w:t>
      </w:r>
      <w:r w:rsidRPr="002702D7">
        <w:rPr>
          <w:color w:val="auto"/>
          <w:sz w:val="22"/>
          <w:szCs w:val="22"/>
        </w:rPr>
        <w:t xml:space="preserve"> is a fish pathogen that causes tuberculosis and is used to understand how </w:t>
      </w:r>
      <w:r w:rsidRPr="002702D7">
        <w:rPr>
          <w:i/>
          <w:iCs/>
          <w:color w:val="auto"/>
          <w:sz w:val="22"/>
          <w:szCs w:val="22"/>
        </w:rPr>
        <w:t>M</w:t>
      </w:r>
      <w:r>
        <w:rPr>
          <w:i/>
          <w:iCs/>
          <w:color w:val="auto"/>
          <w:sz w:val="22"/>
          <w:szCs w:val="22"/>
        </w:rPr>
        <w:t>.</w:t>
      </w:r>
      <w:r w:rsidRPr="002702D7">
        <w:rPr>
          <w:i/>
          <w:iCs/>
          <w:color w:val="auto"/>
          <w:sz w:val="22"/>
          <w:szCs w:val="22"/>
        </w:rPr>
        <w:t xml:space="preserve"> tuberculosis </w:t>
      </w:r>
      <w:r w:rsidRPr="002702D7">
        <w:rPr>
          <w:color w:val="auto"/>
          <w:sz w:val="22"/>
          <w:szCs w:val="22"/>
        </w:rPr>
        <w:t xml:space="preserve">causes disease in humans. The use of a zebrafish embryo model for </w:t>
      </w:r>
      <w:r w:rsidRPr="002702D7">
        <w:rPr>
          <w:i/>
          <w:iCs/>
          <w:color w:val="auto"/>
          <w:sz w:val="22"/>
          <w:szCs w:val="22"/>
        </w:rPr>
        <w:t>M. marinum</w:t>
      </w:r>
      <w:r w:rsidRPr="002702D7">
        <w:rPr>
          <w:color w:val="auto"/>
          <w:sz w:val="22"/>
          <w:szCs w:val="22"/>
        </w:rPr>
        <w:t xml:space="preserve"> systemic infection revealed the formation of macrophage aggregates akin to granulomas in the presence of only an innate immune system </w:t>
      </w:r>
      <w:r w:rsidRPr="002702D7">
        <w:rPr>
          <w:b/>
          <w:bCs/>
          <w:color w:val="auto"/>
          <w:sz w:val="22"/>
          <w:szCs w:val="22"/>
        </w:rPr>
        <w:fldChar w:fldCharType="begin"/>
      </w:r>
      <w:r w:rsidRPr="002702D7">
        <w:rPr>
          <w:b/>
          <w:bCs/>
          <w:color w:val="auto"/>
          <w:sz w:val="22"/>
          <w:szCs w:val="22"/>
        </w:rPr>
        <w:instrText xml:space="preserve"> ADDIN EN.CITE &lt;EndNote&gt;&lt;Cite&gt;&lt;Author&gt;Davis&lt;/Author&gt;&lt;Year&gt;2002&lt;/Year&gt;&lt;IDText&gt;Real-time visualization of Mycobacterium-macrophage interactions leading to initiation of granuloma formation in zebrafish embryos&lt;/IDText&gt;&lt;DisplayText&gt;(Davis&lt;style face="italic"&gt; et al.&lt;/style&gt;, 2002)&lt;/DisplayText&gt;&lt;record&gt;&lt;dates&gt;&lt;pub-dates&gt;&lt;date&gt;Dec&lt;/date&gt;&lt;/pub-dates&gt;&lt;year&gt;2002&lt;/year&gt;&lt;/dates&gt;&lt;urls&gt;&lt;related-urls&gt;&lt;url&gt;&amp;lt;Go to ISI&amp;gt;://WOS:000179985500002&lt;/url&gt;&lt;/related-urls&gt;&lt;/urls&gt;&lt;isbn&gt;1074-7613&lt;/isbn&gt;&lt;titles&gt;&lt;title&gt;Real-time visualization of Mycobacterium-macrophage interactions leading to initiation of granuloma formation in zebrafish embryos&lt;/title&gt;&lt;secondary-title&gt;Immunity&lt;/secondary-title&gt;&lt;/titles&gt;&lt;pages&gt;693-702&lt;/pages&gt;&lt;number&gt;6&lt;/number&gt;&lt;contributors&gt;&lt;authors&gt;&lt;author&gt;Davis, J. M.&lt;/author&gt;&lt;author&gt;Clay, H.&lt;/author&gt;&lt;author&gt;Lewis, J. L.&lt;/author&gt;&lt;author&gt;Ghori, N.&lt;/author&gt;&lt;author&gt;Herbomel, P.&lt;/author&gt;&lt;author&gt;Ramakrishnan, L.&lt;/author&gt;&lt;/authors&gt;&lt;/contributors&gt;&lt;added-date format="utc"&gt;1677555574&lt;/added-date&gt;&lt;ref-type name="Journal Article"&gt;17&lt;/ref-type&gt;&lt;rec-number&gt;584&lt;/rec-number&gt;&lt;last-updated-date format="utc"&gt;1677555574&lt;/last-updated-date&gt;&lt;accession-num&gt;WOS:000179985500002&lt;/accession-num&gt;&lt;electronic-resource-num&gt;10.1016/s1074-7613(02)00475-2&lt;/electronic-resource-num&gt;&lt;volume&gt;17&lt;/volume&gt;&lt;/record&gt;&lt;/Cite&gt;&lt;/EndNote&gt;</w:instrText>
      </w:r>
      <w:r w:rsidRPr="002702D7">
        <w:rPr>
          <w:b/>
          <w:bCs/>
          <w:color w:val="auto"/>
          <w:sz w:val="22"/>
          <w:szCs w:val="22"/>
        </w:rPr>
        <w:fldChar w:fldCharType="separate"/>
      </w:r>
      <w:r w:rsidRPr="002702D7">
        <w:rPr>
          <w:b/>
          <w:bCs/>
          <w:noProof/>
          <w:color w:val="auto"/>
          <w:sz w:val="22"/>
          <w:szCs w:val="22"/>
        </w:rPr>
        <w:t>(Davis</w:t>
      </w:r>
      <w:r w:rsidRPr="002702D7">
        <w:rPr>
          <w:b/>
          <w:bCs/>
          <w:i/>
          <w:noProof/>
          <w:color w:val="auto"/>
          <w:sz w:val="22"/>
          <w:szCs w:val="22"/>
        </w:rPr>
        <w:t xml:space="preserve"> et al.</w:t>
      </w:r>
      <w:r w:rsidRPr="002702D7">
        <w:rPr>
          <w:b/>
          <w:bCs/>
          <w:noProof/>
          <w:color w:val="auto"/>
          <w:sz w:val="22"/>
          <w:szCs w:val="22"/>
        </w:rPr>
        <w:t>, 2002)</w:t>
      </w:r>
      <w:r w:rsidRPr="002702D7">
        <w:rPr>
          <w:b/>
          <w:bCs/>
          <w:color w:val="auto"/>
          <w:sz w:val="22"/>
          <w:szCs w:val="22"/>
        </w:rPr>
        <w:fldChar w:fldCharType="end"/>
      </w:r>
      <w:r w:rsidRPr="002702D7">
        <w:rPr>
          <w:color w:val="auto"/>
          <w:sz w:val="22"/>
          <w:szCs w:val="22"/>
        </w:rPr>
        <w:t>. In this report, the transparency of the zebrafish embryos allowed infection dynamics to be observed in real-time</w:t>
      </w:r>
      <w:r w:rsidRPr="002702D7">
        <w:rPr>
          <w:b/>
          <w:bCs/>
          <w:color w:val="auto"/>
          <w:sz w:val="22"/>
          <w:szCs w:val="22"/>
        </w:rPr>
        <w:t xml:space="preserve"> </w:t>
      </w:r>
      <w:r w:rsidRPr="002702D7">
        <w:rPr>
          <w:b/>
          <w:bCs/>
          <w:color w:val="auto"/>
          <w:sz w:val="22"/>
          <w:szCs w:val="22"/>
        </w:rPr>
        <w:fldChar w:fldCharType="begin"/>
      </w:r>
      <w:r w:rsidRPr="002702D7">
        <w:rPr>
          <w:b/>
          <w:bCs/>
          <w:color w:val="auto"/>
          <w:sz w:val="22"/>
          <w:szCs w:val="22"/>
        </w:rPr>
        <w:instrText xml:space="preserve"> ADDIN EN.CITE &lt;EndNote&gt;&lt;Cite&gt;&lt;Author&gt;Davis&lt;/Author&gt;&lt;Year&gt;2002&lt;/Year&gt;&lt;IDText&gt;Real-time visualization of Mycobacterium-macrophage interactions leading to initiation of granuloma formation in zebrafish embryos&lt;/IDText&gt;&lt;DisplayText&gt;(Davis&lt;style face="italic"&gt; et al.&lt;/style&gt;, 2002)&lt;/DisplayText&gt;&lt;record&gt;&lt;dates&gt;&lt;pub-dates&gt;&lt;date&gt;Dec&lt;/date&gt;&lt;/pub-dates&gt;&lt;year&gt;2002&lt;/year&gt;&lt;/dates&gt;&lt;urls&gt;&lt;related-urls&gt;&lt;url&gt;&amp;lt;Go to ISI&amp;gt;://WOS:000179985500002&lt;/url&gt;&lt;/related-urls&gt;&lt;/urls&gt;&lt;isbn&gt;1074-7613&lt;/isbn&gt;&lt;titles&gt;&lt;title&gt;Real-time visualization of Mycobacterium-macrophage interactions leading to initiation of granuloma formation in zebrafish embryos&lt;/title&gt;&lt;secondary-title&gt;Immunity&lt;/secondary-title&gt;&lt;/titles&gt;&lt;pages&gt;693-702&lt;/pages&gt;&lt;number&gt;6&lt;/number&gt;&lt;contributors&gt;&lt;authors&gt;&lt;author&gt;Davis, J. M.&lt;/author&gt;&lt;author&gt;Clay, H.&lt;/author&gt;&lt;author&gt;Lewis, J. L.&lt;/author&gt;&lt;author&gt;Ghori, N.&lt;/author&gt;&lt;author&gt;Herbomel, P.&lt;/author&gt;&lt;author&gt;Ramakrishnan, L.&lt;/author&gt;&lt;/authors&gt;&lt;/contributors&gt;&lt;added-date format="utc"&gt;1677555574&lt;/added-date&gt;&lt;ref-type name="Journal Article"&gt;17&lt;/ref-type&gt;&lt;rec-number&gt;584&lt;/rec-number&gt;&lt;last-updated-date format="utc"&gt;1677555574&lt;/last-updated-date&gt;&lt;accession-num&gt;WOS:000179985500002&lt;/accession-num&gt;&lt;electronic-resource-num&gt;10.1016/s1074-7613(02)00475-2&lt;/electronic-resource-num&gt;&lt;volume&gt;17&lt;/volume&gt;&lt;/record&gt;&lt;/Cite&gt;&lt;/EndNote&gt;</w:instrText>
      </w:r>
      <w:r w:rsidRPr="002702D7">
        <w:rPr>
          <w:b/>
          <w:bCs/>
          <w:color w:val="auto"/>
          <w:sz w:val="22"/>
          <w:szCs w:val="22"/>
        </w:rPr>
        <w:fldChar w:fldCharType="separate"/>
      </w:r>
      <w:r w:rsidRPr="002702D7">
        <w:rPr>
          <w:b/>
          <w:bCs/>
          <w:noProof/>
          <w:color w:val="auto"/>
          <w:sz w:val="22"/>
          <w:szCs w:val="22"/>
        </w:rPr>
        <w:t>(Davis</w:t>
      </w:r>
      <w:r w:rsidRPr="002702D7">
        <w:rPr>
          <w:b/>
          <w:bCs/>
          <w:i/>
          <w:noProof/>
          <w:color w:val="auto"/>
          <w:sz w:val="22"/>
          <w:szCs w:val="22"/>
        </w:rPr>
        <w:t xml:space="preserve"> et al.</w:t>
      </w:r>
      <w:r w:rsidRPr="002702D7">
        <w:rPr>
          <w:b/>
          <w:bCs/>
          <w:noProof/>
          <w:color w:val="auto"/>
          <w:sz w:val="22"/>
          <w:szCs w:val="22"/>
        </w:rPr>
        <w:t>, 2002)</w:t>
      </w:r>
      <w:r w:rsidRPr="002702D7">
        <w:rPr>
          <w:b/>
          <w:bCs/>
          <w:color w:val="auto"/>
          <w:sz w:val="22"/>
          <w:szCs w:val="22"/>
        </w:rPr>
        <w:fldChar w:fldCharType="end"/>
      </w:r>
      <w:r w:rsidRPr="002702D7">
        <w:rPr>
          <w:color w:val="auto"/>
          <w:sz w:val="22"/>
          <w:szCs w:val="22"/>
        </w:rPr>
        <w:t>. Since then, further studies have demonstrated that granuloma formation served to aid dissemination rather than contain infection</w:t>
      </w:r>
      <w:r w:rsidRPr="002702D7">
        <w:rPr>
          <w:b/>
          <w:bCs/>
          <w:color w:val="auto"/>
          <w:sz w:val="22"/>
          <w:szCs w:val="22"/>
        </w:rPr>
        <w:t xml:space="preserve"> </w:t>
      </w:r>
      <w:r w:rsidRPr="002702D7">
        <w:rPr>
          <w:b/>
          <w:bCs/>
          <w:color w:val="auto"/>
          <w:sz w:val="22"/>
          <w:szCs w:val="22"/>
        </w:rPr>
        <w:fldChar w:fldCharType="begin"/>
      </w:r>
      <w:r w:rsidRPr="002702D7">
        <w:rPr>
          <w:b/>
          <w:bCs/>
          <w:color w:val="auto"/>
          <w:sz w:val="22"/>
          <w:szCs w:val="22"/>
        </w:rPr>
        <w:instrText xml:space="preserve"> ADDIN EN.CITE &lt;EndNote&gt;&lt;Cite&gt;&lt;Author&gt;Volkman&lt;/Author&gt;&lt;Year&gt;2004&lt;/Year&gt;&lt;IDText&gt;Tuberculous granuloma formation is enhanced by a Mycobacterium virulence determinant&lt;/IDText&gt;&lt;DisplayText&gt;(Volkman&lt;style face="italic"&gt; et al.&lt;/style&gt;, 2004)&lt;/DisplayText&gt;&lt;record&gt;&lt;dates&gt;&lt;pub-dates&gt;&lt;date&gt;Nov&lt;/date&gt;&lt;/pub-dates&gt;&lt;year&gt;2004&lt;/year&gt;&lt;/dates&gt;&lt;urls&gt;&lt;related-urls&gt;&lt;url&gt;&amp;lt;Go to ISI&amp;gt;://WOS:000225160300024&lt;/url&gt;&lt;/related-urls&gt;&lt;/urls&gt;&lt;isbn&gt;1545-7885&lt;/isbn&gt;&lt;titles&gt;&lt;title&gt;Tuberculous granuloma formation is enhanced by a Mycobacterium virulence determinant&lt;/title&gt;&lt;secondary-title&gt;Plos Biology&lt;/secondary-title&gt;&lt;/titles&gt;&lt;pages&gt;1946-1956&lt;/pages&gt;&lt;number&gt;11&lt;/number&gt;&lt;contributors&gt;&lt;authors&gt;&lt;author&gt;Volkman, H. E.&lt;/author&gt;&lt;author&gt;Clay, H.&lt;/author&gt;&lt;author&gt;Beery, D.&lt;/author&gt;&lt;author&gt;Chang, J. C. W.&lt;/author&gt;&lt;author&gt;Sherman, D. R.&lt;/author&gt;&lt;author&gt;Ramakrishnan, L.&lt;/author&gt;&lt;/authors&gt;&lt;/contributors&gt;&lt;custom7&gt;e367&lt;/custom7&gt;&lt;added-date format="utc"&gt;1663624328&lt;/added-date&gt;&lt;ref-type name="Journal Article"&gt;17&lt;/ref-type&gt;&lt;rec-number&gt;147&lt;/rec-number&gt;&lt;last-updated-date format="utc"&gt;1663624413&lt;/last-updated-date&gt;&lt;accession-num&gt;WOS:000225160300024&lt;/accession-num&gt;&lt;electronic-resource-num&gt;10.1371/journal.pbio.0020367&lt;/electronic-resource-num&gt;&lt;volume&gt;2&lt;/volume&gt;&lt;/record&gt;&lt;/Cite&gt;&lt;/EndNote&gt;</w:instrText>
      </w:r>
      <w:r w:rsidRPr="002702D7">
        <w:rPr>
          <w:b/>
          <w:bCs/>
          <w:color w:val="auto"/>
          <w:sz w:val="22"/>
          <w:szCs w:val="22"/>
        </w:rPr>
        <w:fldChar w:fldCharType="separate"/>
      </w:r>
      <w:r w:rsidRPr="002702D7">
        <w:rPr>
          <w:b/>
          <w:bCs/>
          <w:noProof/>
          <w:color w:val="auto"/>
          <w:sz w:val="22"/>
          <w:szCs w:val="22"/>
        </w:rPr>
        <w:t>(Volkman</w:t>
      </w:r>
      <w:r w:rsidRPr="002702D7">
        <w:rPr>
          <w:b/>
          <w:bCs/>
          <w:i/>
          <w:noProof/>
          <w:color w:val="auto"/>
          <w:sz w:val="22"/>
          <w:szCs w:val="22"/>
        </w:rPr>
        <w:t xml:space="preserve"> et al.</w:t>
      </w:r>
      <w:r w:rsidRPr="002702D7">
        <w:rPr>
          <w:b/>
          <w:bCs/>
          <w:noProof/>
          <w:color w:val="auto"/>
          <w:sz w:val="22"/>
          <w:szCs w:val="22"/>
        </w:rPr>
        <w:t>, 2004)</w:t>
      </w:r>
      <w:r w:rsidRPr="002702D7">
        <w:rPr>
          <w:b/>
          <w:bCs/>
          <w:color w:val="auto"/>
          <w:sz w:val="22"/>
          <w:szCs w:val="22"/>
        </w:rPr>
        <w:fldChar w:fldCharType="end"/>
      </w:r>
      <w:r w:rsidRPr="002702D7">
        <w:rPr>
          <w:color w:val="auto"/>
          <w:sz w:val="22"/>
          <w:szCs w:val="22"/>
        </w:rPr>
        <w:t xml:space="preserve">. </w:t>
      </w:r>
      <w:r w:rsidRPr="002702D7">
        <w:rPr>
          <w:i/>
          <w:iCs/>
          <w:color w:val="auto"/>
          <w:sz w:val="22"/>
          <w:szCs w:val="22"/>
        </w:rPr>
        <w:t>Burkholderia cenocepacia,</w:t>
      </w:r>
      <w:r w:rsidRPr="002702D7">
        <w:rPr>
          <w:color w:val="auto"/>
          <w:sz w:val="22"/>
          <w:szCs w:val="22"/>
        </w:rPr>
        <w:t xml:space="preserve"> a bacterium that causes opportunistic infections in cystic fibrosis patients, was shown in zebrafish embryos to use macrophages and not neutrophils as a niche for replication </w:t>
      </w:r>
      <w:r w:rsidRPr="002702D7">
        <w:rPr>
          <w:b/>
          <w:bCs/>
          <w:color w:val="auto"/>
          <w:sz w:val="22"/>
          <w:szCs w:val="22"/>
        </w:rPr>
        <w:fldChar w:fldCharType="begin"/>
      </w:r>
      <w:r w:rsidRPr="002702D7">
        <w:rPr>
          <w:b/>
          <w:bCs/>
          <w:color w:val="auto"/>
          <w:sz w:val="22"/>
          <w:szCs w:val="22"/>
        </w:rPr>
        <w:instrText xml:space="preserve"> ADDIN EN.CITE &lt;EndNote&gt;&lt;Cite&gt;&lt;Author&gt;Mesureur&lt;/Author&gt;&lt;Year&gt;2017&lt;/Year&gt;&lt;IDText&gt;Macrophages, but not neutrophils, are critical for proliferation of Burkholderia cenocepacia and ensuing host-damaging inflammation&lt;/IDText&gt;&lt;DisplayText&gt;(Mesureur&lt;style face="italic"&gt; et al.&lt;/style&gt;, 2017)&lt;/DisplayText&gt;&lt;record&gt;&lt;dates&gt;&lt;pub-dates&gt;&lt;date&gt;Jun&lt;/date&gt;&lt;/pub-dates&gt;&lt;year&gt;2017&lt;/year&gt;&lt;/dates&gt;&lt;urls&gt;&lt;related-urls&gt;&lt;url&gt;&amp;lt;Go to ISI&amp;gt;://WOS:000404511700033&lt;/url&gt;&lt;/related-urls&gt;&lt;/urls&gt;&lt;isbn&gt;1553-7366&lt;/isbn&gt;&lt;titles&gt;&lt;title&gt;Macrophages, but not neutrophils, are critical for proliferation of Burkholderia cenocepacia and ensuing host-damaging inflammation&lt;/title&gt;&lt;secondary-title&gt;Plos Pathogens&lt;/secondary-title&gt;&lt;/titles&gt;&lt;number&gt;6&lt;/number&gt;&lt;contributors&gt;&lt;authors&gt;&lt;author&gt;Mesureur, J.&lt;/author&gt;&lt;author&gt;Feliciano, J. R.&lt;/author&gt;&lt;author&gt;Wagner, N.&lt;/author&gt;&lt;author&gt;Gomes, M. C.&lt;/author&gt;&lt;author&gt;Zhang, L. L.&lt;/author&gt;&lt;author&gt;Blanco-Gonzalez, M.&lt;/author&gt;&lt;author&gt;van der Vaart, M.&lt;/author&gt;&lt;author&gt;O&amp;apos;Callaghan, D.&lt;/author&gt;&lt;author&gt;Meijer, A. H.&lt;/author&gt;&lt;author&gt;Vergunst, A. C.&lt;/author&gt;&lt;/authors&gt;&lt;/contributors&gt;&lt;custom7&gt;e1006437&lt;/custom7&gt;&lt;added-date format="utc"&gt;1677556965&lt;/added-date&gt;&lt;ref-type name="Journal Article"&gt;17&lt;/ref-type&gt;&lt;rec-number&gt;585&lt;/rec-number&gt;&lt;last-updated-date format="utc"&gt;1677556965&lt;/last-updated-date&gt;&lt;accession-num&gt;WOS:000404511700033&lt;/accession-num&gt;&lt;electronic-resource-num&gt;10.1371/journal.ppat.1006437&lt;/electronic-resource-num&gt;&lt;volume&gt;13&lt;/volume&gt;&lt;/record&gt;&lt;/Cite&gt;&lt;/EndNote&gt;</w:instrText>
      </w:r>
      <w:r w:rsidRPr="002702D7">
        <w:rPr>
          <w:b/>
          <w:bCs/>
          <w:color w:val="auto"/>
          <w:sz w:val="22"/>
          <w:szCs w:val="22"/>
        </w:rPr>
        <w:fldChar w:fldCharType="separate"/>
      </w:r>
      <w:r w:rsidRPr="002702D7">
        <w:rPr>
          <w:b/>
          <w:bCs/>
          <w:noProof/>
          <w:color w:val="auto"/>
          <w:sz w:val="22"/>
          <w:szCs w:val="22"/>
        </w:rPr>
        <w:t>(Mesureur</w:t>
      </w:r>
      <w:r w:rsidRPr="002702D7">
        <w:rPr>
          <w:b/>
          <w:bCs/>
          <w:i/>
          <w:noProof/>
          <w:color w:val="auto"/>
          <w:sz w:val="22"/>
          <w:szCs w:val="22"/>
        </w:rPr>
        <w:t xml:space="preserve"> et al.</w:t>
      </w:r>
      <w:r w:rsidRPr="002702D7">
        <w:rPr>
          <w:b/>
          <w:bCs/>
          <w:noProof/>
          <w:color w:val="auto"/>
          <w:sz w:val="22"/>
          <w:szCs w:val="22"/>
        </w:rPr>
        <w:t>, 2017)</w:t>
      </w:r>
      <w:r w:rsidRPr="002702D7">
        <w:rPr>
          <w:b/>
          <w:bCs/>
          <w:color w:val="auto"/>
          <w:sz w:val="22"/>
          <w:szCs w:val="22"/>
        </w:rPr>
        <w:fldChar w:fldCharType="end"/>
      </w:r>
      <w:r w:rsidRPr="002702D7">
        <w:rPr>
          <w:color w:val="auto"/>
          <w:sz w:val="22"/>
          <w:szCs w:val="22"/>
        </w:rPr>
        <w:t xml:space="preserve">. This is an example of a study that utilised multiple transgenic cell lines with macrophages, neutrophils and key components of signalling pathways being fluorescently tagged </w:t>
      </w:r>
      <w:r w:rsidRPr="002702D7">
        <w:rPr>
          <w:b/>
          <w:bCs/>
          <w:color w:val="auto"/>
          <w:sz w:val="22"/>
          <w:szCs w:val="22"/>
        </w:rPr>
        <w:fldChar w:fldCharType="begin"/>
      </w:r>
      <w:r w:rsidRPr="002702D7">
        <w:rPr>
          <w:b/>
          <w:bCs/>
          <w:color w:val="auto"/>
          <w:sz w:val="22"/>
          <w:szCs w:val="22"/>
        </w:rPr>
        <w:instrText xml:space="preserve"> ADDIN EN.CITE &lt;EndNote&gt;&lt;Cite&gt;&lt;Author&gt;Mesureur&lt;/Author&gt;&lt;Year&gt;2017&lt;/Year&gt;&lt;IDText&gt;Macrophages, but not neutrophils, are critical for proliferation of Burkholderia cenocepacia and ensuing host-damaging inflammation&lt;/IDText&gt;&lt;DisplayText&gt;(Mesureur&lt;style face="italic"&gt; et al.&lt;/style&gt;, 2017)&lt;/DisplayText&gt;&lt;record&gt;&lt;dates&gt;&lt;pub-dates&gt;&lt;date&gt;Jun&lt;/date&gt;&lt;/pub-dates&gt;&lt;year&gt;2017&lt;/year&gt;&lt;/dates&gt;&lt;urls&gt;&lt;related-urls&gt;&lt;url&gt;&amp;lt;Go to ISI&amp;gt;://WOS:000404511700033&lt;/url&gt;&lt;/related-urls&gt;&lt;/urls&gt;&lt;isbn&gt;1553-7366&lt;/isbn&gt;&lt;titles&gt;&lt;title&gt;Macrophages, but not neutrophils, are critical for proliferation of Burkholderia cenocepacia and ensuing host-damaging inflammation&lt;/title&gt;&lt;secondary-title&gt;Plos Pathogens&lt;/secondary-title&gt;&lt;/titles&gt;&lt;number&gt;6&lt;/number&gt;&lt;contributors&gt;&lt;authors&gt;&lt;author&gt;Mesureur, J.&lt;/author&gt;&lt;author&gt;Feliciano, J. R.&lt;/author&gt;&lt;author&gt;Wagner, N.&lt;/author&gt;&lt;author&gt;Gomes, M. C.&lt;/author&gt;&lt;author&gt;Zhang, L. L.&lt;/author&gt;&lt;author&gt;Blanco-Gonzalez, M.&lt;/author&gt;&lt;author&gt;van der Vaart, M.&lt;/author&gt;&lt;author&gt;O&amp;apos;Callaghan, D.&lt;/author&gt;&lt;author&gt;Meijer, A. H.&lt;/author&gt;&lt;author&gt;Vergunst, A. C.&lt;/author&gt;&lt;/authors&gt;&lt;/contributors&gt;&lt;custom7&gt;e1006437&lt;/custom7&gt;&lt;added-date format="utc"&gt;1677556965&lt;/added-date&gt;&lt;ref-type name="Journal Article"&gt;17&lt;/ref-type&gt;&lt;rec-number&gt;585&lt;/rec-number&gt;&lt;last-updated-date format="utc"&gt;1677556965&lt;/last-updated-date&gt;&lt;accession-num&gt;WOS:000404511700033&lt;/accession-num&gt;&lt;electronic-resource-num&gt;10.1371/journal.ppat.1006437&lt;/electronic-resource-num&gt;&lt;volume&gt;13&lt;/volume&gt;&lt;/record&gt;&lt;/Cite&gt;&lt;/EndNote&gt;</w:instrText>
      </w:r>
      <w:r w:rsidRPr="002702D7">
        <w:rPr>
          <w:b/>
          <w:bCs/>
          <w:color w:val="auto"/>
          <w:sz w:val="22"/>
          <w:szCs w:val="22"/>
        </w:rPr>
        <w:fldChar w:fldCharType="separate"/>
      </w:r>
      <w:r w:rsidRPr="002702D7">
        <w:rPr>
          <w:b/>
          <w:bCs/>
          <w:noProof/>
          <w:color w:val="auto"/>
          <w:sz w:val="22"/>
          <w:szCs w:val="22"/>
        </w:rPr>
        <w:t>(Mesureur</w:t>
      </w:r>
      <w:r w:rsidRPr="002702D7">
        <w:rPr>
          <w:b/>
          <w:bCs/>
          <w:i/>
          <w:noProof/>
          <w:color w:val="auto"/>
          <w:sz w:val="22"/>
          <w:szCs w:val="22"/>
        </w:rPr>
        <w:t xml:space="preserve"> et al.</w:t>
      </w:r>
      <w:r w:rsidRPr="002702D7">
        <w:rPr>
          <w:b/>
          <w:bCs/>
          <w:noProof/>
          <w:color w:val="auto"/>
          <w:sz w:val="22"/>
          <w:szCs w:val="22"/>
        </w:rPr>
        <w:t>, 2017)</w:t>
      </w:r>
      <w:r w:rsidRPr="002702D7">
        <w:rPr>
          <w:b/>
          <w:bCs/>
          <w:color w:val="auto"/>
          <w:sz w:val="22"/>
          <w:szCs w:val="22"/>
        </w:rPr>
        <w:fldChar w:fldCharType="end"/>
      </w:r>
      <w:r w:rsidRPr="002702D7">
        <w:rPr>
          <w:color w:val="auto"/>
          <w:sz w:val="22"/>
          <w:szCs w:val="22"/>
        </w:rPr>
        <w:t xml:space="preserve">. Another opportunistic pathogen of cystic fibrosis patients is </w:t>
      </w:r>
      <w:r w:rsidRPr="002702D7">
        <w:rPr>
          <w:i/>
          <w:iCs/>
          <w:color w:val="auto"/>
          <w:sz w:val="22"/>
          <w:szCs w:val="22"/>
        </w:rPr>
        <w:t>P</w:t>
      </w:r>
      <w:r>
        <w:rPr>
          <w:i/>
          <w:iCs/>
          <w:color w:val="auto"/>
          <w:sz w:val="22"/>
          <w:szCs w:val="22"/>
        </w:rPr>
        <w:t>.</w:t>
      </w:r>
      <w:r w:rsidRPr="002702D7">
        <w:rPr>
          <w:i/>
          <w:iCs/>
          <w:color w:val="auto"/>
          <w:sz w:val="22"/>
          <w:szCs w:val="22"/>
        </w:rPr>
        <w:t xml:space="preserve"> aeruginosa</w:t>
      </w:r>
      <w:r w:rsidRPr="002702D7">
        <w:rPr>
          <w:color w:val="auto"/>
          <w:sz w:val="22"/>
          <w:szCs w:val="22"/>
        </w:rPr>
        <w:t xml:space="preserve">, whose </w:t>
      </w:r>
      <w:r>
        <w:rPr>
          <w:color w:val="auto"/>
          <w:sz w:val="22"/>
          <w:szCs w:val="22"/>
        </w:rPr>
        <w:t xml:space="preserve">T3SS, </w:t>
      </w:r>
      <w:r w:rsidRPr="002702D7">
        <w:rPr>
          <w:color w:val="auto"/>
          <w:sz w:val="22"/>
          <w:szCs w:val="22"/>
        </w:rPr>
        <w:t xml:space="preserve">as well as </w:t>
      </w:r>
      <w:r w:rsidRPr="002702D7">
        <w:rPr>
          <w:i/>
          <w:iCs/>
          <w:color w:val="auto"/>
          <w:sz w:val="22"/>
          <w:szCs w:val="22"/>
        </w:rPr>
        <w:t xml:space="preserve">lasR </w:t>
      </w:r>
      <w:r w:rsidRPr="002702D7">
        <w:rPr>
          <w:color w:val="auto"/>
          <w:sz w:val="22"/>
          <w:szCs w:val="22"/>
        </w:rPr>
        <w:t xml:space="preserve">and </w:t>
      </w:r>
      <w:r w:rsidRPr="002702D7">
        <w:rPr>
          <w:i/>
          <w:iCs/>
          <w:color w:val="auto"/>
          <w:sz w:val="22"/>
          <w:szCs w:val="22"/>
        </w:rPr>
        <w:t xml:space="preserve">mvfR </w:t>
      </w:r>
      <w:r w:rsidRPr="002702D7">
        <w:rPr>
          <w:color w:val="auto"/>
          <w:sz w:val="22"/>
          <w:szCs w:val="22"/>
        </w:rPr>
        <w:t>quorum sensing genes</w:t>
      </w:r>
      <w:r>
        <w:rPr>
          <w:color w:val="auto"/>
          <w:sz w:val="22"/>
          <w:szCs w:val="22"/>
        </w:rPr>
        <w:t>,</w:t>
      </w:r>
      <w:r w:rsidRPr="002702D7">
        <w:rPr>
          <w:color w:val="auto"/>
          <w:sz w:val="22"/>
          <w:szCs w:val="22"/>
        </w:rPr>
        <w:t xml:space="preserve"> have been necessary for virulence in zebrafish embryos </w:t>
      </w:r>
      <w:r w:rsidRPr="002702D7">
        <w:rPr>
          <w:b/>
          <w:bCs/>
          <w:color w:val="auto"/>
          <w:sz w:val="22"/>
          <w:szCs w:val="22"/>
        </w:rPr>
        <w:fldChar w:fldCharType="begin">
          <w:fldData xml:space="preserve">PEVuZE5vdGU+PENpdGU+PEF1dGhvcj5CcmFubm9uPC9BdXRob3I+PFllYXI+MjAwOTwvWWVhcj48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</w:fldData>
        </w:fldChar>
      </w:r>
      <w:r w:rsidRPr="002702D7">
        <w:rPr>
          <w:b/>
          <w:bCs/>
          <w:color w:val="auto"/>
          <w:sz w:val="22"/>
          <w:szCs w:val="22"/>
        </w:rPr>
        <w:instrText xml:space="preserve"> ADDIN EN.CITE </w:instrText>
      </w:r>
      <w:r w:rsidRPr="002702D7">
        <w:rPr>
          <w:b/>
          <w:bCs/>
          <w:color w:val="auto"/>
          <w:sz w:val="22"/>
          <w:szCs w:val="22"/>
        </w:rPr>
        <w:fldChar w:fldCharType="begin">
          <w:fldData xml:space="preserve">PEVuZE5vdGU+PENpdGU+PEF1dGhvcj5CcmFubm9uPC9BdXRob3I+PFllYXI+MjAwOTwvWWVhcj48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</w:fldData>
        </w:fldChar>
      </w:r>
      <w:r w:rsidRPr="002702D7">
        <w:rPr>
          <w:b/>
          <w:bCs/>
          <w:color w:val="auto"/>
          <w:sz w:val="22"/>
          <w:szCs w:val="22"/>
        </w:rPr>
        <w:instrText xml:space="preserve"> ADDIN EN.CITE.DATA </w:instrText>
      </w:r>
      <w:r w:rsidRPr="002702D7">
        <w:rPr>
          <w:b/>
          <w:bCs/>
          <w:color w:val="auto"/>
          <w:sz w:val="22"/>
          <w:szCs w:val="22"/>
        </w:rPr>
      </w:r>
      <w:r w:rsidRPr="002702D7">
        <w:rPr>
          <w:b/>
          <w:bCs/>
          <w:color w:val="auto"/>
          <w:sz w:val="22"/>
          <w:szCs w:val="22"/>
        </w:rPr>
        <w:fldChar w:fldCharType="end"/>
      </w:r>
      <w:r w:rsidRPr="002702D7">
        <w:rPr>
          <w:b/>
          <w:bCs/>
          <w:color w:val="auto"/>
          <w:sz w:val="22"/>
          <w:szCs w:val="22"/>
        </w:rPr>
      </w:r>
      <w:r w:rsidRPr="002702D7">
        <w:rPr>
          <w:b/>
          <w:bCs/>
          <w:color w:val="auto"/>
          <w:sz w:val="22"/>
          <w:szCs w:val="22"/>
        </w:rPr>
        <w:fldChar w:fldCharType="separate"/>
      </w:r>
      <w:r w:rsidRPr="002702D7">
        <w:rPr>
          <w:b/>
          <w:bCs/>
          <w:noProof/>
          <w:color w:val="auto"/>
          <w:sz w:val="22"/>
          <w:szCs w:val="22"/>
        </w:rPr>
        <w:t>(Brannon</w:t>
      </w:r>
      <w:r w:rsidRPr="002702D7">
        <w:rPr>
          <w:b/>
          <w:bCs/>
          <w:i/>
          <w:noProof/>
          <w:color w:val="auto"/>
          <w:sz w:val="22"/>
          <w:szCs w:val="22"/>
        </w:rPr>
        <w:t xml:space="preserve"> et al.</w:t>
      </w:r>
      <w:r w:rsidRPr="002702D7">
        <w:rPr>
          <w:b/>
          <w:bCs/>
          <w:noProof/>
          <w:color w:val="auto"/>
          <w:sz w:val="22"/>
          <w:szCs w:val="22"/>
        </w:rPr>
        <w:t>, 2009; Clatworthy</w:t>
      </w:r>
      <w:r w:rsidRPr="002702D7">
        <w:rPr>
          <w:b/>
          <w:bCs/>
          <w:i/>
          <w:noProof/>
          <w:color w:val="auto"/>
          <w:sz w:val="22"/>
          <w:szCs w:val="22"/>
        </w:rPr>
        <w:t xml:space="preserve"> et al.</w:t>
      </w:r>
      <w:r w:rsidRPr="002702D7">
        <w:rPr>
          <w:b/>
          <w:bCs/>
          <w:noProof/>
          <w:color w:val="auto"/>
          <w:sz w:val="22"/>
          <w:szCs w:val="22"/>
        </w:rPr>
        <w:t>, 2009)</w:t>
      </w:r>
      <w:r w:rsidRPr="002702D7">
        <w:rPr>
          <w:b/>
          <w:bCs/>
          <w:color w:val="auto"/>
          <w:sz w:val="22"/>
          <w:szCs w:val="22"/>
        </w:rPr>
        <w:fldChar w:fldCharType="end"/>
      </w:r>
      <w:r w:rsidRPr="002702D7">
        <w:rPr>
          <w:color w:val="auto"/>
          <w:sz w:val="22"/>
          <w:szCs w:val="22"/>
        </w:rPr>
        <w:t xml:space="preserve">. </w:t>
      </w:r>
      <w:r>
        <w:rPr>
          <w:color w:val="auto"/>
          <w:sz w:val="22"/>
          <w:szCs w:val="22"/>
        </w:rPr>
        <w:t xml:space="preserve">The role of </w:t>
      </w:r>
      <w:r>
        <w:rPr>
          <w:i/>
          <w:iCs/>
          <w:color w:val="auto"/>
          <w:sz w:val="22"/>
          <w:szCs w:val="22"/>
        </w:rPr>
        <w:t xml:space="preserve">Shigella flexneri </w:t>
      </w:r>
      <w:r>
        <w:rPr>
          <w:color w:val="auto"/>
          <w:sz w:val="22"/>
          <w:szCs w:val="22"/>
        </w:rPr>
        <w:t xml:space="preserve">as a foodborne pathogen has also been investigated in zebrafish embryos. A T3SS-deficient strain was shown to be avirulent in zebrafish embryos, demonstrating the importance of these systems for virulence, as in </w:t>
      </w:r>
      <w:r>
        <w:rPr>
          <w:i/>
          <w:iCs/>
          <w:color w:val="auto"/>
          <w:sz w:val="22"/>
          <w:szCs w:val="22"/>
        </w:rPr>
        <w:t xml:space="preserve">P. aeruginosa </w:t>
      </w:r>
      <w:r>
        <w:rPr>
          <w:color w:val="auto"/>
          <w:sz w:val="22"/>
          <w:szCs w:val="22"/>
        </w:rPr>
        <w:t xml:space="preserve"> </w:t>
      </w:r>
      <w:r w:rsidRPr="00987E10">
        <w:rPr>
          <w:b/>
          <w:bCs/>
          <w:color w:val="auto"/>
          <w:sz w:val="22"/>
          <w:szCs w:val="22"/>
        </w:rPr>
        <w:fldChar w:fldCharType="begin">
          <w:fldData xml:space="preserve">PEVuZE5vdGU+PENpdGU+PEF1dGhvcj5Nb3N0b3d5PC9BdXRob3I+PFllYXI+MjAxMzwvWWVhcj48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</w:fldData>
        </w:fldChar>
      </w:r>
      <w:r w:rsidRPr="00987E10">
        <w:rPr>
          <w:b/>
          <w:bCs/>
          <w:color w:val="auto"/>
          <w:sz w:val="22"/>
          <w:szCs w:val="22"/>
        </w:rPr>
        <w:instrText xml:space="preserve"> ADDIN EN.CITE </w:instrText>
      </w:r>
      <w:r w:rsidRPr="00987E10">
        <w:rPr>
          <w:b/>
          <w:bCs/>
          <w:color w:val="auto"/>
          <w:sz w:val="22"/>
          <w:szCs w:val="22"/>
        </w:rPr>
        <w:fldChar w:fldCharType="begin">
          <w:fldData xml:space="preserve">PEVuZE5vdGU+PENpdGU+PEF1dGhvcj5Nb3N0b3d5PC9BdXRob3I+PFllYXI+MjAxMzwvWWVhcj48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</w:fldData>
        </w:fldChar>
      </w:r>
      <w:r w:rsidRPr="00987E10">
        <w:rPr>
          <w:b/>
          <w:bCs/>
          <w:color w:val="auto"/>
          <w:sz w:val="22"/>
          <w:szCs w:val="22"/>
        </w:rPr>
        <w:instrText xml:space="preserve"> ADDIN EN.CITE.DATA </w:instrText>
      </w:r>
      <w:r w:rsidRPr="00987E10">
        <w:rPr>
          <w:b/>
          <w:bCs/>
          <w:color w:val="auto"/>
          <w:sz w:val="22"/>
          <w:szCs w:val="22"/>
        </w:rPr>
      </w:r>
      <w:r w:rsidRPr="00987E10">
        <w:rPr>
          <w:b/>
          <w:bCs/>
          <w:color w:val="auto"/>
          <w:sz w:val="22"/>
          <w:szCs w:val="22"/>
        </w:rPr>
        <w:fldChar w:fldCharType="end"/>
      </w:r>
      <w:r w:rsidRPr="00987E10">
        <w:rPr>
          <w:b/>
          <w:bCs/>
          <w:color w:val="auto"/>
          <w:sz w:val="22"/>
          <w:szCs w:val="22"/>
        </w:rPr>
      </w:r>
      <w:r w:rsidRPr="00987E10">
        <w:rPr>
          <w:b/>
          <w:bCs/>
          <w:color w:val="auto"/>
          <w:sz w:val="22"/>
          <w:szCs w:val="22"/>
        </w:rPr>
        <w:fldChar w:fldCharType="separate"/>
      </w:r>
      <w:r w:rsidRPr="00987E10">
        <w:rPr>
          <w:b/>
          <w:bCs/>
          <w:noProof/>
          <w:color w:val="auto"/>
          <w:sz w:val="22"/>
          <w:szCs w:val="22"/>
        </w:rPr>
        <w:t>(Mostowy</w:t>
      </w:r>
      <w:r w:rsidRPr="00987E10">
        <w:rPr>
          <w:b/>
          <w:bCs/>
          <w:i/>
          <w:noProof/>
          <w:color w:val="auto"/>
          <w:sz w:val="22"/>
          <w:szCs w:val="22"/>
        </w:rPr>
        <w:t xml:space="preserve"> et al.</w:t>
      </w:r>
      <w:r w:rsidRPr="00987E10">
        <w:rPr>
          <w:b/>
          <w:bCs/>
          <w:noProof/>
          <w:color w:val="auto"/>
          <w:sz w:val="22"/>
          <w:szCs w:val="22"/>
        </w:rPr>
        <w:t>, 2013; Mesureur</w:t>
      </w:r>
      <w:r w:rsidRPr="00987E10">
        <w:rPr>
          <w:b/>
          <w:bCs/>
          <w:i/>
          <w:noProof/>
          <w:color w:val="auto"/>
          <w:sz w:val="22"/>
          <w:szCs w:val="22"/>
        </w:rPr>
        <w:t xml:space="preserve"> et al.</w:t>
      </w:r>
      <w:r w:rsidRPr="00987E10">
        <w:rPr>
          <w:b/>
          <w:bCs/>
          <w:noProof/>
          <w:color w:val="auto"/>
          <w:sz w:val="22"/>
          <w:szCs w:val="22"/>
        </w:rPr>
        <w:t>, 2017)</w:t>
      </w:r>
      <w:r w:rsidRPr="00987E10">
        <w:rPr>
          <w:b/>
          <w:bCs/>
          <w:color w:val="auto"/>
          <w:sz w:val="22"/>
          <w:szCs w:val="22"/>
        </w:rPr>
        <w:fldChar w:fldCharType="end"/>
      </w:r>
      <w:r>
        <w:rPr>
          <w:color w:val="auto"/>
          <w:sz w:val="22"/>
          <w:szCs w:val="22"/>
        </w:rPr>
        <w:t xml:space="preserve">. Furthermore, embryos infected with </w:t>
      </w:r>
      <w:r>
        <w:rPr>
          <w:i/>
          <w:iCs/>
          <w:color w:val="auto"/>
          <w:sz w:val="22"/>
          <w:szCs w:val="22"/>
        </w:rPr>
        <w:t xml:space="preserve">S. flexneri </w:t>
      </w:r>
      <w:r>
        <w:rPr>
          <w:color w:val="auto"/>
          <w:sz w:val="22"/>
          <w:szCs w:val="22"/>
        </w:rPr>
        <w:t xml:space="preserve">used neutrophils as scavengers to eliminate cells that were unable to kill bacteria </w:t>
      </w:r>
      <w:r w:rsidRPr="00987E10">
        <w:rPr>
          <w:b/>
          <w:bCs/>
          <w:color w:val="auto"/>
          <w:sz w:val="22"/>
          <w:szCs w:val="22"/>
        </w:rPr>
        <w:fldChar w:fldCharType="begin"/>
      </w:r>
      <w:r w:rsidRPr="00987E10">
        <w:rPr>
          <w:b/>
          <w:bCs/>
          <w:color w:val="auto"/>
          <w:sz w:val="22"/>
          <w:szCs w:val="22"/>
        </w:rPr>
        <w:instrText xml:space="preserve"> ADDIN EN.CITE &lt;EndNote&gt;&lt;Cite&gt;&lt;Author&gt;Mostowy&lt;/Author&gt;&lt;Year&gt;2013&lt;/Year&gt;&lt;IDText&gt;The Zebrafish as a New Model for the In Vivo Study of Shigella flexneri Interaction with Phagocytes and Bacterial Autophagy&lt;/IDText&gt;&lt;DisplayText&gt;(Mostowy&lt;style face="italic"&gt; et al.&lt;/style&gt;, 2013)&lt;/DisplayText&gt;&lt;record&gt;&lt;dates&gt;&lt;pub-dates&gt;&lt;date&gt;Sep&lt;/date&gt;&lt;/pub-dates&gt;&lt;year&gt;2013&lt;/year&gt;&lt;/dates&gt;&lt;urls&gt;&lt;related-urls&gt;&lt;url&gt;&amp;lt;Go to ISI&amp;gt;://WOS:000324922300017&lt;/url&gt;&lt;/related-urls&gt;&lt;/urls&gt;&lt;isbn&gt;1553-7366&lt;/isbn&gt;&lt;titles&gt;&lt;title&gt;The Zebrafish as a New Model for the In Vivo Study of Shigella flexneri Interaction with Phagocytes and Bacterial Autophagy&lt;/title&gt;&lt;secondary-title&gt;Plos Pathogens&lt;/secondary-title&gt;&lt;/titles&gt;&lt;number&gt;9&lt;/number&gt;&lt;contributors&gt;&lt;authors&gt;&lt;author&gt;Mostowy, S.&lt;/author&gt;&lt;author&gt;Boucontet, L.&lt;/author&gt;&lt;author&gt;Moya, M. J. M.&lt;/author&gt;&lt;author&gt;Sirianni, A.&lt;/author&gt;&lt;author&gt;Boudinot, P.&lt;/author&gt;&lt;author&gt;Hollinshead, M.&lt;/author&gt;&lt;author&gt;Cossart, P.&lt;/author&gt;&lt;author&gt;Herbomel, P.&lt;/author&gt;&lt;author&gt;Levraud, J. P.&lt;/author&gt;&lt;author&gt;Colucci-Guyon, E.&lt;/author&gt;&lt;/authors&gt;&lt;/contributors&gt;&lt;custom7&gt;e1003588&lt;/custom7&gt;&lt;added-date format="utc"&gt;1677607070&lt;/added-date&gt;&lt;ref-type name="Journal Article"&gt;17&lt;/ref-type&gt;&lt;rec-number&gt;589&lt;/rec-number&gt;&lt;last-updated-date format="utc"&gt;1677607070&lt;/last-updated-date&gt;&lt;accession-num&gt;WOS:000324922300017&lt;/accession-num&gt;&lt;electronic-resource-num&gt;10.1371/journal.ppat.1003588&lt;/electronic-resource-num&gt;&lt;volume&gt;9&lt;/volume&gt;&lt;/record&gt;&lt;/Cite&gt;&lt;/EndNote&gt;</w:instrText>
      </w:r>
      <w:r w:rsidRPr="00987E10">
        <w:rPr>
          <w:b/>
          <w:bCs/>
          <w:color w:val="auto"/>
          <w:sz w:val="22"/>
          <w:szCs w:val="22"/>
        </w:rPr>
        <w:fldChar w:fldCharType="separate"/>
      </w:r>
      <w:r w:rsidRPr="00987E10">
        <w:rPr>
          <w:b/>
          <w:bCs/>
          <w:noProof/>
          <w:color w:val="auto"/>
          <w:sz w:val="22"/>
          <w:szCs w:val="22"/>
        </w:rPr>
        <w:t>(Mostowy</w:t>
      </w:r>
      <w:r w:rsidRPr="00987E10">
        <w:rPr>
          <w:b/>
          <w:bCs/>
          <w:i/>
          <w:noProof/>
          <w:color w:val="auto"/>
          <w:sz w:val="22"/>
          <w:szCs w:val="22"/>
        </w:rPr>
        <w:t xml:space="preserve"> et al.</w:t>
      </w:r>
      <w:r w:rsidRPr="00987E10">
        <w:rPr>
          <w:b/>
          <w:bCs/>
          <w:noProof/>
          <w:color w:val="auto"/>
          <w:sz w:val="22"/>
          <w:szCs w:val="22"/>
        </w:rPr>
        <w:t>, 2013)</w:t>
      </w:r>
      <w:r w:rsidRPr="00987E10">
        <w:rPr>
          <w:b/>
          <w:bCs/>
          <w:color w:val="auto"/>
          <w:sz w:val="22"/>
          <w:szCs w:val="22"/>
        </w:rPr>
        <w:fldChar w:fldCharType="end"/>
      </w:r>
      <w:r>
        <w:rPr>
          <w:color w:val="auto"/>
          <w:sz w:val="22"/>
          <w:szCs w:val="22"/>
        </w:rPr>
        <w:t xml:space="preserve">.  </w:t>
      </w:r>
      <w:r w:rsidRPr="002702D7">
        <w:rPr>
          <w:color w:val="auto"/>
          <w:sz w:val="22"/>
          <w:szCs w:val="22"/>
        </w:rPr>
        <w:t xml:space="preserve">A model for systemic </w:t>
      </w:r>
      <w:r w:rsidRPr="002702D7">
        <w:rPr>
          <w:i/>
          <w:iCs/>
          <w:color w:val="auto"/>
          <w:sz w:val="22"/>
          <w:szCs w:val="22"/>
        </w:rPr>
        <w:t xml:space="preserve">S. aureus </w:t>
      </w:r>
      <w:r w:rsidRPr="002702D7">
        <w:rPr>
          <w:color w:val="auto"/>
          <w:sz w:val="22"/>
          <w:szCs w:val="22"/>
        </w:rPr>
        <w:t>infection was developed</w:t>
      </w:r>
      <w:r>
        <w:rPr>
          <w:color w:val="auto"/>
          <w:sz w:val="22"/>
          <w:szCs w:val="22"/>
        </w:rPr>
        <w:t>,</w:t>
      </w:r>
      <w:r w:rsidRPr="002702D7">
        <w:rPr>
          <w:color w:val="auto"/>
          <w:sz w:val="22"/>
          <w:szCs w:val="22"/>
        </w:rPr>
        <w:t xml:space="preserve"> which demonstrated the necessity of professional phagocytes for infection </w:t>
      </w:r>
      <w:r>
        <w:rPr>
          <w:color w:val="auto"/>
          <w:sz w:val="22"/>
          <w:szCs w:val="22"/>
        </w:rPr>
        <w:t>by myeloid cell depletion using morpholino oligonucleotides that transiently knockdown genes</w:t>
      </w:r>
      <w:r w:rsidR="008F097F">
        <w:rPr>
          <w:color w:val="auto"/>
          <w:sz w:val="22"/>
          <w:szCs w:val="22"/>
        </w:rPr>
        <w:t>,</w:t>
      </w:r>
      <w:r w:rsidRPr="002702D7">
        <w:rPr>
          <w:color w:val="auto"/>
          <w:sz w:val="22"/>
          <w:szCs w:val="22"/>
        </w:rPr>
        <w:t xml:space="preserve"> and showed that macrophages engulfed more bacteria than neutrophils </w:t>
      </w:r>
      <w:r w:rsidRPr="002702D7">
        <w:rPr>
          <w:b/>
          <w:bCs/>
          <w:color w:val="auto"/>
          <w:sz w:val="22"/>
          <w:szCs w:val="22"/>
        </w:rPr>
        <w:fldChar w:fldCharType="begin"/>
      </w:r>
      <w:r w:rsidRPr="002702D7">
        <w:rPr>
          <w:b/>
          <w:bCs/>
          <w:color w:val="auto"/>
          <w:sz w:val="22"/>
          <w:szCs w:val="22"/>
        </w:rPr>
        <w:instrText xml:space="preserve"> ADDIN EN.CITE &lt;EndNote&gt;&lt;Cite&gt;&lt;Author&gt;Prajsnar&lt;/Author&gt;&lt;Year&gt;2008&lt;/Year&gt;&lt;IDText&gt;A novel vertebrate model of Staphylococcus aureus infection reveals phagocyte-dependent resistance of zebrafish to non-host specialized pathogens&lt;/IDText&gt;&lt;DisplayText&gt;(Prajsnar&lt;style face="italic"&gt; et al.&lt;/style&gt;, 2008)&lt;/DisplayText&gt;&lt;record&gt;&lt;dates&gt;&lt;pub-dates&gt;&lt;date&gt;Nov&lt;/date&gt;&lt;/pub-dates&gt;&lt;year&gt;2008&lt;/year&gt;&lt;/dates&gt;&lt;urls&gt;&lt;related-urls&gt;&lt;url&gt;&amp;lt;Go to ISI&amp;gt;://WOS:000260048600014&lt;/url&gt;&lt;/related-urls&gt;&lt;/urls&gt;&lt;isbn&gt;1462-5814&lt;/isbn&gt;&lt;titles&gt;&lt;title&gt;A novel vertebrate model of Staphylococcus aureus infection reveals phagocyte-dependent resistance of zebrafish to non-host specialized pathogens&lt;/title&gt;&lt;secondary-title&gt;Cellular Microbiology&lt;/secondary-title&gt;&lt;/titles&gt;&lt;pages&gt;2312-2325&lt;/pages&gt;&lt;number&gt;11&lt;/number&gt;&lt;contributors&gt;&lt;authors&gt;&lt;author&gt;Prajsnar, Tomasz K.&lt;/author&gt;&lt;author&gt;Cunliffe, Vincent T.&lt;/author&gt;&lt;author&gt;Foster, Simon J.&lt;/author&gt;&lt;author&gt;Renshaw, Stephen A.&lt;/author&gt;&lt;/authors&gt;&lt;/contributors&gt;&lt;added-date format="utc"&gt;1663613572&lt;/added-date&gt;&lt;ref-type name="Journal Article"&gt;17&lt;/ref-type&gt;&lt;rec-number&gt;76&lt;/rec-number&gt;&lt;last-updated-date format="utc"&gt;1663624413&lt;/last-updated-date&gt;&lt;accession-num&gt;WOS:000260048600014&lt;/accession-num&gt;&lt;electronic-resource-num&gt;10.1111/j.1462-5822.2008.01213.x&lt;/electronic-resource-num&gt;&lt;volume&gt;10&lt;/volume&gt;&lt;/record&gt;&lt;/Cite&gt;&lt;/EndNote&gt;</w:instrText>
      </w:r>
      <w:r w:rsidRPr="002702D7">
        <w:rPr>
          <w:b/>
          <w:bCs/>
          <w:color w:val="auto"/>
          <w:sz w:val="22"/>
          <w:szCs w:val="22"/>
        </w:rPr>
        <w:fldChar w:fldCharType="separate"/>
      </w:r>
      <w:r w:rsidRPr="002702D7">
        <w:rPr>
          <w:b/>
          <w:bCs/>
          <w:noProof/>
          <w:color w:val="auto"/>
          <w:sz w:val="22"/>
          <w:szCs w:val="22"/>
        </w:rPr>
        <w:t>(Prajsnar</w:t>
      </w:r>
      <w:r w:rsidRPr="002702D7">
        <w:rPr>
          <w:b/>
          <w:bCs/>
          <w:i/>
          <w:noProof/>
          <w:color w:val="auto"/>
          <w:sz w:val="22"/>
          <w:szCs w:val="22"/>
        </w:rPr>
        <w:t xml:space="preserve"> et al.</w:t>
      </w:r>
      <w:r w:rsidRPr="002702D7">
        <w:rPr>
          <w:b/>
          <w:bCs/>
          <w:noProof/>
          <w:color w:val="auto"/>
          <w:sz w:val="22"/>
          <w:szCs w:val="22"/>
        </w:rPr>
        <w:t>, 2008)</w:t>
      </w:r>
      <w:r w:rsidRPr="002702D7">
        <w:rPr>
          <w:b/>
          <w:bCs/>
          <w:color w:val="auto"/>
          <w:sz w:val="22"/>
          <w:szCs w:val="22"/>
        </w:rPr>
        <w:fldChar w:fldCharType="end"/>
      </w:r>
      <w:r w:rsidRPr="002702D7">
        <w:rPr>
          <w:b/>
          <w:bCs/>
          <w:color w:val="auto"/>
          <w:sz w:val="22"/>
          <w:szCs w:val="22"/>
        </w:rPr>
        <w:t>.</w:t>
      </w:r>
      <w:r>
        <w:rPr>
          <w:color w:val="auto"/>
          <w:sz w:val="22"/>
          <w:szCs w:val="22"/>
        </w:rPr>
        <w:t xml:space="preserve"> </w:t>
      </w:r>
      <w:r w:rsidRPr="002702D7">
        <w:rPr>
          <w:color w:val="auto"/>
          <w:sz w:val="22"/>
          <w:szCs w:val="22"/>
        </w:rPr>
        <w:t>The role of virulence regulators such as PerR w</w:t>
      </w:r>
      <w:r>
        <w:rPr>
          <w:color w:val="auto"/>
          <w:sz w:val="22"/>
          <w:szCs w:val="22"/>
        </w:rPr>
        <w:t>as also</w:t>
      </w:r>
      <w:r w:rsidRPr="002702D7">
        <w:rPr>
          <w:color w:val="auto"/>
          <w:sz w:val="22"/>
          <w:szCs w:val="22"/>
        </w:rPr>
        <w:t xml:space="preserve"> demonstrated</w:t>
      </w:r>
      <w:r>
        <w:rPr>
          <w:color w:val="auto"/>
          <w:sz w:val="22"/>
          <w:szCs w:val="22"/>
        </w:rPr>
        <w:t>,</w:t>
      </w:r>
      <w:r w:rsidRPr="002702D7">
        <w:rPr>
          <w:color w:val="auto"/>
          <w:sz w:val="22"/>
          <w:szCs w:val="22"/>
        </w:rPr>
        <w:t xml:space="preserve"> as a </w:t>
      </w:r>
      <w:r w:rsidRPr="002702D7">
        <w:rPr>
          <w:i/>
          <w:iCs/>
          <w:color w:val="auto"/>
          <w:sz w:val="22"/>
          <w:szCs w:val="22"/>
        </w:rPr>
        <w:t xml:space="preserve">perR </w:t>
      </w:r>
      <w:r w:rsidRPr="002702D7">
        <w:rPr>
          <w:color w:val="auto"/>
          <w:sz w:val="22"/>
          <w:szCs w:val="22"/>
        </w:rPr>
        <w:t xml:space="preserve">mutant was attenuated </w:t>
      </w:r>
      <w:r w:rsidRPr="002702D7">
        <w:rPr>
          <w:i/>
          <w:iCs/>
          <w:color w:val="auto"/>
          <w:sz w:val="22"/>
          <w:szCs w:val="22"/>
        </w:rPr>
        <w:t xml:space="preserve">in vivo </w:t>
      </w:r>
      <w:r w:rsidRPr="002702D7">
        <w:rPr>
          <w:b/>
          <w:bCs/>
          <w:color w:val="auto"/>
          <w:sz w:val="22"/>
          <w:szCs w:val="22"/>
        </w:rPr>
        <w:fldChar w:fldCharType="begin"/>
      </w:r>
      <w:r w:rsidRPr="002702D7">
        <w:rPr>
          <w:b/>
          <w:bCs/>
          <w:color w:val="auto"/>
          <w:sz w:val="22"/>
          <w:szCs w:val="22"/>
        </w:rPr>
        <w:instrText xml:space="preserve"> ADDIN EN.CITE &lt;EndNote&gt;&lt;Cite&gt;&lt;Author&gt;Prajsnar&lt;/Author&gt;&lt;Year&gt;2008&lt;/Year&gt;&lt;IDText&gt;A novel vertebrate model of Staphylococcus aureus infection reveals phagocyte-dependent resistance of zebrafish to non-host specialized pathogens&lt;/IDText&gt;&lt;DisplayText&gt;(Prajsnar&lt;style face="italic"&gt; et al.&lt;/style&gt;, 2008)&lt;/DisplayText&gt;&lt;record&gt;&lt;dates&gt;&lt;pub-dates&gt;&lt;date&gt;Nov&lt;/date&gt;&lt;/pub-dates&gt;&lt;year&gt;2008&lt;/year&gt;&lt;/dates&gt;&lt;urls&gt;&lt;related-urls&gt;&lt;url&gt;&amp;lt;Go to ISI&amp;gt;://WOS:000260048600014&lt;/url&gt;&lt;/related-urls&gt;&lt;/urls&gt;&lt;isbn&gt;1462-5814&lt;/isbn&gt;&lt;titles&gt;&lt;title&gt;A novel vertebrate model of Staphylococcus aureus infection reveals phagocyte-dependent resistance of zebrafish to non-host specialized pathogens&lt;/title&gt;&lt;secondary-title&gt;Cellular Microbiology&lt;/secondary-title&gt;&lt;/titles&gt;&lt;pages&gt;2312-2325&lt;/pages&gt;&lt;number&gt;11&lt;/number&gt;&lt;contributors&gt;&lt;authors&gt;&lt;author&gt;Prajsnar, Tomasz K.&lt;/author&gt;&lt;author&gt;Cunliffe, Vincent T.&lt;/author&gt;&lt;author&gt;Foster, Simon J.&lt;/author&gt;&lt;author&gt;Renshaw, Stephen A.&lt;/author&gt;&lt;/authors&gt;&lt;/contributors&gt;&lt;added-date format="utc"&gt;1663613572&lt;/added-date&gt;&lt;ref-type name="Journal Article"&gt;17&lt;/ref-type&gt;&lt;rec-number&gt;76&lt;/rec-number&gt;&lt;last-updated-date format="utc"&gt;1663624413&lt;/last-updated-date&gt;&lt;accession-num&gt;WOS:000260048600014&lt;/accession-num&gt;&lt;electronic-resource-num&gt;10.1111/j.1462-5822.2008.01213.x&lt;/electronic-resource-num&gt;&lt;volume&gt;10&lt;/volume&gt;&lt;/record&gt;&lt;/Cite&gt;&lt;/EndNote&gt;</w:instrText>
      </w:r>
      <w:r w:rsidRPr="002702D7">
        <w:rPr>
          <w:b/>
          <w:bCs/>
          <w:color w:val="auto"/>
          <w:sz w:val="22"/>
          <w:szCs w:val="22"/>
        </w:rPr>
        <w:fldChar w:fldCharType="separate"/>
      </w:r>
      <w:r w:rsidRPr="002702D7">
        <w:rPr>
          <w:b/>
          <w:bCs/>
          <w:noProof/>
          <w:color w:val="auto"/>
          <w:sz w:val="22"/>
          <w:szCs w:val="22"/>
        </w:rPr>
        <w:t>(Prajsnar et al., 2008)</w:t>
      </w:r>
      <w:r w:rsidRPr="002702D7">
        <w:rPr>
          <w:b/>
          <w:bCs/>
          <w:color w:val="auto"/>
          <w:sz w:val="22"/>
          <w:szCs w:val="22"/>
        </w:rPr>
        <w:fldChar w:fldCharType="end"/>
      </w:r>
      <w:r w:rsidRPr="002702D7">
        <w:rPr>
          <w:color w:val="auto"/>
          <w:sz w:val="22"/>
          <w:szCs w:val="22"/>
        </w:rPr>
        <w:t xml:space="preserve">. Furthermore, </w:t>
      </w:r>
      <w:r w:rsidRPr="00EB6334">
        <w:rPr>
          <w:color w:val="auto"/>
          <w:sz w:val="22"/>
          <w:szCs w:val="22"/>
        </w:rPr>
        <w:t>Prajsnar and colleagues</w:t>
      </w:r>
      <w:r w:rsidRPr="002702D7">
        <w:rPr>
          <w:color w:val="auto"/>
          <w:sz w:val="22"/>
          <w:szCs w:val="22"/>
        </w:rPr>
        <w:t xml:space="preserve"> also established a zebrafish embryo model of systemic infection with</w:t>
      </w:r>
      <w:r w:rsidR="008F097F">
        <w:rPr>
          <w:color w:val="auto"/>
          <w:sz w:val="22"/>
          <w:szCs w:val="22"/>
        </w:rPr>
        <w:t>in</w:t>
      </w:r>
      <w:r w:rsidRPr="002702D7">
        <w:rPr>
          <w:color w:val="auto"/>
          <w:sz w:val="22"/>
          <w:szCs w:val="22"/>
        </w:rPr>
        <w:t xml:space="preserve"> </w:t>
      </w:r>
      <w:r w:rsidRPr="002702D7">
        <w:rPr>
          <w:i/>
          <w:iCs/>
          <w:color w:val="auto"/>
          <w:sz w:val="22"/>
          <w:szCs w:val="22"/>
        </w:rPr>
        <w:t>E</w:t>
      </w:r>
      <w:r>
        <w:rPr>
          <w:i/>
          <w:iCs/>
          <w:color w:val="auto"/>
          <w:sz w:val="22"/>
          <w:szCs w:val="22"/>
        </w:rPr>
        <w:t>.</w:t>
      </w:r>
      <w:r w:rsidRPr="002702D7">
        <w:rPr>
          <w:i/>
          <w:iCs/>
          <w:color w:val="auto"/>
          <w:sz w:val="22"/>
          <w:szCs w:val="22"/>
        </w:rPr>
        <w:t xml:space="preserve"> faecalis</w:t>
      </w:r>
      <w:r>
        <w:rPr>
          <w:color w:val="auto"/>
          <w:sz w:val="22"/>
          <w:szCs w:val="22"/>
        </w:rPr>
        <w:t>,</w:t>
      </w:r>
      <w:r w:rsidRPr="002702D7">
        <w:rPr>
          <w:i/>
          <w:iCs/>
          <w:color w:val="auto"/>
          <w:sz w:val="22"/>
          <w:szCs w:val="22"/>
        </w:rPr>
        <w:t xml:space="preserve"> </w:t>
      </w:r>
      <w:r w:rsidRPr="002702D7">
        <w:rPr>
          <w:color w:val="auto"/>
          <w:sz w:val="22"/>
          <w:szCs w:val="22"/>
        </w:rPr>
        <w:t>which</w:t>
      </w:r>
      <w:r w:rsidRPr="002702D7">
        <w:rPr>
          <w:i/>
          <w:iCs/>
          <w:color w:val="auto"/>
          <w:sz w:val="22"/>
          <w:szCs w:val="22"/>
        </w:rPr>
        <w:t xml:space="preserve"> </w:t>
      </w:r>
      <w:r w:rsidRPr="002702D7">
        <w:rPr>
          <w:color w:val="auto"/>
          <w:sz w:val="22"/>
          <w:szCs w:val="22"/>
        </w:rPr>
        <w:t xml:space="preserve">revealed that the extracellular polysaccharide antigen enabled evasion of phagocytosis and that the quorum sensing </w:t>
      </w:r>
      <w:r w:rsidRPr="00C33B3E">
        <w:rPr>
          <w:i/>
          <w:iCs/>
          <w:color w:val="auto"/>
          <w:sz w:val="22"/>
          <w:szCs w:val="22"/>
        </w:rPr>
        <w:t xml:space="preserve">fsr </w:t>
      </w:r>
      <w:r w:rsidRPr="002702D7">
        <w:rPr>
          <w:color w:val="auto"/>
          <w:sz w:val="22"/>
          <w:szCs w:val="22"/>
        </w:rPr>
        <w:t xml:space="preserve">regulon was responsible for tissue damage </w:t>
      </w:r>
      <w:r w:rsidRPr="002702D7">
        <w:rPr>
          <w:b/>
          <w:bCs/>
          <w:color w:val="auto"/>
          <w:sz w:val="22"/>
          <w:szCs w:val="22"/>
        </w:rPr>
        <w:fldChar w:fldCharType="begin"/>
      </w:r>
      <w:r w:rsidRPr="002702D7">
        <w:rPr>
          <w:b/>
          <w:bCs/>
          <w:color w:val="auto"/>
          <w:sz w:val="22"/>
          <w:szCs w:val="22"/>
        </w:rPr>
        <w:instrText xml:space="preserve"> ADDIN EN.CITE &lt;EndNote&gt;&lt;Cite&gt;&lt;Author&gt;Prajsnar&lt;/Author&gt;&lt;Year&gt;2013&lt;/Year&gt;&lt;IDText&gt;Zebrafish as a Novel Vertebrate Model To Dissect Enterococcal Pathogenesis&lt;/IDText&gt;&lt;DisplayText&gt;(Prajsnar&lt;style face="italic"&gt; et al.&lt;/style&gt;, 2013)&lt;/DisplayText&gt;&lt;record&gt;&lt;dates&gt;&lt;pub-dates&gt;&lt;date&gt;Nov&lt;/date&gt;&lt;/pub-dates&gt;&lt;year&gt;2013&lt;/year&gt;&lt;/dates&gt;&lt;urls&gt;&lt;related-urls&gt;&lt;url&gt;&amp;lt;Go to ISI&amp;gt;://WOS:000325719900032&lt;/url&gt;&lt;/related-urls&gt;&lt;/urls&gt;&lt;isbn&gt;0019-9567&lt;/isbn&gt;&lt;titles&gt;&lt;title&gt;Zebrafish as a Novel Vertebrate Model To Dissect Enterococcal Pathogenesis&lt;/title&gt;&lt;secondary-title&gt;Infection and Immunity&lt;/secondary-title&gt;&lt;/titles&gt;&lt;pages&gt;4271-4279&lt;/pages&gt;&lt;number&gt;11&lt;/number&gt;&lt;contributors&gt;&lt;authors&gt;&lt;author&gt;Prajsnar, T. K.&lt;/author&gt;&lt;author&gt;Renshaw, S. A.&lt;/author&gt;&lt;author&gt;Ogryzko, N. V.&lt;/author&gt;&lt;author&gt;Foster, S. J.&lt;/author&gt;&lt;author&gt;Serror, P.&lt;/author&gt;&lt;author&gt;Mesnage, S.&lt;/author&gt;&lt;/authors&gt;&lt;/contributors&gt;&lt;added-date format="utc"&gt;1674932081&lt;/added-date&gt;&lt;ref-type name="Journal Article"&gt;17&lt;/ref-type&gt;&lt;rec-number&gt;282&lt;/rec-number&gt;&lt;last-updated-date format="utc"&gt;1675008997&lt;/last-updated-date&gt;&lt;accession-num&gt;WOS:000325719900032&lt;/accession-num&gt;&lt;electronic-resource-num&gt;10.1128/iai.00976-13&lt;/electronic-resource-num&gt;&lt;volume&gt;81&lt;/volume&gt;&lt;/record&gt;&lt;/Cite&gt;&lt;/EndNote&gt;</w:instrText>
      </w:r>
      <w:r w:rsidRPr="002702D7">
        <w:rPr>
          <w:b/>
          <w:bCs/>
          <w:color w:val="auto"/>
          <w:sz w:val="22"/>
          <w:szCs w:val="22"/>
        </w:rPr>
        <w:fldChar w:fldCharType="separate"/>
      </w:r>
      <w:r w:rsidRPr="002702D7">
        <w:rPr>
          <w:b/>
          <w:bCs/>
          <w:noProof/>
          <w:color w:val="auto"/>
          <w:sz w:val="22"/>
          <w:szCs w:val="22"/>
        </w:rPr>
        <w:t>(Prajsnar</w:t>
      </w:r>
      <w:r w:rsidRPr="002702D7">
        <w:rPr>
          <w:b/>
          <w:bCs/>
          <w:i/>
          <w:noProof/>
          <w:color w:val="auto"/>
          <w:sz w:val="22"/>
          <w:szCs w:val="22"/>
        </w:rPr>
        <w:t xml:space="preserve"> et al.</w:t>
      </w:r>
      <w:r w:rsidRPr="002702D7">
        <w:rPr>
          <w:b/>
          <w:bCs/>
          <w:noProof/>
          <w:color w:val="auto"/>
          <w:sz w:val="22"/>
          <w:szCs w:val="22"/>
        </w:rPr>
        <w:t>, 2013)</w:t>
      </w:r>
      <w:r w:rsidRPr="002702D7">
        <w:rPr>
          <w:b/>
          <w:bCs/>
          <w:color w:val="auto"/>
          <w:sz w:val="22"/>
          <w:szCs w:val="22"/>
        </w:rPr>
        <w:fldChar w:fldCharType="end"/>
      </w:r>
      <w:r w:rsidRPr="002702D7">
        <w:rPr>
          <w:color w:val="auto"/>
          <w:sz w:val="22"/>
          <w:szCs w:val="22"/>
        </w:rPr>
        <w:t>.</w:t>
      </w:r>
      <w:r w:rsidRPr="002702D7">
        <w:rPr>
          <w:i/>
          <w:iCs/>
          <w:color w:val="auto"/>
          <w:sz w:val="22"/>
          <w:szCs w:val="22"/>
        </w:rPr>
        <w:t xml:space="preserve"> </w:t>
      </w:r>
      <w:r w:rsidRPr="002702D7">
        <w:rPr>
          <w:color w:val="auto"/>
          <w:sz w:val="22"/>
          <w:szCs w:val="22"/>
        </w:rPr>
        <w:t>A</w:t>
      </w:r>
      <w:r>
        <w:rPr>
          <w:color w:val="auto"/>
          <w:sz w:val="22"/>
          <w:szCs w:val="22"/>
        </w:rPr>
        <w:t>dditionally, a</w:t>
      </w:r>
      <w:r w:rsidRPr="002702D7">
        <w:rPr>
          <w:color w:val="auto"/>
          <w:sz w:val="22"/>
          <w:szCs w:val="22"/>
        </w:rPr>
        <w:t xml:space="preserve">n </w:t>
      </w:r>
      <w:r w:rsidRPr="002702D7">
        <w:rPr>
          <w:i/>
          <w:iCs/>
          <w:color w:val="auto"/>
          <w:sz w:val="22"/>
          <w:szCs w:val="22"/>
        </w:rPr>
        <w:t>E. faecalis atlA</w:t>
      </w:r>
      <w:r w:rsidRPr="002702D7">
        <w:rPr>
          <w:color w:val="auto"/>
          <w:sz w:val="22"/>
          <w:szCs w:val="22"/>
        </w:rPr>
        <w:t xml:space="preserve"> mutant</w:t>
      </w:r>
      <w:r>
        <w:rPr>
          <w:color w:val="auto"/>
          <w:sz w:val="22"/>
          <w:szCs w:val="22"/>
        </w:rPr>
        <w:t xml:space="preserve"> affected proper septum cleavage</w:t>
      </w:r>
      <w:r w:rsidRPr="002702D7">
        <w:rPr>
          <w:color w:val="auto"/>
          <w:sz w:val="22"/>
          <w:szCs w:val="22"/>
        </w:rPr>
        <w:t>,</w:t>
      </w:r>
      <w:r>
        <w:rPr>
          <w:color w:val="auto"/>
          <w:sz w:val="22"/>
          <w:szCs w:val="22"/>
        </w:rPr>
        <w:t xml:space="preserve"> leading to the formation of long chains rather than diplococci,</w:t>
      </w:r>
      <w:r w:rsidRPr="002702D7">
        <w:rPr>
          <w:color w:val="auto"/>
          <w:sz w:val="22"/>
          <w:szCs w:val="22"/>
        </w:rPr>
        <w:t xml:space="preserve"> </w:t>
      </w:r>
      <w:r>
        <w:rPr>
          <w:color w:val="auto"/>
          <w:sz w:val="22"/>
          <w:szCs w:val="22"/>
        </w:rPr>
        <w:t>and thus resulted</w:t>
      </w:r>
      <w:r w:rsidRPr="002702D7">
        <w:rPr>
          <w:color w:val="auto"/>
          <w:sz w:val="22"/>
          <w:szCs w:val="22"/>
        </w:rPr>
        <w:t xml:space="preserve"> in susceptibility to phagocytosis </w:t>
      </w:r>
      <w:r w:rsidRPr="002702D7">
        <w:rPr>
          <w:b/>
          <w:bCs/>
          <w:color w:val="auto"/>
          <w:sz w:val="22"/>
          <w:szCs w:val="22"/>
        </w:rPr>
        <w:fldChar w:fldCharType="begin"/>
      </w:r>
      <w:r w:rsidRPr="002702D7">
        <w:rPr>
          <w:b/>
          <w:bCs/>
          <w:color w:val="auto"/>
          <w:sz w:val="22"/>
          <w:szCs w:val="22"/>
        </w:rPr>
        <w:instrText xml:space="preserve"> ADDIN EN.CITE &lt;EndNote&gt;&lt;Cite&gt;&lt;Author&gt;Salamaga&lt;/Author&gt;&lt;Year&gt;2017&lt;/Year&gt;&lt;IDText&gt;Bacterial size matters: Multiple mechanisms controlling septum cleavage and diplococcus formation are critical for the virulence of the opportunistic pathogen Enterococcus faecalis&lt;/IDText&gt;&lt;DisplayText&gt;(Salamaga&lt;style face="italic"&gt; et al.&lt;/style&gt;, 2017)&lt;/DisplayText&gt;&lt;record&gt;&lt;dates&gt;&lt;pub-dates&gt;&lt;date&gt;Jul&lt;/date&gt;&lt;/pub-dates&gt;&lt;year&gt;2017&lt;/year&gt;&lt;/dates&gt;&lt;urls&gt;&lt;related-urls&gt;&lt;url&gt;&amp;lt;Go to ISI&amp;gt;://WOS:000406623700050&lt;/url&gt;&lt;/related-urls&gt;&lt;/urls&gt;&lt;isbn&gt;1553-7366&lt;/isbn&gt;&lt;titles&gt;&lt;title&gt;Bacterial size matters: Multiple mechanisms controlling septum cleavage and diplococcus formation are critical for the virulence of the opportunistic pathogen Enterococcus faecalis&lt;/title&gt;&lt;secondary-title&gt;Plos Pathogens&lt;/secondary-title&gt;&lt;/titles&gt;&lt;number&gt;7&lt;/number&gt;&lt;contributors&gt;&lt;authors&gt;&lt;author&gt;Salamaga, B.&lt;/author&gt;&lt;author&gt;Prajsnar, T. K.&lt;/author&gt;&lt;author&gt;Jareno-Martinez, A.&lt;/author&gt;&lt;author&gt;Willemse, J.&lt;/author&gt;&lt;author&gt;Bewley, M. A.&lt;/author&gt;&lt;author&gt;Chau, F.&lt;/author&gt;&lt;author&gt;Ben Belkacem, T.&lt;/author&gt;&lt;author&gt;Meijer, A. H.&lt;/author&gt;&lt;author&gt;Dockrell, D. H.&lt;/author&gt;&lt;author&gt;Renshaw, S. A.&lt;/author&gt;&lt;author&gt;Mesnage, S.&lt;/author&gt;&lt;/authors&gt;&lt;/contributors&gt;&lt;custom7&gt;e1006526&lt;/custom7&gt;&lt;added-date format="utc"&gt;1677562308&lt;/added-date&gt;&lt;ref-type name="Journal Article"&gt;17&lt;/ref-type&gt;&lt;rec-number&gt;588&lt;/rec-number&gt;&lt;last-updated-date format="utc"&gt;1677562308&lt;/last-updated-date&gt;&lt;accession-num&gt;WOS:000406623700050&lt;/accession-num&gt;&lt;electronic-resource-num&gt;10.1371/journal.ppat.1006526&lt;/electronic-resource-num&gt;&lt;volume&gt;13&lt;/volume&gt;&lt;/record&gt;&lt;/Cite&gt;&lt;/EndNote&gt;</w:instrText>
      </w:r>
      <w:r w:rsidRPr="002702D7">
        <w:rPr>
          <w:b/>
          <w:bCs/>
          <w:color w:val="auto"/>
          <w:sz w:val="22"/>
          <w:szCs w:val="22"/>
        </w:rPr>
        <w:fldChar w:fldCharType="separate"/>
      </w:r>
      <w:r w:rsidRPr="002702D7">
        <w:rPr>
          <w:b/>
          <w:bCs/>
          <w:noProof/>
          <w:color w:val="auto"/>
          <w:sz w:val="22"/>
          <w:szCs w:val="22"/>
        </w:rPr>
        <w:t>(Salamaga</w:t>
      </w:r>
      <w:r w:rsidRPr="002702D7">
        <w:rPr>
          <w:b/>
          <w:bCs/>
          <w:i/>
          <w:noProof/>
          <w:color w:val="auto"/>
          <w:sz w:val="22"/>
          <w:szCs w:val="22"/>
        </w:rPr>
        <w:t xml:space="preserve"> et al.</w:t>
      </w:r>
      <w:r w:rsidRPr="002702D7">
        <w:rPr>
          <w:b/>
          <w:bCs/>
          <w:noProof/>
          <w:color w:val="auto"/>
          <w:sz w:val="22"/>
          <w:szCs w:val="22"/>
        </w:rPr>
        <w:t>, 2017)</w:t>
      </w:r>
      <w:r w:rsidRPr="002702D7">
        <w:rPr>
          <w:b/>
          <w:bCs/>
          <w:color w:val="auto"/>
          <w:sz w:val="22"/>
          <w:szCs w:val="22"/>
        </w:rPr>
        <w:fldChar w:fldCharType="end"/>
      </w:r>
      <w:r>
        <w:rPr>
          <w:color w:val="auto"/>
          <w:sz w:val="22"/>
          <w:szCs w:val="22"/>
        </w:rPr>
        <w:t>. These studies highlight how zebrafish infection by different bacteria has shed light on both how the immune system functions to eliminate invading pathogens, and how bacteria are able to evade the immune system. While murine models are considered the ‘gold standard’, zebrafish embryos are</w:t>
      </w:r>
      <w:r w:rsidR="008F097F">
        <w:rPr>
          <w:color w:val="auto"/>
          <w:sz w:val="22"/>
          <w:szCs w:val="22"/>
        </w:rPr>
        <w:t xml:space="preserve"> also</w:t>
      </w:r>
      <w:r>
        <w:rPr>
          <w:color w:val="auto"/>
          <w:sz w:val="22"/>
          <w:szCs w:val="22"/>
        </w:rPr>
        <w:t xml:space="preserve"> able to give valuable insight into the pathologies of different infections that may be applicable in the clinical setting. </w:t>
      </w:r>
    </w:p>
    <w:p w14:paraId="5622365D" w14:textId="77777777" w:rsidR="00033564" w:rsidRDefault="00033564" w:rsidP="00033564">
      <w:pPr>
        <w:pStyle w:val="Default"/>
        <w:spacing w:line="360" w:lineRule="auto"/>
        <w:jc w:val="both"/>
        <w:rPr>
          <w:color w:val="auto"/>
          <w:sz w:val="20"/>
          <w:szCs w:val="20"/>
        </w:rPr>
      </w:pPr>
    </w:p>
    <w:p w14:paraId="798C6E37" w14:textId="77777777" w:rsidR="00033564" w:rsidRPr="00E87BBF" w:rsidRDefault="00033564" w:rsidP="00033564">
      <w:pPr>
        <w:pStyle w:val="Heading3"/>
      </w:pPr>
      <w:bookmarkStart w:id="61" w:name="_Toc142043585"/>
      <w:r>
        <w:t>1.4.3. Humanised zebrafish models</w:t>
      </w:r>
      <w:bookmarkEnd w:id="61"/>
      <w:r>
        <w:t xml:space="preserve"> </w:t>
      </w:r>
    </w:p>
    <w:p w14:paraId="1B6D2B6B" w14:textId="77777777" w:rsidR="00033564" w:rsidRDefault="00033564" w:rsidP="00033564">
      <w:pPr>
        <w:pStyle w:val="Default"/>
        <w:spacing w:line="360" w:lineRule="auto"/>
        <w:jc w:val="both"/>
        <w:rPr>
          <w:color w:val="auto"/>
          <w:sz w:val="22"/>
          <w:szCs w:val="22"/>
        </w:rPr>
      </w:pPr>
    </w:p>
    <w:p w14:paraId="46277007" w14:textId="78DE257B" w:rsidR="00033564" w:rsidRDefault="00033564" w:rsidP="00033564">
      <w:pPr>
        <w:pStyle w:val="Default"/>
        <w:spacing w:line="360" w:lineRule="auto"/>
        <w:jc w:val="both"/>
        <w:rPr>
          <w:color w:val="auto"/>
          <w:sz w:val="22"/>
          <w:szCs w:val="22"/>
        </w:rPr>
      </w:pPr>
      <w:r>
        <w:rPr>
          <w:color w:val="auto"/>
          <w:sz w:val="22"/>
          <w:szCs w:val="22"/>
        </w:rPr>
        <w:t xml:space="preserve">As mentioned, a limitation of using an animal model is that the animal may not respond to infections as humans would, which can hinder the development of drugs and vaccines. This is usually due to bacteria being unable to interact with the animal counterparts of a human receptor. Thus, in order to circumvent these issues, humanised zebrafish models are being utilised. Cytokines are integral cell signalling proteins with immunomodulatory effects required for the establishment of a pro- or anti-inflammatory response. Conservation between cytokine genes from mice and humans differs, which has led to the development of humanised mouse models so that responses observed in mice are more representative of what would occur in humans </w:t>
      </w:r>
      <w:r w:rsidRPr="00C663B3">
        <w:rPr>
          <w:b/>
          <w:bCs/>
          <w:color w:val="auto"/>
          <w:sz w:val="22"/>
          <w:szCs w:val="22"/>
        </w:rPr>
        <w:fldChar w:fldCharType="begin">
          <w:fldData xml:space="preserve">PEVuZE5vdGU+PENpdGU+PEF1dGhvcj5Ccm9ja2VyPC9BdXRob3I+PFllYXI+MjAxMDwvWWVhcj48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==
</w:fldData>
        </w:fldChar>
      </w:r>
      <w:r w:rsidRPr="00C663B3">
        <w:rPr>
          <w:b/>
          <w:bCs/>
          <w:color w:val="auto"/>
          <w:sz w:val="22"/>
          <w:szCs w:val="22"/>
        </w:rPr>
        <w:instrText xml:space="preserve"> ADDIN EN.CITE </w:instrText>
      </w:r>
      <w:r w:rsidRPr="00C663B3">
        <w:rPr>
          <w:b/>
          <w:bCs/>
          <w:color w:val="auto"/>
          <w:sz w:val="22"/>
          <w:szCs w:val="22"/>
        </w:rPr>
        <w:fldChar w:fldCharType="begin">
          <w:fldData xml:space="preserve">PEVuZE5vdGU+PENpdGU+PEF1dGhvcj5Ccm9ja2VyPC9BdXRob3I+PFllYXI+MjAxMDwvWWVhcj48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==
</w:fldData>
        </w:fldChar>
      </w:r>
      <w:r w:rsidRPr="00C663B3">
        <w:rPr>
          <w:b/>
          <w:bCs/>
          <w:color w:val="auto"/>
          <w:sz w:val="22"/>
          <w:szCs w:val="22"/>
        </w:rPr>
        <w:instrText xml:space="preserve"> ADDIN EN.CITE.DATA </w:instrText>
      </w:r>
      <w:r w:rsidRPr="00C663B3">
        <w:rPr>
          <w:b/>
          <w:bCs/>
          <w:color w:val="auto"/>
          <w:sz w:val="22"/>
          <w:szCs w:val="22"/>
        </w:rPr>
      </w:r>
      <w:r w:rsidRPr="00C663B3">
        <w:rPr>
          <w:b/>
          <w:bCs/>
          <w:color w:val="auto"/>
          <w:sz w:val="22"/>
          <w:szCs w:val="22"/>
        </w:rPr>
        <w:fldChar w:fldCharType="end"/>
      </w:r>
      <w:r w:rsidRPr="00C663B3">
        <w:rPr>
          <w:b/>
          <w:bCs/>
          <w:color w:val="auto"/>
          <w:sz w:val="22"/>
          <w:szCs w:val="22"/>
        </w:rPr>
      </w:r>
      <w:r w:rsidRPr="00C663B3">
        <w:rPr>
          <w:b/>
          <w:bCs/>
          <w:color w:val="auto"/>
          <w:sz w:val="22"/>
          <w:szCs w:val="22"/>
        </w:rPr>
        <w:fldChar w:fldCharType="separate"/>
      </w:r>
      <w:r w:rsidRPr="00C663B3">
        <w:rPr>
          <w:b/>
          <w:bCs/>
          <w:noProof/>
          <w:color w:val="auto"/>
          <w:sz w:val="22"/>
          <w:szCs w:val="22"/>
        </w:rPr>
        <w:t>(Brocker</w:t>
      </w:r>
      <w:r w:rsidRPr="00C663B3">
        <w:rPr>
          <w:b/>
          <w:bCs/>
          <w:i/>
          <w:noProof/>
          <w:color w:val="auto"/>
          <w:sz w:val="22"/>
          <w:szCs w:val="22"/>
        </w:rPr>
        <w:t xml:space="preserve"> et al.</w:t>
      </w:r>
      <w:r w:rsidRPr="00C663B3">
        <w:rPr>
          <w:b/>
          <w:bCs/>
          <w:noProof/>
          <w:color w:val="auto"/>
          <w:sz w:val="22"/>
          <w:szCs w:val="22"/>
        </w:rPr>
        <w:t>, 2010; Wunderlich</w:t>
      </w:r>
      <w:r w:rsidRPr="00C663B3">
        <w:rPr>
          <w:b/>
          <w:bCs/>
          <w:i/>
          <w:noProof/>
          <w:color w:val="auto"/>
          <w:sz w:val="22"/>
          <w:szCs w:val="22"/>
        </w:rPr>
        <w:t xml:space="preserve"> et al.</w:t>
      </w:r>
      <w:r w:rsidRPr="00C663B3">
        <w:rPr>
          <w:b/>
          <w:bCs/>
          <w:noProof/>
          <w:color w:val="auto"/>
          <w:sz w:val="22"/>
          <w:szCs w:val="22"/>
        </w:rPr>
        <w:t>, 2010)</w:t>
      </w:r>
      <w:r w:rsidRPr="00C663B3">
        <w:rPr>
          <w:b/>
          <w:bCs/>
          <w:color w:val="auto"/>
          <w:sz w:val="22"/>
          <w:szCs w:val="22"/>
        </w:rPr>
        <w:fldChar w:fldCharType="end"/>
      </w:r>
      <w:r>
        <w:rPr>
          <w:color w:val="auto"/>
          <w:sz w:val="22"/>
          <w:szCs w:val="22"/>
        </w:rPr>
        <w:t xml:space="preserve">. Furthermore, mice are required to be immunocompromised in order to accept the xenograft and this may affect the reliability of the model </w:t>
      </w:r>
      <w:r w:rsidRPr="00FB1115">
        <w:rPr>
          <w:b/>
          <w:bCs/>
          <w:color w:val="auto"/>
          <w:sz w:val="22"/>
          <w:szCs w:val="22"/>
        </w:rPr>
        <w:fldChar w:fldCharType="begin">
          <w:fldData xml:space="preserve">PEVuZE5vdGU+PENpdGU+PEF1dGhvcj5SYWphbjwvQXV0aG9yPjxZZWFyPjIwMjA8L1llYXI+PElE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</w:fldData>
        </w:fldChar>
      </w:r>
      <w:r w:rsidRPr="00FB1115">
        <w:rPr>
          <w:b/>
          <w:bCs/>
          <w:color w:val="auto"/>
          <w:sz w:val="22"/>
          <w:szCs w:val="22"/>
        </w:rPr>
        <w:instrText xml:space="preserve"> ADDIN EN.CITE </w:instrText>
      </w:r>
      <w:r w:rsidRPr="00FB1115">
        <w:rPr>
          <w:b/>
          <w:bCs/>
          <w:color w:val="auto"/>
          <w:sz w:val="22"/>
          <w:szCs w:val="22"/>
        </w:rPr>
        <w:fldChar w:fldCharType="begin">
          <w:fldData xml:space="preserve">PEVuZE5vdGU+PENpdGU+PEF1dGhvcj5SYWphbjwvQXV0aG9yPjxZZWFyPjIwMjA8L1llYXI+PElE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</w:fldData>
        </w:fldChar>
      </w:r>
      <w:r w:rsidRPr="00FB1115">
        <w:rPr>
          <w:b/>
          <w:bCs/>
          <w:color w:val="auto"/>
          <w:sz w:val="22"/>
          <w:szCs w:val="22"/>
        </w:rPr>
        <w:instrText xml:space="preserve"> ADDIN EN.CITE.DATA </w:instrText>
      </w:r>
      <w:r w:rsidRPr="00FB1115">
        <w:rPr>
          <w:b/>
          <w:bCs/>
          <w:color w:val="auto"/>
          <w:sz w:val="22"/>
          <w:szCs w:val="22"/>
        </w:rPr>
      </w:r>
      <w:r w:rsidRPr="00FB1115">
        <w:rPr>
          <w:b/>
          <w:bCs/>
          <w:color w:val="auto"/>
          <w:sz w:val="22"/>
          <w:szCs w:val="22"/>
        </w:rPr>
        <w:fldChar w:fldCharType="end"/>
      </w:r>
      <w:r w:rsidRPr="00FB1115">
        <w:rPr>
          <w:b/>
          <w:bCs/>
          <w:color w:val="auto"/>
          <w:sz w:val="22"/>
          <w:szCs w:val="22"/>
        </w:rPr>
      </w:r>
      <w:r w:rsidRPr="00FB1115">
        <w:rPr>
          <w:b/>
          <w:bCs/>
          <w:color w:val="auto"/>
          <w:sz w:val="22"/>
          <w:szCs w:val="22"/>
        </w:rPr>
        <w:fldChar w:fldCharType="separate"/>
      </w:r>
      <w:r w:rsidRPr="00FB1115">
        <w:rPr>
          <w:b/>
          <w:bCs/>
          <w:noProof/>
          <w:color w:val="auto"/>
          <w:sz w:val="22"/>
          <w:szCs w:val="22"/>
        </w:rPr>
        <w:t>(Rajan</w:t>
      </w:r>
      <w:r w:rsidRPr="00FB1115">
        <w:rPr>
          <w:b/>
          <w:bCs/>
          <w:i/>
          <w:noProof/>
          <w:color w:val="auto"/>
          <w:sz w:val="22"/>
          <w:szCs w:val="22"/>
        </w:rPr>
        <w:t xml:space="preserve"> et al.</w:t>
      </w:r>
      <w:r w:rsidRPr="00FB1115">
        <w:rPr>
          <w:b/>
          <w:bCs/>
          <w:noProof/>
          <w:color w:val="auto"/>
          <w:sz w:val="22"/>
          <w:szCs w:val="22"/>
        </w:rPr>
        <w:t>, 2020; Hamilton, Sabroe and Renshaw, 2018)</w:t>
      </w:r>
      <w:r w:rsidRPr="00FB1115">
        <w:rPr>
          <w:b/>
          <w:bCs/>
          <w:color w:val="auto"/>
          <w:sz w:val="22"/>
          <w:szCs w:val="22"/>
        </w:rPr>
        <w:fldChar w:fldCharType="end"/>
      </w:r>
      <w:r>
        <w:rPr>
          <w:color w:val="auto"/>
          <w:sz w:val="22"/>
          <w:szCs w:val="22"/>
        </w:rPr>
        <w:t>. As zebrafish have the added advantage of transparency and genetic tractability, zebrafish humanised models have</w:t>
      </w:r>
      <w:r w:rsidR="00886F7B">
        <w:rPr>
          <w:color w:val="auto"/>
          <w:sz w:val="22"/>
          <w:szCs w:val="22"/>
        </w:rPr>
        <w:t xml:space="preserve"> also</w:t>
      </w:r>
      <w:r>
        <w:rPr>
          <w:color w:val="auto"/>
          <w:sz w:val="22"/>
          <w:szCs w:val="22"/>
        </w:rPr>
        <w:t xml:space="preserve"> been established. The human haematopoietic cytokines </w:t>
      </w:r>
      <w:r w:rsidRPr="00150428">
        <w:rPr>
          <w:color w:val="auto"/>
          <w:sz w:val="22"/>
          <w:szCs w:val="22"/>
        </w:rPr>
        <w:t>GM-CSF, SCF, and SDF1α</w:t>
      </w:r>
      <w:r>
        <w:rPr>
          <w:color w:val="auto"/>
          <w:sz w:val="22"/>
          <w:szCs w:val="22"/>
        </w:rPr>
        <w:t xml:space="preserve"> have been xenografted into zebrafish embryos and have been used to study patient-derived cancers </w:t>
      </w:r>
      <w:r w:rsidRPr="00FB1115">
        <w:rPr>
          <w:b/>
          <w:bCs/>
          <w:color w:val="auto"/>
          <w:sz w:val="22"/>
          <w:szCs w:val="22"/>
        </w:rPr>
        <w:fldChar w:fldCharType="begin"/>
      </w:r>
      <w:r w:rsidRPr="00FB1115">
        <w:rPr>
          <w:b/>
          <w:bCs/>
          <w:color w:val="auto"/>
          <w:sz w:val="22"/>
          <w:szCs w:val="22"/>
        </w:rPr>
        <w:instrText xml:space="preserve"> ADDIN EN.CITE &lt;EndNote&gt;&lt;Cite&gt;&lt;Author&gt;Rajan&lt;/Author&gt;&lt;Year&gt;2020&lt;/Year&gt;&lt;IDText&gt;Humanized zebrafish enhance human hematopoietic stem cell survival and promote acute myeloid leukemia clonal diversity&lt;/IDText&gt;&lt;DisplayText&gt;(Rajan&lt;style face="italic"&gt; et al.&lt;/style&gt;, 2020)&lt;/DisplayText&gt;&lt;record&gt;&lt;dates&gt;&lt;pub-dates&gt;&lt;date&gt;Oct&lt;/date&gt;&lt;/pub-dates&gt;&lt;year&gt;2020&lt;/year&gt;&lt;/dates&gt;&lt;urls&gt;&lt;related-urls&gt;&lt;url&gt;&amp;lt;Go to ISI&amp;gt;://WOS:000576899800022&lt;/url&gt;&lt;/related-urls&gt;&lt;/urls&gt;&lt;isbn&gt;0390-6078&lt;/isbn&gt;&lt;titles&gt;&lt;title&gt;Humanized zebrafish enhance human hematopoietic stem cell survival and promote acute myeloid leukemia clonal diversity&lt;/title&gt;&lt;secondary-title&gt;Haematologica&lt;/secondary-title&gt;&lt;/titles&gt;&lt;pages&gt;2391-2399&lt;/pages&gt;&lt;number&gt;10&lt;/number&gt;&lt;contributors&gt;&lt;authors&gt;&lt;author&gt;Rajan, V.&lt;/author&gt;&lt;author&gt;Melong, N.&lt;/author&gt;&lt;author&gt;Wong, W. H.&lt;/author&gt;&lt;author&gt;King, B.&lt;/author&gt;&lt;author&gt;Tong, R. S.&lt;/author&gt;&lt;author&gt;Mahajan, N.&lt;/author&gt;&lt;author&gt;Gaston, D.&lt;/author&gt;&lt;author&gt;Lund, T.&lt;/author&gt;&lt;author&gt;Rittenberg, D.&lt;/author&gt;&lt;author&gt;Dellaire, G.&lt;/author&gt;&lt;author&gt;Campbell, C. J. V.&lt;/author&gt;&lt;author&gt;Druley, T.&lt;/author&gt;&lt;author&gt;Berman, J. N.&lt;/author&gt;&lt;/authors&gt;&lt;/contributors&gt;&lt;added-date format="utc"&gt;1677615856&lt;/added-date&gt;&lt;ref-type name="Journal Article"&gt;17&lt;/ref-type&gt;&lt;rec-number&gt;593&lt;/rec-number&gt;&lt;last-updated-date format="utc"&gt;1677615856&lt;/last-updated-date&gt;&lt;accession-num&gt;WOS:000576899800022&lt;/accession-num&gt;&lt;electronic-resource-num&gt;10.3324/haematol.2019.223040&lt;/electronic-resource-num&gt;&lt;volume&gt;105&lt;/volume&gt;&lt;/record&gt;&lt;/Cite&gt;&lt;/EndNote&gt;</w:instrText>
      </w:r>
      <w:r w:rsidRPr="00FB1115">
        <w:rPr>
          <w:b/>
          <w:bCs/>
          <w:color w:val="auto"/>
          <w:sz w:val="22"/>
          <w:szCs w:val="22"/>
        </w:rPr>
        <w:fldChar w:fldCharType="separate"/>
      </w:r>
      <w:r w:rsidRPr="00FB1115">
        <w:rPr>
          <w:b/>
          <w:bCs/>
          <w:noProof/>
          <w:color w:val="auto"/>
          <w:sz w:val="22"/>
          <w:szCs w:val="22"/>
        </w:rPr>
        <w:t>(Rajan</w:t>
      </w:r>
      <w:r w:rsidRPr="00FB1115">
        <w:rPr>
          <w:b/>
          <w:bCs/>
          <w:i/>
          <w:noProof/>
          <w:color w:val="auto"/>
          <w:sz w:val="22"/>
          <w:szCs w:val="22"/>
        </w:rPr>
        <w:t xml:space="preserve"> et al.</w:t>
      </w:r>
      <w:r w:rsidRPr="00FB1115">
        <w:rPr>
          <w:b/>
          <w:bCs/>
          <w:noProof/>
          <w:color w:val="auto"/>
          <w:sz w:val="22"/>
          <w:szCs w:val="22"/>
        </w:rPr>
        <w:t>, 2020)</w:t>
      </w:r>
      <w:r w:rsidRPr="00FB1115">
        <w:rPr>
          <w:b/>
          <w:bCs/>
          <w:color w:val="auto"/>
          <w:sz w:val="22"/>
          <w:szCs w:val="22"/>
        </w:rPr>
        <w:fldChar w:fldCharType="end"/>
      </w:r>
      <w:r>
        <w:rPr>
          <w:color w:val="auto"/>
          <w:sz w:val="22"/>
          <w:szCs w:val="22"/>
        </w:rPr>
        <w:t xml:space="preserve">. Through xenografts, leukemogenesis has been modelled in zebrafish and has allowed the screening of multiple cancer therapeutic agents </w:t>
      </w:r>
      <w:r w:rsidRPr="001C1638">
        <w:rPr>
          <w:b/>
          <w:bCs/>
          <w:color w:val="auto"/>
          <w:sz w:val="22"/>
          <w:szCs w:val="22"/>
        </w:rPr>
        <w:fldChar w:fldCharType="begin"/>
      </w:r>
      <w:r w:rsidRPr="001C1638">
        <w:rPr>
          <w:b/>
          <w:bCs/>
          <w:color w:val="auto"/>
          <w:sz w:val="22"/>
          <w:szCs w:val="22"/>
        </w:rPr>
        <w:instrText xml:space="preserve"> ADDIN EN.CITE &lt;EndNote&gt;&lt;Cite&gt;&lt;Author&gt;Rajan&lt;/Author&gt;&lt;Year&gt;2016&lt;/Year&gt;&lt;IDText&gt;Modeling Leukemogenesis in the Zebrafish Using Genetic and Xenograft Models&lt;/IDText&gt;&lt;DisplayText&gt;(Rajan, Dellaire and Berman, 2016)&lt;/DisplayText&gt;&lt;record&gt;&lt;urls&gt;&lt;related-urls&gt;&lt;url&gt;&amp;lt;Go to ISI&amp;gt;://WOS:000398040400013&lt;/url&gt;&lt;/related-urls&gt;&lt;/urls&gt;&lt;isbn&gt;1064-3745&lt;/isbn&gt;&lt;titles&gt;&lt;title&gt;Modeling Leukemogenesis in the Zebrafish Using Genetic and Xenograft Models&lt;/title&gt;&lt;secondary-title&gt;Zebrafish: Methods and Protocols, 2nd Edition&lt;/secondary-title&gt;&lt;/titles&gt;&lt;pages&gt;171-189&lt;/pages&gt;&lt;contributors&gt;&lt;authors&gt;&lt;author&gt;Rajan, V.&lt;/author&gt;&lt;author&gt;Dellaire, G.&lt;/author&gt;&lt;author&gt;Berman, J. N.&lt;/author&gt;&lt;/authors&gt;&lt;/contributors&gt;&lt;added-date format="utc"&gt;1677615156&lt;/added-date&gt;&lt;ref-type name="Journal Article"&gt;17&lt;/ref-type&gt;&lt;dates&gt;&lt;year&gt;2016&lt;/year&gt;&lt;/dates&gt;&lt;rec-number&gt;592&lt;/rec-number&gt;&lt;last-updated-date format="utc"&gt;1677615156&lt;/last-updated-date&gt;&lt;accession-num&gt;WOS:000398040400013&lt;/accession-num&gt;&lt;electronic-resource-num&gt;10.1007/978-1-4939-3771-4_12&lt;/electronic-resource-num&gt;&lt;/record&gt;&lt;/Cite&gt;&lt;/EndNote&gt;</w:instrText>
      </w:r>
      <w:r w:rsidRPr="001C1638">
        <w:rPr>
          <w:b/>
          <w:bCs/>
          <w:color w:val="auto"/>
          <w:sz w:val="22"/>
          <w:szCs w:val="22"/>
        </w:rPr>
        <w:fldChar w:fldCharType="separate"/>
      </w:r>
      <w:r w:rsidRPr="001C1638">
        <w:rPr>
          <w:b/>
          <w:bCs/>
          <w:noProof/>
          <w:color w:val="auto"/>
          <w:sz w:val="22"/>
          <w:szCs w:val="22"/>
        </w:rPr>
        <w:t>(Rajan, Dellaire and Berman, 2016)</w:t>
      </w:r>
      <w:r w:rsidRPr="001C1638">
        <w:rPr>
          <w:b/>
          <w:bCs/>
          <w:color w:val="auto"/>
          <w:sz w:val="22"/>
          <w:szCs w:val="22"/>
        </w:rPr>
        <w:fldChar w:fldCharType="end"/>
      </w:r>
      <w:r>
        <w:rPr>
          <w:color w:val="auto"/>
          <w:sz w:val="22"/>
          <w:szCs w:val="22"/>
        </w:rPr>
        <w:t xml:space="preserve">. An additional advantage over murine models is that generation of humanised zebrafish models has required 1-2 weeks in comparison to mice which required 3-6 weeks </w:t>
      </w:r>
      <w:r w:rsidRPr="003E19CA">
        <w:rPr>
          <w:b/>
          <w:bCs/>
          <w:color w:val="auto"/>
          <w:sz w:val="22"/>
          <w:szCs w:val="22"/>
        </w:rPr>
        <w:fldChar w:fldCharType="begin">
          <w:fldData xml:space="preserve">PEVuZE5vdGU+PENpdGU+PEF1dGhvcj5SYWphbjwvQXV0aG9yPjxZZWFyPjIwMjA8L1llYXI+PElE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==
</w:fldData>
        </w:fldChar>
      </w:r>
      <w:r w:rsidRPr="003E19CA">
        <w:rPr>
          <w:b/>
          <w:bCs/>
          <w:color w:val="auto"/>
          <w:sz w:val="22"/>
          <w:szCs w:val="22"/>
        </w:rPr>
        <w:instrText xml:space="preserve"> ADDIN EN.CITE </w:instrText>
      </w:r>
      <w:r w:rsidRPr="003E19CA">
        <w:rPr>
          <w:b/>
          <w:bCs/>
          <w:color w:val="auto"/>
          <w:sz w:val="22"/>
          <w:szCs w:val="22"/>
        </w:rPr>
        <w:fldChar w:fldCharType="begin">
          <w:fldData xml:space="preserve">PEVuZE5vdGU+PENpdGU+PEF1dGhvcj5SYWphbjwvQXV0aG9yPjxZZWFyPjIwMjA8L1llYXI+PElE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==
</w:fldData>
        </w:fldChar>
      </w:r>
      <w:r w:rsidRPr="003E19CA">
        <w:rPr>
          <w:b/>
          <w:bCs/>
          <w:color w:val="auto"/>
          <w:sz w:val="22"/>
          <w:szCs w:val="22"/>
        </w:rPr>
        <w:instrText xml:space="preserve"> ADDIN EN.CITE.DATA </w:instrText>
      </w:r>
      <w:r w:rsidRPr="003E19CA">
        <w:rPr>
          <w:b/>
          <w:bCs/>
          <w:color w:val="auto"/>
          <w:sz w:val="22"/>
          <w:szCs w:val="22"/>
        </w:rPr>
      </w:r>
      <w:r w:rsidRPr="003E19CA">
        <w:rPr>
          <w:b/>
          <w:bCs/>
          <w:color w:val="auto"/>
          <w:sz w:val="22"/>
          <w:szCs w:val="22"/>
        </w:rPr>
        <w:fldChar w:fldCharType="end"/>
      </w:r>
      <w:r w:rsidRPr="003E19CA">
        <w:rPr>
          <w:b/>
          <w:bCs/>
          <w:color w:val="auto"/>
          <w:sz w:val="22"/>
          <w:szCs w:val="22"/>
        </w:rPr>
      </w:r>
      <w:r w:rsidRPr="003E19CA">
        <w:rPr>
          <w:b/>
          <w:bCs/>
          <w:color w:val="auto"/>
          <w:sz w:val="22"/>
          <w:szCs w:val="22"/>
        </w:rPr>
        <w:fldChar w:fldCharType="separate"/>
      </w:r>
      <w:r w:rsidRPr="003E19CA">
        <w:rPr>
          <w:b/>
          <w:bCs/>
          <w:noProof/>
          <w:color w:val="auto"/>
          <w:sz w:val="22"/>
          <w:szCs w:val="22"/>
        </w:rPr>
        <w:t>(Rajan</w:t>
      </w:r>
      <w:r w:rsidRPr="003E19CA">
        <w:rPr>
          <w:b/>
          <w:bCs/>
          <w:i/>
          <w:noProof/>
          <w:color w:val="auto"/>
          <w:sz w:val="22"/>
          <w:szCs w:val="22"/>
        </w:rPr>
        <w:t xml:space="preserve"> et al.</w:t>
      </w:r>
      <w:r w:rsidRPr="003E19CA">
        <w:rPr>
          <w:b/>
          <w:bCs/>
          <w:noProof/>
          <w:color w:val="auto"/>
          <w:sz w:val="22"/>
          <w:szCs w:val="22"/>
        </w:rPr>
        <w:t>, 2020; Corkery, Dellaire and Berman, 2011)</w:t>
      </w:r>
      <w:r w:rsidRPr="003E19CA">
        <w:rPr>
          <w:b/>
          <w:bCs/>
          <w:color w:val="auto"/>
          <w:sz w:val="22"/>
          <w:szCs w:val="22"/>
        </w:rPr>
        <w:fldChar w:fldCharType="end"/>
      </w:r>
      <w:r>
        <w:rPr>
          <w:color w:val="auto"/>
          <w:sz w:val="22"/>
          <w:szCs w:val="22"/>
        </w:rPr>
        <w:t xml:space="preserve">. Human HSCs have also been transplanted into zebrafish embryos, without myeloablative techniques, which has allowed the development and visualisation of these cells within zebrafish and can help to further our understanding of engraftment, an integral process of HSC transplants in humans </w:t>
      </w:r>
      <w:r w:rsidRPr="00F16319">
        <w:rPr>
          <w:b/>
          <w:bCs/>
          <w:color w:val="auto"/>
          <w:sz w:val="22"/>
          <w:szCs w:val="22"/>
        </w:rPr>
        <w:fldChar w:fldCharType="begin"/>
      </w:r>
      <w:r w:rsidRPr="00F16319">
        <w:rPr>
          <w:b/>
          <w:bCs/>
          <w:color w:val="auto"/>
          <w:sz w:val="22"/>
          <w:szCs w:val="22"/>
        </w:rPr>
        <w:instrText xml:space="preserve"> ADDIN EN.CITE &lt;EndNote&gt;&lt;Cite&gt;&lt;Author&gt;Hamilton&lt;/Author&gt;&lt;Year&gt;2018&lt;/Year&gt;&lt;IDText&gt;A method for transplantation of human HSCs into zebrafish, to replace humanised murine transplantation models&lt;/IDText&gt;&lt;DisplayText&gt;(Hamilton, Sabroe and Renshaw, 2018)&lt;/DisplayText&gt;&lt;record&gt;&lt;titles&gt;&lt;title&gt;A method for transplantation of human HSCs into zebrafish, to replace humanised murine transplantation models&lt;/title&gt;&lt;secondary-title&gt;F1000 Research&lt;/secondary-title&gt;&lt;/titles&gt;&lt;contributors&gt;&lt;authors&gt;&lt;author&gt;Hamilton, N&lt;/author&gt;&lt;author&gt;Sabroe, I&lt;/author&gt;&lt;author&gt;Renshaw, SR&lt;/author&gt;&lt;/authors&gt;&lt;/contributors&gt;&lt;added-date format="utc"&gt;1677616252&lt;/added-date&gt;&lt;ref-type name="Journal Article"&gt;17&lt;/ref-type&gt;&lt;dates&gt;&lt;year&gt;2018&lt;/year&gt;&lt;/dates&gt;&lt;rec-number&gt;594&lt;/rec-number&gt;&lt;last-updated-date format="utc"&gt;1677616326&lt;/last-updated-date&gt;&lt;volume&gt;7&lt;/volume&gt;&lt;/record&gt;&lt;/Cite&gt;&lt;/EndNote&gt;</w:instrText>
      </w:r>
      <w:r w:rsidRPr="00F16319">
        <w:rPr>
          <w:b/>
          <w:bCs/>
          <w:color w:val="auto"/>
          <w:sz w:val="22"/>
          <w:szCs w:val="22"/>
        </w:rPr>
        <w:fldChar w:fldCharType="separate"/>
      </w:r>
      <w:r w:rsidRPr="00F16319">
        <w:rPr>
          <w:b/>
          <w:bCs/>
          <w:noProof/>
          <w:color w:val="auto"/>
          <w:sz w:val="22"/>
          <w:szCs w:val="22"/>
        </w:rPr>
        <w:t>(Hamilton, Sabroe and Renshaw, 2018)</w:t>
      </w:r>
      <w:r w:rsidRPr="00F16319">
        <w:rPr>
          <w:b/>
          <w:bCs/>
          <w:color w:val="auto"/>
          <w:sz w:val="22"/>
          <w:szCs w:val="22"/>
        </w:rPr>
        <w:fldChar w:fldCharType="end"/>
      </w:r>
      <w:r>
        <w:rPr>
          <w:color w:val="auto"/>
          <w:sz w:val="22"/>
          <w:szCs w:val="22"/>
        </w:rPr>
        <w:t xml:space="preserve">. </w:t>
      </w:r>
    </w:p>
    <w:p w14:paraId="7201934F" w14:textId="77777777" w:rsidR="00033564" w:rsidRDefault="00033564" w:rsidP="00033564">
      <w:pPr>
        <w:pStyle w:val="Default"/>
        <w:spacing w:line="360" w:lineRule="auto"/>
        <w:jc w:val="both"/>
        <w:rPr>
          <w:color w:val="auto"/>
          <w:sz w:val="22"/>
          <w:szCs w:val="22"/>
        </w:rPr>
      </w:pPr>
    </w:p>
    <w:p w14:paraId="417D2493" w14:textId="77777777" w:rsidR="00033564" w:rsidRPr="00A55A06" w:rsidRDefault="00033564" w:rsidP="00033564">
      <w:pPr>
        <w:pStyle w:val="Heading2"/>
        <w:rPr>
          <w:rFonts w:cs="Times New Roman"/>
        </w:rPr>
      </w:pPr>
      <w:bookmarkStart w:id="62" w:name="_Toc142043586"/>
      <w:r>
        <w:t>1.5. Aims and objectives</w:t>
      </w:r>
      <w:bookmarkEnd w:id="62"/>
    </w:p>
    <w:p w14:paraId="78F10460" w14:textId="77777777" w:rsidR="00033564" w:rsidRDefault="00033564" w:rsidP="00033564"/>
    <w:p w14:paraId="5141C312" w14:textId="74DBB59F" w:rsidR="00033564" w:rsidRDefault="00033564" w:rsidP="00033564">
      <w:pPr>
        <w:spacing w:line="360" w:lineRule="auto"/>
        <w:jc w:val="both"/>
        <w:rPr>
          <w:rFonts w:ascii="Times New Roman" w:hAnsi="Times New Roman" w:cs="Times New Roman"/>
        </w:rPr>
      </w:pPr>
      <w:r w:rsidRPr="005F3B1C">
        <w:rPr>
          <w:rFonts w:ascii="Times New Roman" w:hAnsi="Times New Roman" w:cs="Times New Roman"/>
        </w:rPr>
        <w:t xml:space="preserve">This study aims to understand </w:t>
      </w:r>
      <w:r>
        <w:rPr>
          <w:rFonts w:ascii="Times New Roman" w:hAnsi="Times New Roman" w:cs="Times New Roman"/>
        </w:rPr>
        <w:t>why</w:t>
      </w:r>
      <w:r w:rsidRPr="005F3B1C">
        <w:rPr>
          <w:rFonts w:ascii="Times New Roman" w:hAnsi="Times New Roman" w:cs="Times New Roman"/>
        </w:rPr>
        <w:t xml:space="preserve"> the stringent response is important for </w:t>
      </w:r>
      <w:r w:rsidRPr="005F3B1C">
        <w:rPr>
          <w:rFonts w:ascii="Times New Roman" w:hAnsi="Times New Roman" w:cs="Times New Roman"/>
          <w:i/>
          <w:iCs/>
        </w:rPr>
        <w:t xml:space="preserve">S. aureus </w:t>
      </w:r>
      <w:r w:rsidRPr="005F3B1C">
        <w:rPr>
          <w:rFonts w:ascii="Times New Roman" w:hAnsi="Times New Roman" w:cs="Times New Roman"/>
        </w:rPr>
        <w:t xml:space="preserve">pathogenicity </w:t>
      </w:r>
      <w:r w:rsidRPr="005F3B1C">
        <w:rPr>
          <w:rFonts w:ascii="Times New Roman" w:hAnsi="Times New Roman" w:cs="Times New Roman"/>
          <w:i/>
          <w:iCs/>
        </w:rPr>
        <w:t>in vivo</w:t>
      </w:r>
      <w:r>
        <w:rPr>
          <w:rFonts w:ascii="Times New Roman" w:hAnsi="Times New Roman" w:cs="Times New Roman"/>
        </w:rPr>
        <w:t xml:space="preserve"> within a zebrafish embryo infection model</w:t>
      </w:r>
      <w:r w:rsidRPr="005F3B1C">
        <w:rPr>
          <w:rFonts w:ascii="Times New Roman" w:hAnsi="Times New Roman" w:cs="Times New Roman"/>
        </w:rPr>
        <w:t>.</w:t>
      </w:r>
      <w:r>
        <w:rPr>
          <w:rFonts w:ascii="Times New Roman" w:hAnsi="Times New Roman" w:cs="Times New Roman"/>
        </w:rPr>
        <w:t xml:space="preserve"> As demonstrated, the stringent response pathway is responsible for regulating many virulence factors and has thus been involved in </w:t>
      </w:r>
      <w:r>
        <w:rPr>
          <w:rFonts w:ascii="Times New Roman" w:hAnsi="Times New Roman" w:cs="Times New Roman"/>
          <w:i/>
          <w:iCs/>
        </w:rPr>
        <w:t xml:space="preserve">S. aureus </w:t>
      </w:r>
      <w:r>
        <w:rPr>
          <w:rFonts w:ascii="Times New Roman" w:hAnsi="Times New Roman" w:cs="Times New Roman"/>
        </w:rPr>
        <w:t xml:space="preserve">pathogenesis.  The staphylococcal stringent response has been implicated in persistence </w:t>
      </w:r>
      <w:r w:rsidRPr="008557FA">
        <w:rPr>
          <w:rFonts w:ascii="Times New Roman" w:hAnsi="Times New Roman" w:cs="Times New Roman"/>
          <w:b/>
          <w:bCs/>
        </w:rPr>
        <w:fldChar w:fldCharType="begin">
          <w:fldData xml:space="preserve">PEVuZE5vdGU+PENpdGU+PEF1dGhvcj5MaTwvQXV0aG9yPjxZZWFyPjIwMjA8L1llYXI+PElEVGV4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</w:fldData>
        </w:fldChar>
      </w:r>
      <w:r w:rsidRPr="008557FA">
        <w:rPr>
          <w:rFonts w:ascii="Times New Roman" w:hAnsi="Times New Roman" w:cs="Times New Roman"/>
          <w:b/>
          <w:bCs/>
        </w:rPr>
        <w:instrText xml:space="preserve"> ADDIN EN.CITE </w:instrText>
      </w:r>
      <w:r w:rsidRPr="008557FA">
        <w:rPr>
          <w:rFonts w:ascii="Times New Roman" w:hAnsi="Times New Roman" w:cs="Times New Roman"/>
          <w:b/>
          <w:bCs/>
        </w:rPr>
        <w:fldChar w:fldCharType="begin">
          <w:fldData xml:space="preserve">PEVuZE5vdGU+PENpdGU+PEF1dGhvcj5MaTwvQXV0aG9yPjxZZWFyPjIwMjA8L1llYXI+PElEVGV4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</w:fldData>
        </w:fldChar>
      </w:r>
      <w:r w:rsidRPr="008557FA">
        <w:rPr>
          <w:rFonts w:ascii="Times New Roman" w:hAnsi="Times New Roman" w:cs="Times New Roman"/>
          <w:b/>
          <w:bCs/>
        </w:rPr>
        <w:instrText xml:space="preserve"> ADDIN EN.CITE.DATA </w:instrText>
      </w:r>
      <w:r w:rsidRPr="008557FA">
        <w:rPr>
          <w:rFonts w:ascii="Times New Roman" w:hAnsi="Times New Roman" w:cs="Times New Roman"/>
          <w:b/>
          <w:bCs/>
        </w:rPr>
      </w:r>
      <w:r w:rsidRPr="008557FA">
        <w:rPr>
          <w:rFonts w:ascii="Times New Roman" w:hAnsi="Times New Roman" w:cs="Times New Roman"/>
          <w:b/>
          <w:bCs/>
        </w:rPr>
        <w:fldChar w:fldCharType="end"/>
      </w:r>
      <w:r w:rsidRPr="008557FA">
        <w:rPr>
          <w:rFonts w:ascii="Times New Roman" w:hAnsi="Times New Roman" w:cs="Times New Roman"/>
          <w:b/>
          <w:bCs/>
        </w:rPr>
      </w:r>
      <w:r w:rsidRPr="008557FA">
        <w:rPr>
          <w:rFonts w:ascii="Times New Roman" w:hAnsi="Times New Roman" w:cs="Times New Roman"/>
          <w:b/>
          <w:bCs/>
        </w:rPr>
        <w:fldChar w:fldCharType="separate"/>
      </w:r>
      <w:r w:rsidRPr="008557FA">
        <w:rPr>
          <w:rFonts w:ascii="Times New Roman" w:hAnsi="Times New Roman" w:cs="Times New Roman"/>
          <w:b/>
          <w:bCs/>
          <w:noProof/>
        </w:rPr>
        <w:t>(Li</w:t>
      </w:r>
      <w:r w:rsidRPr="008557FA">
        <w:rPr>
          <w:rFonts w:ascii="Times New Roman" w:hAnsi="Times New Roman" w:cs="Times New Roman"/>
          <w:b/>
          <w:bCs/>
          <w:i/>
          <w:noProof/>
        </w:rPr>
        <w:t xml:space="preserve"> et al.</w:t>
      </w:r>
      <w:r w:rsidRPr="008557FA">
        <w:rPr>
          <w:rFonts w:ascii="Times New Roman" w:hAnsi="Times New Roman" w:cs="Times New Roman"/>
          <w:b/>
          <w:bCs/>
          <w:noProof/>
        </w:rPr>
        <w:t>, 2020; Peyrusson</w:t>
      </w:r>
      <w:r w:rsidRPr="008557FA">
        <w:rPr>
          <w:rFonts w:ascii="Times New Roman" w:hAnsi="Times New Roman" w:cs="Times New Roman"/>
          <w:b/>
          <w:bCs/>
          <w:i/>
          <w:noProof/>
        </w:rPr>
        <w:t xml:space="preserve"> et al.</w:t>
      </w:r>
      <w:r w:rsidRPr="008557FA">
        <w:rPr>
          <w:rFonts w:ascii="Times New Roman" w:hAnsi="Times New Roman" w:cs="Times New Roman"/>
          <w:b/>
          <w:bCs/>
          <w:noProof/>
        </w:rPr>
        <w:t>, 2020)</w:t>
      </w:r>
      <w:r w:rsidRPr="008557FA">
        <w:rPr>
          <w:rFonts w:ascii="Times New Roman" w:hAnsi="Times New Roman" w:cs="Times New Roman"/>
          <w:b/>
          <w:bCs/>
        </w:rPr>
        <w:fldChar w:fldCharType="end"/>
      </w:r>
      <w:r>
        <w:rPr>
          <w:rFonts w:ascii="Times New Roman" w:hAnsi="Times New Roman" w:cs="Times New Roman"/>
        </w:rPr>
        <w:t xml:space="preserve">, antibiotic </w:t>
      </w:r>
      <w:r w:rsidRPr="008557FA">
        <w:rPr>
          <w:rFonts w:ascii="Times New Roman" w:hAnsi="Times New Roman" w:cs="Times New Roman"/>
        </w:rPr>
        <w:t>resistance</w:t>
      </w:r>
      <w:r w:rsidRPr="008557FA">
        <w:rPr>
          <w:rFonts w:ascii="Times New Roman" w:hAnsi="Times New Roman" w:cs="Times New Roman"/>
          <w:b/>
          <w:bCs/>
        </w:rPr>
        <w:t xml:space="preserve"> </w:t>
      </w:r>
      <w:r w:rsidRPr="008557FA">
        <w:rPr>
          <w:rFonts w:ascii="Times New Roman" w:hAnsi="Times New Roman" w:cs="Times New Roman"/>
          <w:b/>
          <w:bCs/>
        </w:rPr>
        <w:fldChar w:fldCharType="begin">
          <w:fldData xml:space="preserve">PEVuZE5vdGU+PENpdGU+PEF1dGhvcj5HYW88L0F1dGhvcj48WWVhcj4yMDEwPC9ZZWFyPjxJRFRl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</w:fldData>
        </w:fldChar>
      </w:r>
      <w:r w:rsidRPr="008557FA">
        <w:rPr>
          <w:rFonts w:ascii="Times New Roman" w:hAnsi="Times New Roman" w:cs="Times New Roman"/>
          <w:b/>
          <w:bCs/>
        </w:rPr>
        <w:instrText xml:space="preserve"> ADDIN EN.CITE </w:instrText>
      </w:r>
      <w:r w:rsidRPr="008557FA">
        <w:rPr>
          <w:rFonts w:ascii="Times New Roman" w:hAnsi="Times New Roman" w:cs="Times New Roman"/>
          <w:b/>
          <w:bCs/>
        </w:rPr>
        <w:fldChar w:fldCharType="begin">
          <w:fldData xml:space="preserve">PEVuZE5vdGU+PENpdGU+PEF1dGhvcj5HYW88L0F1dGhvcj48WWVhcj4yMDEwPC9ZZWFyPjxJRFRl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</w:fldData>
        </w:fldChar>
      </w:r>
      <w:r w:rsidRPr="008557FA">
        <w:rPr>
          <w:rFonts w:ascii="Times New Roman" w:hAnsi="Times New Roman" w:cs="Times New Roman"/>
          <w:b/>
          <w:bCs/>
        </w:rPr>
        <w:instrText xml:space="preserve"> ADDIN EN.CITE.DATA </w:instrText>
      </w:r>
      <w:r w:rsidRPr="008557FA">
        <w:rPr>
          <w:rFonts w:ascii="Times New Roman" w:hAnsi="Times New Roman" w:cs="Times New Roman"/>
          <w:b/>
          <w:bCs/>
        </w:rPr>
      </w:r>
      <w:r w:rsidRPr="008557FA">
        <w:rPr>
          <w:rFonts w:ascii="Times New Roman" w:hAnsi="Times New Roman" w:cs="Times New Roman"/>
          <w:b/>
          <w:bCs/>
        </w:rPr>
        <w:fldChar w:fldCharType="end"/>
      </w:r>
      <w:r w:rsidRPr="008557FA">
        <w:rPr>
          <w:rFonts w:ascii="Times New Roman" w:hAnsi="Times New Roman" w:cs="Times New Roman"/>
          <w:b/>
          <w:bCs/>
        </w:rPr>
      </w:r>
      <w:r w:rsidRPr="008557FA">
        <w:rPr>
          <w:rFonts w:ascii="Times New Roman" w:hAnsi="Times New Roman" w:cs="Times New Roman"/>
          <w:b/>
          <w:bCs/>
        </w:rPr>
        <w:fldChar w:fldCharType="separate"/>
      </w:r>
      <w:r w:rsidRPr="008557FA">
        <w:rPr>
          <w:rFonts w:ascii="Times New Roman" w:hAnsi="Times New Roman" w:cs="Times New Roman"/>
          <w:b/>
          <w:bCs/>
          <w:noProof/>
        </w:rPr>
        <w:t>(Gao</w:t>
      </w:r>
      <w:r w:rsidRPr="008557FA">
        <w:rPr>
          <w:rFonts w:ascii="Times New Roman" w:hAnsi="Times New Roman" w:cs="Times New Roman"/>
          <w:b/>
          <w:bCs/>
          <w:i/>
          <w:noProof/>
        </w:rPr>
        <w:t xml:space="preserve"> et al.</w:t>
      </w:r>
      <w:r w:rsidRPr="008557FA">
        <w:rPr>
          <w:rFonts w:ascii="Times New Roman" w:hAnsi="Times New Roman" w:cs="Times New Roman"/>
          <w:b/>
          <w:bCs/>
          <w:noProof/>
        </w:rPr>
        <w:t>, 2010; Mwangi</w:t>
      </w:r>
      <w:r w:rsidRPr="008557FA">
        <w:rPr>
          <w:rFonts w:ascii="Times New Roman" w:hAnsi="Times New Roman" w:cs="Times New Roman"/>
          <w:b/>
          <w:bCs/>
          <w:i/>
          <w:noProof/>
        </w:rPr>
        <w:t xml:space="preserve"> et al.</w:t>
      </w:r>
      <w:r w:rsidRPr="008557FA">
        <w:rPr>
          <w:rFonts w:ascii="Times New Roman" w:hAnsi="Times New Roman" w:cs="Times New Roman"/>
          <w:b/>
          <w:bCs/>
          <w:noProof/>
        </w:rPr>
        <w:t>, 2013; Bhawini</w:t>
      </w:r>
      <w:r w:rsidRPr="008557FA">
        <w:rPr>
          <w:rFonts w:ascii="Times New Roman" w:hAnsi="Times New Roman" w:cs="Times New Roman"/>
          <w:b/>
          <w:bCs/>
          <w:i/>
          <w:noProof/>
        </w:rPr>
        <w:t xml:space="preserve"> et al.</w:t>
      </w:r>
      <w:r w:rsidRPr="008557FA">
        <w:rPr>
          <w:rFonts w:ascii="Times New Roman" w:hAnsi="Times New Roman" w:cs="Times New Roman"/>
          <w:b/>
          <w:bCs/>
          <w:noProof/>
        </w:rPr>
        <w:t>, 2019)</w:t>
      </w:r>
      <w:r w:rsidRPr="008557FA">
        <w:rPr>
          <w:rFonts w:ascii="Times New Roman" w:hAnsi="Times New Roman" w:cs="Times New Roman"/>
          <w:b/>
          <w:bCs/>
        </w:rPr>
        <w:fldChar w:fldCharType="end"/>
      </w:r>
      <w:r>
        <w:rPr>
          <w:rFonts w:ascii="Times New Roman" w:hAnsi="Times New Roman" w:cs="Times New Roman"/>
          <w:bCs/>
        </w:rPr>
        <w:t xml:space="preserve">, antibiotic tolerance </w:t>
      </w:r>
      <w:r w:rsidRPr="00F73F2F">
        <w:rPr>
          <w:rFonts w:ascii="Times New Roman" w:hAnsi="Times New Roman" w:cs="Times New Roman"/>
          <w:b/>
        </w:rPr>
        <w:fldChar w:fldCharType="begin"/>
      </w:r>
      <w:r w:rsidRPr="00F73F2F">
        <w:rPr>
          <w:rFonts w:ascii="Times New Roman" w:hAnsi="Times New Roman" w:cs="Times New Roman"/>
          <w:b/>
        </w:rPr>
        <w:instrText xml:space="preserve"> ADDIN EN.CITE &lt;EndNote&gt;&lt;Cite&gt;&lt;Author&gt;Geiger&lt;/Author&gt;&lt;Year&gt;2014&lt;/Year&gt;&lt;IDText&gt;Two Small (p)ppGpp Synthases in Staphylococcus aureus Mediate Tolerance against Cell Envelope Stress Conditions&lt;/IDText&gt;&lt;DisplayText&gt;(Geiger&lt;style face="italic"&gt; et al.&lt;/style&gt;, 2014)&lt;/DisplayText&gt;&lt;record&gt;&lt;dates&gt;&lt;pub-dates&gt;&lt;date&gt;Feb&lt;/date&gt;&lt;/pub-dates&gt;&lt;year&gt;2014&lt;/year&gt;&lt;/dates&gt;&lt;urls&gt;&lt;related-urls&gt;&lt;/related-urls&gt;&lt;/urls&gt;&lt;isbn&gt;0021-9193&lt;/isbn&gt;&lt;titles&gt;&lt;title&gt;&lt;style font="default" size="100%"&gt;Two Small (p)ppGpp Synthases in &lt;/style&gt;&lt;style face="italic" font="default" size="100%"&gt;Staphylococcus aureus&lt;/style&gt;&lt;style font="default" size="100%"&gt; Mediate Tolerance against Cell Envelope Stress Conditions&lt;/style&gt;&lt;/title&gt;&lt;secondary-title&gt;Journal of Bacteriology&lt;/secondary-title&gt;&lt;/titles&gt;&lt;pages&gt;894-902&lt;/pages&gt;&lt;number&gt;4&lt;/number&gt;&lt;contributors&gt;&lt;authors&gt;&lt;author&gt;Geiger, Tobias&lt;/author&gt;&lt;author&gt;Kaestle, Benjamin&lt;/author&gt;&lt;author&gt;Gratani, Fabio Lino&lt;/author&gt;&lt;author&gt;Goerke, Christiane&lt;/author&gt;&lt;author&gt;Wolz, Christiane&lt;/author&gt;&lt;/authors&gt;&lt;/contributors&gt;&lt;added-date format="utc"&gt;1663612805&lt;/added-date&gt;&lt;ref-type name="Journal Article"&gt;17&lt;/ref-type&gt;&lt;rec-number&gt;67&lt;/rec-number&gt;&lt;last-updated-date format="utc"&gt;1678058042&lt;/last-updated-date&gt;&lt;accession-num&gt;WOS:000332626300017&lt;/accession-num&gt;&lt;electronic-resource-num&gt;10.1128/jb.01201-13&lt;/electronic-resource-num&gt;&lt;volume&gt;196&lt;/volume&gt;&lt;/record&gt;&lt;/Cite&gt;&lt;/EndNote&gt;</w:instrText>
      </w:r>
      <w:r w:rsidRPr="00F73F2F">
        <w:rPr>
          <w:rFonts w:ascii="Times New Roman" w:hAnsi="Times New Roman" w:cs="Times New Roman"/>
          <w:b/>
        </w:rPr>
        <w:fldChar w:fldCharType="separate"/>
      </w:r>
      <w:r w:rsidRPr="00F73F2F">
        <w:rPr>
          <w:rFonts w:ascii="Times New Roman" w:hAnsi="Times New Roman" w:cs="Times New Roman"/>
          <w:b/>
          <w:noProof/>
        </w:rPr>
        <w:t>(Geiger</w:t>
      </w:r>
      <w:r w:rsidRPr="00F73F2F">
        <w:rPr>
          <w:rFonts w:ascii="Times New Roman" w:hAnsi="Times New Roman" w:cs="Times New Roman"/>
          <w:b/>
          <w:i/>
          <w:noProof/>
        </w:rPr>
        <w:t xml:space="preserve"> et al.</w:t>
      </w:r>
      <w:r w:rsidRPr="00F73F2F">
        <w:rPr>
          <w:rFonts w:ascii="Times New Roman" w:hAnsi="Times New Roman" w:cs="Times New Roman"/>
          <w:b/>
          <w:noProof/>
        </w:rPr>
        <w:t>, 2014)</w:t>
      </w:r>
      <w:r w:rsidRPr="00F73F2F">
        <w:rPr>
          <w:rFonts w:ascii="Times New Roman" w:hAnsi="Times New Roman" w:cs="Times New Roman"/>
          <w:b/>
        </w:rPr>
        <w:fldChar w:fldCharType="end"/>
      </w:r>
      <w:r>
        <w:rPr>
          <w:rFonts w:ascii="Times New Roman" w:hAnsi="Times New Roman" w:cs="Times New Roman"/>
          <w:bCs/>
        </w:rPr>
        <w:t xml:space="preserve">, immune evasion </w:t>
      </w:r>
      <w:r w:rsidRPr="00F73F2F">
        <w:rPr>
          <w:rFonts w:ascii="Times New Roman" w:hAnsi="Times New Roman" w:cs="Times New Roman"/>
          <w:b/>
        </w:rPr>
        <w:fldChar w:fldCharType="begin"/>
      </w:r>
      <w:r w:rsidRPr="00F73F2F">
        <w:rPr>
          <w:rFonts w:ascii="Times New Roman" w:hAnsi="Times New Roman" w:cs="Times New Roman"/>
          <w:b/>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format="utc"&gt;1678058042&lt;/last-updated-date&gt;&lt;accession-num&gt;DRCI:DATA2013076003393588&lt;/accession-num&gt;&lt;volume&gt;1&lt;/volume&gt;&lt;/record&gt;&lt;/Cite&gt;&lt;/EndNote&gt;</w:instrText>
      </w:r>
      <w:r w:rsidRPr="00F73F2F">
        <w:rPr>
          <w:rFonts w:ascii="Times New Roman" w:hAnsi="Times New Roman" w:cs="Times New Roman"/>
          <w:b/>
        </w:rPr>
        <w:fldChar w:fldCharType="separate"/>
      </w:r>
      <w:r w:rsidRPr="00F73F2F">
        <w:rPr>
          <w:rFonts w:ascii="Times New Roman" w:hAnsi="Times New Roman" w:cs="Times New Roman"/>
          <w:b/>
          <w:noProof/>
        </w:rPr>
        <w:t>(Geiger</w:t>
      </w:r>
      <w:r w:rsidRPr="00F73F2F">
        <w:rPr>
          <w:rFonts w:ascii="Times New Roman" w:hAnsi="Times New Roman" w:cs="Times New Roman"/>
          <w:b/>
          <w:i/>
          <w:noProof/>
        </w:rPr>
        <w:t xml:space="preserve"> et al.</w:t>
      </w:r>
      <w:r w:rsidRPr="00F73F2F">
        <w:rPr>
          <w:rFonts w:ascii="Times New Roman" w:hAnsi="Times New Roman" w:cs="Times New Roman"/>
          <w:b/>
          <w:noProof/>
        </w:rPr>
        <w:t>, 2012)</w:t>
      </w:r>
      <w:r w:rsidRPr="00F73F2F">
        <w:rPr>
          <w:rFonts w:ascii="Times New Roman" w:hAnsi="Times New Roman" w:cs="Times New Roman"/>
          <w:b/>
        </w:rPr>
        <w:fldChar w:fldCharType="end"/>
      </w:r>
      <w:r>
        <w:rPr>
          <w:rFonts w:ascii="Times New Roman" w:hAnsi="Times New Roman" w:cs="Times New Roman"/>
          <w:bCs/>
        </w:rPr>
        <w:t xml:space="preserve">, biofilm formation </w:t>
      </w:r>
      <w:r w:rsidRPr="008B6AD6">
        <w:rPr>
          <w:rFonts w:ascii="Times New Roman" w:hAnsi="Times New Roman" w:cs="Times New Roman"/>
          <w:b/>
        </w:rPr>
        <w:fldChar w:fldCharType="begin"/>
      </w:r>
      <w:r w:rsidRPr="008B6AD6">
        <w:rPr>
          <w:rFonts w:ascii="Times New Roman" w:hAnsi="Times New Roman" w:cs="Times New Roman"/>
          <w:b/>
        </w:rPr>
        <w:instrText xml:space="preserve"> ADDIN EN.CITE &lt;EndNote&gt;&lt;Cite&gt;&lt;Author&gt;Salzer&lt;/Author&gt;&lt;Year&gt;2020&lt;/Year&gt;&lt;IDText&gt;Small Alarmone Synthetases RelP and RelQ ofStaphylococcus aureusAre Involved in Biofilm Formation and Maintenance Under Cell Wall Stress Conditions&lt;/IDText&gt;&lt;DisplayText&gt;(Salzer&lt;style face="italic"&gt; et al.&lt;/style&gt;, 2020)&lt;/DisplayText&gt;&lt;record&gt;&lt;dates&gt;&lt;pub-dates&gt;&lt;date&gt;Sep&lt;/date&gt;&lt;/pub-dates&gt;&lt;year&gt;2020&lt;/year&gt;&lt;/dates&gt;&lt;urls&gt;&lt;related-urls&gt;&lt;url&gt;&amp;lt;Go to ISI&amp;gt;://WOS:000576831700001&lt;/url&gt;&lt;/related-urls&gt;&lt;/urls&gt;&lt;titles&gt;&lt;title&gt;Small Alarmone Synthetases RelP and RelQ ofStaphylococcus aureusAre Involved in Biofilm Formation and Maintenance Under Cell Wall Stress Conditions&lt;/title&gt;&lt;secondary-title&gt;Frontiers in Microbiology&lt;/secondary-title&gt;&lt;/titles&gt;&lt;contributors&gt;&lt;authors&gt;&lt;author&gt;Salzer, A.&lt;/author&gt;&lt;author&gt;Keinhorster, D.&lt;/author&gt;&lt;author&gt;Kastle, C.&lt;/author&gt;&lt;author&gt;Kastle, B.&lt;/author&gt;&lt;author&gt;Wolz, C.&lt;/author&gt;&lt;/authors&gt;&lt;/contributors&gt;&lt;custom7&gt;575882&lt;/custom7&gt;&lt;added-date format="utc"&gt;1678157205&lt;/added-date&gt;&lt;ref-type name="Journal Article"&gt;17&lt;/ref-type&gt;&lt;rec-number&gt;731&lt;/rec-number&gt;&lt;last-updated-date format="utc"&gt;1678157205&lt;/last-updated-date&gt;&lt;accession-num&gt;WOS:000576831700001&lt;/accession-num&gt;&lt;electronic-resource-num&gt;10.3389/fmicb.2020.575882&lt;/electronic-resource-num&gt;&lt;volume&gt;11&lt;/volume&gt;&lt;/record&gt;&lt;/Cite&gt;&lt;/EndNote&gt;</w:instrText>
      </w:r>
      <w:r w:rsidRPr="008B6AD6">
        <w:rPr>
          <w:rFonts w:ascii="Times New Roman" w:hAnsi="Times New Roman" w:cs="Times New Roman"/>
          <w:b/>
        </w:rPr>
        <w:fldChar w:fldCharType="separate"/>
      </w:r>
      <w:r w:rsidRPr="008B6AD6">
        <w:rPr>
          <w:rFonts w:ascii="Times New Roman" w:hAnsi="Times New Roman" w:cs="Times New Roman"/>
          <w:b/>
          <w:noProof/>
        </w:rPr>
        <w:t>(Salzer</w:t>
      </w:r>
      <w:r w:rsidRPr="008B6AD6">
        <w:rPr>
          <w:rFonts w:ascii="Times New Roman" w:hAnsi="Times New Roman" w:cs="Times New Roman"/>
          <w:b/>
          <w:i/>
          <w:noProof/>
        </w:rPr>
        <w:t xml:space="preserve"> et al.</w:t>
      </w:r>
      <w:r w:rsidRPr="008B6AD6">
        <w:rPr>
          <w:rFonts w:ascii="Times New Roman" w:hAnsi="Times New Roman" w:cs="Times New Roman"/>
          <w:b/>
          <w:noProof/>
        </w:rPr>
        <w:t>, 2020)</w:t>
      </w:r>
      <w:r w:rsidRPr="008B6AD6">
        <w:rPr>
          <w:rFonts w:ascii="Times New Roman" w:hAnsi="Times New Roman" w:cs="Times New Roman"/>
          <w:b/>
        </w:rPr>
        <w:fldChar w:fldCharType="end"/>
      </w:r>
      <w:r>
        <w:rPr>
          <w:rFonts w:ascii="Times New Roman" w:hAnsi="Times New Roman" w:cs="Times New Roman"/>
          <w:bCs/>
        </w:rPr>
        <w:t xml:space="preserve">, tolerance to oxidative stress </w:t>
      </w:r>
      <w:r w:rsidRPr="00F73F2F">
        <w:rPr>
          <w:rFonts w:ascii="Times New Roman" w:hAnsi="Times New Roman" w:cs="Times New Roman"/>
          <w:b/>
        </w:rPr>
        <w:fldChar w:fldCharType="begin">
          <w:fldData xml:space="preserve">PEVuZE5vdGU+PENpdGU+PEF1dGhvcj5Gcml0c2NoPC9BdXRob3I+PFllYXI+MjAyMDwvWWVhcj48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</w:fldData>
        </w:fldChar>
      </w:r>
      <w:r w:rsidRPr="00F73F2F">
        <w:rPr>
          <w:rFonts w:ascii="Times New Roman" w:hAnsi="Times New Roman" w:cs="Times New Roman"/>
          <w:b/>
        </w:rPr>
        <w:instrText xml:space="preserve"> ADDIN EN.CITE </w:instrText>
      </w:r>
      <w:r w:rsidRPr="00F73F2F">
        <w:rPr>
          <w:rFonts w:ascii="Times New Roman" w:hAnsi="Times New Roman" w:cs="Times New Roman"/>
          <w:b/>
        </w:rPr>
        <w:fldChar w:fldCharType="begin">
          <w:fldData xml:space="preserve">PEVuZE5vdGU+PENpdGU+PEF1dGhvcj5Gcml0c2NoPC9BdXRob3I+PFllYXI+MjAyMDwvWWVhcj48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</w:fldData>
        </w:fldChar>
      </w:r>
      <w:r w:rsidRPr="00F73F2F">
        <w:rPr>
          <w:rFonts w:ascii="Times New Roman" w:hAnsi="Times New Roman" w:cs="Times New Roman"/>
          <w:b/>
        </w:rPr>
        <w:instrText xml:space="preserve"> ADDIN EN.CITE.DATA </w:instrText>
      </w:r>
      <w:r w:rsidRPr="00F73F2F">
        <w:rPr>
          <w:rFonts w:ascii="Times New Roman" w:hAnsi="Times New Roman" w:cs="Times New Roman"/>
          <w:b/>
        </w:rPr>
      </w:r>
      <w:r w:rsidRPr="00F73F2F">
        <w:rPr>
          <w:rFonts w:ascii="Times New Roman" w:hAnsi="Times New Roman" w:cs="Times New Roman"/>
          <w:b/>
        </w:rPr>
        <w:fldChar w:fldCharType="end"/>
      </w:r>
      <w:r w:rsidRPr="00F73F2F">
        <w:rPr>
          <w:rFonts w:ascii="Times New Roman" w:hAnsi="Times New Roman" w:cs="Times New Roman"/>
          <w:b/>
        </w:rPr>
      </w:r>
      <w:r w:rsidRPr="00F73F2F">
        <w:rPr>
          <w:rFonts w:ascii="Times New Roman" w:hAnsi="Times New Roman" w:cs="Times New Roman"/>
          <w:b/>
        </w:rPr>
        <w:fldChar w:fldCharType="separate"/>
      </w:r>
      <w:r w:rsidRPr="00F73F2F">
        <w:rPr>
          <w:rFonts w:ascii="Times New Roman" w:hAnsi="Times New Roman" w:cs="Times New Roman"/>
          <w:b/>
          <w:noProof/>
        </w:rPr>
        <w:t>(Fritsch</w:t>
      </w:r>
      <w:r w:rsidRPr="00F73F2F">
        <w:rPr>
          <w:rFonts w:ascii="Times New Roman" w:hAnsi="Times New Roman" w:cs="Times New Roman"/>
          <w:b/>
          <w:i/>
          <w:noProof/>
        </w:rPr>
        <w:t xml:space="preserve"> et al.</w:t>
      </w:r>
      <w:r w:rsidRPr="00F73F2F">
        <w:rPr>
          <w:rFonts w:ascii="Times New Roman" w:hAnsi="Times New Roman" w:cs="Times New Roman"/>
          <w:b/>
          <w:noProof/>
        </w:rPr>
        <w:t>, 2020; Horvatek</w:t>
      </w:r>
      <w:r w:rsidRPr="00F73F2F">
        <w:rPr>
          <w:rFonts w:ascii="Times New Roman" w:hAnsi="Times New Roman" w:cs="Times New Roman"/>
          <w:b/>
          <w:i/>
          <w:noProof/>
        </w:rPr>
        <w:t xml:space="preserve"> et al.</w:t>
      </w:r>
      <w:r w:rsidRPr="00F73F2F">
        <w:rPr>
          <w:rFonts w:ascii="Times New Roman" w:hAnsi="Times New Roman" w:cs="Times New Roman"/>
          <w:b/>
          <w:noProof/>
        </w:rPr>
        <w:t>, 2020)</w:t>
      </w:r>
      <w:r w:rsidRPr="00F73F2F">
        <w:rPr>
          <w:rFonts w:ascii="Times New Roman" w:hAnsi="Times New Roman" w:cs="Times New Roman"/>
          <w:b/>
        </w:rPr>
        <w:fldChar w:fldCharType="end"/>
      </w:r>
      <w:r>
        <w:rPr>
          <w:rFonts w:ascii="Times New Roman" w:hAnsi="Times New Roman" w:cs="Times New Roman"/>
          <w:bCs/>
        </w:rPr>
        <w:t xml:space="preserve"> and the development of murine pyelonephritis </w:t>
      </w:r>
      <w:r w:rsidRPr="00256AA2">
        <w:rPr>
          <w:rFonts w:ascii="Times New Roman" w:hAnsi="Times New Roman" w:cs="Times New Roman"/>
          <w:b/>
        </w:rPr>
        <w:fldChar w:fldCharType="begin"/>
      </w:r>
      <w:r w:rsidRPr="00256AA2">
        <w:rPr>
          <w:rFonts w:ascii="Times New Roman" w:hAnsi="Times New Roman" w:cs="Times New Roman"/>
          <w:b/>
        </w:rPr>
        <w:instrText xml:space="preserve"> ADDIN EN.CITE &lt;EndNote&gt;&lt;Cite&gt;&lt;Author&gt;Geiger&lt;/Author&gt;&lt;Year&gt;2010&lt;/Year&gt;&lt;IDText&gt;Role of the (p)ppGpp Synthase RSH, a RelA/SpoT Homolog, in Stringent Response and Virulence of Staphylococcus aureus&lt;/IDText&gt;&lt;DisplayText&gt;(Geiger&lt;style face="italic"&gt; et al.&lt;/style&gt;, 2010)&lt;/DisplayText&gt;&lt;record&gt;&lt;dates&gt;&lt;pub-dates&gt;&lt;date&gt;May&lt;/date&gt;&lt;/pub-dates&gt;&lt;year&gt;2010&lt;/year&gt;&lt;/dates&gt;&lt;urls&gt;&lt;related-urls&gt;&lt;/related-urls&gt;&lt;/urls&gt;&lt;isbn&gt;0019-9567&lt;/isbn&gt;&lt;titles&gt;&lt;title&gt;&lt;style font="default" size="100%"&gt;Role of the (p)ppGpp Synthase RSH, a RelA/SpoT Homolog, in Stringent Response and Virulence of &lt;/style&gt;&lt;style face="italic" font="default" size="100%"&gt;Staphylococcus aureus&lt;/style&gt;&lt;/title&gt;&lt;secondary-title&gt;Infection and Immunity&lt;/secondary-title&gt;&lt;/titles&gt;&lt;pages&gt;1873-1883&lt;/pages&gt;&lt;number&gt;5&lt;/number&gt;&lt;contributors&gt;&lt;authors&gt;&lt;author&gt;Geiger, Tobias&lt;/author&gt;&lt;author&gt;Goerke, Christiane&lt;/author&gt;&lt;author&gt;Fritz, Michaela&lt;/author&gt;&lt;author&gt;Schaefer, Tina&lt;/author&gt;&lt;author&gt;Ohlsen, Knut&lt;/author&gt;&lt;author&gt;Liebeke, Manuel&lt;/author&gt;&lt;author&gt;Lalk, Michael&lt;/author&gt;&lt;author&gt;Wolz, Christiane&lt;/author&gt;&lt;/authors&gt;&lt;/contributors&gt;&lt;added-date format="utc"&gt;1663612960&lt;/added-date&gt;&lt;ref-type name="Journal Article"&gt;17&lt;/ref-type&gt;&lt;rec-number&gt;70&lt;/rec-number&gt;&lt;last-updated-date format="utc"&gt;1678058042&lt;/last-updated-date&gt;&lt;accession-num&gt;WOS:000276778700008&lt;/accession-num&gt;&lt;electronic-resource-num&gt;10.1128/iai.01439-09&lt;/electronic-resource-num&gt;&lt;volume&gt;78&lt;/volume&gt;&lt;/record&gt;&lt;/Cite&gt;&lt;/EndNote&gt;</w:instrText>
      </w:r>
      <w:r w:rsidRPr="00256AA2">
        <w:rPr>
          <w:rFonts w:ascii="Times New Roman" w:hAnsi="Times New Roman" w:cs="Times New Roman"/>
          <w:b/>
        </w:rPr>
        <w:fldChar w:fldCharType="separate"/>
      </w:r>
      <w:r w:rsidRPr="00256AA2">
        <w:rPr>
          <w:rFonts w:ascii="Times New Roman" w:hAnsi="Times New Roman" w:cs="Times New Roman"/>
          <w:b/>
          <w:noProof/>
        </w:rPr>
        <w:t>(Geiger</w:t>
      </w:r>
      <w:r w:rsidRPr="00256AA2">
        <w:rPr>
          <w:rFonts w:ascii="Times New Roman" w:hAnsi="Times New Roman" w:cs="Times New Roman"/>
          <w:b/>
          <w:i/>
          <w:noProof/>
        </w:rPr>
        <w:t xml:space="preserve"> et al.</w:t>
      </w:r>
      <w:r w:rsidRPr="00256AA2">
        <w:rPr>
          <w:rFonts w:ascii="Times New Roman" w:hAnsi="Times New Roman" w:cs="Times New Roman"/>
          <w:b/>
          <w:noProof/>
        </w:rPr>
        <w:t>, 2010)</w:t>
      </w:r>
      <w:r w:rsidRPr="00256AA2">
        <w:rPr>
          <w:rFonts w:ascii="Times New Roman" w:hAnsi="Times New Roman" w:cs="Times New Roman"/>
          <w:b/>
        </w:rPr>
        <w:fldChar w:fldCharType="end"/>
      </w:r>
      <w:r>
        <w:rPr>
          <w:rFonts w:ascii="Times New Roman" w:hAnsi="Times New Roman" w:cs="Times New Roman"/>
          <w:bCs/>
        </w:rPr>
        <w:t>.</w:t>
      </w:r>
      <w:r>
        <w:rPr>
          <w:rFonts w:ascii="Times New Roman" w:hAnsi="Times New Roman" w:cs="Times New Roman"/>
        </w:rPr>
        <w:t xml:space="preserve"> Thus, this study sought to </w:t>
      </w:r>
      <w:r w:rsidR="00886F7B">
        <w:rPr>
          <w:rFonts w:ascii="Times New Roman" w:hAnsi="Times New Roman" w:cs="Times New Roman"/>
        </w:rPr>
        <w:t>perform</w:t>
      </w:r>
      <w:r>
        <w:rPr>
          <w:rFonts w:ascii="Times New Roman" w:hAnsi="Times New Roman" w:cs="Times New Roman"/>
        </w:rPr>
        <w:t xml:space="preserve"> a systematic analysis of the importance of the stringent response including the roles for RelP and RelQ, which are understudied </w:t>
      </w:r>
      <w:r>
        <w:rPr>
          <w:rFonts w:ascii="Times New Roman" w:hAnsi="Times New Roman" w:cs="Times New Roman"/>
          <w:i/>
          <w:iCs/>
        </w:rPr>
        <w:t xml:space="preserve">in vivo. </w:t>
      </w:r>
      <w:r>
        <w:rPr>
          <w:rFonts w:ascii="Times New Roman" w:hAnsi="Times New Roman" w:cs="Times New Roman"/>
        </w:rPr>
        <w:t>Firstly, this will be achieved by the construction of a toolbox containing various strains that can enable the investigation of the stringent response (chapter 3)</w:t>
      </w:r>
      <w:r w:rsidR="005C1A78">
        <w:rPr>
          <w:rFonts w:ascii="Times New Roman" w:hAnsi="Times New Roman" w:cs="Times New Roman"/>
        </w:rPr>
        <w:t xml:space="preserve"> including:</w:t>
      </w:r>
      <w:r>
        <w:rPr>
          <w:rFonts w:ascii="Times New Roman" w:hAnsi="Times New Roman" w:cs="Times New Roman"/>
        </w:rPr>
        <w:t xml:space="preserve"> the characterisation of a panel of (p)ppGpp synthetase deletion mutants, the construction of</w:t>
      </w:r>
      <w:r w:rsidR="00ED1623">
        <w:rPr>
          <w:rFonts w:ascii="Times New Roman" w:hAnsi="Times New Roman" w:cs="Times New Roman"/>
        </w:rPr>
        <w:t xml:space="preserve"> </w:t>
      </w:r>
      <w:r>
        <w:rPr>
          <w:rFonts w:ascii="Times New Roman" w:hAnsi="Times New Roman" w:cs="Times New Roman"/>
        </w:rPr>
        <w:t>(p)ppGpp overexpression strain</w:t>
      </w:r>
      <w:r w:rsidR="00ED1623">
        <w:rPr>
          <w:rFonts w:ascii="Times New Roman" w:hAnsi="Times New Roman" w:cs="Times New Roman"/>
        </w:rPr>
        <w:t>s</w:t>
      </w:r>
      <w:r>
        <w:rPr>
          <w:rFonts w:ascii="Times New Roman" w:hAnsi="Times New Roman" w:cs="Times New Roman"/>
        </w:rPr>
        <w:t xml:space="preserve"> and the construction and characterisation of three (p)ppGpp probes. These include 1) a riboswitch-based molecular (p)ppGpp biosensor to directly report </w:t>
      </w:r>
      <w:r w:rsidR="00ED1623">
        <w:rPr>
          <w:rFonts w:ascii="Times New Roman" w:hAnsi="Times New Roman" w:cs="Times New Roman"/>
        </w:rPr>
        <w:t>o</w:t>
      </w:r>
      <w:r>
        <w:rPr>
          <w:rFonts w:ascii="Times New Roman" w:hAnsi="Times New Roman" w:cs="Times New Roman"/>
        </w:rPr>
        <w:t xml:space="preserve">n intracellular (p)ppGpp levels, 2) a transcriptional dual promoter-reporter fusion for the indirect measurements of (p)ppGpp levels and 3) translational synthetase-GFP fusions to report on the levels of (p)ppGpp synthetase </w:t>
      </w:r>
      <w:r w:rsidR="00ED1623">
        <w:rPr>
          <w:rFonts w:ascii="Times New Roman" w:hAnsi="Times New Roman" w:cs="Times New Roman"/>
        </w:rPr>
        <w:t xml:space="preserve">being </w:t>
      </w:r>
      <w:r>
        <w:rPr>
          <w:rFonts w:ascii="Times New Roman" w:hAnsi="Times New Roman" w:cs="Times New Roman"/>
        </w:rPr>
        <w:t xml:space="preserve">expressed. The aim of constructing these probes was to elucidate when (p)ppGpp is produced during infection. However, only the translational synthetase-GFP were shown to be functional using the methods outlined in this study. </w:t>
      </w:r>
    </w:p>
    <w:p w14:paraId="62E56E77" w14:textId="2BD3889A" w:rsidR="00033564" w:rsidRDefault="00033564" w:rsidP="00033564">
      <w:pPr>
        <w:spacing w:line="360" w:lineRule="auto"/>
        <w:jc w:val="both"/>
        <w:rPr>
          <w:rFonts w:ascii="Times New Roman" w:hAnsi="Times New Roman" w:cs="Times New Roman"/>
        </w:rPr>
      </w:pPr>
      <w:r>
        <w:rPr>
          <w:rFonts w:ascii="Times New Roman" w:hAnsi="Times New Roman" w:cs="Times New Roman"/>
        </w:rPr>
        <w:tab/>
        <w:t xml:space="preserve">Secondly, stringent response mutants will be exposed to stresses found within the phagolysosome, a cytoplasmic body that is generated by phagocytes upon internalisation of pathogens (chapter 4). These stressors include low pH, ROS and AMPs. The stringent response has been implicated in tolerance to ROS in other </w:t>
      </w:r>
      <w:r>
        <w:rPr>
          <w:rFonts w:ascii="Times New Roman" w:hAnsi="Times New Roman" w:cs="Times New Roman"/>
          <w:i/>
          <w:iCs/>
        </w:rPr>
        <w:t xml:space="preserve">S. aureus </w:t>
      </w:r>
      <w:r>
        <w:rPr>
          <w:rFonts w:ascii="Times New Roman" w:hAnsi="Times New Roman" w:cs="Times New Roman"/>
        </w:rPr>
        <w:t xml:space="preserve">strains, so this will be recapitulated in the strains characterised in chapter 3. Accordingly, the </w:t>
      </w:r>
      <w:r>
        <w:rPr>
          <w:rFonts w:ascii="Times New Roman" w:hAnsi="Times New Roman" w:cs="Times New Roman"/>
          <w:i/>
          <w:iCs/>
        </w:rPr>
        <w:t xml:space="preserve">in vitro </w:t>
      </w:r>
      <w:r>
        <w:rPr>
          <w:rFonts w:ascii="Times New Roman" w:hAnsi="Times New Roman" w:cs="Times New Roman"/>
        </w:rPr>
        <w:t xml:space="preserve">tolerance of various </w:t>
      </w:r>
      <w:r>
        <w:rPr>
          <w:rFonts w:ascii="Times New Roman" w:hAnsi="Times New Roman" w:cs="Times New Roman"/>
          <w:i/>
          <w:iCs/>
        </w:rPr>
        <w:t xml:space="preserve">S. aureus </w:t>
      </w:r>
      <w:r>
        <w:rPr>
          <w:rFonts w:ascii="Times New Roman" w:hAnsi="Times New Roman" w:cs="Times New Roman"/>
        </w:rPr>
        <w:t>strains including the synthetase deletion mutants, (p)ppGpp overproduction strain</w:t>
      </w:r>
      <w:r w:rsidR="00ED1623">
        <w:rPr>
          <w:rFonts w:ascii="Times New Roman" w:hAnsi="Times New Roman" w:cs="Times New Roman"/>
        </w:rPr>
        <w:t>s</w:t>
      </w:r>
      <w:r>
        <w:rPr>
          <w:rFonts w:ascii="Times New Roman" w:hAnsi="Times New Roman" w:cs="Times New Roman"/>
        </w:rPr>
        <w:t xml:space="preserve">, synthetase complement strains and a CodY-deficient strain to these stressors will be studied. This will enable further understanding of how the stringent response is required for survival within the phagolysosome. </w:t>
      </w:r>
    </w:p>
    <w:p w14:paraId="16CBBEC6" w14:textId="72FD2633" w:rsidR="00033564" w:rsidRPr="00007111" w:rsidRDefault="00033564" w:rsidP="00033564">
      <w:pPr>
        <w:spacing w:line="360" w:lineRule="auto"/>
        <w:jc w:val="both"/>
        <w:rPr>
          <w:rFonts w:ascii="Times New Roman" w:hAnsi="Times New Roman" w:cs="Times New Roman"/>
        </w:rPr>
      </w:pPr>
      <w:r>
        <w:rPr>
          <w:rFonts w:ascii="Times New Roman" w:hAnsi="Times New Roman" w:cs="Times New Roman"/>
        </w:rPr>
        <w:tab/>
        <w:t xml:space="preserve">Lastly, the virulence of these mutants will be investigated within a RAW 264.7 murine macrophage cell line, a human tonsillar epithelial cell line and within a systemic zebrafish embryo infection model. The absence and overproduction of (p)ppGpp will be examined, as well as the role of each synthetase. This will enable the effect of the stringent response on the ability of </w:t>
      </w:r>
      <w:r>
        <w:rPr>
          <w:rFonts w:ascii="Times New Roman" w:hAnsi="Times New Roman" w:cs="Times New Roman"/>
          <w:i/>
          <w:iCs/>
        </w:rPr>
        <w:t>S. aureus</w:t>
      </w:r>
      <w:r>
        <w:rPr>
          <w:rFonts w:ascii="Times New Roman" w:hAnsi="Times New Roman" w:cs="Times New Roman"/>
        </w:rPr>
        <w:t xml:space="preserve"> to survive in mammalian cells </w:t>
      </w:r>
      <w:r>
        <w:rPr>
          <w:rFonts w:ascii="Times New Roman" w:hAnsi="Times New Roman" w:cs="Times New Roman"/>
          <w:i/>
          <w:iCs/>
        </w:rPr>
        <w:t>in vitro</w:t>
      </w:r>
      <w:r w:rsidR="00ED1623">
        <w:rPr>
          <w:rFonts w:ascii="Times New Roman" w:hAnsi="Times New Roman" w:cs="Times New Roman"/>
        </w:rPr>
        <w:t>,</w:t>
      </w:r>
      <w:r>
        <w:rPr>
          <w:rFonts w:ascii="Times New Roman" w:hAnsi="Times New Roman" w:cs="Times New Roman"/>
        </w:rPr>
        <w:t xml:space="preserve"> and kill zebrafish embryos to be studied. Induction of the stringent response is often associated with the concurrent increase</w:t>
      </w:r>
      <w:r w:rsidR="00ED1623">
        <w:rPr>
          <w:rFonts w:ascii="Times New Roman" w:hAnsi="Times New Roman" w:cs="Times New Roman"/>
        </w:rPr>
        <w:t xml:space="preserve"> in</w:t>
      </w:r>
      <w:r>
        <w:rPr>
          <w:rFonts w:ascii="Times New Roman" w:hAnsi="Times New Roman" w:cs="Times New Roman"/>
        </w:rPr>
        <w:t xml:space="preserve"> expression of virulence factors in various pathogens. Thus, it is important to study the effect that the stringent response has on MRSA pathogenesis as this pathogen is a causative agent of many infections and further research can enable the development of </w:t>
      </w:r>
      <w:r w:rsidR="00ED1623">
        <w:rPr>
          <w:rFonts w:ascii="Times New Roman" w:hAnsi="Times New Roman" w:cs="Times New Roman"/>
        </w:rPr>
        <w:t xml:space="preserve">more efficacious </w:t>
      </w:r>
      <w:r>
        <w:rPr>
          <w:rFonts w:ascii="Times New Roman" w:hAnsi="Times New Roman" w:cs="Times New Roman"/>
        </w:rPr>
        <w:t xml:space="preserve">stringent response inhibitors. </w:t>
      </w:r>
    </w:p>
    <w:p w14:paraId="216268DB" w14:textId="77777777" w:rsidR="00033564" w:rsidRPr="005F3B1C" w:rsidRDefault="00033564" w:rsidP="00033564">
      <w:pPr>
        <w:pStyle w:val="Default"/>
        <w:jc w:val="both"/>
        <w:rPr>
          <w:rFonts w:ascii="Merriweather" w:hAnsi="Merriweather"/>
          <w:b/>
          <w:bCs/>
          <w:color w:val="212121"/>
          <w:sz w:val="22"/>
          <w:szCs w:val="22"/>
        </w:rPr>
      </w:pPr>
    </w:p>
    <w:p w14:paraId="534888BB" w14:textId="20B2520A" w:rsidR="00DB06BD" w:rsidRDefault="00DB06BD" w:rsidP="00DB06BD"/>
    <w:p w14:paraId="740216E2" w14:textId="0F34C05C" w:rsidR="00DB06BD" w:rsidRDefault="00DB06BD" w:rsidP="00DB06BD"/>
    <w:p w14:paraId="75C43E65" w14:textId="049A92A5" w:rsidR="00DB06BD" w:rsidRDefault="00DB06BD" w:rsidP="00DB06BD"/>
    <w:p w14:paraId="38F8716C" w14:textId="2E241FE4" w:rsidR="00DB06BD" w:rsidRDefault="00DB06BD" w:rsidP="00DB06BD"/>
    <w:p w14:paraId="3AE837A2" w14:textId="79AB1877" w:rsidR="00DB06BD" w:rsidRDefault="00DB06BD" w:rsidP="00DB06BD"/>
    <w:p w14:paraId="729C9ABF" w14:textId="77777777" w:rsidR="00DC1689" w:rsidRDefault="00DC1689" w:rsidP="00DB06BD"/>
    <w:p w14:paraId="244D0497" w14:textId="77777777" w:rsidR="00DC1689" w:rsidRDefault="00DC1689" w:rsidP="00DB06BD"/>
    <w:p w14:paraId="12F7BB53" w14:textId="77777777" w:rsidR="00DC1689" w:rsidRDefault="00DC1689" w:rsidP="00DB06BD"/>
    <w:p w14:paraId="7BD30A20" w14:textId="77777777" w:rsidR="00DC1689" w:rsidRDefault="00DC1689" w:rsidP="00DB06BD"/>
    <w:p w14:paraId="0F7E8AED" w14:textId="77777777" w:rsidR="00DC1689" w:rsidRDefault="00DC1689" w:rsidP="00DB06BD"/>
    <w:p w14:paraId="2E7DA00D" w14:textId="77777777" w:rsidR="00DC1689" w:rsidRDefault="00DC1689" w:rsidP="00DB06BD"/>
    <w:p w14:paraId="41174749" w14:textId="77777777" w:rsidR="00DC1689" w:rsidRDefault="00DC1689" w:rsidP="00DB06BD"/>
    <w:p w14:paraId="40AE8219" w14:textId="77777777" w:rsidR="00DC1689" w:rsidRDefault="00DC1689" w:rsidP="00DB06BD"/>
    <w:p w14:paraId="060CFF28" w14:textId="77777777" w:rsidR="00DC1689" w:rsidRDefault="00DC1689" w:rsidP="00DB06BD"/>
    <w:p w14:paraId="51C66A5D" w14:textId="77777777" w:rsidR="00DC1689" w:rsidRDefault="00DC1689" w:rsidP="00DB06BD"/>
    <w:p w14:paraId="36D7B2BE" w14:textId="77777777" w:rsidR="00DC1689" w:rsidRDefault="00DC1689" w:rsidP="00DB06BD"/>
    <w:p w14:paraId="372CFB71" w14:textId="77777777" w:rsidR="00DC1689" w:rsidRDefault="00DC1689" w:rsidP="00DB06BD"/>
    <w:p w14:paraId="2AC714BB" w14:textId="77777777" w:rsidR="00DC1689" w:rsidRDefault="00DC1689" w:rsidP="00DB06BD"/>
    <w:p w14:paraId="753B7535" w14:textId="050C5E3B" w:rsidR="00DB06BD" w:rsidRDefault="00DB06BD" w:rsidP="00DB06BD"/>
    <w:p w14:paraId="46E76573" w14:textId="77777777" w:rsidR="00D70E9B" w:rsidRPr="008D708F" w:rsidRDefault="00D70E9B" w:rsidP="00D70E9B">
      <w:pPr>
        <w:pStyle w:val="Heading1"/>
      </w:pPr>
      <w:bookmarkStart w:id="63" w:name="_Toc142043587"/>
      <w:r w:rsidRPr="008D708F">
        <w:t xml:space="preserve">Chapter </w:t>
      </w:r>
      <w:r>
        <w:t>2:</w:t>
      </w:r>
      <w:r w:rsidRPr="008D708F">
        <w:t xml:space="preserve"> </w:t>
      </w:r>
      <w:r>
        <w:t>Materials and methods</w:t>
      </w:r>
      <w:bookmarkEnd w:id="63"/>
      <w:r>
        <w:t xml:space="preserve"> </w:t>
      </w:r>
    </w:p>
    <w:p w14:paraId="362BBF6D" w14:textId="77777777" w:rsidR="00D70E9B" w:rsidRDefault="00D70E9B" w:rsidP="00D70E9B">
      <w:pPr>
        <w:spacing w:line="360" w:lineRule="auto"/>
        <w:jc w:val="both"/>
        <w:rPr>
          <w:rFonts w:ascii="Times New Roman" w:hAnsi="Times New Roman" w:cs="Times New Roman"/>
        </w:rPr>
      </w:pPr>
      <w:bookmarkStart w:id="64" w:name="_Hlk38208834"/>
    </w:p>
    <w:p w14:paraId="475B797C" w14:textId="77777777" w:rsidR="00D70E9B" w:rsidRPr="00D4711A" w:rsidRDefault="00D70E9B" w:rsidP="00D70E9B">
      <w:pPr>
        <w:pStyle w:val="Heading2"/>
      </w:pPr>
      <w:bookmarkStart w:id="65" w:name="_Toc142043588"/>
      <w:r w:rsidRPr="00D4711A">
        <w:t>2.1. Bacterial strains and growth conditions</w:t>
      </w:r>
      <w:bookmarkEnd w:id="65"/>
      <w:r w:rsidRPr="00D4711A">
        <w:t xml:space="preserve"> </w:t>
      </w:r>
    </w:p>
    <w:bookmarkEnd w:id="64"/>
    <w:p w14:paraId="1B506F6D" w14:textId="77777777" w:rsidR="00D70E9B" w:rsidRDefault="00D70E9B" w:rsidP="00D70E9B">
      <w:pPr>
        <w:spacing w:line="360" w:lineRule="auto"/>
        <w:jc w:val="both"/>
        <w:rPr>
          <w:rFonts w:ascii="Times New Roman" w:hAnsi="Times New Roman" w:cs="Times New Roman"/>
        </w:rPr>
      </w:pPr>
    </w:p>
    <w:p w14:paraId="77CF7938" w14:textId="5CC086EB" w:rsidR="00D70E9B" w:rsidRPr="0085544B" w:rsidRDefault="00D70E9B" w:rsidP="00D70E9B">
      <w:pPr>
        <w:spacing w:line="360" w:lineRule="auto"/>
        <w:jc w:val="both"/>
        <w:rPr>
          <w:rFonts w:ascii="Times New Roman" w:hAnsi="Times New Roman" w:cs="Times New Roman"/>
        </w:rPr>
      </w:pPr>
      <w:r w:rsidRPr="0085544B">
        <w:rPr>
          <w:rFonts w:ascii="Times New Roman" w:hAnsi="Times New Roman" w:cs="Times New Roman"/>
        </w:rPr>
        <w:t xml:space="preserve">All strains used in this study are listed in </w:t>
      </w:r>
      <w:r w:rsidRPr="007236A6">
        <w:rPr>
          <w:rFonts w:ascii="Times New Roman" w:hAnsi="Times New Roman" w:cs="Times New Roman"/>
          <w:b/>
          <w:bCs/>
        </w:rPr>
        <w:t xml:space="preserve">Table </w:t>
      </w:r>
      <w:r w:rsidR="003C640C">
        <w:rPr>
          <w:rFonts w:ascii="Times New Roman" w:hAnsi="Times New Roman" w:cs="Times New Roman"/>
          <w:b/>
          <w:bCs/>
        </w:rPr>
        <w:t>1</w:t>
      </w:r>
      <w:r w:rsidRPr="007236A6">
        <w:rPr>
          <w:rFonts w:ascii="Times New Roman" w:hAnsi="Times New Roman" w:cs="Times New Roman"/>
        </w:rPr>
        <w:t>.</w:t>
      </w:r>
      <w:r w:rsidRPr="0085544B">
        <w:rPr>
          <w:rFonts w:ascii="Times New Roman" w:hAnsi="Times New Roman" w:cs="Times New Roman"/>
        </w:rPr>
        <w:t xml:space="preserve"> </w:t>
      </w:r>
      <w:r w:rsidRPr="0085544B">
        <w:rPr>
          <w:rFonts w:ascii="Times New Roman" w:hAnsi="Times New Roman" w:cs="Times New Roman"/>
          <w:i/>
          <w:iCs/>
        </w:rPr>
        <w:t xml:space="preserve">E. coli </w:t>
      </w:r>
      <w:r w:rsidRPr="0085544B">
        <w:rPr>
          <w:rFonts w:ascii="Times New Roman" w:hAnsi="Times New Roman" w:cs="Times New Roman"/>
        </w:rPr>
        <w:t xml:space="preserve">strains were cultured in Luria Bertani broth (LB) </w:t>
      </w:r>
      <w:r w:rsidRPr="00111E38">
        <w:rPr>
          <w:rFonts w:ascii="Times New Roman" w:hAnsi="Times New Roman" w:cs="Times New Roman"/>
        </w:rPr>
        <w:t xml:space="preserve">(Fisher) </w:t>
      </w:r>
      <w:r w:rsidRPr="0085544B">
        <w:rPr>
          <w:rFonts w:ascii="Times New Roman" w:hAnsi="Times New Roman" w:cs="Times New Roman"/>
        </w:rPr>
        <w:t xml:space="preserve">and </w:t>
      </w:r>
      <w:r w:rsidRPr="0085544B">
        <w:rPr>
          <w:rFonts w:ascii="Times New Roman" w:hAnsi="Times New Roman" w:cs="Times New Roman"/>
          <w:i/>
          <w:iCs/>
        </w:rPr>
        <w:t>S. aureus</w:t>
      </w:r>
      <w:r w:rsidRPr="0085544B">
        <w:rPr>
          <w:rFonts w:ascii="Times New Roman" w:hAnsi="Times New Roman" w:cs="Times New Roman"/>
        </w:rPr>
        <w:t xml:space="preserve"> strains in tryptic soy broth (TSB) </w:t>
      </w:r>
      <w:r w:rsidRPr="00111E38">
        <w:rPr>
          <w:rFonts w:ascii="Times New Roman" w:hAnsi="Times New Roman" w:cs="Times New Roman"/>
        </w:rPr>
        <w:t>(</w:t>
      </w:r>
      <w:r>
        <w:rPr>
          <w:rFonts w:ascii="Times New Roman" w:hAnsi="Times New Roman" w:cs="Times New Roman"/>
        </w:rPr>
        <w:t>Becton, Dickinson and Company</w:t>
      </w:r>
      <w:r w:rsidRPr="00111E38">
        <w:rPr>
          <w:rFonts w:ascii="Times New Roman" w:hAnsi="Times New Roman" w:cs="Times New Roman"/>
        </w:rPr>
        <w:t>)</w:t>
      </w:r>
      <w:r>
        <w:rPr>
          <w:rFonts w:ascii="Times New Roman" w:hAnsi="Times New Roman" w:cs="Times New Roman"/>
        </w:rPr>
        <w:t xml:space="preserve"> or chemically defined medium (CDM) (</w:t>
      </w:r>
      <w:r w:rsidRPr="007236A6">
        <w:rPr>
          <w:rFonts w:ascii="Times New Roman" w:hAnsi="Times New Roman" w:cs="Times New Roman"/>
        </w:rPr>
        <w:t xml:space="preserve">recipe listed in </w:t>
      </w:r>
      <w:r w:rsidRPr="007236A6">
        <w:rPr>
          <w:rFonts w:ascii="Times New Roman" w:hAnsi="Times New Roman" w:cs="Times New Roman"/>
          <w:b/>
          <w:bCs/>
        </w:rPr>
        <w:t xml:space="preserve">Table </w:t>
      </w:r>
      <w:r w:rsidR="003C640C">
        <w:rPr>
          <w:rFonts w:ascii="Times New Roman" w:hAnsi="Times New Roman" w:cs="Times New Roman"/>
          <w:b/>
          <w:bCs/>
        </w:rPr>
        <w:t>2</w:t>
      </w:r>
      <w:r w:rsidRPr="007236A6">
        <w:rPr>
          <w:rFonts w:ascii="Times New Roman" w:hAnsi="Times New Roman" w:cs="Times New Roman"/>
        </w:rPr>
        <w:t>) at</w:t>
      </w:r>
      <w:r w:rsidRPr="0085544B">
        <w:rPr>
          <w:rFonts w:ascii="Times New Roman" w:hAnsi="Times New Roman" w:cs="Times New Roman"/>
        </w:rPr>
        <w:t xml:space="preserve"> 37</w:t>
      </w:r>
      <w:bookmarkStart w:id="66" w:name="_Hlk40747986"/>
      <w:r w:rsidRPr="0085544B">
        <w:rPr>
          <w:rFonts w:ascii="Times New Roman" w:hAnsi="Times New Roman" w:cs="Times New Roman"/>
        </w:rPr>
        <w:t>˚C</w:t>
      </w:r>
      <w:bookmarkEnd w:id="66"/>
      <w:r w:rsidRPr="0085544B">
        <w:rPr>
          <w:rFonts w:ascii="Times New Roman" w:hAnsi="Times New Roman" w:cs="Times New Roman"/>
        </w:rPr>
        <w:t xml:space="preserve"> with aeration. Both broth and agar plates were supplemented with</w:t>
      </w:r>
      <w:r w:rsidR="00ED1623">
        <w:rPr>
          <w:rFonts w:ascii="Times New Roman" w:hAnsi="Times New Roman" w:cs="Times New Roman"/>
        </w:rPr>
        <w:t xml:space="preserve"> the</w:t>
      </w:r>
      <w:r w:rsidRPr="0085544B">
        <w:rPr>
          <w:rFonts w:ascii="Times New Roman" w:hAnsi="Times New Roman" w:cs="Times New Roman"/>
        </w:rPr>
        <w:t xml:space="preserve"> appropriate antibiotics as indicated in the strain table</w:t>
      </w:r>
      <w:r>
        <w:rPr>
          <w:rFonts w:ascii="Times New Roman" w:hAnsi="Times New Roman" w:cs="Times New Roman"/>
        </w:rPr>
        <w:t>.</w:t>
      </w:r>
    </w:p>
    <w:tbl>
      <w:tblPr>
        <w:tblStyle w:val="PlainTable3"/>
        <w:tblW w:w="8897" w:type="dxa"/>
        <w:tblLook w:val="00A0" w:firstRow="1" w:lastRow="0" w:firstColumn="1" w:lastColumn="0" w:noHBand="0" w:noVBand="0"/>
      </w:tblPr>
      <w:tblGrid>
        <w:gridCol w:w="1399"/>
        <w:gridCol w:w="4946"/>
        <w:gridCol w:w="2552"/>
      </w:tblGrid>
      <w:tr w:rsidR="00D70E9B" w:rsidRPr="0085544B" w14:paraId="20C9C656" w14:textId="77777777" w:rsidTr="00A744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97" w:type="dxa"/>
            <w:gridSpan w:val="3"/>
          </w:tcPr>
          <w:p w14:paraId="6D6A4444" w14:textId="11483D1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 xml:space="preserve">Table </w:t>
            </w:r>
            <w:r w:rsidR="003C640C">
              <w:rPr>
                <w:rFonts w:ascii="Times New Roman" w:hAnsi="Times New Roman" w:cs="Times New Roman"/>
                <w:sz w:val="16"/>
              </w:rPr>
              <w:t>1</w:t>
            </w:r>
            <w:r>
              <w:rPr>
                <w:rFonts w:ascii="Times New Roman" w:hAnsi="Times New Roman" w:cs="Times New Roman"/>
                <w:sz w:val="16"/>
              </w:rPr>
              <w:t>. Bacterial strains</w:t>
            </w:r>
          </w:p>
        </w:tc>
      </w:tr>
      <w:tr w:rsidR="00D70E9B" w:rsidRPr="0085544B" w14:paraId="643C597F"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77CA9ECA" w14:textId="77777777" w:rsidR="00D70E9B" w:rsidRPr="0085544B" w:rsidRDefault="00D70E9B" w:rsidP="00A74445">
            <w:pPr>
              <w:spacing w:line="480" w:lineRule="auto"/>
              <w:ind w:right="-1"/>
              <w:rPr>
                <w:rFonts w:ascii="Times New Roman" w:hAnsi="Times New Roman" w:cs="Times New Roman"/>
                <w:b w:val="0"/>
                <w:sz w:val="16"/>
              </w:rPr>
            </w:pPr>
            <w:r w:rsidRPr="0085544B">
              <w:rPr>
                <w:rFonts w:ascii="Times New Roman" w:hAnsi="Times New Roman" w:cs="Times New Roman"/>
                <w:sz w:val="16"/>
              </w:rPr>
              <w:t>Strain</w:t>
            </w:r>
          </w:p>
        </w:tc>
        <w:tc>
          <w:tcPr>
            <w:cnfStyle w:val="000010000000" w:firstRow="0" w:lastRow="0" w:firstColumn="0" w:lastColumn="0" w:oddVBand="1" w:evenVBand="0" w:oddHBand="0" w:evenHBand="0" w:firstRowFirstColumn="0" w:firstRowLastColumn="0" w:lastRowFirstColumn="0" w:lastRowLastColumn="0"/>
            <w:tcW w:w="4946" w:type="dxa"/>
          </w:tcPr>
          <w:p w14:paraId="333AAB83" w14:textId="77777777" w:rsidR="00D70E9B" w:rsidRPr="0085544B" w:rsidRDefault="00D70E9B" w:rsidP="00A74445">
            <w:pPr>
              <w:spacing w:line="480" w:lineRule="auto"/>
              <w:ind w:right="-1"/>
              <w:rPr>
                <w:rFonts w:ascii="Times New Roman" w:hAnsi="Times New Roman" w:cs="Times New Roman"/>
                <w:b/>
                <w:sz w:val="16"/>
              </w:rPr>
            </w:pPr>
            <w:r w:rsidRPr="0085544B">
              <w:rPr>
                <w:rFonts w:ascii="Times New Roman" w:hAnsi="Times New Roman" w:cs="Times New Roman"/>
                <w:sz w:val="16"/>
              </w:rPr>
              <w:t>Relevant features</w:t>
            </w:r>
          </w:p>
        </w:tc>
        <w:tc>
          <w:tcPr>
            <w:tcW w:w="2552" w:type="dxa"/>
          </w:tcPr>
          <w:p w14:paraId="6CD28B71"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rPr>
            </w:pPr>
            <w:r w:rsidRPr="0085544B">
              <w:rPr>
                <w:rFonts w:ascii="Times New Roman" w:hAnsi="Times New Roman" w:cs="Times New Roman"/>
                <w:sz w:val="16"/>
              </w:rPr>
              <w:t>Reference</w:t>
            </w:r>
          </w:p>
        </w:tc>
      </w:tr>
      <w:tr w:rsidR="00D70E9B" w:rsidRPr="0085544B" w14:paraId="213BCFB4"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7A424941" w14:textId="77777777" w:rsidR="00D70E9B" w:rsidRPr="0085544B" w:rsidRDefault="00D70E9B" w:rsidP="00A74445">
            <w:pPr>
              <w:spacing w:line="480" w:lineRule="auto"/>
              <w:ind w:right="-1"/>
              <w:rPr>
                <w:rFonts w:ascii="Times New Roman" w:hAnsi="Times New Roman" w:cs="Times New Roman"/>
                <w:sz w:val="16"/>
              </w:rPr>
            </w:pPr>
          </w:p>
        </w:tc>
        <w:tc>
          <w:tcPr>
            <w:cnfStyle w:val="000010000000" w:firstRow="0" w:lastRow="0" w:firstColumn="0" w:lastColumn="0" w:oddVBand="1" w:evenVBand="0" w:oddHBand="0" w:evenHBand="0" w:firstRowFirstColumn="0" w:firstRowLastColumn="0" w:lastRowFirstColumn="0" w:lastRowLastColumn="0"/>
            <w:tcW w:w="4946" w:type="dxa"/>
          </w:tcPr>
          <w:p w14:paraId="5C0146EF" w14:textId="77777777" w:rsidR="00D70E9B" w:rsidRPr="0085544B" w:rsidRDefault="00D70E9B" w:rsidP="00A74445">
            <w:pPr>
              <w:spacing w:line="480" w:lineRule="auto"/>
              <w:ind w:right="-1"/>
              <w:jc w:val="center"/>
              <w:rPr>
                <w:rFonts w:ascii="Times New Roman" w:hAnsi="Times New Roman" w:cs="Times New Roman"/>
                <w:b/>
                <w:sz w:val="16"/>
              </w:rPr>
            </w:pPr>
            <w:r w:rsidRPr="0085544B">
              <w:rPr>
                <w:rFonts w:ascii="Times New Roman" w:hAnsi="Times New Roman" w:cs="Times New Roman"/>
                <w:b/>
                <w:i/>
                <w:sz w:val="16"/>
              </w:rPr>
              <w:t>Escherichia coli</w:t>
            </w:r>
            <w:r w:rsidRPr="0085544B">
              <w:rPr>
                <w:rFonts w:ascii="Times New Roman" w:hAnsi="Times New Roman" w:cs="Times New Roman"/>
                <w:b/>
                <w:sz w:val="16"/>
              </w:rPr>
              <w:t xml:space="preserve"> strains</w:t>
            </w:r>
          </w:p>
        </w:tc>
        <w:tc>
          <w:tcPr>
            <w:tcW w:w="2552" w:type="dxa"/>
          </w:tcPr>
          <w:p w14:paraId="380B36A3"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r>
      <w:tr w:rsidR="00D70E9B" w:rsidRPr="0085544B" w14:paraId="73132CF6"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0E9BE09E"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XL1-Blue</w:t>
            </w:r>
          </w:p>
        </w:tc>
        <w:tc>
          <w:tcPr>
            <w:cnfStyle w:val="000010000000" w:firstRow="0" w:lastRow="0" w:firstColumn="0" w:lastColumn="0" w:oddVBand="1" w:evenVBand="0" w:oddHBand="0" w:evenHBand="0" w:firstRowFirstColumn="0" w:firstRowLastColumn="0" w:lastRowFirstColumn="0" w:lastRowLastColumn="0"/>
            <w:tcW w:w="4946" w:type="dxa"/>
          </w:tcPr>
          <w:p w14:paraId="0D04D808"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lang w:val="en-US"/>
              </w:rPr>
              <w:t>Cloning strain</w:t>
            </w:r>
            <w:r>
              <w:rPr>
                <w:rFonts w:ascii="Times New Roman" w:hAnsi="Times New Roman" w:cs="Times New Roman"/>
                <w:sz w:val="16"/>
                <w:lang w:val="en-US"/>
              </w:rPr>
              <w:t>;</w:t>
            </w:r>
            <w:r w:rsidRPr="0085544B">
              <w:rPr>
                <w:rFonts w:ascii="Times New Roman" w:hAnsi="Times New Roman" w:cs="Times New Roman"/>
                <w:sz w:val="16"/>
                <w:lang w:val="en-US"/>
              </w:rPr>
              <w:t xml:space="preserve"> TetR</w:t>
            </w:r>
          </w:p>
        </w:tc>
        <w:tc>
          <w:tcPr>
            <w:tcW w:w="2552" w:type="dxa"/>
          </w:tcPr>
          <w:p w14:paraId="0DE05B17"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sz w:val="16"/>
              </w:rPr>
              <w:t>Stratagene</w:t>
            </w:r>
          </w:p>
        </w:tc>
      </w:tr>
      <w:tr w:rsidR="00D70E9B" w:rsidRPr="0085544B" w14:paraId="00B237BE"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41B0CEA1"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RMC108</w:t>
            </w:r>
          </w:p>
        </w:tc>
        <w:tc>
          <w:tcPr>
            <w:cnfStyle w:val="000010000000" w:firstRow="0" w:lastRow="0" w:firstColumn="0" w:lastColumn="0" w:oddVBand="1" w:evenVBand="0" w:oddHBand="0" w:evenHBand="0" w:firstRowFirstColumn="0" w:firstRowLastColumn="0" w:lastRowFirstColumn="0" w:lastRowLastColumn="0"/>
            <w:tcW w:w="4946" w:type="dxa"/>
          </w:tcPr>
          <w:p w14:paraId="36F3DAAB" w14:textId="77777777" w:rsidR="00D70E9B" w:rsidRPr="0085544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lang w:val="en-US"/>
              </w:rPr>
              <w:t xml:space="preserve">pCN49 in </w:t>
            </w:r>
            <w:r w:rsidRPr="0085544B">
              <w:rPr>
                <w:rFonts w:ascii="Times New Roman" w:hAnsi="Times New Roman" w:cs="Times New Roman"/>
                <w:sz w:val="16"/>
              </w:rPr>
              <w:t>in 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4418A657"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fldChar w:fldCharType="begin"/>
            </w:r>
            <w:r>
              <w:rPr>
                <w:rFonts w:ascii="Times New Roman" w:hAnsi="Times New Roman" w:cs="Times New Roman"/>
                <w:sz w:val="16"/>
              </w:rPr>
              <w:instrText xml:space="preserve"> ADDIN EN.CITE &lt;EndNote&gt;&lt;Cite&gt;&lt;Author&gt;Charpentier&lt;/Author&gt;&lt;Year&gt;2004&lt;/Year&gt;&lt;IDText&gt;Novel cassette-based shuttle vector system for gram-positive bacteria&lt;/IDText&gt;&lt;DisplayText&gt;(Charpentier&lt;style face="italic"&gt; et al.&lt;/style&gt;, 2004)&lt;/DisplayText&gt;&lt;record&gt;&lt;dates&gt;&lt;pub-dates&gt;&lt;date&gt;Oct&lt;/date&gt;&lt;/pub-dates&gt;&lt;year&gt;2004&lt;/year&gt;&lt;/dates&gt;&lt;urls&gt;&lt;related-urls&gt;&lt;url&gt;&amp;lt;Go to ISI&amp;gt;://WOS:000224356200048&lt;/url&gt;&lt;/related-urls&gt;&lt;/urls&gt;&lt;isbn&gt;0099-2240&lt;/isbn&gt;&lt;work-type&gt;Article&lt;/work-type&gt;&lt;titles&gt;&lt;title&gt;Novel cassette-based shuttle vector system for gram-positive bacteria&lt;/title&gt;&lt;secondary-title&gt;Applied and Environmental Microbiology&lt;/secondary-title&gt;&lt;/titles&gt;&lt;pages&gt;6076-6085&lt;/pages&gt;&lt;number&gt;10&lt;/number&gt;&lt;contributors&gt;&lt;authors&gt;&lt;author&gt;Charpentier, E.&lt;/author&gt;&lt;author&gt;Anton, A. I.&lt;/author&gt;&lt;author&gt;Barry, P.&lt;/author&gt;&lt;author&gt;Alfonso, B.&lt;/author&gt;&lt;author&gt;Fang, Y.&lt;/author&gt;&lt;author&gt;Novick, R. P.&lt;/author&gt;&lt;/authors&gt;&lt;/contributors&gt;&lt;added-date format="utc"&gt;1670001338&lt;/added-date&gt;&lt;ref-type name="Journal Article"&gt;17&lt;/ref-type&gt;&lt;rec-number&gt;187&lt;/rec-number&gt;&lt;last-updated-date format="utc"&gt;1670001338&lt;/last-updated-date&gt;&lt;accession-num&gt;WOS:000224356200048&lt;/accession-num&gt;&lt;electronic-resource-num&gt;10.1128/aem.70.10.6076-6085.2004&lt;/electronic-resource-num&gt;&lt;volume&gt;70&lt;/volume&gt;&lt;/record&gt;&lt;/Cite&gt;&lt;/EndNote&gt;</w:instrText>
            </w:r>
            <w:r>
              <w:rPr>
                <w:rFonts w:ascii="Times New Roman" w:hAnsi="Times New Roman" w:cs="Times New Roman"/>
                <w:sz w:val="16"/>
              </w:rPr>
              <w:fldChar w:fldCharType="separate"/>
            </w:r>
            <w:r>
              <w:rPr>
                <w:rFonts w:ascii="Times New Roman" w:hAnsi="Times New Roman" w:cs="Times New Roman"/>
                <w:noProof/>
                <w:sz w:val="16"/>
              </w:rPr>
              <w:t>(Charpentier</w:t>
            </w:r>
            <w:r w:rsidRPr="007B2485">
              <w:rPr>
                <w:rFonts w:ascii="Times New Roman" w:hAnsi="Times New Roman" w:cs="Times New Roman"/>
                <w:i/>
                <w:noProof/>
                <w:sz w:val="16"/>
              </w:rPr>
              <w:t xml:space="preserve"> et al.</w:t>
            </w:r>
            <w:r>
              <w:rPr>
                <w:rFonts w:ascii="Times New Roman" w:hAnsi="Times New Roman" w:cs="Times New Roman"/>
                <w:noProof/>
                <w:sz w:val="16"/>
              </w:rPr>
              <w:t>, 2004)</w:t>
            </w:r>
            <w:r>
              <w:rPr>
                <w:rFonts w:ascii="Times New Roman" w:hAnsi="Times New Roman" w:cs="Times New Roman"/>
                <w:sz w:val="16"/>
              </w:rPr>
              <w:fldChar w:fldCharType="end"/>
            </w:r>
          </w:p>
        </w:tc>
      </w:tr>
      <w:tr w:rsidR="00D70E9B" w:rsidRPr="0085544B" w14:paraId="297201FB" w14:textId="77777777" w:rsidTr="00A7444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99" w:type="dxa"/>
          </w:tcPr>
          <w:p w14:paraId="50112939"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rPr>
              <w:t>115</w:t>
            </w:r>
          </w:p>
        </w:tc>
        <w:tc>
          <w:tcPr>
            <w:cnfStyle w:val="000010000000" w:firstRow="0" w:lastRow="0" w:firstColumn="0" w:lastColumn="0" w:oddVBand="1" w:evenVBand="0" w:oddHBand="0" w:evenHBand="0" w:firstRowFirstColumn="0" w:firstRowLastColumn="0" w:lastRowFirstColumn="0" w:lastRowLastColumn="0"/>
            <w:tcW w:w="4946" w:type="dxa"/>
          </w:tcPr>
          <w:p w14:paraId="3D674833"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lang w:val="en-US"/>
              </w:rPr>
              <w:t xml:space="preserve">pCL55-iTET in </w:t>
            </w:r>
            <w:r w:rsidRPr="0085544B">
              <w:rPr>
                <w:rFonts w:ascii="Times New Roman" w:hAnsi="Times New Roman" w:cs="Times New Roman"/>
                <w:sz w:val="16"/>
              </w:rPr>
              <w:t>XL1-Blue</w:t>
            </w:r>
            <w:r>
              <w:rPr>
                <w:rFonts w:ascii="Times New Roman" w:hAnsi="Times New Roman" w:cs="Times New Roman"/>
                <w:sz w:val="16"/>
              </w:rPr>
              <w:t>;</w:t>
            </w:r>
            <w:r w:rsidRPr="0085544B">
              <w:rPr>
                <w:rFonts w:ascii="Times New Roman" w:hAnsi="Times New Roman" w:cs="Times New Roman"/>
                <w:sz w:val="16"/>
              </w:rPr>
              <w:t xml:space="preserve"> iTET promoter in pCL55; CarbR</w:t>
            </w:r>
          </w:p>
        </w:tc>
        <w:tc>
          <w:tcPr>
            <w:tcW w:w="2552" w:type="dxa"/>
          </w:tcPr>
          <w:p w14:paraId="3E499F53"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fldChar w:fldCharType="begin"/>
            </w:r>
            <w:r>
              <w:rPr>
                <w:rFonts w:ascii="Times New Roman" w:hAnsi="Times New Roman" w:cs="Times New Roman"/>
                <w:sz w:val="16"/>
              </w:rPr>
              <w:instrText xml:space="preserve"> ADDIN EN.CITE &lt;EndNote&gt;&lt;Cite&gt;&lt;Author&gt;Grundling&lt;/Author&gt;&lt;Year&gt;2007&lt;/Year&gt;&lt;IDText&gt;Synthesis of glycerol phosphate lipoteichoic acid in Staphylococcus aureus&lt;/IDText&gt;&lt;DisplayText&gt;(Grundling and Schneewind, 2007)&lt;/DisplayText&gt;&lt;record&gt;&lt;dates&gt;&lt;pub-dates&gt;&lt;date&gt;May 15&lt;/date&gt;&lt;/pub-dates&gt;&lt;year&gt;2007&lt;/year&gt;&lt;/dates&gt;&lt;urls&gt;&lt;related-urls&gt;&lt;url&gt;&amp;lt;Go to ISI&amp;gt;://WOS:000246599900052&lt;/url&gt;&lt;/related-urls&gt;&lt;/urls&gt;&lt;isbn&gt;0027-8424&lt;/isbn&gt;&lt;titles&gt;&lt;title&gt;Synthesis of glycerol phosphate lipoteichoic acid in Staphylococcus aureus&lt;/title&gt;&lt;secondary-title&gt;Proceedings of the National Academy of Sciences of the United States of America&lt;/secondary-title&gt;&lt;/titles&gt;&lt;pages&gt;8478-8483&lt;/pages&gt;&lt;number&gt;20&lt;/number&gt;&lt;contributors&gt;&lt;authors&gt;&lt;author&gt;Grundling, Angelika&lt;/author&gt;&lt;author&gt;Schneewind, Olaf&lt;/author&gt;&lt;/authors&gt;&lt;/contributors&gt;&lt;added-date format="utc"&gt;1663612000&lt;/added-date&gt;&lt;ref-type name="Journal Article"&gt;17&lt;/ref-type&gt;&lt;rec-number&gt;62&lt;/rec-number&gt;&lt;last-updated-date format="utc"&gt;1663624413&lt;/last-updated-date&gt;&lt;accession-num&gt;WOS:000246599900052&lt;/accession-num&gt;&lt;electronic-resource-num&gt;10.1073/pnas.0701821104&lt;/electronic-resource-num&gt;&lt;volume&gt;104&lt;/volume&gt;&lt;/record&gt;&lt;/Cite&gt;&lt;/EndNote&gt;</w:instrText>
            </w:r>
            <w:r>
              <w:rPr>
                <w:rFonts w:ascii="Times New Roman" w:hAnsi="Times New Roman" w:cs="Times New Roman"/>
                <w:sz w:val="16"/>
              </w:rPr>
              <w:fldChar w:fldCharType="separate"/>
            </w:r>
            <w:r>
              <w:rPr>
                <w:rFonts w:ascii="Times New Roman" w:hAnsi="Times New Roman" w:cs="Times New Roman"/>
                <w:noProof/>
                <w:sz w:val="16"/>
              </w:rPr>
              <w:t>(Grundling and Schneewind, 2007)</w:t>
            </w:r>
            <w:r>
              <w:rPr>
                <w:rFonts w:ascii="Times New Roman" w:hAnsi="Times New Roman" w:cs="Times New Roman"/>
                <w:sz w:val="16"/>
              </w:rPr>
              <w:fldChar w:fldCharType="end"/>
            </w:r>
          </w:p>
        </w:tc>
      </w:tr>
      <w:tr w:rsidR="00D70E9B" w:rsidRPr="0085544B" w14:paraId="7A0F70D2"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15C2B0F6" w14:textId="77777777" w:rsidR="00D70E9B" w:rsidRPr="0085544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lang w:val="en-US"/>
              </w:rPr>
              <w:t>RMC</w:t>
            </w:r>
            <w:r w:rsidRPr="0085544B">
              <w:rPr>
                <w:rFonts w:ascii="Times New Roman" w:hAnsi="Times New Roman" w:cs="Times New Roman"/>
                <w:sz w:val="16"/>
                <w:lang w:val="en-US"/>
              </w:rPr>
              <w:t>116</w:t>
            </w:r>
          </w:p>
        </w:tc>
        <w:tc>
          <w:tcPr>
            <w:cnfStyle w:val="000010000000" w:firstRow="0" w:lastRow="0" w:firstColumn="0" w:lastColumn="0" w:oddVBand="1" w:evenVBand="0" w:oddHBand="0" w:evenHBand="0" w:firstRowFirstColumn="0" w:firstRowLastColumn="0" w:lastRowFirstColumn="0" w:lastRowLastColumn="0"/>
            <w:tcW w:w="4946" w:type="dxa"/>
          </w:tcPr>
          <w:p w14:paraId="690B7860"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lang w:val="en-US"/>
              </w:rPr>
              <w:t>pCL55-iTET</w:t>
            </w:r>
            <w:r w:rsidRPr="0085544B">
              <w:rPr>
                <w:rFonts w:ascii="Times New Roman" w:hAnsi="Times New Roman" w:cs="Times New Roman"/>
                <w:sz w:val="16"/>
                <w:vertAlign w:val="subscript"/>
                <w:lang w:val="en-US"/>
              </w:rPr>
              <w:t>r862</w:t>
            </w:r>
            <w:r w:rsidRPr="0085544B">
              <w:rPr>
                <w:rFonts w:ascii="Times New Roman" w:hAnsi="Times New Roman" w:cs="Times New Roman"/>
                <w:sz w:val="16"/>
                <w:lang w:val="en-US"/>
              </w:rPr>
              <w:t xml:space="preserve"> in </w:t>
            </w:r>
            <w:r w:rsidRPr="0085544B">
              <w:rPr>
                <w:rFonts w:ascii="Times New Roman" w:hAnsi="Times New Roman" w:cs="Times New Roman"/>
                <w:sz w:val="16"/>
              </w:rPr>
              <w:t>XL1-Blue</w:t>
            </w:r>
            <w:r>
              <w:rPr>
                <w:rFonts w:ascii="Times New Roman" w:hAnsi="Times New Roman" w:cs="Times New Roman"/>
                <w:sz w:val="16"/>
              </w:rPr>
              <w:t>;</w:t>
            </w:r>
            <w:r w:rsidRPr="0085544B">
              <w:rPr>
                <w:rFonts w:ascii="Times New Roman" w:hAnsi="Times New Roman" w:cs="Times New Roman"/>
                <w:sz w:val="16"/>
              </w:rPr>
              <w:t xml:space="preserve"> iTET</w:t>
            </w:r>
            <w:r w:rsidRPr="0085544B">
              <w:rPr>
                <w:rFonts w:ascii="Times New Roman" w:hAnsi="Times New Roman" w:cs="Times New Roman"/>
                <w:sz w:val="16"/>
                <w:vertAlign w:val="subscript"/>
                <w:lang w:val="en-US"/>
              </w:rPr>
              <w:t>r862</w:t>
            </w:r>
            <w:r w:rsidRPr="0085544B">
              <w:rPr>
                <w:rFonts w:ascii="Times New Roman" w:hAnsi="Times New Roman" w:cs="Times New Roman"/>
                <w:sz w:val="16"/>
              </w:rPr>
              <w:t xml:space="preserve"> promoter in pCL55; CarbR</w:t>
            </w:r>
          </w:p>
        </w:tc>
        <w:tc>
          <w:tcPr>
            <w:tcW w:w="2552" w:type="dxa"/>
          </w:tcPr>
          <w:p w14:paraId="7815DEC0"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fldChar w:fldCharType="begin"/>
            </w:r>
            <w:r>
              <w:rPr>
                <w:rFonts w:ascii="Times New Roman" w:hAnsi="Times New Roman" w:cs="Times New Roman"/>
                <w:sz w:val="16"/>
              </w:rPr>
              <w:instrText xml:space="preserve"> ADDIN EN.CITE &lt;EndNote&gt;&lt;Cite&gt;&lt;Author&gt;Corrigan&lt;/Author&gt;&lt;Year&gt;2013&lt;/Year&gt;&lt;IDText&gt;Systematic identification of conserved bacterial c-di-AMP receptor proteins&lt;/IDText&gt;&lt;DisplayText&gt;(Corrigan&lt;style face="italic"&gt; et al.&lt;/style&gt;, 2013)&lt;/DisplayText&gt;&lt;record&gt;&lt;dates&gt;&lt;pub-dates&gt;&lt;date&gt;May 28&lt;/date&gt;&lt;/pub-dates&gt;&lt;year&gt;2013&lt;/year&gt;&lt;/dates&gt;&lt;urls&gt;&lt;related-urls&gt;&lt;url&gt;&amp;lt;Go to ISI&amp;gt;://WOS:000320500000078&lt;/url&gt;&lt;/related-urls&gt;&lt;/urls&gt;&lt;isbn&gt;0027-8424&lt;/isbn&gt;&lt;titles&gt;&lt;title&gt;Systematic identification of conserved bacterial c-di-AMP receptor proteins&lt;/title&gt;&lt;secondary-title&gt;Proceedings of the National Academy of Sciences of the United States of America&lt;/secondary-title&gt;&lt;/titles&gt;&lt;pages&gt;9084-9089&lt;/pages&gt;&lt;number&gt;22&lt;/number&gt;&lt;contributors&gt;&lt;authors&gt;&lt;author&gt;Corrigan, Rebecca M.&lt;/author&gt;&lt;author&gt;Campeotto, Ivan&lt;/author&gt;&lt;author&gt;Jeganathan, Tharshika&lt;/author&gt;&lt;author&gt;Roelofs, Kevin G.&lt;/author&gt;&lt;author&gt;Lee, Vincent T.&lt;/author&gt;&lt;author&gt;Gruendling, Angelika&lt;/author&gt;&lt;/authors&gt;&lt;/contributors&gt;&lt;added-date format="utc"&gt;1663612077&lt;/added-date&gt;&lt;ref-type name="Journal Article"&gt;17&lt;/ref-type&gt;&lt;rec-number&gt;63&lt;/rec-number&gt;&lt;last-updated-date format="utc"&gt;1663624413&lt;/last-updated-date&gt;&lt;accession-num&gt;WOS:000320500000078&lt;/accession-num&gt;&lt;electronic-resource-num&gt;10.1073/pnas.1300595110&lt;/electronic-resource-num&gt;&lt;volume&gt;110&lt;/volume&gt;&lt;/record&gt;&lt;/Cite&gt;&lt;/EndNote&gt;</w:instrText>
            </w:r>
            <w:r>
              <w:rPr>
                <w:rFonts w:ascii="Times New Roman" w:hAnsi="Times New Roman" w:cs="Times New Roman"/>
                <w:sz w:val="16"/>
              </w:rPr>
              <w:fldChar w:fldCharType="separate"/>
            </w:r>
            <w:r>
              <w:rPr>
                <w:rFonts w:ascii="Times New Roman" w:hAnsi="Times New Roman" w:cs="Times New Roman"/>
                <w:noProof/>
                <w:sz w:val="16"/>
              </w:rPr>
              <w:t>(Corrigan</w:t>
            </w:r>
            <w:r w:rsidRPr="009B3B91">
              <w:rPr>
                <w:rFonts w:ascii="Times New Roman" w:hAnsi="Times New Roman" w:cs="Times New Roman"/>
                <w:i/>
                <w:noProof/>
                <w:sz w:val="16"/>
              </w:rPr>
              <w:t xml:space="preserve"> et al.</w:t>
            </w:r>
            <w:r>
              <w:rPr>
                <w:rFonts w:ascii="Times New Roman" w:hAnsi="Times New Roman" w:cs="Times New Roman"/>
                <w:noProof/>
                <w:sz w:val="16"/>
              </w:rPr>
              <w:t>, 2013)</w:t>
            </w:r>
            <w:r>
              <w:rPr>
                <w:rFonts w:ascii="Times New Roman" w:hAnsi="Times New Roman" w:cs="Times New Roman"/>
                <w:sz w:val="16"/>
              </w:rPr>
              <w:fldChar w:fldCharType="end"/>
            </w:r>
          </w:p>
        </w:tc>
      </w:tr>
      <w:tr w:rsidR="00D70E9B" w:rsidRPr="0085544B" w14:paraId="70F7B5C6"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D6818E8" w14:textId="77777777" w:rsidR="00D70E9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lang w:val="en-US"/>
              </w:rPr>
              <w:t>RMC139</w:t>
            </w:r>
          </w:p>
        </w:tc>
        <w:tc>
          <w:tcPr>
            <w:cnfStyle w:val="000010000000" w:firstRow="0" w:lastRow="0" w:firstColumn="0" w:lastColumn="0" w:oddVBand="1" w:evenVBand="0" w:oddHBand="0" w:evenHBand="0" w:firstRowFirstColumn="0" w:firstRowLastColumn="0" w:lastRowFirstColumn="0" w:lastRowLastColumn="0"/>
            <w:tcW w:w="4946" w:type="dxa"/>
          </w:tcPr>
          <w:p w14:paraId="5D90566B" w14:textId="77777777" w:rsidR="00D70E9B" w:rsidRPr="0085544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lang w:val="en-US"/>
              </w:rPr>
              <w:t xml:space="preserve">pALC2073 in </w:t>
            </w:r>
            <w:r w:rsidRPr="0085544B">
              <w:rPr>
                <w:rFonts w:ascii="Times New Roman" w:hAnsi="Times New Roman" w:cs="Times New Roman"/>
                <w:sz w:val="16"/>
              </w:rPr>
              <w:t>XL1-Blue</w:t>
            </w:r>
            <w:r>
              <w:rPr>
                <w:rFonts w:ascii="Times New Roman" w:hAnsi="Times New Roman" w:cs="Times New Roman"/>
                <w:sz w:val="16"/>
              </w:rPr>
              <w:t>; CarbR</w:t>
            </w:r>
          </w:p>
        </w:tc>
        <w:tc>
          <w:tcPr>
            <w:tcW w:w="2552" w:type="dxa"/>
          </w:tcPr>
          <w:p w14:paraId="0550346C" w14:textId="77777777" w:rsidR="00D70E9B" w:rsidRPr="00884AB2"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84AB2">
              <w:rPr>
                <w:rFonts w:ascii="Times New Roman" w:hAnsi="Times New Roman" w:cs="Times New Roman"/>
                <w:sz w:val="16"/>
              </w:rPr>
              <w:fldChar w:fldCharType="begin"/>
            </w:r>
            <w:r w:rsidRPr="00884AB2">
              <w:rPr>
                <w:rFonts w:ascii="Times New Roman" w:hAnsi="Times New Roman" w:cs="Times New Roman"/>
                <w:sz w:val="16"/>
              </w:rPr>
              <w:instrText xml:space="preserve"> ADDIN EN.CITE &lt;EndNote&gt;&lt;Cite&gt;&lt;Author&gt;Bateman&lt;/Author&gt;&lt;Year&gt;2001&lt;/Year&gt;&lt;IDText&gt;Evaluation of a tetracycline-inducible promoter in Staphylococcus aureus in vitro and in vivo and its application in demonstrating the role of sigB in microcolony formation&lt;/IDText&gt;&lt;DisplayText&gt;(Bateman&lt;style face="italic"&gt; et al.&lt;/style&gt;, 2001)&lt;/DisplayText&gt;&lt;record&gt;&lt;dates&gt;&lt;pub-dates&gt;&lt;date&gt;Dec&lt;/date&gt;&lt;/pub-dates&gt;&lt;year&gt;2001&lt;/year&gt;&lt;/dates&gt;&lt;urls&gt;&lt;related-urls&gt;&lt;url&gt;&amp;lt;Go to ISI&amp;gt;://WOS:000172297600080&lt;/url&gt;&lt;/related-urls&gt;&lt;/urls&gt;&lt;isbn&gt;0019-9567&lt;/isbn&gt;&lt;titles&gt;&lt;title&gt;Evaluation of a tetracycline-inducible promoter in Staphylococcus aureus in vitro and in vivo and its application in demonstrating the role of sigB in microcolony formation&lt;/title&gt;&lt;secondary-title&gt;Infection and Immunity&lt;/secondary-title&gt;&lt;/titles&gt;&lt;pages&gt;7851-7857&lt;/pages&gt;&lt;number&gt;12&lt;/number&gt;&lt;contributors&gt;&lt;authors&gt;&lt;author&gt;Bateman, B. T.&lt;/author&gt;&lt;author&gt;Donegan, N. P.&lt;/author&gt;&lt;author&gt;Jarry, T. M.&lt;/author&gt;&lt;author&gt;Palma, M.&lt;/author&gt;&lt;author&gt;Cheung, A. L.&lt;/author&gt;&lt;/authors&gt;&lt;/contributors&gt;&lt;added-date format="utc"&gt;1678991537&lt;/added-date&gt;&lt;ref-type name="Journal Article"&gt;17&lt;/ref-type&gt;&lt;rec-number&gt;781&lt;/rec-number&gt;&lt;last-updated-date format="utc"&gt;1678991537&lt;/last-updated-date&gt;&lt;accession-num&gt;WOS:000172297600080&lt;/accession-num&gt;&lt;electronic-resource-num&gt;10.1128/iai.69.12.7851-7857.2001&lt;/electronic-resource-num&gt;&lt;volume&gt;69&lt;/volume&gt;&lt;/record&gt;&lt;/Cite&gt;&lt;/EndNote&gt;</w:instrText>
            </w:r>
            <w:r w:rsidRPr="00884AB2">
              <w:rPr>
                <w:rFonts w:ascii="Times New Roman" w:hAnsi="Times New Roman" w:cs="Times New Roman"/>
                <w:sz w:val="16"/>
              </w:rPr>
              <w:fldChar w:fldCharType="separate"/>
            </w:r>
            <w:r w:rsidRPr="00884AB2">
              <w:rPr>
                <w:rFonts w:ascii="Times New Roman" w:hAnsi="Times New Roman" w:cs="Times New Roman"/>
                <w:noProof/>
                <w:sz w:val="16"/>
              </w:rPr>
              <w:t>(Bateman</w:t>
            </w:r>
            <w:r w:rsidRPr="00884AB2">
              <w:rPr>
                <w:rFonts w:ascii="Times New Roman" w:hAnsi="Times New Roman" w:cs="Times New Roman"/>
                <w:i/>
                <w:noProof/>
                <w:sz w:val="16"/>
              </w:rPr>
              <w:t xml:space="preserve"> et al.</w:t>
            </w:r>
            <w:r w:rsidRPr="00884AB2">
              <w:rPr>
                <w:rFonts w:ascii="Times New Roman" w:hAnsi="Times New Roman" w:cs="Times New Roman"/>
                <w:noProof/>
                <w:sz w:val="16"/>
              </w:rPr>
              <w:t>, 2001)</w:t>
            </w:r>
            <w:r w:rsidRPr="00884AB2">
              <w:rPr>
                <w:rFonts w:ascii="Times New Roman" w:hAnsi="Times New Roman" w:cs="Times New Roman"/>
                <w:sz w:val="16"/>
              </w:rPr>
              <w:fldChar w:fldCharType="end"/>
            </w:r>
          </w:p>
        </w:tc>
      </w:tr>
      <w:tr w:rsidR="00D70E9B" w:rsidRPr="0085544B" w14:paraId="7352A20A"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6A056304" w14:textId="77777777" w:rsidR="00D70E9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lang w:val="en-US"/>
              </w:rPr>
              <w:t>RMC468</w:t>
            </w:r>
          </w:p>
        </w:tc>
        <w:tc>
          <w:tcPr>
            <w:cnfStyle w:val="000010000000" w:firstRow="0" w:lastRow="0" w:firstColumn="0" w:lastColumn="0" w:oddVBand="1" w:evenVBand="0" w:oddHBand="0" w:evenHBand="0" w:firstRowFirstColumn="0" w:firstRowLastColumn="0" w:lastRowFirstColumn="0" w:lastRowLastColumn="0"/>
            <w:tcW w:w="4946" w:type="dxa"/>
          </w:tcPr>
          <w:p w14:paraId="6BB4747B" w14:textId="77777777" w:rsidR="00D70E9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sz w:val="16"/>
              </w:rPr>
              <w:t xml:space="preserve"> in </w:t>
            </w:r>
            <w:r w:rsidRPr="0085544B">
              <w:rPr>
                <w:rFonts w:ascii="Times New Roman" w:hAnsi="Times New Roman" w:cs="Times New Roman"/>
                <w:sz w:val="16"/>
              </w:rPr>
              <w:t>XL1-Blue</w:t>
            </w:r>
            <w:r>
              <w:rPr>
                <w:rFonts w:ascii="Times New Roman" w:hAnsi="Times New Roman" w:cs="Times New Roman"/>
                <w:sz w:val="16"/>
              </w:rPr>
              <w:t>; CarbR</w:t>
            </w:r>
          </w:p>
        </w:tc>
        <w:tc>
          <w:tcPr>
            <w:tcW w:w="2552" w:type="dxa"/>
          </w:tcPr>
          <w:p w14:paraId="04E57F55" w14:textId="77777777" w:rsidR="00D70E9B" w:rsidRPr="004867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16"/>
              </w:rPr>
            </w:pPr>
            <w:r w:rsidRPr="002D4297">
              <w:rPr>
                <w:rFonts w:ascii="Times New Roman" w:hAnsi="Times New Roman" w:cs="Times New Roman"/>
                <w:color w:val="000000" w:themeColor="text1"/>
                <w:sz w:val="16"/>
              </w:rPr>
              <w:t>Laboratory strain collection</w:t>
            </w:r>
          </w:p>
        </w:tc>
      </w:tr>
      <w:tr w:rsidR="00D70E9B" w:rsidRPr="0085544B" w14:paraId="1099F140"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41F4262" w14:textId="77777777" w:rsidR="00D70E9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lang w:val="en-US"/>
              </w:rPr>
              <w:t>RMC469</w:t>
            </w:r>
          </w:p>
        </w:tc>
        <w:tc>
          <w:tcPr>
            <w:cnfStyle w:val="000010000000" w:firstRow="0" w:lastRow="0" w:firstColumn="0" w:lastColumn="0" w:oddVBand="1" w:evenVBand="0" w:oddHBand="0" w:evenHBand="0" w:firstRowFirstColumn="0" w:firstRowLastColumn="0" w:lastRowFirstColumn="0" w:lastRowLastColumn="0"/>
            <w:tcW w:w="4946" w:type="dxa"/>
          </w:tcPr>
          <w:p w14:paraId="7E42810A" w14:textId="77777777" w:rsidR="00D70E9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i/>
                <w:iCs/>
                <w:sz w:val="16"/>
              </w:rPr>
              <w:t>P</w:t>
            </w:r>
            <w:r>
              <w:rPr>
                <w:rFonts w:ascii="Times New Roman" w:hAnsi="Times New Roman" w:cs="Times New Roman"/>
                <w:sz w:val="16"/>
              </w:rPr>
              <w:t xml:space="preserve"> in </w:t>
            </w:r>
            <w:r w:rsidRPr="0085544B">
              <w:rPr>
                <w:rFonts w:ascii="Times New Roman" w:hAnsi="Times New Roman" w:cs="Times New Roman"/>
                <w:sz w:val="16"/>
              </w:rPr>
              <w:t>XL1-Blue</w:t>
            </w:r>
            <w:r>
              <w:rPr>
                <w:rFonts w:ascii="Times New Roman" w:hAnsi="Times New Roman" w:cs="Times New Roman"/>
                <w:sz w:val="16"/>
              </w:rPr>
              <w:t>; CarbR</w:t>
            </w:r>
          </w:p>
        </w:tc>
        <w:tc>
          <w:tcPr>
            <w:tcW w:w="2552" w:type="dxa"/>
          </w:tcPr>
          <w:p w14:paraId="585D5BDC" w14:textId="77777777" w:rsidR="00D70E9B" w:rsidRPr="004867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16"/>
              </w:rPr>
            </w:pPr>
            <w:r w:rsidRPr="002D4297">
              <w:rPr>
                <w:rFonts w:ascii="Times New Roman" w:hAnsi="Times New Roman" w:cs="Times New Roman"/>
                <w:color w:val="000000" w:themeColor="text1"/>
                <w:sz w:val="16"/>
              </w:rPr>
              <w:t>Laboratory strain collection</w:t>
            </w:r>
          </w:p>
        </w:tc>
      </w:tr>
      <w:tr w:rsidR="00D70E9B" w:rsidRPr="0085544B" w14:paraId="0B7F37F3"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7CC8CE0E" w14:textId="77777777" w:rsidR="00D70E9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lang w:val="en-US"/>
              </w:rPr>
              <w:t>RMC470</w:t>
            </w:r>
          </w:p>
        </w:tc>
        <w:tc>
          <w:tcPr>
            <w:cnfStyle w:val="000010000000" w:firstRow="0" w:lastRow="0" w:firstColumn="0" w:lastColumn="0" w:oddVBand="1" w:evenVBand="0" w:oddHBand="0" w:evenHBand="0" w:firstRowFirstColumn="0" w:firstRowLastColumn="0" w:lastRowFirstColumn="0" w:lastRowLastColumn="0"/>
            <w:tcW w:w="4946" w:type="dxa"/>
          </w:tcPr>
          <w:p w14:paraId="3E95FCED" w14:textId="77777777" w:rsidR="00D70E9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i/>
                <w:iCs/>
                <w:sz w:val="16"/>
              </w:rPr>
              <w:t>Q</w:t>
            </w:r>
            <w:r>
              <w:rPr>
                <w:rFonts w:ascii="Times New Roman" w:hAnsi="Times New Roman" w:cs="Times New Roman"/>
                <w:sz w:val="16"/>
              </w:rPr>
              <w:t xml:space="preserve"> in </w:t>
            </w:r>
            <w:r w:rsidRPr="0085544B">
              <w:rPr>
                <w:rFonts w:ascii="Times New Roman" w:hAnsi="Times New Roman" w:cs="Times New Roman"/>
                <w:sz w:val="16"/>
              </w:rPr>
              <w:t>XL1-Blue</w:t>
            </w:r>
            <w:r>
              <w:rPr>
                <w:rFonts w:ascii="Times New Roman" w:hAnsi="Times New Roman" w:cs="Times New Roman"/>
                <w:sz w:val="16"/>
              </w:rPr>
              <w:t>; CarbR</w:t>
            </w:r>
          </w:p>
        </w:tc>
        <w:tc>
          <w:tcPr>
            <w:tcW w:w="2552" w:type="dxa"/>
          </w:tcPr>
          <w:p w14:paraId="1B14E418" w14:textId="77777777" w:rsidR="00D70E9B" w:rsidRPr="004867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16"/>
              </w:rPr>
            </w:pPr>
            <w:r w:rsidRPr="002D4297">
              <w:rPr>
                <w:rFonts w:ascii="Times New Roman" w:hAnsi="Times New Roman" w:cs="Times New Roman"/>
                <w:color w:val="000000" w:themeColor="text1"/>
                <w:sz w:val="16"/>
              </w:rPr>
              <w:t>Laboratory strain collection</w:t>
            </w:r>
          </w:p>
        </w:tc>
      </w:tr>
      <w:tr w:rsidR="00D70E9B" w:rsidRPr="0085544B" w14:paraId="2D7C657E"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2A9226D7" w14:textId="77777777" w:rsidR="00D70E9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rPr>
              <w:t>RMC546</w:t>
            </w:r>
          </w:p>
        </w:tc>
        <w:tc>
          <w:tcPr>
            <w:cnfStyle w:val="000010000000" w:firstRow="0" w:lastRow="0" w:firstColumn="0" w:lastColumn="0" w:oddVBand="1" w:evenVBand="0" w:oddHBand="0" w:evenHBand="0" w:firstRowFirstColumn="0" w:firstRowLastColumn="0" w:lastRowFirstColumn="0" w:lastRowLastColumn="0"/>
            <w:tcW w:w="4946" w:type="dxa"/>
          </w:tcPr>
          <w:p w14:paraId="43E8DD79"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color w:val="000000" w:themeColor="text1"/>
                <w:sz w:val="16"/>
              </w:rPr>
              <w:t>pALC2073</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i/>
                <w:iCs/>
                <w:sz w:val="16"/>
              </w:rPr>
              <w:t>Q</w:t>
            </w:r>
            <w:r>
              <w:rPr>
                <w:rFonts w:ascii="Times New Roman" w:hAnsi="Times New Roman" w:cs="Times New Roman"/>
                <w:color w:val="000000" w:themeColor="text1"/>
                <w:sz w:val="16"/>
              </w:rPr>
              <w:t xml:space="preserve"> </w:t>
            </w:r>
            <w:r>
              <w:rPr>
                <w:rFonts w:ascii="Times New Roman" w:hAnsi="Times New Roman" w:cs="Times New Roman"/>
                <w:sz w:val="16"/>
              </w:rPr>
              <w:t xml:space="preserve">in </w:t>
            </w:r>
            <w:r w:rsidRPr="0085544B">
              <w:rPr>
                <w:rFonts w:ascii="Times New Roman" w:hAnsi="Times New Roman" w:cs="Times New Roman"/>
                <w:sz w:val="16"/>
              </w:rPr>
              <w:t>XL1-Blue</w:t>
            </w:r>
            <w:r>
              <w:rPr>
                <w:rFonts w:ascii="Times New Roman" w:hAnsi="Times New Roman" w:cs="Times New Roman"/>
                <w:sz w:val="16"/>
              </w:rPr>
              <w:t>; CarbR</w:t>
            </w:r>
          </w:p>
        </w:tc>
        <w:tc>
          <w:tcPr>
            <w:tcW w:w="2552" w:type="dxa"/>
          </w:tcPr>
          <w:p w14:paraId="57853CDA" w14:textId="77777777" w:rsidR="00D70E9B" w:rsidRPr="002D4297"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B559D1">
              <w:rPr>
                <w:rFonts w:ascii="Times New Roman" w:hAnsi="Times New Roman" w:cs="Times New Roman"/>
                <w:color w:val="000000" w:themeColor="text1"/>
                <w:sz w:val="16"/>
              </w:rPr>
              <w:t>Laboratory strain collection</w:t>
            </w:r>
          </w:p>
        </w:tc>
      </w:tr>
      <w:tr w:rsidR="00D70E9B" w:rsidRPr="0085544B" w14:paraId="5692C1C8"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184E54A3"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RMC1762</w:t>
            </w:r>
          </w:p>
        </w:tc>
        <w:tc>
          <w:tcPr>
            <w:cnfStyle w:val="000010000000" w:firstRow="0" w:lastRow="0" w:firstColumn="0" w:lastColumn="0" w:oddVBand="1" w:evenVBand="0" w:oddHBand="0" w:evenHBand="0" w:firstRowFirstColumn="0" w:firstRowLastColumn="0" w:lastRowFirstColumn="0" w:lastRowLastColumn="0"/>
            <w:tcW w:w="4946" w:type="dxa"/>
          </w:tcPr>
          <w:p w14:paraId="1011BE18" w14:textId="77777777" w:rsidR="00D70E9B" w:rsidRDefault="00D70E9B" w:rsidP="00A74445">
            <w:pPr>
              <w:spacing w:line="480" w:lineRule="auto"/>
              <w:ind w:right="-1"/>
              <w:rPr>
                <w:rFonts w:ascii="Calibri" w:hAnsi="Calibri" w:cs="Calibri"/>
                <w:color w:val="000000"/>
                <w:shd w:val="clear" w:color="auto" w:fill="FFFFFF"/>
              </w:rPr>
            </w:pPr>
            <w:r w:rsidRPr="006B3B75">
              <w:rPr>
                <w:rFonts w:ascii="Times New Roman" w:hAnsi="Times New Roman" w:cs="Times New Roman"/>
                <w:color w:val="000000" w:themeColor="text1"/>
                <w:sz w:val="16"/>
              </w:rPr>
              <w:t>pCL55-P</w:t>
            </w:r>
            <w:r w:rsidRPr="006B3B75">
              <w:rPr>
                <w:rFonts w:ascii="Times New Roman" w:hAnsi="Times New Roman" w:cs="Times New Roman"/>
                <w:i/>
                <w:iCs/>
                <w:color w:val="000000" w:themeColor="text1"/>
                <w:sz w:val="16"/>
              </w:rPr>
              <w:t>ilvD</w:t>
            </w:r>
            <w:r w:rsidRPr="006B3B75">
              <w:rPr>
                <w:rFonts w:ascii="Times New Roman" w:hAnsi="Times New Roman" w:cs="Times New Roman"/>
                <w:color w:val="000000" w:themeColor="text1"/>
                <w:sz w:val="16"/>
              </w:rPr>
              <w:t>-sGFP-TT </w:t>
            </w:r>
            <w:r>
              <w:rPr>
                <w:rFonts w:ascii="Times New Roman" w:hAnsi="Times New Roman" w:cs="Times New Roman"/>
                <w:color w:val="000000" w:themeColor="text1"/>
                <w:sz w:val="16"/>
              </w:rPr>
              <w:t>in XL1-Blue; CarbR</w:t>
            </w:r>
          </w:p>
        </w:tc>
        <w:tc>
          <w:tcPr>
            <w:tcW w:w="2552" w:type="dxa"/>
          </w:tcPr>
          <w:p w14:paraId="13B66022"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2BCB61E5"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5720EFCB"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RMC1763</w:t>
            </w:r>
          </w:p>
        </w:tc>
        <w:tc>
          <w:tcPr>
            <w:cnfStyle w:val="000010000000" w:firstRow="0" w:lastRow="0" w:firstColumn="0" w:lastColumn="0" w:oddVBand="1" w:evenVBand="0" w:oddHBand="0" w:evenHBand="0" w:firstRowFirstColumn="0" w:firstRowLastColumn="0" w:lastRowFirstColumn="0" w:lastRowLastColumn="0"/>
            <w:tcW w:w="4946" w:type="dxa"/>
          </w:tcPr>
          <w:p w14:paraId="259C2C4B" w14:textId="77777777" w:rsidR="00D70E9B" w:rsidRDefault="00D70E9B" w:rsidP="00A74445">
            <w:pPr>
              <w:spacing w:line="480" w:lineRule="auto"/>
              <w:ind w:right="-1"/>
              <w:rPr>
                <w:rFonts w:ascii="Times New Roman" w:hAnsi="Times New Roman" w:cs="Times New Roman"/>
                <w:color w:val="000000" w:themeColor="text1"/>
                <w:sz w:val="16"/>
              </w:rPr>
            </w:pPr>
            <w:r w:rsidRPr="006B3B75">
              <w:rPr>
                <w:rFonts w:ascii="Times New Roman" w:hAnsi="Times New Roman" w:cs="Times New Roman"/>
                <w:color w:val="000000" w:themeColor="text1"/>
                <w:sz w:val="16"/>
              </w:rPr>
              <w:t>pCL55-P</w:t>
            </w:r>
            <w:r w:rsidRPr="006B3B75">
              <w:rPr>
                <w:rFonts w:ascii="Times New Roman" w:hAnsi="Times New Roman" w:cs="Times New Roman"/>
                <w:i/>
                <w:iCs/>
                <w:color w:val="000000" w:themeColor="text1"/>
                <w:sz w:val="16"/>
              </w:rPr>
              <w:t>rpsO</w:t>
            </w:r>
            <w:r w:rsidRPr="006B3B75">
              <w:rPr>
                <w:rFonts w:ascii="Times New Roman" w:hAnsi="Times New Roman" w:cs="Times New Roman"/>
                <w:color w:val="000000" w:themeColor="text1"/>
                <w:sz w:val="16"/>
              </w:rPr>
              <w:t>-dsRED</w:t>
            </w:r>
            <w:r>
              <w:rPr>
                <w:rFonts w:ascii="Times New Roman" w:hAnsi="Times New Roman" w:cs="Times New Roman"/>
                <w:color w:val="000000" w:themeColor="text1"/>
                <w:sz w:val="16"/>
              </w:rPr>
              <w:t xml:space="preserve"> in XL1-Blue; CarbR</w:t>
            </w:r>
          </w:p>
        </w:tc>
        <w:tc>
          <w:tcPr>
            <w:tcW w:w="2552" w:type="dxa"/>
          </w:tcPr>
          <w:p w14:paraId="735C0226"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6C4AB784"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34774BDC"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CD6D78">
              <w:rPr>
                <w:rFonts w:ascii="Times New Roman" w:hAnsi="Times New Roman" w:cs="Times New Roman"/>
                <w:sz w:val="16"/>
              </w:rPr>
              <w:t>1890</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5FA5FD34" w14:textId="77777777" w:rsidR="00D70E9B" w:rsidRPr="0085544B" w:rsidRDefault="00D70E9B" w:rsidP="00A74445">
            <w:pPr>
              <w:spacing w:line="480" w:lineRule="auto"/>
              <w:ind w:right="-1"/>
              <w:rPr>
                <w:rFonts w:ascii="Times New Roman" w:hAnsi="Times New Roman" w:cs="Times New Roman"/>
                <w:sz w:val="16"/>
                <w:lang w:val="en-US"/>
              </w:rPr>
            </w:pPr>
            <w:r w:rsidRPr="00CD6D78">
              <w:rPr>
                <w:rFonts w:ascii="Times New Roman" w:hAnsi="Times New Roman" w:cs="Times New Roman"/>
                <w:color w:val="000000" w:themeColor="text1"/>
                <w:sz w:val="16"/>
              </w:rPr>
              <w:t>pCL55iTET-Broccoli</w:t>
            </w:r>
            <w:r>
              <w:rPr>
                <w:rFonts w:ascii="Times New Roman" w:hAnsi="Times New Roman" w:cs="Times New Roman"/>
                <w:color w:val="000000" w:themeColor="text1"/>
                <w:sz w:val="16"/>
              </w:rPr>
              <w:t xml:space="preserve"> in XL1-Blue;</w:t>
            </w:r>
            <w:r w:rsidRPr="0085544B">
              <w:rPr>
                <w:rFonts w:ascii="Times New Roman" w:hAnsi="Times New Roman" w:cs="Times New Roman"/>
                <w:sz w:val="16"/>
              </w:rPr>
              <w:t xml:space="preserve"> CarbR</w:t>
            </w:r>
          </w:p>
        </w:tc>
        <w:tc>
          <w:tcPr>
            <w:tcW w:w="2552" w:type="dxa"/>
          </w:tcPr>
          <w:p w14:paraId="7DEF9C43"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7C169CDD"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096F227E"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CD6D78">
              <w:rPr>
                <w:rFonts w:ascii="Times New Roman" w:hAnsi="Times New Roman" w:cs="Times New Roman"/>
                <w:sz w:val="16"/>
              </w:rPr>
              <w:t>1891</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078ADFAB" w14:textId="77777777" w:rsidR="00D70E9B" w:rsidRPr="0085544B" w:rsidRDefault="00D70E9B" w:rsidP="00A74445">
            <w:pPr>
              <w:spacing w:line="480" w:lineRule="auto"/>
              <w:ind w:right="-1"/>
              <w:rPr>
                <w:rFonts w:ascii="Times New Roman" w:hAnsi="Times New Roman" w:cs="Times New Roman"/>
                <w:sz w:val="16"/>
                <w:lang w:val="en-US"/>
              </w:rPr>
            </w:pPr>
            <w:r w:rsidRPr="00CD6D78">
              <w:rPr>
                <w:rFonts w:ascii="Times New Roman" w:hAnsi="Times New Roman" w:cs="Times New Roman"/>
                <w:color w:val="000000" w:themeColor="text1"/>
                <w:sz w:val="16"/>
              </w:rPr>
              <w:t>pCL55iTET-</w:t>
            </w:r>
            <w:r>
              <w:rPr>
                <w:rFonts w:ascii="Times New Roman" w:hAnsi="Times New Roman" w:cs="Times New Roman"/>
                <w:color w:val="000000" w:themeColor="text1"/>
                <w:sz w:val="16"/>
              </w:rPr>
              <w:t>riboswitch-Broccoli XL1-Blue;</w:t>
            </w:r>
            <w:r w:rsidRPr="0085544B">
              <w:rPr>
                <w:rFonts w:ascii="Times New Roman" w:hAnsi="Times New Roman" w:cs="Times New Roman"/>
                <w:sz w:val="16"/>
              </w:rPr>
              <w:t xml:space="preserve"> CarbR</w:t>
            </w:r>
            <w:r>
              <w:rPr>
                <w:rFonts w:ascii="Times New Roman" w:hAnsi="Times New Roman" w:cs="Times New Roman"/>
                <w:color w:val="000000" w:themeColor="text1"/>
                <w:sz w:val="16"/>
              </w:rPr>
              <w:t xml:space="preserve"> </w:t>
            </w:r>
          </w:p>
        </w:tc>
        <w:tc>
          <w:tcPr>
            <w:tcW w:w="2552" w:type="dxa"/>
          </w:tcPr>
          <w:p w14:paraId="75B356D2"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07BEFF77"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0A8CBDC1" w14:textId="77777777" w:rsidR="00D70E9B" w:rsidRPr="0085544B" w:rsidRDefault="00D70E9B" w:rsidP="00A74445">
            <w:pPr>
              <w:spacing w:line="480" w:lineRule="auto"/>
              <w:ind w:right="-1"/>
              <w:rPr>
                <w:rFonts w:ascii="Times New Roman" w:hAnsi="Times New Roman" w:cs="Times New Roman"/>
                <w:color w:val="FF0000"/>
                <w:sz w:val="16"/>
                <w:lang w:val="en-US"/>
              </w:rPr>
            </w:pPr>
            <w:r>
              <w:rPr>
                <w:rFonts w:ascii="Times New Roman" w:hAnsi="Times New Roman" w:cs="Times New Roman"/>
                <w:sz w:val="16"/>
              </w:rPr>
              <w:t>RMC</w:t>
            </w:r>
            <w:r w:rsidRPr="0085544B">
              <w:rPr>
                <w:rFonts w:ascii="Times New Roman" w:hAnsi="Times New Roman" w:cs="Times New Roman"/>
                <w:sz w:val="16"/>
                <w:lang w:val="en-US"/>
              </w:rPr>
              <w:t>1</w:t>
            </w:r>
            <w:r>
              <w:rPr>
                <w:rFonts w:ascii="Times New Roman" w:hAnsi="Times New Roman" w:cs="Times New Roman"/>
                <w:sz w:val="16"/>
                <w:lang w:val="en-US"/>
              </w:rPr>
              <w:t>894</w:t>
            </w:r>
          </w:p>
        </w:tc>
        <w:tc>
          <w:tcPr>
            <w:cnfStyle w:val="000010000000" w:firstRow="0" w:lastRow="0" w:firstColumn="0" w:lastColumn="0" w:oddVBand="1" w:evenVBand="0" w:oddHBand="0" w:evenHBand="0" w:firstRowFirstColumn="0" w:firstRowLastColumn="0" w:lastRowFirstColumn="0" w:lastRowLastColumn="0"/>
            <w:tcW w:w="4946" w:type="dxa"/>
          </w:tcPr>
          <w:p w14:paraId="54584524"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rPr>
              <w:t>pCL55-iTET-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 xml:space="preserve">TD </w:t>
            </w:r>
            <w:r w:rsidRPr="0085544B">
              <w:rPr>
                <w:rFonts w:ascii="Times New Roman" w:hAnsi="Times New Roman" w:cs="Times New Roman"/>
                <w:sz w:val="16"/>
              </w:rPr>
              <w:t>in 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5961607A"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102547E4"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55B3539" w14:textId="77777777" w:rsidR="00D70E9B" w:rsidRPr="0085544B" w:rsidRDefault="00D70E9B" w:rsidP="00A74445">
            <w:pPr>
              <w:spacing w:line="480" w:lineRule="auto"/>
              <w:ind w:right="-1"/>
              <w:rPr>
                <w:rFonts w:ascii="Times New Roman" w:hAnsi="Times New Roman" w:cs="Times New Roman"/>
                <w:color w:val="FF0000"/>
                <w:sz w:val="16"/>
                <w:lang w:val="en-US"/>
              </w:rPr>
            </w:pPr>
            <w:r>
              <w:rPr>
                <w:rFonts w:ascii="Times New Roman" w:hAnsi="Times New Roman" w:cs="Times New Roman"/>
                <w:sz w:val="16"/>
              </w:rPr>
              <w:t>RMC1895</w:t>
            </w:r>
          </w:p>
        </w:tc>
        <w:tc>
          <w:tcPr>
            <w:cnfStyle w:val="000010000000" w:firstRow="0" w:lastRow="0" w:firstColumn="0" w:lastColumn="0" w:oddVBand="1" w:evenVBand="0" w:oddHBand="0" w:evenHBand="0" w:firstRowFirstColumn="0" w:firstRowLastColumn="0" w:lastRowFirstColumn="0" w:lastRowLastColumn="0"/>
            <w:tcW w:w="4946" w:type="dxa"/>
          </w:tcPr>
          <w:p w14:paraId="5715A000"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rPr>
              <w:t>pCL55-iTET-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Pr>
                <w:rFonts w:ascii="Times New Roman" w:hAnsi="Times New Roman" w:cs="Times New Roman"/>
                <w:color w:val="000000"/>
                <w:sz w:val="16"/>
                <w:szCs w:val="16"/>
              </w:rPr>
              <w:t>h</w:t>
            </w:r>
            <w:r w:rsidRPr="0085544B">
              <w:rPr>
                <w:rFonts w:ascii="Times New Roman" w:hAnsi="Times New Roman" w:cs="Times New Roman"/>
                <w:color w:val="000000"/>
                <w:sz w:val="16"/>
                <w:szCs w:val="16"/>
              </w:rPr>
              <w:t xml:space="preserve">is </w:t>
            </w:r>
            <w:r w:rsidRPr="0085544B">
              <w:rPr>
                <w:rFonts w:ascii="Times New Roman" w:hAnsi="Times New Roman" w:cs="Times New Roman"/>
                <w:sz w:val="16"/>
              </w:rPr>
              <w:t>in 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73A80719"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447AC331"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0143A869" w14:textId="77777777" w:rsidR="00D70E9B" w:rsidRPr="0085544B" w:rsidRDefault="00D70E9B" w:rsidP="00A74445">
            <w:pPr>
              <w:spacing w:line="480" w:lineRule="auto"/>
              <w:ind w:right="-1"/>
              <w:rPr>
                <w:rFonts w:ascii="Times New Roman" w:hAnsi="Times New Roman" w:cs="Times New Roman"/>
                <w:color w:val="FF0000"/>
                <w:sz w:val="16"/>
                <w:lang w:val="en-US"/>
              </w:rPr>
            </w:pPr>
            <w:r>
              <w:rPr>
                <w:rFonts w:ascii="Times New Roman" w:hAnsi="Times New Roman" w:cs="Times New Roman"/>
                <w:sz w:val="16"/>
              </w:rPr>
              <w:t>RMC1896</w:t>
            </w:r>
          </w:p>
        </w:tc>
        <w:tc>
          <w:tcPr>
            <w:cnfStyle w:val="000010000000" w:firstRow="0" w:lastRow="0" w:firstColumn="0" w:lastColumn="0" w:oddVBand="1" w:evenVBand="0" w:oddHBand="0" w:evenHBand="0" w:firstRowFirstColumn="0" w:firstRowLastColumn="0" w:lastRowFirstColumn="0" w:lastRowLastColumn="0"/>
            <w:tcW w:w="4946" w:type="dxa"/>
          </w:tcPr>
          <w:p w14:paraId="1BA06890"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lang w:val="en-US"/>
              </w:rPr>
              <w:t>pCL55-iTET</w:t>
            </w:r>
            <w:r w:rsidRPr="0085544B">
              <w:rPr>
                <w:rFonts w:ascii="Times New Roman" w:hAnsi="Times New Roman" w:cs="Times New Roman"/>
                <w:sz w:val="16"/>
                <w:vertAlign w:val="subscript"/>
                <w:lang w:val="en-US"/>
              </w:rPr>
              <w:t>r862</w:t>
            </w:r>
            <w:r w:rsidRPr="0085544B">
              <w:rPr>
                <w:rFonts w:ascii="Times New Roman" w:hAnsi="Times New Roman" w:cs="Times New Roman"/>
                <w:sz w:val="16"/>
              </w:rPr>
              <w: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Pr>
                <w:rFonts w:ascii="Times New Roman" w:hAnsi="Times New Roman" w:cs="Times New Roman"/>
                <w:color w:val="000000"/>
                <w:sz w:val="16"/>
                <w:szCs w:val="16"/>
              </w:rPr>
              <w:t>NTD</w:t>
            </w:r>
            <w:r w:rsidRPr="0085544B">
              <w:rPr>
                <w:rFonts w:ascii="Times New Roman" w:hAnsi="Times New Roman" w:cs="Times New Roman"/>
                <w:color w:val="000000"/>
                <w:sz w:val="16"/>
                <w:szCs w:val="16"/>
              </w:rPr>
              <w:t xml:space="preserve"> </w:t>
            </w:r>
            <w:r w:rsidRPr="0085544B">
              <w:rPr>
                <w:rFonts w:ascii="Times New Roman" w:hAnsi="Times New Roman" w:cs="Times New Roman"/>
                <w:sz w:val="16"/>
              </w:rPr>
              <w:t>in 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73D81A6D"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311752F8"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49F0D23" w14:textId="77777777" w:rsidR="00D70E9B" w:rsidRPr="0085544B" w:rsidRDefault="00D70E9B" w:rsidP="00A74445">
            <w:pPr>
              <w:spacing w:line="480" w:lineRule="auto"/>
              <w:ind w:right="-1"/>
              <w:rPr>
                <w:rFonts w:ascii="Times New Roman" w:hAnsi="Times New Roman" w:cs="Times New Roman"/>
                <w:color w:val="FF0000"/>
                <w:sz w:val="16"/>
                <w:lang w:val="en-US"/>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897</w:t>
            </w:r>
          </w:p>
        </w:tc>
        <w:tc>
          <w:tcPr>
            <w:cnfStyle w:val="000010000000" w:firstRow="0" w:lastRow="0" w:firstColumn="0" w:lastColumn="0" w:oddVBand="1" w:evenVBand="0" w:oddHBand="0" w:evenHBand="0" w:firstRowFirstColumn="0" w:firstRowLastColumn="0" w:lastRowFirstColumn="0" w:lastRowLastColumn="0"/>
            <w:tcW w:w="4946" w:type="dxa"/>
          </w:tcPr>
          <w:p w14:paraId="54C7C57D"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lang w:val="en-US"/>
              </w:rPr>
              <w:t>pCL55-iTET</w:t>
            </w:r>
            <w:r w:rsidRPr="0085544B">
              <w:rPr>
                <w:rFonts w:ascii="Times New Roman" w:hAnsi="Times New Roman" w:cs="Times New Roman"/>
                <w:sz w:val="16"/>
                <w:vertAlign w:val="subscript"/>
                <w:lang w:val="en-US"/>
              </w:rPr>
              <w:t>r862</w:t>
            </w:r>
            <w:r w:rsidRPr="0085544B">
              <w:rPr>
                <w:rFonts w:ascii="Times New Roman" w:hAnsi="Times New Roman" w:cs="Times New Roman"/>
                <w:sz w:val="16"/>
              </w:rPr>
              <w: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Pr>
                <w:rFonts w:ascii="Times New Roman" w:hAnsi="Times New Roman" w:cs="Times New Roman"/>
                <w:color w:val="000000"/>
                <w:sz w:val="16"/>
                <w:szCs w:val="16"/>
              </w:rPr>
              <w:t>h</w:t>
            </w:r>
            <w:r w:rsidRPr="0085544B">
              <w:rPr>
                <w:rFonts w:ascii="Times New Roman" w:hAnsi="Times New Roman" w:cs="Times New Roman"/>
                <w:color w:val="000000"/>
                <w:sz w:val="16"/>
                <w:szCs w:val="16"/>
              </w:rPr>
              <w:t xml:space="preserve">is </w:t>
            </w:r>
            <w:r w:rsidRPr="0085544B">
              <w:rPr>
                <w:rFonts w:ascii="Times New Roman" w:hAnsi="Times New Roman" w:cs="Times New Roman"/>
                <w:sz w:val="16"/>
              </w:rPr>
              <w:t>in 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0EF03B15"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6C53063E"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66D6D2BA"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898</w:t>
            </w:r>
          </w:p>
        </w:tc>
        <w:tc>
          <w:tcPr>
            <w:cnfStyle w:val="000010000000" w:firstRow="0" w:lastRow="0" w:firstColumn="0" w:lastColumn="0" w:oddVBand="1" w:evenVBand="0" w:oddHBand="0" w:evenHBand="0" w:firstRowFirstColumn="0" w:firstRowLastColumn="0" w:lastRowFirstColumn="0" w:lastRowLastColumn="0"/>
            <w:tcW w:w="4946" w:type="dxa"/>
          </w:tcPr>
          <w:p w14:paraId="5A5F1338"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rPr>
              <w:t>pCL55-iTET-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Pr>
                <w:rFonts w:ascii="Times New Roman" w:hAnsi="Times New Roman" w:cs="Times New Roman"/>
                <w:color w:val="000000"/>
                <w:sz w:val="16"/>
                <w:szCs w:val="16"/>
              </w:rPr>
              <w:t>NTD</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in </w:t>
            </w:r>
            <w:r w:rsidRPr="0085544B">
              <w:rPr>
                <w:rFonts w:ascii="Times New Roman" w:hAnsi="Times New Roman" w:cs="Times New Roman"/>
                <w:sz w:val="16"/>
              </w:rPr>
              <w:t>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0C712988"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03CD77FC"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8236F6F"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899</w:t>
            </w:r>
          </w:p>
        </w:tc>
        <w:tc>
          <w:tcPr>
            <w:cnfStyle w:val="000010000000" w:firstRow="0" w:lastRow="0" w:firstColumn="0" w:lastColumn="0" w:oddVBand="1" w:evenVBand="0" w:oddHBand="0" w:evenHBand="0" w:firstRowFirstColumn="0" w:firstRowLastColumn="0" w:lastRowFirstColumn="0" w:lastRowLastColumn="0"/>
            <w:tcW w:w="4946" w:type="dxa"/>
          </w:tcPr>
          <w:p w14:paraId="1276D95B"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rPr>
              <w:t>pCL55-iTET-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Pr>
                <w:rFonts w:ascii="Times New Roman" w:hAnsi="Times New Roman" w:cs="Times New Roman"/>
                <w:color w:val="000000"/>
                <w:sz w:val="16"/>
                <w:szCs w:val="16"/>
              </w:rPr>
              <w:t>h</w:t>
            </w:r>
            <w:r w:rsidRPr="0085544B">
              <w:rPr>
                <w:rFonts w:ascii="Times New Roman" w:hAnsi="Times New Roman" w:cs="Times New Roman"/>
                <w:color w:val="000000"/>
                <w:sz w:val="16"/>
                <w:szCs w:val="16"/>
              </w:rPr>
              <w:t>is-</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in </w:t>
            </w:r>
            <w:r w:rsidRPr="0085544B">
              <w:rPr>
                <w:rFonts w:ascii="Times New Roman" w:hAnsi="Times New Roman" w:cs="Times New Roman"/>
                <w:sz w:val="16"/>
              </w:rPr>
              <w:t>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747D3E57"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00E3C8A3"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7C80B311"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RMC1901</w:t>
            </w:r>
          </w:p>
        </w:tc>
        <w:tc>
          <w:tcPr>
            <w:cnfStyle w:val="000010000000" w:firstRow="0" w:lastRow="0" w:firstColumn="0" w:lastColumn="0" w:oddVBand="1" w:evenVBand="0" w:oddHBand="0" w:evenHBand="0" w:firstRowFirstColumn="0" w:firstRowLastColumn="0" w:lastRowFirstColumn="0" w:lastRowLastColumn="0"/>
            <w:tcW w:w="4946" w:type="dxa"/>
          </w:tcPr>
          <w:p w14:paraId="7062A00A"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lang w:val="en-US"/>
              </w:rPr>
              <w:t>pCL55-iTET</w:t>
            </w:r>
            <w:r w:rsidRPr="0085544B">
              <w:rPr>
                <w:rFonts w:ascii="Times New Roman" w:hAnsi="Times New Roman" w:cs="Times New Roman"/>
                <w:sz w:val="16"/>
                <w:vertAlign w:val="subscript"/>
                <w:lang w:val="en-US"/>
              </w:rPr>
              <w:t>r862</w:t>
            </w:r>
            <w:r w:rsidRPr="0085544B">
              <w:rPr>
                <w:rFonts w:ascii="Times New Roman" w:hAnsi="Times New Roman" w:cs="Times New Roman"/>
                <w:sz w:val="16"/>
              </w:rPr>
              <w: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in </w:t>
            </w:r>
            <w:r w:rsidRPr="0085544B">
              <w:rPr>
                <w:rFonts w:ascii="Times New Roman" w:hAnsi="Times New Roman" w:cs="Times New Roman"/>
                <w:sz w:val="16"/>
              </w:rPr>
              <w:t>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12A28C0F"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63A2BA67"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D94B6A2"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RMC1902</w:t>
            </w:r>
          </w:p>
        </w:tc>
        <w:tc>
          <w:tcPr>
            <w:cnfStyle w:val="000010000000" w:firstRow="0" w:lastRow="0" w:firstColumn="0" w:lastColumn="0" w:oddVBand="1" w:evenVBand="0" w:oddHBand="0" w:evenHBand="0" w:firstRowFirstColumn="0" w:firstRowLastColumn="0" w:lastRowFirstColumn="0" w:lastRowLastColumn="0"/>
            <w:tcW w:w="4946" w:type="dxa"/>
          </w:tcPr>
          <w:p w14:paraId="0D2F3F25" w14:textId="77777777" w:rsidR="00D70E9B" w:rsidRPr="0085544B" w:rsidRDefault="00D70E9B" w:rsidP="00A74445">
            <w:pPr>
              <w:spacing w:line="480" w:lineRule="auto"/>
              <w:ind w:right="-1"/>
              <w:rPr>
                <w:rFonts w:ascii="Times New Roman" w:hAnsi="Times New Roman" w:cs="Times New Roman"/>
                <w:sz w:val="16"/>
                <w:lang w:val="en-US"/>
              </w:rPr>
            </w:pPr>
            <w:r w:rsidRPr="0085544B">
              <w:rPr>
                <w:rFonts w:ascii="Times New Roman" w:hAnsi="Times New Roman" w:cs="Times New Roman"/>
                <w:sz w:val="16"/>
                <w:lang w:val="en-US"/>
              </w:rPr>
              <w:t>pCL55-iTET</w:t>
            </w:r>
            <w:r w:rsidRPr="0085544B">
              <w:rPr>
                <w:rFonts w:ascii="Times New Roman" w:hAnsi="Times New Roman" w:cs="Times New Roman"/>
                <w:sz w:val="16"/>
                <w:vertAlign w:val="subscript"/>
                <w:lang w:val="en-US"/>
              </w:rPr>
              <w:t>r862</w:t>
            </w:r>
            <w:r w:rsidRPr="0085544B">
              <w:rPr>
                <w:rFonts w:ascii="Times New Roman" w:hAnsi="Times New Roman" w:cs="Times New Roman"/>
                <w:sz w:val="16"/>
              </w:rPr>
              <w: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Pr>
                <w:rFonts w:ascii="Times New Roman" w:hAnsi="Times New Roman" w:cs="Times New Roman"/>
                <w:color w:val="000000"/>
                <w:sz w:val="16"/>
                <w:szCs w:val="16"/>
              </w:rPr>
              <w:t>NTD</w:t>
            </w:r>
            <w:r w:rsidRPr="0085544B">
              <w:rPr>
                <w:rFonts w:ascii="Times New Roman" w:hAnsi="Times New Roman" w:cs="Times New Roman"/>
                <w:color w:val="000000"/>
                <w:sz w:val="16"/>
                <w:szCs w:val="16"/>
              </w:rPr>
              <w:t>-</w:t>
            </w:r>
            <w:r>
              <w:rPr>
                <w:rFonts w:ascii="Times New Roman" w:hAnsi="Times New Roman" w:cs="Times New Roman"/>
                <w:color w:val="000000"/>
                <w:sz w:val="16"/>
                <w:szCs w:val="16"/>
              </w:rPr>
              <w:t>h</w:t>
            </w:r>
            <w:r w:rsidRPr="0085544B">
              <w:rPr>
                <w:rFonts w:ascii="Times New Roman" w:hAnsi="Times New Roman" w:cs="Times New Roman"/>
                <w:color w:val="000000"/>
                <w:sz w:val="16"/>
                <w:szCs w:val="16"/>
              </w:rPr>
              <w:t>is-</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in </w:t>
            </w:r>
            <w:r w:rsidRPr="0085544B">
              <w:rPr>
                <w:rFonts w:ascii="Times New Roman" w:hAnsi="Times New Roman" w:cs="Times New Roman"/>
                <w:sz w:val="16"/>
              </w:rPr>
              <w:t>XL1-Blue</w:t>
            </w:r>
            <w:r>
              <w:rPr>
                <w:rFonts w:ascii="Times New Roman" w:hAnsi="Times New Roman" w:cs="Times New Roman"/>
                <w:sz w:val="16"/>
              </w:rPr>
              <w:t>;</w:t>
            </w:r>
            <w:r w:rsidRPr="0085544B">
              <w:rPr>
                <w:rFonts w:ascii="Times New Roman" w:hAnsi="Times New Roman" w:cs="Times New Roman"/>
                <w:sz w:val="16"/>
              </w:rPr>
              <w:t xml:space="preserve"> CarbR</w:t>
            </w:r>
          </w:p>
        </w:tc>
        <w:tc>
          <w:tcPr>
            <w:tcW w:w="2552" w:type="dxa"/>
          </w:tcPr>
          <w:p w14:paraId="689628A9"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0D765B" w14:paraId="1DF534E3"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74D5E78B"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RMC1920</w:t>
            </w:r>
          </w:p>
        </w:tc>
        <w:tc>
          <w:tcPr>
            <w:cnfStyle w:val="000010000000" w:firstRow="0" w:lastRow="0" w:firstColumn="0" w:lastColumn="0" w:oddVBand="1" w:evenVBand="0" w:oddHBand="0" w:evenHBand="0" w:firstRowFirstColumn="0" w:firstRowLastColumn="0" w:lastRowFirstColumn="0" w:lastRowLastColumn="0"/>
            <w:tcW w:w="4946" w:type="dxa"/>
          </w:tcPr>
          <w:p w14:paraId="4D20AF70" w14:textId="77777777" w:rsidR="00D70E9B" w:rsidRPr="0085544B" w:rsidRDefault="00D70E9B" w:rsidP="00A74445">
            <w:pPr>
              <w:spacing w:line="480" w:lineRule="auto"/>
              <w:ind w:right="-1"/>
              <w:rPr>
                <w:rFonts w:ascii="Times New Roman" w:hAnsi="Times New Roman" w:cs="Times New Roman"/>
                <w:sz w:val="16"/>
                <w:lang w:val="en-US"/>
              </w:rPr>
            </w:pPr>
            <w:r>
              <w:rPr>
                <w:rFonts w:ascii="Times New Roman" w:hAnsi="Times New Roman" w:cs="Times New Roman"/>
                <w:sz w:val="16"/>
                <w:lang w:val="en-US"/>
              </w:rPr>
              <w:t>pRN12 in Top10F; CarbR</w:t>
            </w:r>
          </w:p>
        </w:tc>
        <w:tc>
          <w:tcPr>
            <w:tcW w:w="2552" w:type="dxa"/>
          </w:tcPr>
          <w:p w14:paraId="79F743E9" w14:textId="2C181331" w:rsidR="00D70E9B" w:rsidRPr="00276090"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lang w:val="es-ES"/>
              </w:rPr>
            </w:pPr>
            <w:r>
              <w:rPr>
                <w:rFonts w:ascii="Times New Roman" w:hAnsi="Times New Roman" w:cs="Times New Roman"/>
                <w:color w:val="000000" w:themeColor="text1"/>
                <w:sz w:val="16"/>
              </w:rPr>
              <w:fldChar w:fldCharType="begin"/>
            </w:r>
            <w:r w:rsidR="00276090" w:rsidRPr="00276090">
              <w:rPr>
                <w:rFonts w:ascii="Times New Roman" w:hAnsi="Times New Roman" w:cs="Times New Roman"/>
                <w:color w:val="000000" w:themeColor="text1"/>
                <w:sz w:val="16"/>
                <w:lang w:val="es-ES"/>
              </w:rPr>
              <w:instrText xml:space="preserve"> ADDIN EN.CITE &lt;EndNote&gt;&lt;Cite&gt;&lt;Author&gt;de Jong&lt;/Author&gt;&lt;Year&gt;2017&lt;/Year&gt;&lt;IDText&gt;Fluorescent reporters for markerless genomic integration in Staphylococcus aureus&lt;/IDText&gt;&lt;DisplayText&gt;(de Jong&lt;style face="italic"&gt; et al.&lt;/style&gt;, 2017b)&lt;/DisplayText&gt;&lt;record&gt;&lt;dates&gt;&lt;pub-dates&gt;&lt;date&gt;Mar 7&lt;/date&gt;&lt;/pub-dates&gt;&lt;year&gt;2017&lt;/year&gt;&lt;/dates&gt;&lt;urls&gt;&lt;related-urls&gt;&lt;url&gt;&amp;lt;Go to ISI&amp;gt;://WOS:000395654700001&lt;/url&gt;&lt;/related-urls&gt;&lt;/urls&gt;&lt;isbn&gt;2045-2322&lt;/isbn&gt;&lt;work-type&gt;Article&lt;/work-type&gt;&lt;titles&gt;&lt;title&gt;&lt;style font="default" size="100%"&gt;Fluorescent reporters for markerless genomic integration in &lt;/style&gt;&lt;style face="italic" font="default" size="100%"&gt;Staphylococcus aureus&lt;/style&gt;&lt;/title&gt;&lt;secondary-title&gt;Scientific Reports&lt;/secondary-title&gt;&lt;/titles&gt;&lt;contributors&gt;&lt;authors&gt;&lt;author&gt;de Jong, Nienke W. M.&lt;/author&gt;&lt;author&gt;van der Horst, Thijs&lt;/author&gt;&lt;author&gt;van Strijp, Jos A. G.&lt;/author&gt;&lt;author&gt;Nijland, Reindert&lt;/author&gt;&lt;/authors&gt;&lt;/contributors&gt;&lt;custom7&gt;43889&lt;/custom7&gt;&lt;added-date format="utc"&gt;1669752312&lt;/added-date&gt;&lt;ref-type name="Journal Article"&gt;17&lt;/ref-type&gt;&lt;rec-number&gt;185&lt;/rec-number&gt;&lt;last-updated-date format="utc"&gt;1678058042&lt;/last-updated-date&gt;&lt;accession-num&gt;WOS:000395654700001&lt;/accession-num&gt;&lt;electronic-resource-num&gt;10.1038/srep43889&lt;/electronic-resource-num&gt;&lt;volume&gt;7&lt;/volume&gt;&lt;/record&gt;&lt;/Cite&gt;&lt;/EndNote&gt;</w:instrText>
            </w:r>
            <w:r>
              <w:rPr>
                <w:rFonts w:ascii="Times New Roman" w:hAnsi="Times New Roman" w:cs="Times New Roman"/>
                <w:color w:val="000000" w:themeColor="text1"/>
                <w:sz w:val="16"/>
              </w:rPr>
              <w:fldChar w:fldCharType="separate"/>
            </w:r>
            <w:r w:rsidR="00276090" w:rsidRPr="00276090">
              <w:rPr>
                <w:rFonts w:ascii="Times New Roman" w:hAnsi="Times New Roman" w:cs="Times New Roman"/>
                <w:noProof/>
                <w:color w:val="000000" w:themeColor="text1"/>
                <w:sz w:val="16"/>
                <w:lang w:val="es-ES"/>
              </w:rPr>
              <w:t>(de Jong</w:t>
            </w:r>
            <w:r w:rsidR="00276090" w:rsidRPr="00276090">
              <w:rPr>
                <w:rFonts w:ascii="Times New Roman" w:hAnsi="Times New Roman" w:cs="Times New Roman"/>
                <w:i/>
                <w:noProof/>
                <w:color w:val="000000" w:themeColor="text1"/>
                <w:sz w:val="16"/>
                <w:lang w:val="es-ES"/>
              </w:rPr>
              <w:t xml:space="preserve"> et al.</w:t>
            </w:r>
            <w:r w:rsidR="00276090" w:rsidRPr="00276090">
              <w:rPr>
                <w:rFonts w:ascii="Times New Roman" w:hAnsi="Times New Roman" w:cs="Times New Roman"/>
                <w:noProof/>
                <w:color w:val="000000" w:themeColor="text1"/>
                <w:sz w:val="16"/>
                <w:lang w:val="es-ES"/>
              </w:rPr>
              <w:t>, 2017b)</w:t>
            </w:r>
            <w:r>
              <w:rPr>
                <w:rFonts w:ascii="Times New Roman" w:hAnsi="Times New Roman" w:cs="Times New Roman"/>
                <w:color w:val="000000" w:themeColor="text1"/>
                <w:sz w:val="16"/>
              </w:rPr>
              <w:fldChar w:fldCharType="end"/>
            </w:r>
          </w:p>
        </w:tc>
      </w:tr>
      <w:tr w:rsidR="00D70E9B" w:rsidRPr="0085544B" w14:paraId="4E94756D"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62FAAA06"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RMC1937</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4559A5E9" w14:textId="77777777" w:rsidR="00D70E9B" w:rsidRPr="00CD6D78"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pRN12-Broccoli in XL1-Blue; CarbR</w:t>
            </w:r>
          </w:p>
        </w:tc>
        <w:tc>
          <w:tcPr>
            <w:tcW w:w="2552" w:type="dxa"/>
          </w:tcPr>
          <w:p w14:paraId="1B3EAD8B"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7FA154B7"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3069BED3"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RMC1938</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63CA7187" w14:textId="77777777" w:rsidR="00D70E9B" w:rsidRPr="00CD6D78"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pRN12-riboswitch-Broccoli in XL1-Blue; CarbR</w:t>
            </w:r>
          </w:p>
        </w:tc>
        <w:tc>
          <w:tcPr>
            <w:tcW w:w="2552" w:type="dxa"/>
          </w:tcPr>
          <w:p w14:paraId="68722FD1"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521931AA"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6B3BF0FB"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RMC1942</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7598BACD"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pRN12 (no mAmetrine) in XL1-Blue; CarbR</w:t>
            </w:r>
          </w:p>
        </w:tc>
        <w:tc>
          <w:tcPr>
            <w:tcW w:w="2552" w:type="dxa"/>
          </w:tcPr>
          <w:p w14:paraId="7F4340C8"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7D47CB15"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2B932E16"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RMC1965</w:t>
            </w:r>
          </w:p>
        </w:tc>
        <w:tc>
          <w:tcPr>
            <w:cnfStyle w:val="000010000000" w:firstRow="0" w:lastRow="0" w:firstColumn="0" w:lastColumn="0" w:oddVBand="1" w:evenVBand="0" w:oddHBand="0" w:evenHBand="0" w:firstRowFirstColumn="0" w:firstRowLastColumn="0" w:lastRowFirstColumn="0" w:lastRowLastColumn="0"/>
            <w:tcW w:w="4946" w:type="dxa"/>
          </w:tcPr>
          <w:p w14:paraId="485BC7FA" w14:textId="77777777" w:rsidR="00D70E9B" w:rsidRDefault="00D70E9B" w:rsidP="00A74445">
            <w:pPr>
              <w:spacing w:line="480" w:lineRule="auto"/>
              <w:ind w:right="-1"/>
              <w:rPr>
                <w:rFonts w:ascii="Calibri" w:hAnsi="Calibri" w:cs="Calibri"/>
                <w:color w:val="000000"/>
                <w:shd w:val="clear" w:color="auto" w:fill="FFFFFF"/>
              </w:rPr>
            </w:pPr>
            <w:r w:rsidRPr="006B3B75">
              <w:rPr>
                <w:rFonts w:ascii="Times New Roman" w:hAnsi="Times New Roman" w:cs="Times New Roman"/>
                <w:color w:val="000000" w:themeColor="text1"/>
                <w:sz w:val="16"/>
              </w:rPr>
              <w:t>pCL55-</w:t>
            </w:r>
            <w:r>
              <w:rPr>
                <w:rFonts w:ascii="Times New Roman" w:hAnsi="Times New Roman" w:cs="Times New Roman"/>
                <w:color w:val="000000" w:themeColor="text1"/>
                <w:sz w:val="16"/>
              </w:rPr>
              <w:t>P</w:t>
            </w:r>
            <w:r w:rsidRPr="006B3B75">
              <w:rPr>
                <w:rFonts w:ascii="Times New Roman" w:hAnsi="Times New Roman" w:cs="Times New Roman"/>
                <w:color w:val="000000" w:themeColor="text1"/>
                <w:sz w:val="16"/>
              </w:rPr>
              <w:t>ilvD-sGFP-</w:t>
            </w:r>
            <w:r>
              <w:rPr>
                <w:rFonts w:ascii="Times New Roman" w:hAnsi="Times New Roman" w:cs="Times New Roman"/>
                <w:color w:val="000000" w:themeColor="text1"/>
                <w:sz w:val="16"/>
              </w:rPr>
              <w:t>TT-P</w:t>
            </w:r>
            <w:r>
              <w:rPr>
                <w:rFonts w:ascii="Times New Roman" w:hAnsi="Times New Roman" w:cs="Times New Roman"/>
                <w:i/>
                <w:iCs/>
                <w:color w:val="000000" w:themeColor="text1"/>
                <w:sz w:val="16"/>
              </w:rPr>
              <w:t>rpsO-</w:t>
            </w:r>
            <w:r>
              <w:rPr>
                <w:rFonts w:ascii="Times New Roman" w:hAnsi="Times New Roman" w:cs="Times New Roman"/>
                <w:color w:val="000000" w:themeColor="text1"/>
                <w:sz w:val="16"/>
              </w:rPr>
              <w:t>dsRED in XL1-Blue; CarbR</w:t>
            </w:r>
          </w:p>
        </w:tc>
        <w:tc>
          <w:tcPr>
            <w:tcW w:w="2552" w:type="dxa"/>
          </w:tcPr>
          <w:p w14:paraId="04138E53"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85544B">
              <w:rPr>
                <w:rFonts w:ascii="Times New Roman" w:hAnsi="Times New Roman" w:cs="Times New Roman"/>
                <w:sz w:val="16"/>
              </w:rPr>
              <w:t>This study</w:t>
            </w:r>
          </w:p>
        </w:tc>
      </w:tr>
      <w:tr w:rsidR="00D70E9B" w:rsidRPr="0085544B" w14:paraId="56DD1101"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646E907" w14:textId="77777777" w:rsidR="00D70E9B" w:rsidRPr="0085544B" w:rsidRDefault="00D70E9B" w:rsidP="00A74445">
            <w:pPr>
              <w:spacing w:line="480" w:lineRule="auto"/>
              <w:ind w:right="-1"/>
              <w:rPr>
                <w:rFonts w:ascii="Times New Roman" w:hAnsi="Times New Roman" w:cs="Times New Roman"/>
                <w:sz w:val="16"/>
                <w:lang w:val="en-US"/>
              </w:rPr>
            </w:pPr>
          </w:p>
        </w:tc>
        <w:tc>
          <w:tcPr>
            <w:cnfStyle w:val="000010000000" w:firstRow="0" w:lastRow="0" w:firstColumn="0" w:lastColumn="0" w:oddVBand="1" w:evenVBand="0" w:oddHBand="0" w:evenHBand="0" w:firstRowFirstColumn="0" w:firstRowLastColumn="0" w:lastRowFirstColumn="0" w:lastRowLastColumn="0"/>
            <w:tcW w:w="4946" w:type="dxa"/>
          </w:tcPr>
          <w:p w14:paraId="296689E3" w14:textId="77777777" w:rsidR="00D70E9B" w:rsidRPr="0085544B" w:rsidRDefault="00D70E9B" w:rsidP="00A74445">
            <w:pPr>
              <w:spacing w:line="480" w:lineRule="auto"/>
              <w:ind w:right="-1"/>
              <w:jc w:val="center"/>
              <w:rPr>
                <w:rFonts w:ascii="Times New Roman" w:hAnsi="Times New Roman" w:cs="Times New Roman"/>
                <w:sz w:val="16"/>
                <w:lang w:val="en-US"/>
              </w:rPr>
            </w:pPr>
            <w:r w:rsidRPr="0085544B">
              <w:rPr>
                <w:rFonts w:ascii="Times New Roman" w:hAnsi="Times New Roman" w:cs="Times New Roman"/>
                <w:b/>
                <w:i/>
                <w:sz w:val="16"/>
              </w:rPr>
              <w:t>Staphylococcus aureus</w:t>
            </w:r>
            <w:r w:rsidRPr="0085544B">
              <w:rPr>
                <w:rFonts w:ascii="Times New Roman" w:hAnsi="Times New Roman" w:cs="Times New Roman"/>
                <w:b/>
                <w:sz w:val="16"/>
              </w:rPr>
              <w:t xml:space="preserve"> strains</w:t>
            </w:r>
          </w:p>
        </w:tc>
        <w:tc>
          <w:tcPr>
            <w:tcW w:w="2552" w:type="dxa"/>
          </w:tcPr>
          <w:p w14:paraId="5DC482DC"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r>
      <w:tr w:rsidR="00D70E9B" w:rsidRPr="0085544B" w14:paraId="6C6421AC"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79E24075" w14:textId="77777777" w:rsidR="00D70E9B" w:rsidRPr="0085544B" w:rsidRDefault="00D70E9B" w:rsidP="00A74445">
            <w:pPr>
              <w:spacing w:line="480" w:lineRule="auto"/>
              <w:ind w:right="-1"/>
              <w:rPr>
                <w:rFonts w:ascii="Times New Roman" w:hAnsi="Times New Roman" w:cs="Times New Roman"/>
                <w:color w:val="FF0000"/>
                <w:sz w:val="16"/>
              </w:rPr>
            </w:pPr>
            <w:r w:rsidRPr="0085544B">
              <w:rPr>
                <w:rFonts w:ascii="Times New Roman" w:hAnsi="Times New Roman" w:cs="Times New Roman"/>
                <w:sz w:val="16"/>
              </w:rPr>
              <w:t>LA</w:t>
            </w:r>
            <w:r>
              <w:rPr>
                <w:rFonts w:ascii="Times New Roman" w:hAnsi="Times New Roman" w:cs="Times New Roman"/>
                <w:sz w:val="16"/>
              </w:rPr>
              <w:t>C*</w:t>
            </w:r>
          </w:p>
        </w:tc>
        <w:tc>
          <w:tcPr>
            <w:cnfStyle w:val="000010000000" w:firstRow="0" w:lastRow="0" w:firstColumn="0" w:lastColumn="0" w:oddVBand="1" w:evenVBand="0" w:oddHBand="0" w:evenHBand="0" w:firstRowFirstColumn="0" w:firstRowLastColumn="0" w:lastRowFirstColumn="0" w:lastRowLastColumn="0"/>
            <w:tcW w:w="4946" w:type="dxa"/>
          </w:tcPr>
          <w:p w14:paraId="77CFB453" w14:textId="77777777" w:rsidR="00D70E9B" w:rsidRPr="0085544B" w:rsidRDefault="00D70E9B" w:rsidP="00A74445">
            <w:pPr>
              <w:spacing w:line="480" w:lineRule="auto"/>
              <w:ind w:right="-1"/>
              <w:rPr>
                <w:rFonts w:ascii="Times New Roman" w:hAnsi="Times New Roman" w:cs="Times New Roman"/>
                <w:color w:val="FF0000"/>
                <w:sz w:val="16"/>
              </w:rPr>
            </w:pPr>
            <w:r w:rsidRPr="0085544B">
              <w:rPr>
                <w:rFonts w:ascii="Times New Roman" w:hAnsi="Times New Roman" w:cs="Times New Roman"/>
                <w:sz w:val="16"/>
              </w:rPr>
              <w:t>Erythromycin sensitive CA-MRSA LAC strain</w:t>
            </w:r>
          </w:p>
        </w:tc>
        <w:tc>
          <w:tcPr>
            <w:tcW w:w="2552" w:type="dxa"/>
          </w:tcPr>
          <w:p w14:paraId="7645BCAD"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fldChar w:fldCharType="begin"/>
            </w:r>
            <w:r>
              <w:rPr>
                <w:rFonts w:ascii="Times New Roman" w:hAnsi="Times New Roman" w:cs="Times New Roman"/>
                <w:sz w:val="16"/>
              </w:rPr>
              <w:instrText xml:space="preserve"> ADDIN EN.CITE &lt;EndNote&gt;&lt;Cite&gt;&lt;Author&gt;Boles&lt;/Author&gt;&lt;Year&gt;2010&lt;/Year&gt;&lt;IDText&gt;Identification of Genes Involved in Polysaccharide-Independent Staphylococcus aureus Biofilm Formation&lt;/IDText&gt;&lt;DisplayText&gt;(Boles&lt;style face="italic"&gt; et al.&lt;/style&gt;, 2010)&lt;/DisplayText&gt;&lt;record&gt;&lt;dates&gt;&lt;pub-dates&gt;&lt;date&gt;Apr 14&lt;/date&gt;&lt;/pub-dates&gt;&lt;year&gt;2010&lt;/year&gt;&lt;/dates&gt;&lt;urls&gt;&lt;related-urls&gt;&lt;url&gt;&amp;lt;Go to ISI&amp;gt;://WOS:000276706800009&lt;/url&gt;&lt;/related-urls&gt;&lt;/urls&gt;&lt;isbn&gt;1932-6203&lt;/isbn&gt;&lt;titles&gt;&lt;title&gt;Identification of Genes Involved in Polysaccharide-Independent Staphylococcus aureus Biofilm Formation&lt;/title&gt;&lt;secondary-title&gt;Plos One&lt;/secondary-title&gt;&lt;/titles&gt;&lt;number&gt;4&lt;/number&gt;&lt;contributors&gt;&lt;authors&gt;&lt;author&gt;Boles, Blaise R.&lt;/author&gt;&lt;author&gt;Thoendel, Matthew&lt;/author&gt;&lt;author&gt;Roth, Aleeza J.&lt;/author&gt;&lt;author&gt;Horswill, Alexander R.&lt;/author&gt;&lt;/authors&gt;&lt;/contributors&gt;&lt;custom7&gt;e10146&lt;/custom7&gt;&lt;added-date format="utc"&gt;1663612123&lt;/added-date&gt;&lt;ref-type name="Journal Article"&gt;17&lt;/ref-type&gt;&lt;rec-number&gt;64&lt;/rec-number&gt;&lt;last-updated-date format="utc"&gt;1663624413&lt;/last-updated-date&gt;&lt;accession-num&gt;WOS:000276706800009&lt;/accession-num&gt;&lt;electronic-resource-num&gt;10.1371/journal.pone.0010146&lt;/electronic-resource-num&gt;&lt;volume&gt;5&lt;/volume&gt;&lt;/record&gt;&lt;/Cite&gt;&lt;/EndNote&gt;</w:instrText>
            </w:r>
            <w:r>
              <w:rPr>
                <w:rFonts w:ascii="Times New Roman" w:hAnsi="Times New Roman" w:cs="Times New Roman"/>
                <w:sz w:val="16"/>
              </w:rPr>
              <w:fldChar w:fldCharType="separate"/>
            </w:r>
            <w:r>
              <w:rPr>
                <w:rFonts w:ascii="Times New Roman" w:hAnsi="Times New Roman" w:cs="Times New Roman"/>
                <w:noProof/>
                <w:sz w:val="16"/>
              </w:rPr>
              <w:t>(Boles</w:t>
            </w:r>
            <w:r w:rsidRPr="009B3B91">
              <w:rPr>
                <w:rFonts w:ascii="Times New Roman" w:hAnsi="Times New Roman" w:cs="Times New Roman"/>
                <w:i/>
                <w:noProof/>
                <w:sz w:val="16"/>
              </w:rPr>
              <w:t xml:space="preserve"> et al.</w:t>
            </w:r>
            <w:r>
              <w:rPr>
                <w:rFonts w:ascii="Times New Roman" w:hAnsi="Times New Roman" w:cs="Times New Roman"/>
                <w:noProof/>
                <w:sz w:val="16"/>
              </w:rPr>
              <w:t>, 2010)</w:t>
            </w:r>
            <w:r>
              <w:rPr>
                <w:rFonts w:ascii="Times New Roman" w:hAnsi="Times New Roman" w:cs="Times New Roman"/>
                <w:sz w:val="16"/>
              </w:rPr>
              <w:fldChar w:fldCharType="end"/>
            </w:r>
          </w:p>
        </w:tc>
      </w:tr>
      <w:tr w:rsidR="00D70E9B" w:rsidRPr="0085544B" w14:paraId="2EC75C47"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586CA1D1"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202</w:t>
            </w:r>
          </w:p>
        </w:tc>
        <w:tc>
          <w:tcPr>
            <w:cnfStyle w:val="000010000000" w:firstRow="0" w:lastRow="0" w:firstColumn="0" w:lastColumn="0" w:oddVBand="1" w:evenVBand="0" w:oddHBand="0" w:evenHBand="0" w:firstRowFirstColumn="0" w:firstRowLastColumn="0" w:lastRowFirstColumn="0" w:lastRowLastColumn="0"/>
            <w:tcW w:w="4946" w:type="dxa"/>
          </w:tcPr>
          <w:p w14:paraId="5A88C323" w14:textId="77777777" w:rsidR="00D70E9B" w:rsidRPr="0085544B" w:rsidRDefault="00D70E9B" w:rsidP="00A74445">
            <w:pPr>
              <w:spacing w:line="480" w:lineRule="auto"/>
              <w:ind w:right="-1"/>
              <w:rPr>
                <w:rFonts w:ascii="Times New Roman" w:hAnsi="Times New Roman" w:cs="Times New Roman"/>
                <w:color w:val="FF0000"/>
                <w:sz w:val="16"/>
                <w:szCs w:val="16"/>
              </w:rPr>
            </w:pPr>
            <w:r w:rsidRPr="0085544B">
              <w:rPr>
                <w:rFonts w:ascii="Times New Roman" w:hAnsi="Times New Roman" w:cs="Times New Roman"/>
                <w:sz w:val="16"/>
                <w:szCs w:val="16"/>
              </w:rPr>
              <w:t xml:space="preserve">RN4220 </w:t>
            </w:r>
          </w:p>
        </w:tc>
        <w:tc>
          <w:tcPr>
            <w:tcW w:w="2552" w:type="dxa"/>
          </w:tcPr>
          <w:p w14:paraId="4BB30B5A"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fldChar w:fldCharType="begin"/>
            </w:r>
            <w:r>
              <w:rPr>
                <w:rFonts w:ascii="Times New Roman" w:hAnsi="Times New Roman" w:cs="Times New Roman"/>
                <w:sz w:val="16"/>
              </w:rPr>
              <w:instrText xml:space="preserve"> ADDIN EN.CITE &lt;EndNote&gt;&lt;Cite&gt;&lt;Author&gt;Grundling&lt;/Author&gt;&lt;Year&gt;2007&lt;/Year&gt;&lt;IDText&gt;Synthesis of glycerol phosphate lipoteichoic acid in Staphylococcus aureus&lt;/IDText&gt;&lt;DisplayText&gt;(Grundling and Schneewind, 2007)&lt;/DisplayText&gt;&lt;record&gt;&lt;dates&gt;&lt;pub-dates&gt;&lt;date&gt;May 15&lt;/date&gt;&lt;/pub-dates&gt;&lt;year&gt;2007&lt;/year&gt;&lt;/dates&gt;&lt;urls&gt;&lt;related-urls&gt;&lt;url&gt;&amp;lt;Go to ISI&amp;gt;://WOS:000246599900052&lt;/url&gt;&lt;/related-urls&gt;&lt;/urls&gt;&lt;isbn&gt;0027-8424&lt;/isbn&gt;&lt;titles&gt;&lt;title&gt;Synthesis of glycerol phosphate lipoteichoic acid in Staphylococcus aureus&lt;/title&gt;&lt;secondary-title&gt;Proceedings of the National Academy of Sciences of the United States of America&lt;/secondary-title&gt;&lt;/titles&gt;&lt;pages&gt;8478-8483&lt;/pages&gt;&lt;number&gt;20&lt;/number&gt;&lt;contributors&gt;&lt;authors&gt;&lt;author&gt;Grundling, Angelika&lt;/author&gt;&lt;author&gt;Schneewind, Olaf&lt;/author&gt;&lt;/authors&gt;&lt;/contributors&gt;&lt;added-date format="utc"&gt;1663612000&lt;/added-date&gt;&lt;ref-type name="Journal Article"&gt;17&lt;/ref-type&gt;&lt;rec-number&gt;62&lt;/rec-number&gt;&lt;last-updated-date format="utc"&gt;1663624413&lt;/last-updated-date&gt;&lt;accession-num&gt;WOS:000246599900052&lt;/accession-num&gt;&lt;electronic-resource-num&gt;10.1073/pnas.0701821104&lt;/electronic-resource-num&gt;&lt;volume&gt;104&lt;/volume&gt;&lt;/record&gt;&lt;/Cite&gt;&lt;/EndNote&gt;</w:instrText>
            </w:r>
            <w:r>
              <w:rPr>
                <w:rFonts w:ascii="Times New Roman" w:hAnsi="Times New Roman" w:cs="Times New Roman"/>
                <w:sz w:val="16"/>
              </w:rPr>
              <w:fldChar w:fldCharType="separate"/>
            </w:r>
            <w:r>
              <w:rPr>
                <w:rFonts w:ascii="Times New Roman" w:hAnsi="Times New Roman" w:cs="Times New Roman"/>
                <w:noProof/>
                <w:sz w:val="16"/>
              </w:rPr>
              <w:t>(Grundling and Schneewind, 2007)</w:t>
            </w:r>
            <w:r>
              <w:rPr>
                <w:rFonts w:ascii="Times New Roman" w:hAnsi="Times New Roman" w:cs="Times New Roman"/>
                <w:sz w:val="16"/>
              </w:rPr>
              <w:fldChar w:fldCharType="end"/>
            </w:r>
          </w:p>
        </w:tc>
      </w:tr>
      <w:tr w:rsidR="00D70E9B" w:rsidRPr="0085544B" w14:paraId="26A6F9E8"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312BEECE"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205</w:t>
            </w:r>
          </w:p>
        </w:tc>
        <w:tc>
          <w:tcPr>
            <w:cnfStyle w:val="000010000000" w:firstRow="0" w:lastRow="0" w:firstColumn="0" w:lastColumn="0" w:oddVBand="1" w:evenVBand="0" w:oddHBand="0" w:evenHBand="0" w:firstRowFirstColumn="0" w:firstRowLastColumn="0" w:lastRowFirstColumn="0" w:lastRowLastColumn="0"/>
            <w:tcW w:w="4946" w:type="dxa"/>
          </w:tcPr>
          <w:p w14:paraId="7D751499" w14:textId="77777777" w:rsidR="00D70E9B" w:rsidRPr="0085544B" w:rsidRDefault="00D70E9B" w:rsidP="00A74445">
            <w:pPr>
              <w:spacing w:line="480" w:lineRule="auto"/>
              <w:ind w:right="-1"/>
              <w:rPr>
                <w:rFonts w:ascii="Times New Roman" w:hAnsi="Times New Roman" w:cs="Times New Roman"/>
                <w:sz w:val="16"/>
                <w:szCs w:val="16"/>
              </w:rPr>
            </w:pPr>
            <w:r w:rsidRPr="0085544B">
              <w:rPr>
                <w:rFonts w:ascii="Times New Roman" w:hAnsi="Times New Roman" w:cs="Times New Roman"/>
                <w:sz w:val="16"/>
              </w:rPr>
              <w:t>pCL55</w:t>
            </w:r>
            <w:r>
              <w:rPr>
                <w:rFonts w:ascii="Times New Roman" w:hAnsi="Times New Roman" w:cs="Times New Roman"/>
                <w:sz w:val="16"/>
              </w:rPr>
              <w:t xml:space="preserve"> in RN4220; CamR</w:t>
            </w:r>
          </w:p>
        </w:tc>
        <w:tc>
          <w:tcPr>
            <w:tcW w:w="2552" w:type="dxa"/>
          </w:tcPr>
          <w:p w14:paraId="0FA42187" w14:textId="77777777" w:rsidR="00D70E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62203F">
              <w:rPr>
                <w:rFonts w:ascii="Times New Roman" w:hAnsi="Times New Roman" w:cs="Times New Roman"/>
                <w:color w:val="000000" w:themeColor="text1"/>
                <w:sz w:val="16"/>
              </w:rPr>
              <w:t>Laboratory strain collection</w:t>
            </w:r>
          </w:p>
        </w:tc>
      </w:tr>
      <w:tr w:rsidR="00D70E9B" w:rsidRPr="0085544B" w14:paraId="7B218012"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ECE0628"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206</w:t>
            </w:r>
          </w:p>
        </w:tc>
        <w:tc>
          <w:tcPr>
            <w:cnfStyle w:val="000010000000" w:firstRow="0" w:lastRow="0" w:firstColumn="0" w:lastColumn="0" w:oddVBand="1" w:evenVBand="0" w:oddHBand="0" w:evenHBand="0" w:firstRowFirstColumn="0" w:firstRowLastColumn="0" w:lastRowFirstColumn="0" w:lastRowLastColumn="0"/>
            <w:tcW w:w="4946" w:type="dxa"/>
          </w:tcPr>
          <w:p w14:paraId="70CF144E" w14:textId="77777777" w:rsidR="00D70E9B" w:rsidRPr="0085544B" w:rsidRDefault="00D70E9B" w:rsidP="00A74445">
            <w:pPr>
              <w:spacing w:line="480" w:lineRule="auto"/>
              <w:ind w:right="-1"/>
              <w:rPr>
                <w:rFonts w:ascii="Times New Roman" w:hAnsi="Times New Roman" w:cs="Times New Roman"/>
                <w:sz w:val="16"/>
                <w:szCs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 xml:space="preserve"> in RN4220; CamR</w:t>
            </w:r>
          </w:p>
        </w:tc>
        <w:tc>
          <w:tcPr>
            <w:tcW w:w="2552" w:type="dxa"/>
          </w:tcPr>
          <w:p w14:paraId="534AE434" w14:textId="77777777" w:rsidR="00D70E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62203F">
              <w:rPr>
                <w:rFonts w:ascii="Times New Roman" w:hAnsi="Times New Roman" w:cs="Times New Roman"/>
                <w:color w:val="000000" w:themeColor="text1"/>
                <w:sz w:val="16"/>
              </w:rPr>
              <w:t>Laboratory strain collection</w:t>
            </w:r>
          </w:p>
        </w:tc>
      </w:tr>
      <w:tr w:rsidR="00D70E9B" w:rsidRPr="0085544B" w14:paraId="24AD8E88"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4F3B22EE"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20</w:t>
            </w:r>
            <w:r>
              <w:rPr>
                <w:rFonts w:ascii="Times New Roman" w:hAnsi="Times New Roman" w:cs="Times New Roman"/>
                <w:color w:val="000000" w:themeColor="text1"/>
                <w:sz w:val="16"/>
              </w:rPr>
              <w:t>8</w:t>
            </w:r>
          </w:p>
        </w:tc>
        <w:tc>
          <w:tcPr>
            <w:cnfStyle w:val="000010000000" w:firstRow="0" w:lastRow="0" w:firstColumn="0" w:lastColumn="0" w:oddVBand="1" w:evenVBand="0" w:oddHBand="0" w:evenHBand="0" w:firstRowFirstColumn="0" w:firstRowLastColumn="0" w:lastRowFirstColumn="0" w:lastRowLastColumn="0"/>
            <w:tcW w:w="4946" w:type="dxa"/>
          </w:tcPr>
          <w:p w14:paraId="2AB7EFFC" w14:textId="77777777" w:rsidR="00D70E9B" w:rsidRPr="0085544B" w:rsidRDefault="00D70E9B" w:rsidP="00A74445">
            <w:pPr>
              <w:spacing w:line="480" w:lineRule="auto"/>
              <w:ind w:right="-1"/>
              <w:rPr>
                <w:rFonts w:ascii="Times New Roman" w:hAnsi="Times New Roman" w:cs="Times New Roman"/>
                <w:sz w:val="16"/>
                <w:szCs w:val="16"/>
              </w:rPr>
            </w:pPr>
            <w:r w:rsidRPr="0085544B">
              <w:rPr>
                <w:rFonts w:ascii="Times New Roman" w:hAnsi="Times New Roman" w:cs="Times New Roman"/>
                <w:sz w:val="16"/>
                <w:szCs w:val="16"/>
              </w:rPr>
              <w:t>RN4220 Δ</w:t>
            </w:r>
            <w:r w:rsidRPr="0085544B">
              <w:rPr>
                <w:rFonts w:ascii="Times New Roman" w:hAnsi="Times New Roman" w:cs="Times New Roman"/>
                <w:i/>
                <w:iCs/>
                <w:sz w:val="16"/>
                <w:szCs w:val="16"/>
              </w:rPr>
              <w:t>spa</w:t>
            </w:r>
            <w:r w:rsidRPr="0085544B">
              <w:rPr>
                <w:rFonts w:ascii="Times New Roman" w:hAnsi="Times New Roman" w:cs="Times New Roman"/>
                <w:sz w:val="16"/>
                <w:szCs w:val="16"/>
              </w:rPr>
              <w:t>; in</w:t>
            </w:r>
            <w:r>
              <w:rPr>
                <w:rFonts w:ascii="Times New Roman" w:hAnsi="Times New Roman" w:cs="Times New Roman"/>
                <w:sz w:val="16"/>
                <w:szCs w:val="16"/>
              </w:rPr>
              <w:t>-</w:t>
            </w:r>
            <w:r w:rsidRPr="0085544B">
              <w:rPr>
                <w:rFonts w:ascii="Times New Roman" w:hAnsi="Times New Roman" w:cs="Times New Roman"/>
                <w:sz w:val="16"/>
                <w:szCs w:val="16"/>
              </w:rPr>
              <w:t xml:space="preserve">frame deletion of </w:t>
            </w:r>
            <w:r w:rsidRPr="0085544B">
              <w:rPr>
                <w:rFonts w:ascii="Times New Roman" w:hAnsi="Times New Roman" w:cs="Times New Roman"/>
                <w:i/>
                <w:iCs/>
                <w:sz w:val="16"/>
                <w:szCs w:val="16"/>
              </w:rPr>
              <w:t>spa</w:t>
            </w:r>
            <w:r w:rsidRPr="0085544B">
              <w:rPr>
                <w:rFonts w:ascii="Times New Roman" w:hAnsi="Times New Roman" w:cs="Times New Roman"/>
                <w:sz w:val="16"/>
                <w:szCs w:val="16"/>
              </w:rPr>
              <w:t xml:space="preserve"> gene</w:t>
            </w:r>
          </w:p>
        </w:tc>
        <w:tc>
          <w:tcPr>
            <w:tcW w:w="2552" w:type="dxa"/>
          </w:tcPr>
          <w:p w14:paraId="6D7E631F" w14:textId="77777777" w:rsidR="00D70E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fldChar w:fldCharType="begin"/>
            </w:r>
            <w:r>
              <w:rPr>
                <w:rFonts w:ascii="Times New Roman" w:hAnsi="Times New Roman" w:cs="Times New Roman"/>
                <w:sz w:val="16"/>
              </w:rPr>
              <w:instrText xml:space="preserve"> ADDIN EN.CITE &lt;EndNote&gt;&lt;Cite&gt;&lt;Author&gt;Grundling&lt;/Author&gt;&lt;Year&gt;2007&lt;/Year&gt;&lt;IDText&gt;Synthesis of glycerol phosphate lipoteichoic acid in Staphylococcus aureus&lt;/IDText&gt;&lt;DisplayText&gt;(Grundling and Schneewind, 2007)&lt;/DisplayText&gt;&lt;record&gt;&lt;dates&gt;&lt;pub-dates&gt;&lt;date&gt;May 15&lt;/date&gt;&lt;/pub-dates&gt;&lt;year&gt;2007&lt;/year&gt;&lt;/dates&gt;&lt;urls&gt;&lt;related-urls&gt;&lt;url&gt;&amp;lt;Go to ISI&amp;gt;://WOS:000246599900052&lt;/url&gt;&lt;/related-urls&gt;&lt;/urls&gt;&lt;isbn&gt;0027-8424&lt;/isbn&gt;&lt;titles&gt;&lt;title&gt;Synthesis of glycerol phosphate lipoteichoic acid in Staphylococcus aureus&lt;/title&gt;&lt;secondary-title&gt;Proceedings of the National Academy of Sciences of the United States of America&lt;/secondary-title&gt;&lt;/titles&gt;&lt;pages&gt;8478-8483&lt;/pages&gt;&lt;number&gt;20&lt;/number&gt;&lt;contributors&gt;&lt;authors&gt;&lt;author&gt;Grundling, Angelika&lt;/author&gt;&lt;author&gt;Schneewind, Olaf&lt;/author&gt;&lt;/authors&gt;&lt;/contributors&gt;&lt;added-date format="utc"&gt;1663612000&lt;/added-date&gt;&lt;ref-type name="Journal Article"&gt;17&lt;/ref-type&gt;&lt;rec-number&gt;62&lt;/rec-number&gt;&lt;last-updated-date format="utc"&gt;1663624413&lt;/last-updated-date&gt;&lt;accession-num&gt;WOS:000246599900052&lt;/accession-num&gt;&lt;electronic-resource-num&gt;10.1073/pnas.0701821104&lt;/electronic-resource-num&gt;&lt;volume&gt;104&lt;/volume&gt;&lt;/record&gt;&lt;/Cite&gt;&lt;/EndNote&gt;</w:instrText>
            </w:r>
            <w:r>
              <w:rPr>
                <w:rFonts w:ascii="Times New Roman" w:hAnsi="Times New Roman" w:cs="Times New Roman"/>
                <w:sz w:val="16"/>
              </w:rPr>
              <w:fldChar w:fldCharType="separate"/>
            </w:r>
            <w:r>
              <w:rPr>
                <w:rFonts w:ascii="Times New Roman" w:hAnsi="Times New Roman" w:cs="Times New Roman"/>
                <w:noProof/>
                <w:sz w:val="16"/>
              </w:rPr>
              <w:t>(Grundling and Schneewind, 2007)</w:t>
            </w:r>
            <w:r>
              <w:rPr>
                <w:rFonts w:ascii="Times New Roman" w:hAnsi="Times New Roman" w:cs="Times New Roman"/>
                <w:sz w:val="16"/>
              </w:rPr>
              <w:fldChar w:fldCharType="end"/>
            </w:r>
          </w:p>
        </w:tc>
      </w:tr>
      <w:tr w:rsidR="00D70E9B" w:rsidRPr="0085544B" w14:paraId="10D4C26C"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141AB08"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448</w:t>
            </w:r>
          </w:p>
        </w:tc>
        <w:tc>
          <w:tcPr>
            <w:cnfStyle w:val="000010000000" w:firstRow="0" w:lastRow="0" w:firstColumn="0" w:lastColumn="0" w:oddVBand="1" w:evenVBand="0" w:oddHBand="0" w:evenHBand="0" w:firstRowFirstColumn="0" w:firstRowLastColumn="0" w:lastRowFirstColumn="0" w:lastRowLastColumn="0"/>
            <w:tcW w:w="4946" w:type="dxa"/>
          </w:tcPr>
          <w:p w14:paraId="3F4B3184"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pGFP-F in RN4220; CamR</w:t>
            </w:r>
          </w:p>
        </w:tc>
        <w:tc>
          <w:tcPr>
            <w:tcW w:w="2552" w:type="dxa"/>
          </w:tcPr>
          <w:p w14:paraId="42B7661A" w14:textId="77777777" w:rsidR="00D70E9B" w:rsidRPr="00874982"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fldChar w:fldCharType="begin"/>
            </w:r>
            <w:r>
              <w:rPr>
                <w:rFonts w:ascii="Times New Roman" w:hAnsi="Times New Roman" w:cs="Times New Roman"/>
                <w:color w:val="000000" w:themeColor="text1"/>
                <w:sz w:val="16"/>
              </w:rPr>
              <w:instrText xml:space="preserve"> ADDIN EN.CITE &lt;EndNote&gt;&lt;Cite&gt;&lt;Author&gt;Bose&lt;/Author&gt;&lt;Year&gt;2013&lt;/Year&gt;&lt;IDText&gt;Genetic Tools To Enhance the Study of Gene Function and Regulation in Staphylococcus aureus&lt;/IDText&gt;&lt;DisplayText&gt;(Bose, Fey and Bayles, 2013)&lt;/DisplayText&gt;&lt;record&gt;&lt;dates&gt;&lt;pub-dates&gt;&lt;date&gt;Apr&lt;/date&gt;&lt;/pub-dates&gt;&lt;year&gt;2013&lt;/year&gt;&lt;/dates&gt;&lt;urls&gt;&lt;related-urls&gt;&lt;url&gt;&amp;lt;Go to ISI&amp;gt;://WOS:000316183500013&lt;/url&gt;&lt;/related-urls&gt;&lt;/urls&gt;&lt;isbn&gt;0099-2240&lt;/isbn&gt;&lt;work-type&gt;Article&lt;/work-type&gt;&lt;titles&gt;&lt;title&gt;Genetic Tools To Enhance the Study of Gene Function and Regulation in Staphylococcus aureus&lt;/title&gt;&lt;secondary-title&gt;Applied and Environmental Microbiology&lt;/secondary-title&gt;&lt;/titles&gt;&lt;pages&gt;2218-2224&lt;/pages&gt;&lt;number&gt;7&lt;/number&gt;&lt;contributors&gt;&lt;authors&gt;&lt;author&gt;Bose, Jeffrey L.&lt;/author&gt;&lt;author&gt;Fey, Paul D.&lt;/author&gt;&lt;author&gt;Bayles, Kenneth W.&lt;/author&gt;&lt;/authors&gt;&lt;/contributors&gt;&lt;added-date format="utc"&gt;1678754332&lt;/added-date&gt;&lt;ref-type name="Journal Article"&gt;17&lt;/ref-type&gt;&lt;rec-number&gt;774&lt;/rec-number&gt;&lt;last-updated-date format="utc"&gt;1678754332&lt;/last-updated-date&gt;&lt;accession-num&gt;WOS:000316183500013&lt;/accession-num&gt;&lt;electronic-resource-num&gt;10.1128/aem.00136-13&lt;/electronic-resource-num&gt;&lt;volume&gt;79&lt;/volume&gt;&lt;/record&gt;&lt;/Cite&gt;&lt;/EndNote&gt;</w:instrText>
            </w:r>
            <w:r>
              <w:rPr>
                <w:rFonts w:ascii="Times New Roman" w:hAnsi="Times New Roman" w:cs="Times New Roman"/>
                <w:color w:val="000000" w:themeColor="text1"/>
                <w:sz w:val="16"/>
              </w:rPr>
              <w:fldChar w:fldCharType="separate"/>
            </w:r>
            <w:r>
              <w:rPr>
                <w:rFonts w:ascii="Times New Roman" w:hAnsi="Times New Roman" w:cs="Times New Roman"/>
                <w:noProof/>
                <w:color w:val="000000" w:themeColor="text1"/>
                <w:sz w:val="16"/>
              </w:rPr>
              <w:t>(Bose, Fey and Bayles, 2013)</w:t>
            </w:r>
            <w:r>
              <w:rPr>
                <w:rFonts w:ascii="Times New Roman" w:hAnsi="Times New Roman" w:cs="Times New Roman"/>
                <w:color w:val="000000" w:themeColor="text1"/>
                <w:sz w:val="16"/>
              </w:rPr>
              <w:fldChar w:fldCharType="end"/>
            </w:r>
          </w:p>
        </w:tc>
      </w:tr>
      <w:tr w:rsidR="00D70E9B" w:rsidRPr="0085544B" w14:paraId="612E49CA"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4D336DF1"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454</w:t>
            </w:r>
          </w:p>
        </w:tc>
        <w:tc>
          <w:tcPr>
            <w:cnfStyle w:val="000010000000" w:firstRow="0" w:lastRow="0" w:firstColumn="0" w:lastColumn="0" w:oddVBand="1" w:evenVBand="0" w:oddHBand="0" w:evenHBand="0" w:firstRowFirstColumn="0" w:firstRowLastColumn="0" w:lastRowFirstColumn="0" w:lastRowLastColumn="0"/>
            <w:tcW w:w="4946" w:type="dxa"/>
          </w:tcPr>
          <w:p w14:paraId="490DA60B"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pRFP-F RN4220; CamR</w:t>
            </w:r>
          </w:p>
        </w:tc>
        <w:tc>
          <w:tcPr>
            <w:tcW w:w="2552" w:type="dxa"/>
          </w:tcPr>
          <w:p w14:paraId="2BA7D8A0" w14:textId="77777777" w:rsidR="00D70E9B" w:rsidRPr="00874982"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fldChar w:fldCharType="begin"/>
            </w:r>
            <w:r>
              <w:rPr>
                <w:rFonts w:ascii="Times New Roman" w:hAnsi="Times New Roman" w:cs="Times New Roman"/>
                <w:color w:val="000000" w:themeColor="text1"/>
                <w:sz w:val="16"/>
              </w:rPr>
              <w:instrText xml:space="preserve"> ADDIN EN.CITE &lt;EndNote&gt;&lt;Cite&gt;&lt;Author&gt;Bose&lt;/Author&gt;&lt;Year&gt;2013&lt;/Year&gt;&lt;IDText&gt;Genetic Tools To Enhance the Study of Gene Function and Regulation in Staphylococcus aureus&lt;/IDText&gt;&lt;DisplayText&gt;(Bose, Fey and Bayles, 2013)&lt;/DisplayText&gt;&lt;record&gt;&lt;dates&gt;&lt;pub-dates&gt;&lt;date&gt;Apr&lt;/date&gt;&lt;/pub-dates&gt;&lt;year&gt;2013&lt;/year&gt;&lt;/dates&gt;&lt;urls&gt;&lt;related-urls&gt;&lt;url&gt;&amp;lt;Go to ISI&amp;gt;://WOS:000316183500013&lt;/url&gt;&lt;/related-urls&gt;&lt;/urls&gt;&lt;isbn&gt;0099-2240&lt;/isbn&gt;&lt;work-type&gt;Article&lt;/work-type&gt;&lt;titles&gt;&lt;title&gt;Genetic Tools To Enhance the Study of Gene Function and Regulation in Staphylococcus aureus&lt;/title&gt;&lt;secondary-title&gt;Applied and Environmental Microbiology&lt;/secondary-title&gt;&lt;/titles&gt;&lt;pages&gt;2218-2224&lt;/pages&gt;&lt;number&gt;7&lt;/number&gt;&lt;contributors&gt;&lt;authors&gt;&lt;author&gt;Bose, Jeffrey L.&lt;/author&gt;&lt;author&gt;Fey, Paul D.&lt;/author&gt;&lt;author&gt;Bayles, Kenneth W.&lt;/author&gt;&lt;/authors&gt;&lt;/contributors&gt;&lt;added-date format="utc"&gt;1678754332&lt;/added-date&gt;&lt;ref-type name="Journal Article"&gt;17&lt;/ref-type&gt;&lt;rec-number&gt;774&lt;/rec-number&gt;&lt;last-updated-date format="utc"&gt;1678754332&lt;/last-updated-date&gt;&lt;accession-num&gt;WOS:000316183500013&lt;/accession-num&gt;&lt;electronic-resource-num&gt;10.1128/aem.00136-13&lt;/electronic-resource-num&gt;&lt;volume&gt;79&lt;/volume&gt;&lt;/record&gt;&lt;/Cite&gt;&lt;/EndNote&gt;</w:instrText>
            </w:r>
            <w:r>
              <w:rPr>
                <w:rFonts w:ascii="Times New Roman" w:hAnsi="Times New Roman" w:cs="Times New Roman"/>
                <w:color w:val="000000" w:themeColor="text1"/>
                <w:sz w:val="16"/>
              </w:rPr>
              <w:fldChar w:fldCharType="separate"/>
            </w:r>
            <w:r>
              <w:rPr>
                <w:rFonts w:ascii="Times New Roman" w:hAnsi="Times New Roman" w:cs="Times New Roman"/>
                <w:noProof/>
                <w:color w:val="000000" w:themeColor="text1"/>
                <w:sz w:val="16"/>
              </w:rPr>
              <w:t>(Bose, Fey and Bayles, 2013)</w:t>
            </w:r>
            <w:r>
              <w:rPr>
                <w:rFonts w:ascii="Times New Roman" w:hAnsi="Times New Roman" w:cs="Times New Roman"/>
                <w:color w:val="000000" w:themeColor="text1"/>
                <w:sz w:val="16"/>
              </w:rPr>
              <w:fldChar w:fldCharType="end"/>
            </w:r>
          </w:p>
        </w:tc>
      </w:tr>
      <w:tr w:rsidR="00D70E9B" w:rsidRPr="0085544B" w14:paraId="79D84EA5"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7D1B827"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484</w:t>
            </w:r>
          </w:p>
        </w:tc>
        <w:tc>
          <w:tcPr>
            <w:cnfStyle w:val="000010000000" w:firstRow="0" w:lastRow="0" w:firstColumn="0" w:lastColumn="0" w:oddVBand="1" w:evenVBand="0" w:oddHBand="0" w:evenHBand="0" w:firstRowFirstColumn="0" w:firstRowLastColumn="0" w:lastRowFirstColumn="0" w:lastRowLastColumn="0"/>
            <w:tcW w:w="4946" w:type="dxa"/>
          </w:tcPr>
          <w:p w14:paraId="53928DFA" w14:textId="77777777" w:rsidR="00D70E9B" w:rsidRPr="0085544B" w:rsidRDefault="00D70E9B" w:rsidP="00A74445">
            <w:pPr>
              <w:spacing w:line="480" w:lineRule="auto"/>
              <w:ind w:right="-1"/>
              <w:rPr>
                <w:rFonts w:ascii="Times New Roman" w:hAnsi="Times New Roman" w:cs="Times New Roman"/>
                <w:sz w:val="16"/>
                <w:szCs w:val="16"/>
              </w:rPr>
            </w:pPr>
            <w:r w:rsidRPr="003B1238">
              <w:rPr>
                <w:rFonts w:ascii="Times New Roman" w:hAnsi="Times New Roman" w:cs="Times New Roman"/>
                <w:color w:val="000000" w:themeColor="text1"/>
                <w:sz w:val="16"/>
                <w:szCs w:val="16"/>
              </w:rPr>
              <w:t>pCL55</w:t>
            </w:r>
            <w:r>
              <w:rPr>
                <w:rFonts w:ascii="Times New Roman" w:hAnsi="Times New Roman" w:cs="Times New Roman"/>
                <w:color w:val="000000" w:themeColor="text1"/>
                <w:sz w:val="16"/>
                <w:szCs w:val="16"/>
              </w:rPr>
              <w:t>-P</w:t>
            </w:r>
            <w:r w:rsidRPr="003B1238">
              <w:rPr>
                <w:rFonts w:ascii="Times New Roman" w:hAnsi="Times New Roman" w:cs="Times New Roman"/>
                <w:i/>
                <w:iCs/>
                <w:color w:val="000000" w:themeColor="text1"/>
                <w:sz w:val="16"/>
                <w:szCs w:val="16"/>
              </w:rPr>
              <w:t>relP</w:t>
            </w:r>
            <w:r w:rsidRPr="003B1238">
              <w:rPr>
                <w:rFonts w:ascii="Times New Roman" w:hAnsi="Times New Roman" w:cs="Times New Roman"/>
                <w:color w:val="000000" w:themeColor="text1"/>
                <w:sz w:val="16"/>
                <w:szCs w:val="16"/>
              </w:rPr>
              <w:t>-RelP-GFP</w:t>
            </w:r>
            <w:r>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rPr>
              <w:t xml:space="preserve">in RN4220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385D998C" w14:textId="77777777" w:rsidR="00D70E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Pr>
                <w:rFonts w:ascii="Times New Roman" w:hAnsi="Times New Roman" w:cs="Times New Roman"/>
                <w:color w:val="000000" w:themeColor="text1"/>
                <w:sz w:val="16"/>
              </w:rPr>
              <w:t>Laboratory strain collection</w:t>
            </w:r>
          </w:p>
        </w:tc>
      </w:tr>
      <w:tr w:rsidR="00D70E9B" w:rsidRPr="0085544B" w14:paraId="19E33464"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7A4E1862"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485</w:t>
            </w:r>
          </w:p>
        </w:tc>
        <w:tc>
          <w:tcPr>
            <w:cnfStyle w:val="000010000000" w:firstRow="0" w:lastRow="0" w:firstColumn="0" w:lastColumn="0" w:oddVBand="1" w:evenVBand="0" w:oddHBand="0" w:evenHBand="0" w:firstRowFirstColumn="0" w:firstRowLastColumn="0" w:lastRowFirstColumn="0" w:lastRowLastColumn="0"/>
            <w:tcW w:w="4946" w:type="dxa"/>
          </w:tcPr>
          <w:p w14:paraId="210A5EF7" w14:textId="77777777" w:rsidR="00D70E9B" w:rsidRPr="0085544B" w:rsidRDefault="00D70E9B" w:rsidP="00A74445">
            <w:pPr>
              <w:spacing w:line="480" w:lineRule="auto"/>
              <w:ind w:right="-1"/>
              <w:rPr>
                <w:rFonts w:ascii="Times New Roman" w:hAnsi="Times New Roman" w:cs="Times New Roman"/>
                <w:sz w:val="16"/>
                <w:szCs w:val="16"/>
              </w:rPr>
            </w:pPr>
            <w:r w:rsidRPr="003B1238">
              <w:rPr>
                <w:rFonts w:ascii="Times New Roman" w:hAnsi="Times New Roman" w:cs="Times New Roman"/>
                <w:color w:val="000000" w:themeColor="text1"/>
                <w:sz w:val="16"/>
                <w:szCs w:val="16"/>
              </w:rPr>
              <w:t>pCL55-</w:t>
            </w:r>
            <w:r>
              <w:rPr>
                <w:rFonts w:ascii="Times New Roman" w:hAnsi="Times New Roman" w:cs="Times New Roman"/>
                <w:color w:val="000000" w:themeColor="text1"/>
                <w:sz w:val="16"/>
                <w:szCs w:val="16"/>
              </w:rPr>
              <w:t>P</w:t>
            </w:r>
            <w:r w:rsidRPr="003B1238">
              <w:rPr>
                <w:rFonts w:ascii="Times New Roman" w:hAnsi="Times New Roman" w:cs="Times New Roman"/>
                <w:i/>
                <w:iCs/>
                <w:color w:val="000000" w:themeColor="text1"/>
                <w:sz w:val="16"/>
                <w:szCs w:val="16"/>
              </w:rPr>
              <w:t>relQ</w:t>
            </w:r>
            <w:r w:rsidRPr="003B1238">
              <w:rPr>
                <w:rFonts w:ascii="Times New Roman" w:hAnsi="Times New Roman" w:cs="Times New Roman"/>
                <w:color w:val="000000" w:themeColor="text1"/>
                <w:sz w:val="16"/>
                <w:szCs w:val="16"/>
              </w:rPr>
              <w:t xml:space="preserve">-RelQ-GFP </w:t>
            </w:r>
            <w:r>
              <w:rPr>
                <w:rFonts w:ascii="Times New Roman" w:hAnsi="Times New Roman" w:cs="Times New Roman"/>
                <w:color w:val="000000" w:themeColor="text1"/>
                <w:sz w:val="16"/>
              </w:rPr>
              <w:t xml:space="preserve">in RN4220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25E9EAD8" w14:textId="77777777" w:rsidR="00D70E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7F1A03">
              <w:rPr>
                <w:rFonts w:ascii="Times New Roman" w:hAnsi="Times New Roman" w:cs="Times New Roman"/>
                <w:color w:val="000000" w:themeColor="text1"/>
                <w:sz w:val="16"/>
              </w:rPr>
              <w:t>Laboratory strain collection</w:t>
            </w:r>
          </w:p>
        </w:tc>
      </w:tr>
      <w:tr w:rsidR="00D70E9B" w:rsidRPr="0085544B" w14:paraId="7D0A3C1D"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C5DA497"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486</w:t>
            </w:r>
          </w:p>
        </w:tc>
        <w:tc>
          <w:tcPr>
            <w:cnfStyle w:val="000010000000" w:firstRow="0" w:lastRow="0" w:firstColumn="0" w:lastColumn="0" w:oddVBand="1" w:evenVBand="0" w:oddHBand="0" w:evenHBand="0" w:firstRowFirstColumn="0" w:firstRowLastColumn="0" w:lastRowFirstColumn="0" w:lastRowLastColumn="0"/>
            <w:tcW w:w="4946" w:type="dxa"/>
          </w:tcPr>
          <w:p w14:paraId="6F7FFA89" w14:textId="77777777" w:rsidR="00D70E9B" w:rsidRPr="0085544B" w:rsidRDefault="00D70E9B" w:rsidP="00A74445">
            <w:pPr>
              <w:spacing w:line="480" w:lineRule="auto"/>
              <w:ind w:right="-1"/>
              <w:rPr>
                <w:rFonts w:ascii="Times New Roman" w:hAnsi="Times New Roman" w:cs="Times New Roman"/>
                <w:sz w:val="16"/>
                <w:szCs w:val="16"/>
              </w:rPr>
            </w:pPr>
            <w:r w:rsidRPr="003B1238">
              <w:rPr>
                <w:rFonts w:ascii="Times New Roman" w:hAnsi="Times New Roman" w:cs="Times New Roman"/>
                <w:color w:val="000000" w:themeColor="text1"/>
                <w:sz w:val="16"/>
                <w:szCs w:val="16"/>
              </w:rPr>
              <w:t>pCL55-</w:t>
            </w:r>
            <w:r>
              <w:rPr>
                <w:rFonts w:ascii="Times New Roman" w:hAnsi="Times New Roman" w:cs="Times New Roman"/>
                <w:color w:val="000000" w:themeColor="text1"/>
                <w:sz w:val="16"/>
                <w:szCs w:val="16"/>
              </w:rPr>
              <w:t>P</w:t>
            </w:r>
            <w:r w:rsidRPr="003B1238">
              <w:rPr>
                <w:rFonts w:ascii="Times New Roman" w:hAnsi="Times New Roman" w:cs="Times New Roman"/>
                <w:i/>
                <w:iCs/>
                <w:color w:val="000000" w:themeColor="text1"/>
                <w:sz w:val="16"/>
                <w:szCs w:val="16"/>
              </w:rPr>
              <w:t>rel</w:t>
            </w:r>
            <w:r w:rsidRPr="003B1238">
              <w:rPr>
                <w:rFonts w:ascii="Times New Roman" w:hAnsi="Times New Roman" w:cs="Times New Roman"/>
                <w:color w:val="000000" w:themeColor="text1"/>
                <w:sz w:val="16"/>
                <w:szCs w:val="16"/>
              </w:rPr>
              <w:t xml:space="preserve">-Rel-GFP </w:t>
            </w:r>
            <w:r>
              <w:rPr>
                <w:rFonts w:ascii="Times New Roman" w:hAnsi="Times New Roman" w:cs="Times New Roman"/>
                <w:color w:val="000000" w:themeColor="text1"/>
                <w:sz w:val="16"/>
              </w:rPr>
              <w:t xml:space="preserve">in RN4220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1BBB5721" w14:textId="77777777" w:rsidR="00D70E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7F1A03">
              <w:rPr>
                <w:rFonts w:ascii="Times New Roman" w:hAnsi="Times New Roman" w:cs="Times New Roman"/>
                <w:color w:val="000000" w:themeColor="text1"/>
                <w:sz w:val="16"/>
              </w:rPr>
              <w:t>Laboratory strain collection</w:t>
            </w:r>
          </w:p>
        </w:tc>
      </w:tr>
      <w:tr w:rsidR="00D70E9B" w:rsidRPr="0085544B" w14:paraId="47920573"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0CB12E68"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529</w:t>
            </w:r>
          </w:p>
        </w:tc>
        <w:tc>
          <w:tcPr>
            <w:cnfStyle w:val="000010000000" w:firstRow="0" w:lastRow="0" w:firstColumn="0" w:lastColumn="0" w:oddVBand="1" w:evenVBand="0" w:oddHBand="0" w:evenHBand="0" w:firstRowFirstColumn="0" w:firstRowLastColumn="0" w:lastRowFirstColumn="0" w:lastRowLastColumn="0"/>
            <w:tcW w:w="4946" w:type="dxa"/>
          </w:tcPr>
          <w:p w14:paraId="044E07A7"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pCL55-iTET-GFP in LAC*; CamR</w:t>
            </w:r>
          </w:p>
        </w:tc>
        <w:tc>
          <w:tcPr>
            <w:tcW w:w="2552" w:type="dxa"/>
          </w:tcPr>
          <w:p w14:paraId="40884A2A" w14:textId="77777777" w:rsidR="00D70E9B" w:rsidRPr="00EE7DA1"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rPr>
            </w:pPr>
            <w:r w:rsidRPr="00EE7DA1">
              <w:rPr>
                <w:rFonts w:ascii="Times New Roman" w:hAnsi="Times New Roman" w:cs="Times New Roman"/>
                <w:sz w:val="16"/>
              </w:rPr>
              <w:t>Laboratory strain collection</w:t>
            </w:r>
          </w:p>
        </w:tc>
      </w:tr>
      <w:tr w:rsidR="00D70E9B" w:rsidRPr="0085544B" w14:paraId="0534A6FE"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7E7DE99"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880</w:t>
            </w:r>
          </w:p>
        </w:tc>
        <w:tc>
          <w:tcPr>
            <w:cnfStyle w:val="000010000000" w:firstRow="0" w:lastRow="0" w:firstColumn="0" w:lastColumn="0" w:oddVBand="1" w:evenVBand="0" w:oddHBand="0" w:evenHBand="0" w:firstRowFirstColumn="0" w:firstRowLastColumn="0" w:lastRowFirstColumn="0" w:lastRowLastColumn="0"/>
            <w:tcW w:w="4946" w:type="dxa"/>
          </w:tcPr>
          <w:p w14:paraId="25537AE9" w14:textId="77777777" w:rsidR="00D70E9B" w:rsidRPr="006B3B75"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pKASBAR-GFP in SH1000; TetR</w:t>
            </w:r>
          </w:p>
        </w:tc>
        <w:tc>
          <w:tcPr>
            <w:tcW w:w="2552" w:type="dxa"/>
          </w:tcPr>
          <w:p w14:paraId="0E9F02A2" w14:textId="77777777" w:rsidR="00D70E9B" w:rsidRPr="00477B0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fldChar w:fldCharType="begin"/>
            </w:r>
            <w:r>
              <w:rPr>
                <w:rFonts w:ascii="Times New Roman" w:hAnsi="Times New Roman" w:cs="Times New Roman"/>
                <w:color w:val="000000" w:themeColor="text1"/>
                <w:sz w:val="16"/>
              </w:rPr>
              <w:instrText xml:space="preserve"> ADDIN EN.CITE &lt;EndNote&gt;&lt;Cite&gt;&lt;Author&gt;Pollitt&lt;/Author&gt;&lt;Year&gt;2018&lt;/Year&gt;&lt;IDText&gt;Staphylococcus aureus infection dynamics&lt;/IDText&gt;&lt;DisplayText&gt;(Pollitt&lt;style face="italic"&gt; et al.&lt;/style&gt;, 2018)&lt;/DisplayText&gt;&lt;record&gt;&lt;dates&gt;&lt;pub-dates&gt;&lt;date&gt;Jun&lt;/date&gt;&lt;/pub-dates&gt;&lt;year&gt;2018&lt;/year&gt;&lt;/dates&gt;&lt;urls&gt;&lt;related-urls&gt;&lt;url&gt;&amp;lt;Go to ISI&amp;gt;://WOS:000437410000020&lt;/url&gt;&lt;/related-urls&gt;&lt;/urls&gt;&lt;isbn&gt;1553-7366&lt;/isbn&gt;&lt;work-type&gt;Article&lt;/work-type&gt;&lt;titles&gt;&lt;title&gt;Staphylococcus aureus infection dynamics&lt;/title&gt;&lt;secondary-title&gt;Plos Pathogens&lt;/secondary-title&gt;&lt;/titles&gt;&lt;number&gt;6&lt;/number&gt;&lt;contributors&gt;&lt;authors&gt;&lt;author&gt;Pollitt, Eric J. G.&lt;/author&gt;&lt;author&gt;Szkuta, Piotr T.&lt;/author&gt;&lt;author&gt;Burns, Nicola&lt;/author&gt;&lt;author&gt;Foster, Simon J.&lt;/author&gt;&lt;/authors&gt;&lt;/contributors&gt;&lt;custom7&gt;e1007112&lt;/custom7&gt;&lt;added-date format="utc"&gt;1678754191&lt;/added-date&gt;&lt;ref-type name="Journal Article"&gt;17&lt;/ref-type&gt;&lt;rec-number&gt;773&lt;/rec-number&gt;&lt;last-updated-date format="utc"&gt;1678754191&lt;/last-updated-date&gt;&lt;accession-num&gt;WOS:000437410000020&lt;/accession-num&gt;&lt;electronic-resource-num&gt;10.1371/journal.ppat.1007112&lt;/electronic-resource-num&gt;&lt;volume&gt;14&lt;/volume&gt;&lt;/record&gt;&lt;/Cite&gt;&lt;/EndNote&gt;</w:instrText>
            </w:r>
            <w:r>
              <w:rPr>
                <w:rFonts w:ascii="Times New Roman" w:hAnsi="Times New Roman" w:cs="Times New Roman"/>
                <w:color w:val="000000" w:themeColor="text1"/>
                <w:sz w:val="16"/>
              </w:rPr>
              <w:fldChar w:fldCharType="separate"/>
            </w:r>
            <w:r>
              <w:rPr>
                <w:rFonts w:ascii="Times New Roman" w:hAnsi="Times New Roman" w:cs="Times New Roman"/>
                <w:noProof/>
                <w:color w:val="000000" w:themeColor="text1"/>
                <w:sz w:val="16"/>
              </w:rPr>
              <w:t>(Pollitt</w:t>
            </w:r>
            <w:r w:rsidRPr="00874982">
              <w:rPr>
                <w:rFonts w:ascii="Times New Roman" w:hAnsi="Times New Roman" w:cs="Times New Roman"/>
                <w:i/>
                <w:noProof/>
                <w:color w:val="000000" w:themeColor="text1"/>
                <w:sz w:val="16"/>
              </w:rPr>
              <w:t xml:space="preserve"> et al.</w:t>
            </w:r>
            <w:r>
              <w:rPr>
                <w:rFonts w:ascii="Times New Roman" w:hAnsi="Times New Roman" w:cs="Times New Roman"/>
                <w:noProof/>
                <w:color w:val="000000" w:themeColor="text1"/>
                <w:sz w:val="16"/>
              </w:rPr>
              <w:t>, 2018)</w:t>
            </w:r>
            <w:r>
              <w:rPr>
                <w:rFonts w:ascii="Times New Roman" w:hAnsi="Times New Roman" w:cs="Times New Roman"/>
                <w:color w:val="000000" w:themeColor="text1"/>
                <w:sz w:val="16"/>
              </w:rPr>
              <w:fldChar w:fldCharType="end"/>
            </w:r>
          </w:p>
        </w:tc>
      </w:tr>
      <w:tr w:rsidR="00D70E9B" w:rsidRPr="0085544B" w14:paraId="0D939399"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4FF72335" w14:textId="77777777" w:rsidR="00D70E9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Pr>
                <w:rFonts w:ascii="Times New Roman" w:hAnsi="Times New Roman" w:cs="Times New Roman"/>
                <w:color w:val="000000" w:themeColor="text1"/>
                <w:sz w:val="16"/>
              </w:rPr>
              <w:t>881</w:t>
            </w:r>
          </w:p>
        </w:tc>
        <w:tc>
          <w:tcPr>
            <w:cnfStyle w:val="000010000000" w:firstRow="0" w:lastRow="0" w:firstColumn="0" w:lastColumn="0" w:oddVBand="1" w:evenVBand="0" w:oddHBand="0" w:evenHBand="0" w:firstRowFirstColumn="0" w:firstRowLastColumn="0" w:lastRowFirstColumn="0" w:lastRowLastColumn="0"/>
            <w:tcW w:w="4946" w:type="dxa"/>
          </w:tcPr>
          <w:p w14:paraId="570E864A" w14:textId="77777777" w:rsidR="00D70E9B" w:rsidRPr="006B3B75"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pKASBAR-mCherry in SH1000; TetR</w:t>
            </w:r>
          </w:p>
        </w:tc>
        <w:tc>
          <w:tcPr>
            <w:tcW w:w="2552" w:type="dxa"/>
          </w:tcPr>
          <w:p w14:paraId="63429D26" w14:textId="77777777" w:rsidR="00D70E9B" w:rsidRPr="00477B0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fldChar w:fldCharType="begin"/>
            </w:r>
            <w:r>
              <w:rPr>
                <w:rFonts w:ascii="Times New Roman" w:hAnsi="Times New Roman" w:cs="Times New Roman"/>
                <w:color w:val="000000" w:themeColor="text1"/>
                <w:sz w:val="16"/>
              </w:rPr>
              <w:instrText xml:space="preserve"> ADDIN EN.CITE &lt;EndNote&gt;&lt;Cite&gt;&lt;Author&gt;Pollitt&lt;/Author&gt;&lt;Year&gt;2018&lt;/Year&gt;&lt;IDText&gt;Staphylococcus aureus infection dynamics&lt;/IDText&gt;&lt;DisplayText&gt;(Pollitt&lt;style face="italic"&gt; et al.&lt;/style&gt;, 2018)&lt;/DisplayText&gt;&lt;record&gt;&lt;dates&gt;&lt;pub-dates&gt;&lt;date&gt;Jun&lt;/date&gt;&lt;/pub-dates&gt;&lt;year&gt;2018&lt;/year&gt;&lt;/dates&gt;&lt;urls&gt;&lt;related-urls&gt;&lt;url&gt;&amp;lt;Go to ISI&amp;gt;://WOS:000437410000020&lt;/url&gt;&lt;/related-urls&gt;&lt;/urls&gt;&lt;isbn&gt;1553-7366&lt;/isbn&gt;&lt;work-type&gt;Article&lt;/work-type&gt;&lt;titles&gt;&lt;title&gt;Staphylococcus aureus infection dynamics&lt;/title&gt;&lt;secondary-title&gt;Plos Pathogens&lt;/secondary-title&gt;&lt;/titles&gt;&lt;number&gt;6&lt;/number&gt;&lt;contributors&gt;&lt;authors&gt;&lt;author&gt;Pollitt, Eric J. G.&lt;/author&gt;&lt;author&gt;Szkuta, Piotr T.&lt;/author&gt;&lt;author&gt;Burns, Nicola&lt;/author&gt;&lt;author&gt;Foster, Simon J.&lt;/author&gt;&lt;/authors&gt;&lt;/contributors&gt;&lt;custom7&gt;e1007112&lt;/custom7&gt;&lt;added-date format="utc"&gt;1678754191&lt;/added-date&gt;&lt;ref-type name="Journal Article"&gt;17&lt;/ref-type&gt;&lt;rec-number&gt;773&lt;/rec-number&gt;&lt;last-updated-date format="utc"&gt;1678754191&lt;/last-updated-date&gt;&lt;accession-num&gt;WOS:000437410000020&lt;/accession-num&gt;&lt;electronic-resource-num&gt;10.1371/journal.ppat.1007112&lt;/electronic-resource-num&gt;&lt;volume&gt;14&lt;/volume&gt;&lt;/record&gt;&lt;/Cite&gt;&lt;/EndNote&gt;</w:instrText>
            </w:r>
            <w:r>
              <w:rPr>
                <w:rFonts w:ascii="Times New Roman" w:hAnsi="Times New Roman" w:cs="Times New Roman"/>
                <w:color w:val="000000" w:themeColor="text1"/>
                <w:sz w:val="16"/>
              </w:rPr>
              <w:fldChar w:fldCharType="separate"/>
            </w:r>
            <w:r>
              <w:rPr>
                <w:rFonts w:ascii="Times New Roman" w:hAnsi="Times New Roman" w:cs="Times New Roman"/>
                <w:noProof/>
                <w:color w:val="000000" w:themeColor="text1"/>
                <w:sz w:val="16"/>
              </w:rPr>
              <w:t>(Pollitt</w:t>
            </w:r>
            <w:r w:rsidRPr="00874982">
              <w:rPr>
                <w:rFonts w:ascii="Times New Roman" w:hAnsi="Times New Roman" w:cs="Times New Roman"/>
                <w:i/>
                <w:noProof/>
                <w:color w:val="000000" w:themeColor="text1"/>
                <w:sz w:val="16"/>
              </w:rPr>
              <w:t xml:space="preserve"> et al.</w:t>
            </w:r>
            <w:r>
              <w:rPr>
                <w:rFonts w:ascii="Times New Roman" w:hAnsi="Times New Roman" w:cs="Times New Roman"/>
                <w:noProof/>
                <w:color w:val="000000" w:themeColor="text1"/>
                <w:sz w:val="16"/>
              </w:rPr>
              <w:t>, 2018)</w:t>
            </w:r>
            <w:r>
              <w:rPr>
                <w:rFonts w:ascii="Times New Roman" w:hAnsi="Times New Roman" w:cs="Times New Roman"/>
                <w:color w:val="000000" w:themeColor="text1"/>
                <w:sz w:val="16"/>
              </w:rPr>
              <w:fldChar w:fldCharType="end"/>
            </w:r>
          </w:p>
        </w:tc>
      </w:tr>
      <w:tr w:rsidR="00D70E9B" w:rsidRPr="0085544B" w14:paraId="18F6251D"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7192116C"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0898</w:t>
            </w:r>
          </w:p>
        </w:tc>
        <w:tc>
          <w:tcPr>
            <w:cnfStyle w:val="000010000000" w:firstRow="0" w:lastRow="0" w:firstColumn="0" w:lastColumn="0" w:oddVBand="1" w:evenVBand="0" w:oddHBand="0" w:evenHBand="0" w:firstRowFirstColumn="0" w:firstRowLastColumn="0" w:lastRowFirstColumn="0" w:lastRowLastColumn="0"/>
            <w:tcW w:w="4946" w:type="dxa"/>
          </w:tcPr>
          <w:p w14:paraId="0BB348F5" w14:textId="77777777" w:rsidR="00D70E9B" w:rsidRPr="0085544B" w:rsidRDefault="00D70E9B" w:rsidP="00A74445">
            <w:pPr>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JE2 wildtype</w:t>
            </w:r>
            <w:r>
              <w:rPr>
                <w:rFonts w:ascii="Times New Roman" w:hAnsi="Times New Roman" w:cs="Times New Roman"/>
                <w:color w:val="000000" w:themeColor="text1"/>
                <w:sz w:val="16"/>
              </w:rPr>
              <w:t xml:space="preserve"> </w:t>
            </w:r>
            <w:r w:rsidRPr="00C0753F">
              <w:rPr>
                <w:rFonts w:ascii="Times New Roman" w:hAnsi="Times New Roman" w:cs="Times New Roman"/>
                <w:sz w:val="16"/>
                <w:lang w:val="en-US"/>
              </w:rPr>
              <w:t>CA-MRSA USA300 strain LAC derivative, lacking plasmids p01 and p03. Erm sensitive</w:t>
            </w:r>
          </w:p>
        </w:tc>
        <w:tc>
          <w:tcPr>
            <w:tcW w:w="2552" w:type="dxa"/>
          </w:tcPr>
          <w:p w14:paraId="7802A80E" w14:textId="77777777" w:rsidR="00D70E9B" w:rsidRPr="00A71D82"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fldChar w:fldCharType="begin"/>
            </w:r>
            <w:r>
              <w:rPr>
                <w:rFonts w:ascii="Times New Roman" w:hAnsi="Times New Roman" w:cs="Times New Roman"/>
                <w:color w:val="000000" w:themeColor="text1"/>
                <w:sz w:val="16"/>
              </w:rPr>
              <w:instrText xml:space="preserve"> ADDIN EN.CITE &lt;EndNote&gt;&lt;Cite&gt;&lt;Author&gt;Fey&lt;/Author&gt;&lt;Year&gt;2013&lt;/Year&gt;&lt;IDText&gt;A Genetic Resource for Rapid and Comprehensive Phenotype Screening of Nonessential Staphylococcus aureus Genes&lt;/IDText&gt;&lt;DisplayText&gt;(Fey&lt;style face="italic"&gt; et al.&lt;/style&gt;, 2013)&lt;/DisplayText&gt;&lt;record&gt;&lt;dates&gt;&lt;pub-dates&gt;&lt;date&gt;Jan-Feb&lt;/date&gt;&lt;/pub-dates&gt;&lt;year&gt;2013&lt;/year&gt;&lt;/dates&gt;&lt;urls&gt;&lt;related-urls&gt;&lt;/related-urls&gt;&lt;/urls&gt;&lt;isbn&gt;2150-7511&lt;/isbn&gt;&lt;titles&gt;&lt;title&gt;&lt;style font="default" size="100%"&gt;A Genetic Resource for Rapid and Comprehensive Phenotype Screening of Nonessential &lt;/style&gt;&lt;style face="italic" font="default" size="100%"&gt;Staphylococcus aureus&lt;/style&gt;&lt;style font="default" size="100%"&gt; Genes&lt;/style&gt;&lt;/title&gt;&lt;secondary-title&gt;Mbio&lt;/secondary-title&gt;&lt;/titles&gt;&lt;number&gt;1&lt;/number&gt;&lt;contributors&gt;&lt;authors&gt;&lt;author&gt;Fey, P. D.&lt;/author&gt;&lt;author&gt;Endres, J. L.&lt;/author&gt;&lt;author&gt;Yajjala, V. K.&lt;/author&gt;&lt;author&gt;Widhelm, T. J.&lt;/author&gt;&lt;author&gt;Boissy, R. J.&lt;/author&gt;&lt;author&gt;Bose, J. L.&lt;/author&gt;&lt;author&gt;Bayles, K. W.&lt;/author&gt;&lt;/authors&gt;&lt;/contributors&gt;&lt;custom7&gt;e00537-12&lt;/custom7&gt;&lt;added-date format="utc"&gt;1674820699&lt;/added-date&gt;&lt;ref-type name="Journal Article"&gt;17&lt;/ref-type&gt;&lt;rec-number&gt;275&lt;/rec-number&gt;&lt;last-updated-date format="utc"&gt;1678058042&lt;/last-updated-date&gt;&lt;accession-num&gt;WOS:000315814300027&lt;/accession-num&gt;&lt;electronic-resource-num&gt;10.1128/mBio.00537-12&lt;/electronic-resource-num&gt;&lt;volume&gt;4&lt;/volume&gt;&lt;/record&gt;&lt;/Cite&gt;&lt;/EndNote&gt;</w:instrText>
            </w:r>
            <w:r>
              <w:rPr>
                <w:rFonts w:ascii="Times New Roman" w:hAnsi="Times New Roman" w:cs="Times New Roman"/>
                <w:color w:val="000000" w:themeColor="text1"/>
                <w:sz w:val="16"/>
              </w:rPr>
              <w:fldChar w:fldCharType="separate"/>
            </w:r>
            <w:r>
              <w:rPr>
                <w:rFonts w:ascii="Times New Roman" w:hAnsi="Times New Roman" w:cs="Times New Roman"/>
                <w:noProof/>
                <w:color w:val="000000" w:themeColor="text1"/>
                <w:sz w:val="16"/>
              </w:rPr>
              <w:t>(Fey</w:t>
            </w:r>
            <w:r w:rsidRPr="00A71D82">
              <w:rPr>
                <w:rFonts w:ascii="Times New Roman" w:hAnsi="Times New Roman" w:cs="Times New Roman"/>
                <w:i/>
                <w:noProof/>
                <w:color w:val="000000" w:themeColor="text1"/>
                <w:sz w:val="16"/>
              </w:rPr>
              <w:t xml:space="preserve"> et al.</w:t>
            </w:r>
            <w:r>
              <w:rPr>
                <w:rFonts w:ascii="Times New Roman" w:hAnsi="Times New Roman" w:cs="Times New Roman"/>
                <w:noProof/>
                <w:color w:val="000000" w:themeColor="text1"/>
                <w:sz w:val="16"/>
              </w:rPr>
              <w:t>, 2013)</w:t>
            </w:r>
            <w:r>
              <w:rPr>
                <w:rFonts w:ascii="Times New Roman" w:hAnsi="Times New Roman" w:cs="Times New Roman"/>
                <w:color w:val="000000" w:themeColor="text1"/>
                <w:sz w:val="16"/>
              </w:rPr>
              <w:fldChar w:fldCharType="end"/>
            </w:r>
          </w:p>
        </w:tc>
      </w:tr>
      <w:tr w:rsidR="00D70E9B" w:rsidRPr="0085544B" w14:paraId="1F8DCA57"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35FA7F1C"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899</w:t>
            </w:r>
          </w:p>
        </w:tc>
        <w:tc>
          <w:tcPr>
            <w:cnfStyle w:val="000010000000" w:firstRow="0" w:lastRow="0" w:firstColumn="0" w:lastColumn="0" w:oddVBand="1" w:evenVBand="0" w:oddHBand="0" w:evenHBand="0" w:firstRowFirstColumn="0" w:firstRowLastColumn="0" w:lastRowFirstColumn="0" w:lastRowLastColumn="0"/>
            <w:tcW w:w="4946" w:type="dxa"/>
          </w:tcPr>
          <w:p w14:paraId="65EB2A23" w14:textId="77777777" w:rsidR="00D70E9B" w:rsidRPr="0085544B" w:rsidRDefault="00D70E9B" w:rsidP="00A74445">
            <w:pPr>
              <w:spacing w:line="480" w:lineRule="auto"/>
              <w:ind w:right="-1"/>
              <w:rPr>
                <w:rFonts w:ascii="Times New Roman" w:hAnsi="Times New Roman" w:cs="Times New Roman"/>
                <w:i/>
                <w:iCs/>
                <w:color w:val="000000" w:themeColor="text1"/>
                <w:sz w:val="16"/>
              </w:rPr>
            </w:pPr>
            <w:r w:rsidRPr="0085544B">
              <w:rPr>
                <w:rFonts w:ascii="Times New Roman" w:hAnsi="Times New Roman" w:cs="Times New Roman"/>
                <w:color w:val="000000" w:themeColor="text1"/>
                <w:sz w:val="16"/>
              </w:rPr>
              <w:t>JE2 Δ</w:t>
            </w:r>
            <w:r w:rsidRPr="0085544B">
              <w:rPr>
                <w:rFonts w:ascii="Times New Roman" w:hAnsi="Times New Roman" w:cs="Times New Roman"/>
                <w:i/>
                <w:iCs/>
                <w:color w:val="000000" w:themeColor="text1"/>
                <w:sz w:val="16"/>
              </w:rPr>
              <w:t>relP</w:t>
            </w:r>
          </w:p>
        </w:tc>
        <w:tc>
          <w:tcPr>
            <w:tcW w:w="2552" w:type="dxa"/>
          </w:tcPr>
          <w:p w14:paraId="09BC802C"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fldChar w:fldCharType="begin"/>
            </w:r>
            <w:r>
              <w:rPr>
                <w:rFonts w:ascii="Times New Roman" w:hAnsi="Times New Roman" w:cs="Times New Roman"/>
                <w:color w:val="000000" w:themeColor="text1"/>
                <w:sz w:val="16"/>
              </w:rPr>
              <w:instrText xml:space="preserve"> ADDIN EN.CITE &lt;EndNote&gt;&lt;Cite&gt;&lt;Author&gt;Carrilero&lt;/Author&gt;&lt;Year&gt;2023&lt;/Year&gt;&lt;IDText&gt;Stringent Response-Mediated Control of GTP Homeostasis Is Required for Long-Term Viability of  Staphylococcus aureus&lt;/IDText&gt;&lt;DisplayText&gt;(Carrilero&lt;style face="italic"&gt; et al.&lt;/style&gt;, 2023)&lt;/DisplayText&gt;&lt;record&gt;&lt;titles&gt;&lt;title&gt;Stringent Response-Mediated Control of GTP Homeostasis Is Required for Long-Term Viability of  Staphylococcus aureus&lt;/title&gt;&lt;secondary-title&gt;Microbiology Spectrum&lt;/secondary-title&gt;&lt;/titles&gt;&lt;contributors&gt;&lt;authors&gt;&lt;author&gt;Carrilero, L&lt;/author&gt;&lt;author&gt;Urwin, L&lt;/author&gt;&lt;author&gt;Ward, E&lt;/author&gt;&lt;author&gt;Choudhury, NR&lt;/author&gt;&lt;author&gt;Monk, IR&lt;/author&gt;&lt;author&gt;Turner, CE&lt;/author&gt;&lt;author&gt;Stinear, TP&lt;/author&gt;&lt;author&gt;Corrigan, RM&lt;/author&gt;&lt;/authors&gt;&lt;/contributors&gt;&lt;added-date format="utc"&gt;1678319327&lt;/added-date&gt;&lt;ref-type name="Journal Article"&gt;17&lt;/ref-type&gt;&lt;dates&gt;&lt;year&gt;2023&lt;/year&gt;&lt;/dates&gt;&lt;rec-number&gt;766&lt;/rec-number&gt;&lt;last-updated-date format="utc"&gt;1678319418&lt;/last-updated-date&gt;&lt;/record&gt;&lt;/Cite&gt;&lt;/EndNote&gt;</w:instrText>
            </w:r>
            <w:r>
              <w:rPr>
                <w:rFonts w:ascii="Times New Roman" w:hAnsi="Times New Roman" w:cs="Times New Roman"/>
                <w:color w:val="000000" w:themeColor="text1"/>
                <w:sz w:val="16"/>
              </w:rPr>
              <w:fldChar w:fldCharType="separate"/>
            </w:r>
            <w:r>
              <w:rPr>
                <w:rFonts w:ascii="Times New Roman" w:hAnsi="Times New Roman" w:cs="Times New Roman"/>
                <w:noProof/>
                <w:color w:val="000000" w:themeColor="text1"/>
                <w:sz w:val="16"/>
              </w:rPr>
              <w:t>(Carrilero</w:t>
            </w:r>
            <w:r w:rsidRPr="00D96790">
              <w:rPr>
                <w:rFonts w:ascii="Times New Roman" w:hAnsi="Times New Roman" w:cs="Times New Roman"/>
                <w:i/>
                <w:noProof/>
                <w:color w:val="000000" w:themeColor="text1"/>
                <w:sz w:val="16"/>
              </w:rPr>
              <w:t xml:space="preserve"> et al.</w:t>
            </w:r>
            <w:r>
              <w:rPr>
                <w:rFonts w:ascii="Times New Roman" w:hAnsi="Times New Roman" w:cs="Times New Roman"/>
                <w:noProof/>
                <w:color w:val="000000" w:themeColor="text1"/>
                <w:sz w:val="16"/>
              </w:rPr>
              <w:t>, 2023)</w:t>
            </w:r>
            <w:r>
              <w:rPr>
                <w:rFonts w:ascii="Times New Roman" w:hAnsi="Times New Roman" w:cs="Times New Roman"/>
                <w:color w:val="000000" w:themeColor="text1"/>
                <w:sz w:val="16"/>
              </w:rPr>
              <w:fldChar w:fldCharType="end"/>
            </w:r>
          </w:p>
        </w:tc>
      </w:tr>
      <w:tr w:rsidR="00D70E9B" w:rsidRPr="0085544B" w14:paraId="46474593"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D98217B"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901</w:t>
            </w:r>
          </w:p>
        </w:tc>
        <w:tc>
          <w:tcPr>
            <w:cnfStyle w:val="000010000000" w:firstRow="0" w:lastRow="0" w:firstColumn="0" w:lastColumn="0" w:oddVBand="1" w:evenVBand="0" w:oddHBand="0" w:evenHBand="0" w:firstRowFirstColumn="0" w:firstRowLastColumn="0" w:lastRowFirstColumn="0" w:lastRowLastColumn="0"/>
            <w:tcW w:w="4946" w:type="dxa"/>
          </w:tcPr>
          <w:p w14:paraId="70493629"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JE2 Δ</w:t>
            </w:r>
            <w:r w:rsidRPr="0085544B">
              <w:rPr>
                <w:rFonts w:ascii="Times New Roman" w:hAnsi="Times New Roman" w:cs="Times New Roman"/>
                <w:i/>
                <w:iCs/>
                <w:color w:val="000000" w:themeColor="text1"/>
                <w:sz w:val="16"/>
              </w:rPr>
              <w:t>relQ</w:t>
            </w:r>
          </w:p>
        </w:tc>
        <w:tc>
          <w:tcPr>
            <w:tcW w:w="2552" w:type="dxa"/>
          </w:tcPr>
          <w:p w14:paraId="43AFB1DD"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541779">
              <w:rPr>
                <w:rFonts w:ascii="Times New Roman" w:hAnsi="Times New Roman" w:cs="Times New Roman"/>
                <w:color w:val="000000" w:themeColor="text1"/>
                <w:sz w:val="16"/>
              </w:rPr>
              <w:fldChar w:fldCharType="begin"/>
            </w:r>
            <w:r w:rsidRPr="00541779">
              <w:rPr>
                <w:rFonts w:ascii="Times New Roman" w:hAnsi="Times New Roman" w:cs="Times New Roman"/>
                <w:color w:val="000000" w:themeColor="text1"/>
                <w:sz w:val="16"/>
              </w:rPr>
              <w:instrText xml:space="preserve"> ADDIN EN.CITE &lt;EndNote&gt;&lt;Cite&gt;&lt;Author&gt;Carrilero&lt;/Author&gt;&lt;Year&gt;2023&lt;/Year&gt;&lt;IDText&gt;Stringent Response-Mediated Control of GTP Homeostasis Is Required for Long-Term Viability of  Staphylococcus aureus&lt;/IDText&gt;&lt;DisplayText&gt;(Carrilero&lt;style face="italic"&gt; et al.&lt;/style&gt;, 2023)&lt;/DisplayText&gt;&lt;record&gt;&lt;titles&gt;&lt;title&gt;Stringent Response-Mediated Control of GTP Homeostasis Is Required for Long-Term Viability of  Staphylococcus aureus&lt;/title&gt;&lt;secondary-title&gt;Microbiology Spectrum&lt;/secondary-title&gt;&lt;/titles&gt;&lt;contributors&gt;&lt;authors&gt;&lt;author&gt;Carrilero, L&lt;/author&gt;&lt;author&gt;Urwin, L&lt;/author&gt;&lt;author&gt;Ward, E&lt;/author&gt;&lt;author&gt;Choudhury, NR&lt;/author&gt;&lt;author&gt;Monk, IR&lt;/author&gt;&lt;author&gt;Turner, CE&lt;/author&gt;&lt;author&gt;Stinear, TP&lt;/author&gt;&lt;author&gt;Corrigan, RM&lt;/author&gt;&lt;/authors&gt;&lt;/contributors&gt;&lt;added-date format="utc"&gt;1678319327&lt;/added-date&gt;&lt;ref-type name="Journal Article"&gt;17&lt;/ref-type&gt;&lt;dates&gt;&lt;year&gt;2023&lt;/year&gt;&lt;/dates&gt;&lt;rec-number&gt;766&lt;/rec-number&gt;&lt;last-updated-date format="utc"&gt;1678319418&lt;/last-updated-date&gt;&lt;/record&gt;&lt;/Cite&gt;&lt;/EndNote&gt;</w:instrText>
            </w:r>
            <w:r w:rsidRPr="00541779">
              <w:rPr>
                <w:rFonts w:ascii="Times New Roman" w:hAnsi="Times New Roman" w:cs="Times New Roman"/>
                <w:color w:val="000000" w:themeColor="text1"/>
                <w:sz w:val="16"/>
              </w:rPr>
              <w:fldChar w:fldCharType="separate"/>
            </w:r>
            <w:r w:rsidRPr="00541779">
              <w:rPr>
                <w:rFonts w:ascii="Times New Roman" w:hAnsi="Times New Roman" w:cs="Times New Roman"/>
                <w:noProof/>
                <w:color w:val="000000" w:themeColor="text1"/>
                <w:sz w:val="16"/>
              </w:rPr>
              <w:t>(Carrilero</w:t>
            </w:r>
            <w:r w:rsidRPr="00541779">
              <w:rPr>
                <w:rFonts w:ascii="Times New Roman" w:hAnsi="Times New Roman" w:cs="Times New Roman"/>
                <w:i/>
                <w:noProof/>
                <w:color w:val="000000" w:themeColor="text1"/>
                <w:sz w:val="16"/>
              </w:rPr>
              <w:t xml:space="preserve"> et al.</w:t>
            </w:r>
            <w:r w:rsidRPr="00541779">
              <w:rPr>
                <w:rFonts w:ascii="Times New Roman" w:hAnsi="Times New Roman" w:cs="Times New Roman"/>
                <w:noProof/>
                <w:color w:val="000000" w:themeColor="text1"/>
                <w:sz w:val="16"/>
              </w:rPr>
              <w:t>, 2023)</w:t>
            </w:r>
            <w:r w:rsidRPr="00541779">
              <w:rPr>
                <w:rFonts w:ascii="Times New Roman" w:hAnsi="Times New Roman" w:cs="Times New Roman"/>
                <w:color w:val="000000" w:themeColor="text1"/>
                <w:sz w:val="16"/>
              </w:rPr>
              <w:fldChar w:fldCharType="end"/>
            </w:r>
          </w:p>
        </w:tc>
      </w:tr>
      <w:tr w:rsidR="00D70E9B" w:rsidRPr="0085544B" w14:paraId="0918AA0A"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3744ED86"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902</w:t>
            </w:r>
          </w:p>
        </w:tc>
        <w:tc>
          <w:tcPr>
            <w:cnfStyle w:val="000010000000" w:firstRow="0" w:lastRow="0" w:firstColumn="0" w:lastColumn="0" w:oddVBand="1" w:evenVBand="0" w:oddHBand="0" w:evenHBand="0" w:firstRowFirstColumn="0" w:firstRowLastColumn="0" w:lastRowFirstColumn="0" w:lastRowLastColumn="0"/>
            <w:tcW w:w="4946" w:type="dxa"/>
          </w:tcPr>
          <w:p w14:paraId="6A58EE57"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JE2 Δ</w:t>
            </w:r>
            <w:r w:rsidRPr="0085544B">
              <w:rPr>
                <w:rFonts w:ascii="Times New Roman" w:hAnsi="Times New Roman" w:cs="Times New Roman"/>
                <w:i/>
                <w:iCs/>
                <w:color w:val="000000" w:themeColor="text1"/>
                <w:sz w:val="16"/>
              </w:rPr>
              <w:t>relP</w:t>
            </w:r>
            <w:r w:rsidRPr="0085544B">
              <w:rPr>
                <w:rFonts w:ascii="Times New Roman" w:hAnsi="Times New Roman" w:cs="Times New Roman"/>
                <w:color w:val="000000" w:themeColor="text1"/>
                <w:sz w:val="16"/>
              </w:rPr>
              <w:t xml:space="preserve"> Δ</w:t>
            </w:r>
            <w:r w:rsidRPr="0085544B">
              <w:rPr>
                <w:rFonts w:ascii="Times New Roman" w:hAnsi="Times New Roman" w:cs="Times New Roman"/>
                <w:i/>
                <w:iCs/>
                <w:color w:val="000000" w:themeColor="text1"/>
                <w:sz w:val="16"/>
              </w:rPr>
              <w:t>relQ</w:t>
            </w:r>
          </w:p>
        </w:tc>
        <w:tc>
          <w:tcPr>
            <w:tcW w:w="2552" w:type="dxa"/>
          </w:tcPr>
          <w:p w14:paraId="70BC7670"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541779">
              <w:rPr>
                <w:rFonts w:ascii="Times New Roman" w:hAnsi="Times New Roman" w:cs="Times New Roman"/>
                <w:color w:val="000000" w:themeColor="text1"/>
                <w:sz w:val="16"/>
              </w:rPr>
              <w:fldChar w:fldCharType="begin"/>
            </w:r>
            <w:r w:rsidRPr="00541779">
              <w:rPr>
                <w:rFonts w:ascii="Times New Roman" w:hAnsi="Times New Roman" w:cs="Times New Roman"/>
                <w:color w:val="000000" w:themeColor="text1"/>
                <w:sz w:val="16"/>
              </w:rPr>
              <w:instrText xml:space="preserve"> ADDIN EN.CITE &lt;EndNote&gt;&lt;Cite&gt;&lt;Author&gt;Carrilero&lt;/Author&gt;&lt;Year&gt;2023&lt;/Year&gt;&lt;IDText&gt;Stringent Response-Mediated Control of GTP Homeostasis Is Required for Long-Term Viability of  Staphylococcus aureus&lt;/IDText&gt;&lt;DisplayText&gt;(Carrilero&lt;style face="italic"&gt; et al.&lt;/style&gt;, 2023)&lt;/DisplayText&gt;&lt;record&gt;&lt;titles&gt;&lt;title&gt;Stringent Response-Mediated Control of GTP Homeostasis Is Required for Long-Term Viability of  Staphylococcus aureus&lt;/title&gt;&lt;secondary-title&gt;Microbiology Spectrum&lt;/secondary-title&gt;&lt;/titles&gt;&lt;contributors&gt;&lt;authors&gt;&lt;author&gt;Carrilero, L&lt;/author&gt;&lt;author&gt;Urwin, L&lt;/author&gt;&lt;author&gt;Ward, E&lt;/author&gt;&lt;author&gt;Choudhury, NR&lt;/author&gt;&lt;author&gt;Monk, IR&lt;/author&gt;&lt;author&gt;Turner, CE&lt;/author&gt;&lt;author&gt;Stinear, TP&lt;/author&gt;&lt;author&gt;Corrigan, RM&lt;/author&gt;&lt;/authors&gt;&lt;/contributors&gt;&lt;added-date format="utc"&gt;1678319327&lt;/added-date&gt;&lt;ref-type name="Journal Article"&gt;17&lt;/ref-type&gt;&lt;dates&gt;&lt;year&gt;2023&lt;/year&gt;&lt;/dates&gt;&lt;rec-number&gt;766&lt;/rec-number&gt;&lt;last-updated-date format="utc"&gt;1678319418&lt;/last-updated-date&gt;&lt;/record&gt;&lt;/Cite&gt;&lt;/EndNote&gt;</w:instrText>
            </w:r>
            <w:r w:rsidRPr="00541779">
              <w:rPr>
                <w:rFonts w:ascii="Times New Roman" w:hAnsi="Times New Roman" w:cs="Times New Roman"/>
                <w:color w:val="000000" w:themeColor="text1"/>
                <w:sz w:val="16"/>
              </w:rPr>
              <w:fldChar w:fldCharType="separate"/>
            </w:r>
            <w:r w:rsidRPr="00541779">
              <w:rPr>
                <w:rFonts w:ascii="Times New Roman" w:hAnsi="Times New Roman" w:cs="Times New Roman"/>
                <w:noProof/>
                <w:color w:val="000000" w:themeColor="text1"/>
                <w:sz w:val="16"/>
              </w:rPr>
              <w:t>(Carrilero</w:t>
            </w:r>
            <w:r w:rsidRPr="00541779">
              <w:rPr>
                <w:rFonts w:ascii="Times New Roman" w:hAnsi="Times New Roman" w:cs="Times New Roman"/>
                <w:i/>
                <w:noProof/>
                <w:color w:val="000000" w:themeColor="text1"/>
                <w:sz w:val="16"/>
              </w:rPr>
              <w:t xml:space="preserve"> et al.</w:t>
            </w:r>
            <w:r w:rsidRPr="00541779">
              <w:rPr>
                <w:rFonts w:ascii="Times New Roman" w:hAnsi="Times New Roman" w:cs="Times New Roman"/>
                <w:noProof/>
                <w:color w:val="000000" w:themeColor="text1"/>
                <w:sz w:val="16"/>
              </w:rPr>
              <w:t>, 2023)</w:t>
            </w:r>
            <w:r w:rsidRPr="00541779">
              <w:rPr>
                <w:rFonts w:ascii="Times New Roman" w:hAnsi="Times New Roman" w:cs="Times New Roman"/>
                <w:color w:val="000000" w:themeColor="text1"/>
                <w:sz w:val="16"/>
              </w:rPr>
              <w:fldChar w:fldCharType="end"/>
            </w:r>
          </w:p>
        </w:tc>
      </w:tr>
      <w:tr w:rsidR="00D70E9B" w:rsidRPr="0085544B" w14:paraId="40C9F08A"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2400525"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903</w:t>
            </w:r>
          </w:p>
        </w:tc>
        <w:tc>
          <w:tcPr>
            <w:cnfStyle w:val="000010000000" w:firstRow="0" w:lastRow="0" w:firstColumn="0" w:lastColumn="0" w:oddVBand="1" w:evenVBand="0" w:oddHBand="0" w:evenHBand="0" w:firstRowFirstColumn="0" w:firstRowLastColumn="0" w:lastRowFirstColumn="0" w:lastRowLastColumn="0"/>
            <w:tcW w:w="4946" w:type="dxa"/>
          </w:tcPr>
          <w:p w14:paraId="3D12292B" w14:textId="77777777" w:rsidR="00D70E9B" w:rsidRPr="00EC6374"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JE2 Δ</w:t>
            </w:r>
            <w:r w:rsidRPr="0085544B">
              <w:rPr>
                <w:rFonts w:ascii="Times New Roman" w:hAnsi="Times New Roman" w:cs="Times New Roman"/>
                <w:i/>
                <w:iCs/>
                <w:color w:val="000000" w:themeColor="text1"/>
                <w:sz w:val="16"/>
              </w:rPr>
              <w:t>relQ</w:t>
            </w:r>
            <w:r w:rsidRPr="0085544B">
              <w:rPr>
                <w:rFonts w:ascii="Times New Roman" w:hAnsi="Times New Roman" w:cs="Times New Roman"/>
                <w:color w:val="000000" w:themeColor="text1"/>
                <w:sz w:val="16"/>
              </w:rPr>
              <w:t xml:space="preserve"> Δ</w:t>
            </w:r>
            <w:r w:rsidRPr="0085544B">
              <w:rPr>
                <w:rFonts w:ascii="Times New Roman" w:hAnsi="Times New Roman" w:cs="Times New Roman"/>
                <w:i/>
                <w:iCs/>
                <w:color w:val="000000" w:themeColor="text1"/>
                <w:sz w:val="16"/>
              </w:rPr>
              <w:t>relP</w:t>
            </w:r>
            <w:r>
              <w:rPr>
                <w:rFonts w:ascii="Times New Roman" w:hAnsi="Times New Roman" w:cs="Times New Roman"/>
                <w:i/>
                <w:iCs/>
                <w:color w:val="000000" w:themeColor="text1"/>
                <w:sz w:val="16"/>
              </w:rPr>
              <w:t xml:space="preserve"> </w:t>
            </w:r>
          </w:p>
        </w:tc>
        <w:tc>
          <w:tcPr>
            <w:tcW w:w="2552" w:type="dxa"/>
          </w:tcPr>
          <w:p w14:paraId="7CC23075"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541779">
              <w:rPr>
                <w:rFonts w:ascii="Times New Roman" w:hAnsi="Times New Roman" w:cs="Times New Roman"/>
                <w:color w:val="000000" w:themeColor="text1"/>
                <w:sz w:val="16"/>
              </w:rPr>
              <w:fldChar w:fldCharType="begin"/>
            </w:r>
            <w:r w:rsidRPr="00541779">
              <w:rPr>
                <w:rFonts w:ascii="Times New Roman" w:hAnsi="Times New Roman" w:cs="Times New Roman"/>
                <w:color w:val="000000" w:themeColor="text1"/>
                <w:sz w:val="16"/>
              </w:rPr>
              <w:instrText xml:space="preserve"> ADDIN EN.CITE &lt;EndNote&gt;&lt;Cite&gt;&lt;Author&gt;Carrilero&lt;/Author&gt;&lt;Year&gt;2023&lt;/Year&gt;&lt;IDText&gt;Stringent Response-Mediated Control of GTP Homeostasis Is Required for Long-Term Viability of  Staphylococcus aureus&lt;/IDText&gt;&lt;DisplayText&gt;(Carrilero&lt;style face="italic"&gt; et al.&lt;/style&gt;, 2023)&lt;/DisplayText&gt;&lt;record&gt;&lt;titles&gt;&lt;title&gt;Stringent Response-Mediated Control of GTP Homeostasis Is Required for Long-Term Viability of  Staphylococcus aureus&lt;/title&gt;&lt;secondary-title&gt;Microbiology Spectrum&lt;/secondary-title&gt;&lt;/titles&gt;&lt;contributors&gt;&lt;authors&gt;&lt;author&gt;Carrilero, L&lt;/author&gt;&lt;author&gt;Urwin, L&lt;/author&gt;&lt;author&gt;Ward, E&lt;/author&gt;&lt;author&gt;Choudhury, NR&lt;/author&gt;&lt;author&gt;Monk, IR&lt;/author&gt;&lt;author&gt;Turner, CE&lt;/author&gt;&lt;author&gt;Stinear, TP&lt;/author&gt;&lt;author&gt;Corrigan, RM&lt;/author&gt;&lt;/authors&gt;&lt;/contributors&gt;&lt;added-date format="utc"&gt;1678319327&lt;/added-date&gt;&lt;ref-type name="Journal Article"&gt;17&lt;/ref-type&gt;&lt;dates&gt;&lt;year&gt;2023&lt;/year&gt;&lt;/dates&gt;&lt;rec-number&gt;766&lt;/rec-number&gt;&lt;last-updated-date format="utc"&gt;1678319418&lt;/last-updated-date&gt;&lt;/record&gt;&lt;/Cite&gt;&lt;/EndNote&gt;</w:instrText>
            </w:r>
            <w:r w:rsidRPr="00541779">
              <w:rPr>
                <w:rFonts w:ascii="Times New Roman" w:hAnsi="Times New Roman" w:cs="Times New Roman"/>
                <w:color w:val="000000" w:themeColor="text1"/>
                <w:sz w:val="16"/>
              </w:rPr>
              <w:fldChar w:fldCharType="separate"/>
            </w:r>
            <w:r w:rsidRPr="00541779">
              <w:rPr>
                <w:rFonts w:ascii="Times New Roman" w:hAnsi="Times New Roman" w:cs="Times New Roman"/>
                <w:noProof/>
                <w:color w:val="000000" w:themeColor="text1"/>
                <w:sz w:val="16"/>
              </w:rPr>
              <w:t>(Carrilero</w:t>
            </w:r>
            <w:r w:rsidRPr="00541779">
              <w:rPr>
                <w:rFonts w:ascii="Times New Roman" w:hAnsi="Times New Roman" w:cs="Times New Roman"/>
                <w:i/>
                <w:noProof/>
                <w:color w:val="000000" w:themeColor="text1"/>
                <w:sz w:val="16"/>
              </w:rPr>
              <w:t xml:space="preserve"> et al.</w:t>
            </w:r>
            <w:r w:rsidRPr="00541779">
              <w:rPr>
                <w:rFonts w:ascii="Times New Roman" w:hAnsi="Times New Roman" w:cs="Times New Roman"/>
                <w:noProof/>
                <w:color w:val="000000" w:themeColor="text1"/>
                <w:sz w:val="16"/>
              </w:rPr>
              <w:t>, 2023)</w:t>
            </w:r>
            <w:r w:rsidRPr="00541779">
              <w:rPr>
                <w:rFonts w:ascii="Times New Roman" w:hAnsi="Times New Roman" w:cs="Times New Roman"/>
                <w:color w:val="000000" w:themeColor="text1"/>
                <w:sz w:val="16"/>
              </w:rPr>
              <w:fldChar w:fldCharType="end"/>
            </w:r>
          </w:p>
        </w:tc>
      </w:tr>
      <w:tr w:rsidR="00D70E9B" w:rsidRPr="0085544B" w14:paraId="65861ABA"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1E1DB7AD"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904</w:t>
            </w:r>
          </w:p>
        </w:tc>
        <w:tc>
          <w:tcPr>
            <w:cnfStyle w:val="000010000000" w:firstRow="0" w:lastRow="0" w:firstColumn="0" w:lastColumn="0" w:oddVBand="1" w:evenVBand="0" w:oddHBand="0" w:evenHBand="0" w:firstRowFirstColumn="0" w:firstRowLastColumn="0" w:lastRowFirstColumn="0" w:lastRowLastColumn="0"/>
            <w:tcW w:w="4946" w:type="dxa"/>
          </w:tcPr>
          <w:p w14:paraId="751C1DA5" w14:textId="77777777" w:rsidR="00D70E9B" w:rsidRPr="003653D7" w:rsidRDefault="00D70E9B" w:rsidP="00A74445">
            <w:pPr>
              <w:spacing w:line="480" w:lineRule="auto"/>
              <w:ind w:right="-1"/>
              <w:rPr>
                <w:rFonts w:ascii="Times New Roman" w:hAnsi="Times New Roman" w:cs="Times New Roman"/>
                <w:color w:val="000000" w:themeColor="text1"/>
                <w:sz w:val="16"/>
                <w:szCs w:val="16"/>
                <w:vertAlign w:val="subscript"/>
              </w:rPr>
            </w:pPr>
            <w:r w:rsidRPr="0085544B">
              <w:rPr>
                <w:rFonts w:ascii="Times New Roman" w:hAnsi="Times New Roman" w:cs="Times New Roman"/>
                <w:color w:val="000000" w:themeColor="text1"/>
                <w:sz w:val="16"/>
              </w:rPr>
              <w:t>JE2 Δ</w:t>
            </w:r>
            <w:r w:rsidRPr="0085544B">
              <w:rPr>
                <w:rFonts w:ascii="Times New Roman" w:hAnsi="Times New Roman" w:cs="Times New Roman"/>
                <w:i/>
                <w:iCs/>
                <w:color w:val="000000" w:themeColor="text1"/>
                <w:sz w:val="16"/>
              </w:rPr>
              <w:t>relP</w:t>
            </w:r>
            <w:r w:rsidRPr="0085544B">
              <w:rPr>
                <w:rFonts w:ascii="Times New Roman" w:hAnsi="Times New Roman" w:cs="Times New Roman"/>
                <w:color w:val="000000" w:themeColor="text1"/>
                <w:sz w:val="16"/>
              </w:rPr>
              <w:t xml:space="preserve"> Δ</w:t>
            </w:r>
            <w:r w:rsidRPr="0085544B">
              <w:rPr>
                <w:rFonts w:ascii="Times New Roman" w:hAnsi="Times New Roman" w:cs="Times New Roman"/>
                <w:i/>
                <w:iCs/>
                <w:color w:val="000000" w:themeColor="text1"/>
                <w:sz w:val="16"/>
              </w:rPr>
              <w:t>relQ</w:t>
            </w:r>
            <w:r w:rsidRPr="0085544B">
              <w:rPr>
                <w:rFonts w:ascii="Times New Roman" w:hAnsi="Times New Roman" w:cs="Times New Roman"/>
                <w:color w:val="000000" w:themeColor="text1"/>
                <w:sz w:val="16"/>
              </w:rPr>
              <w:t xml:space="preserve"> Δ</w:t>
            </w:r>
            <w:r w:rsidRPr="0085544B">
              <w:rPr>
                <w:rFonts w:ascii="Times New Roman" w:hAnsi="Times New Roman" w:cs="Times New Roman"/>
                <w:i/>
                <w:iCs/>
                <w:color w:val="000000" w:themeColor="text1"/>
                <w:sz w:val="16"/>
              </w:rPr>
              <w:t>rel</w:t>
            </w:r>
            <w:r>
              <w:rPr>
                <w:rFonts w:ascii="Times New Roman" w:hAnsi="Times New Roman" w:cs="Times New Roman"/>
                <w:i/>
                <w:iCs/>
                <w:color w:val="000000" w:themeColor="text1"/>
                <w:sz w:val="16"/>
                <w:vertAlign w:val="subscript"/>
              </w:rPr>
              <w:t>Sau</w:t>
            </w:r>
          </w:p>
        </w:tc>
        <w:tc>
          <w:tcPr>
            <w:tcW w:w="2552" w:type="dxa"/>
          </w:tcPr>
          <w:p w14:paraId="52AA2CD0"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541779">
              <w:rPr>
                <w:rFonts w:ascii="Times New Roman" w:hAnsi="Times New Roman" w:cs="Times New Roman"/>
                <w:color w:val="000000" w:themeColor="text1"/>
                <w:sz w:val="16"/>
              </w:rPr>
              <w:fldChar w:fldCharType="begin"/>
            </w:r>
            <w:r w:rsidRPr="00541779">
              <w:rPr>
                <w:rFonts w:ascii="Times New Roman" w:hAnsi="Times New Roman" w:cs="Times New Roman"/>
                <w:color w:val="000000" w:themeColor="text1"/>
                <w:sz w:val="16"/>
              </w:rPr>
              <w:instrText xml:space="preserve"> ADDIN EN.CITE &lt;EndNote&gt;&lt;Cite&gt;&lt;Author&gt;Carrilero&lt;/Author&gt;&lt;Year&gt;2023&lt;/Year&gt;&lt;IDText&gt;Stringent Response-Mediated Control of GTP Homeostasis Is Required for Long-Term Viability of  Staphylococcus aureus&lt;/IDText&gt;&lt;DisplayText&gt;(Carrilero&lt;style face="italic"&gt; et al.&lt;/style&gt;, 2023)&lt;/DisplayText&gt;&lt;record&gt;&lt;titles&gt;&lt;title&gt;Stringent Response-Mediated Control of GTP Homeostasis Is Required for Long-Term Viability of  Staphylococcus aureus&lt;/title&gt;&lt;secondary-title&gt;Microbiology Spectrum&lt;/secondary-title&gt;&lt;/titles&gt;&lt;contributors&gt;&lt;authors&gt;&lt;author&gt;Carrilero, L&lt;/author&gt;&lt;author&gt;Urwin, L&lt;/author&gt;&lt;author&gt;Ward, E&lt;/author&gt;&lt;author&gt;Choudhury, NR&lt;/author&gt;&lt;author&gt;Monk, IR&lt;/author&gt;&lt;author&gt;Turner, CE&lt;/author&gt;&lt;author&gt;Stinear, TP&lt;/author&gt;&lt;author&gt;Corrigan, RM&lt;/author&gt;&lt;/authors&gt;&lt;/contributors&gt;&lt;added-date format="utc"&gt;1678319327&lt;/added-date&gt;&lt;ref-type name="Journal Article"&gt;17&lt;/ref-type&gt;&lt;dates&gt;&lt;year&gt;2023&lt;/year&gt;&lt;/dates&gt;&lt;rec-number&gt;766&lt;/rec-number&gt;&lt;last-updated-date format="utc"&gt;1678319418&lt;/last-updated-date&gt;&lt;/record&gt;&lt;/Cite&gt;&lt;/EndNote&gt;</w:instrText>
            </w:r>
            <w:r w:rsidRPr="00541779">
              <w:rPr>
                <w:rFonts w:ascii="Times New Roman" w:hAnsi="Times New Roman" w:cs="Times New Roman"/>
                <w:color w:val="000000" w:themeColor="text1"/>
                <w:sz w:val="16"/>
              </w:rPr>
              <w:fldChar w:fldCharType="separate"/>
            </w:r>
            <w:r w:rsidRPr="00541779">
              <w:rPr>
                <w:rFonts w:ascii="Times New Roman" w:hAnsi="Times New Roman" w:cs="Times New Roman"/>
                <w:noProof/>
                <w:color w:val="000000" w:themeColor="text1"/>
                <w:sz w:val="16"/>
              </w:rPr>
              <w:t>(Carrilero</w:t>
            </w:r>
            <w:r w:rsidRPr="00541779">
              <w:rPr>
                <w:rFonts w:ascii="Times New Roman" w:hAnsi="Times New Roman" w:cs="Times New Roman"/>
                <w:i/>
                <w:noProof/>
                <w:color w:val="000000" w:themeColor="text1"/>
                <w:sz w:val="16"/>
              </w:rPr>
              <w:t xml:space="preserve"> et al.</w:t>
            </w:r>
            <w:r w:rsidRPr="00541779">
              <w:rPr>
                <w:rFonts w:ascii="Times New Roman" w:hAnsi="Times New Roman" w:cs="Times New Roman"/>
                <w:noProof/>
                <w:color w:val="000000" w:themeColor="text1"/>
                <w:sz w:val="16"/>
              </w:rPr>
              <w:t>, 2023)</w:t>
            </w:r>
            <w:r w:rsidRPr="00541779">
              <w:rPr>
                <w:rFonts w:ascii="Times New Roman" w:hAnsi="Times New Roman" w:cs="Times New Roman"/>
                <w:color w:val="000000" w:themeColor="text1"/>
                <w:sz w:val="16"/>
              </w:rPr>
              <w:fldChar w:fldCharType="end"/>
            </w:r>
          </w:p>
        </w:tc>
      </w:tr>
      <w:tr w:rsidR="00D70E9B" w:rsidRPr="0085544B" w14:paraId="36083F82"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4BC3260"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85544B">
              <w:rPr>
                <w:rFonts w:ascii="Times New Roman" w:hAnsi="Times New Roman" w:cs="Times New Roman"/>
                <w:color w:val="000000" w:themeColor="text1"/>
                <w:sz w:val="16"/>
              </w:rPr>
              <w:t>905</w:t>
            </w:r>
          </w:p>
        </w:tc>
        <w:tc>
          <w:tcPr>
            <w:cnfStyle w:val="000010000000" w:firstRow="0" w:lastRow="0" w:firstColumn="0" w:lastColumn="0" w:oddVBand="1" w:evenVBand="0" w:oddHBand="0" w:evenHBand="0" w:firstRowFirstColumn="0" w:firstRowLastColumn="0" w:lastRowFirstColumn="0" w:lastRowLastColumn="0"/>
            <w:tcW w:w="4946" w:type="dxa"/>
          </w:tcPr>
          <w:p w14:paraId="22E580CB" w14:textId="77777777" w:rsidR="00D70E9B" w:rsidRPr="003653D7" w:rsidRDefault="00D70E9B" w:rsidP="00A74445">
            <w:pPr>
              <w:spacing w:line="480" w:lineRule="auto"/>
              <w:ind w:right="-1"/>
              <w:rPr>
                <w:rFonts w:ascii="Times New Roman" w:hAnsi="Times New Roman" w:cs="Times New Roman"/>
                <w:color w:val="000000" w:themeColor="text1"/>
                <w:sz w:val="16"/>
                <w:vertAlign w:val="subscript"/>
              </w:rPr>
            </w:pPr>
            <w:r w:rsidRPr="0085544B">
              <w:rPr>
                <w:rFonts w:ascii="Times New Roman" w:hAnsi="Times New Roman" w:cs="Times New Roman"/>
                <w:color w:val="000000" w:themeColor="text1"/>
                <w:sz w:val="16"/>
              </w:rPr>
              <w:t>JE2 Δ</w:t>
            </w:r>
            <w:r w:rsidRPr="0085544B">
              <w:rPr>
                <w:rFonts w:ascii="Times New Roman" w:hAnsi="Times New Roman" w:cs="Times New Roman"/>
                <w:i/>
                <w:iCs/>
                <w:color w:val="000000" w:themeColor="text1"/>
                <w:sz w:val="16"/>
              </w:rPr>
              <w:t>relQ</w:t>
            </w:r>
            <w:r w:rsidRPr="0085544B">
              <w:rPr>
                <w:rFonts w:ascii="Times New Roman" w:hAnsi="Times New Roman" w:cs="Times New Roman"/>
                <w:color w:val="000000" w:themeColor="text1"/>
                <w:sz w:val="16"/>
              </w:rPr>
              <w:t xml:space="preserve"> Δ</w:t>
            </w:r>
            <w:r w:rsidRPr="0085544B">
              <w:rPr>
                <w:rFonts w:ascii="Times New Roman" w:hAnsi="Times New Roman" w:cs="Times New Roman"/>
                <w:i/>
                <w:iCs/>
                <w:color w:val="000000" w:themeColor="text1"/>
                <w:sz w:val="16"/>
              </w:rPr>
              <w:t>relP</w:t>
            </w:r>
            <w:r w:rsidRPr="0085544B">
              <w:rPr>
                <w:rFonts w:ascii="Times New Roman" w:hAnsi="Times New Roman" w:cs="Times New Roman"/>
                <w:color w:val="000000" w:themeColor="text1"/>
                <w:sz w:val="16"/>
              </w:rPr>
              <w:t xml:space="preserve"> Δ</w:t>
            </w:r>
            <w:r w:rsidRPr="0085544B">
              <w:rPr>
                <w:rFonts w:ascii="Times New Roman" w:hAnsi="Times New Roman" w:cs="Times New Roman"/>
                <w:i/>
                <w:iCs/>
                <w:color w:val="000000" w:themeColor="text1"/>
                <w:sz w:val="16"/>
              </w:rPr>
              <w:t>rel</w:t>
            </w:r>
            <w:r>
              <w:rPr>
                <w:rFonts w:ascii="Times New Roman" w:hAnsi="Times New Roman" w:cs="Times New Roman"/>
                <w:i/>
                <w:iCs/>
                <w:color w:val="000000" w:themeColor="text1"/>
                <w:sz w:val="16"/>
                <w:vertAlign w:val="subscript"/>
              </w:rPr>
              <w:t xml:space="preserve">Sau </w:t>
            </w:r>
            <w:r>
              <w:rPr>
                <w:rFonts w:ascii="Times New Roman" w:hAnsi="Times New Roman" w:cs="Times New Roman"/>
                <w:color w:val="000000" w:themeColor="text1"/>
                <w:sz w:val="16"/>
              </w:rPr>
              <w:t>((p)ppGpp</w:t>
            </w:r>
            <w:r>
              <w:rPr>
                <w:rFonts w:ascii="Times New Roman" w:hAnsi="Times New Roman" w:cs="Times New Roman"/>
                <w:color w:val="000000" w:themeColor="text1"/>
                <w:sz w:val="16"/>
                <w:vertAlign w:val="superscript"/>
              </w:rPr>
              <w:t>0</w:t>
            </w:r>
            <w:r>
              <w:rPr>
                <w:rFonts w:ascii="Times New Roman" w:hAnsi="Times New Roman" w:cs="Times New Roman"/>
                <w:color w:val="000000" w:themeColor="text1"/>
                <w:sz w:val="16"/>
              </w:rPr>
              <w:t>)</w:t>
            </w:r>
          </w:p>
        </w:tc>
        <w:tc>
          <w:tcPr>
            <w:tcW w:w="2552" w:type="dxa"/>
          </w:tcPr>
          <w:p w14:paraId="598A9F25"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541779">
              <w:rPr>
                <w:rFonts w:ascii="Times New Roman" w:hAnsi="Times New Roman" w:cs="Times New Roman"/>
                <w:color w:val="000000" w:themeColor="text1"/>
                <w:sz w:val="16"/>
              </w:rPr>
              <w:fldChar w:fldCharType="begin"/>
            </w:r>
            <w:r w:rsidRPr="00541779">
              <w:rPr>
                <w:rFonts w:ascii="Times New Roman" w:hAnsi="Times New Roman" w:cs="Times New Roman"/>
                <w:color w:val="000000" w:themeColor="text1"/>
                <w:sz w:val="16"/>
              </w:rPr>
              <w:instrText xml:space="preserve"> ADDIN EN.CITE &lt;EndNote&gt;&lt;Cite&gt;&lt;Author&gt;Carrilero&lt;/Author&gt;&lt;Year&gt;2023&lt;/Year&gt;&lt;IDText&gt;Stringent Response-Mediated Control of GTP Homeostasis Is Required for Long-Term Viability of  Staphylococcus aureus&lt;/IDText&gt;&lt;DisplayText&gt;(Carrilero&lt;style face="italic"&gt; et al.&lt;/style&gt;, 2023)&lt;/DisplayText&gt;&lt;record&gt;&lt;titles&gt;&lt;title&gt;Stringent Response-Mediated Control of GTP Homeostasis Is Required for Long-Term Viability of  Staphylococcus aureus&lt;/title&gt;&lt;secondary-title&gt;Microbiology Spectrum&lt;/secondary-title&gt;&lt;/titles&gt;&lt;contributors&gt;&lt;authors&gt;&lt;author&gt;Carrilero, L&lt;/author&gt;&lt;author&gt;Urwin, L&lt;/author&gt;&lt;author&gt;Ward, E&lt;/author&gt;&lt;author&gt;Choudhury, NR&lt;/author&gt;&lt;author&gt;Monk, IR&lt;/author&gt;&lt;author&gt;Turner, CE&lt;/author&gt;&lt;author&gt;Stinear, TP&lt;/author&gt;&lt;author&gt;Corrigan, RM&lt;/author&gt;&lt;/authors&gt;&lt;/contributors&gt;&lt;added-date format="utc"&gt;1678319327&lt;/added-date&gt;&lt;ref-type name="Journal Article"&gt;17&lt;/ref-type&gt;&lt;dates&gt;&lt;year&gt;2023&lt;/year&gt;&lt;/dates&gt;&lt;rec-number&gt;766&lt;/rec-number&gt;&lt;last-updated-date format="utc"&gt;1678319418&lt;/last-updated-date&gt;&lt;/record&gt;&lt;/Cite&gt;&lt;/EndNote&gt;</w:instrText>
            </w:r>
            <w:r w:rsidRPr="00541779">
              <w:rPr>
                <w:rFonts w:ascii="Times New Roman" w:hAnsi="Times New Roman" w:cs="Times New Roman"/>
                <w:color w:val="000000" w:themeColor="text1"/>
                <w:sz w:val="16"/>
              </w:rPr>
              <w:fldChar w:fldCharType="separate"/>
            </w:r>
            <w:r w:rsidRPr="00541779">
              <w:rPr>
                <w:rFonts w:ascii="Times New Roman" w:hAnsi="Times New Roman" w:cs="Times New Roman"/>
                <w:noProof/>
                <w:color w:val="000000" w:themeColor="text1"/>
                <w:sz w:val="16"/>
              </w:rPr>
              <w:t>(Carrilero</w:t>
            </w:r>
            <w:r w:rsidRPr="00541779">
              <w:rPr>
                <w:rFonts w:ascii="Times New Roman" w:hAnsi="Times New Roman" w:cs="Times New Roman"/>
                <w:i/>
                <w:noProof/>
                <w:color w:val="000000" w:themeColor="text1"/>
                <w:sz w:val="16"/>
              </w:rPr>
              <w:t xml:space="preserve"> et al.</w:t>
            </w:r>
            <w:r w:rsidRPr="00541779">
              <w:rPr>
                <w:rFonts w:ascii="Times New Roman" w:hAnsi="Times New Roman" w:cs="Times New Roman"/>
                <w:noProof/>
                <w:color w:val="000000" w:themeColor="text1"/>
                <w:sz w:val="16"/>
              </w:rPr>
              <w:t>, 2023)</w:t>
            </w:r>
            <w:r w:rsidRPr="00541779">
              <w:rPr>
                <w:rFonts w:ascii="Times New Roman" w:hAnsi="Times New Roman" w:cs="Times New Roman"/>
                <w:color w:val="000000" w:themeColor="text1"/>
                <w:sz w:val="16"/>
              </w:rPr>
              <w:fldChar w:fldCharType="end"/>
            </w:r>
          </w:p>
        </w:tc>
      </w:tr>
      <w:tr w:rsidR="00D70E9B" w:rsidRPr="0085544B" w14:paraId="78F9D5BC"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75793BBC"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RMC1783</w:t>
            </w:r>
          </w:p>
        </w:tc>
        <w:tc>
          <w:tcPr>
            <w:cnfStyle w:val="000010000000" w:firstRow="0" w:lastRow="0" w:firstColumn="0" w:lastColumn="0" w:oddVBand="1" w:evenVBand="0" w:oddHBand="0" w:evenHBand="0" w:firstRowFirstColumn="0" w:firstRowLastColumn="0" w:lastRowFirstColumn="0" w:lastRowLastColumn="0"/>
            <w:tcW w:w="4946" w:type="dxa"/>
          </w:tcPr>
          <w:p w14:paraId="46F58F83" w14:textId="77777777" w:rsidR="00D70E9B" w:rsidRPr="00E61370"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 xml:space="preserve">JE2 </w:t>
            </w:r>
            <w:r w:rsidRPr="0085544B">
              <w:rPr>
                <w:rFonts w:ascii="Times New Roman" w:hAnsi="Times New Roman" w:cs="Times New Roman"/>
                <w:color w:val="000000" w:themeColor="text1"/>
                <w:sz w:val="16"/>
              </w:rPr>
              <w:t>Δ</w:t>
            </w:r>
            <w:r w:rsidRPr="006B56C1">
              <w:rPr>
                <w:rFonts w:ascii="Times New Roman" w:hAnsi="Times New Roman" w:cs="Times New Roman"/>
                <w:i/>
                <w:iCs/>
                <w:color w:val="000000" w:themeColor="text1"/>
                <w:sz w:val="16"/>
              </w:rPr>
              <w:t>codY</w:t>
            </w:r>
            <w:r>
              <w:rPr>
                <w:rFonts w:ascii="Times New Roman" w:hAnsi="Times New Roman" w:cs="Times New Roman"/>
                <w:color w:val="000000" w:themeColor="text1"/>
                <w:sz w:val="16"/>
              </w:rPr>
              <w:t>; ErmR</w:t>
            </w:r>
          </w:p>
        </w:tc>
        <w:tc>
          <w:tcPr>
            <w:tcW w:w="2552" w:type="dxa"/>
          </w:tcPr>
          <w:p w14:paraId="558F63F0" w14:textId="77777777" w:rsidR="00D70E9B" w:rsidRPr="00253753" w:rsidRDefault="00D70E9B" w:rsidP="00A74445">
            <w:pPr>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6"/>
              </w:rPr>
            </w:pPr>
            <w:r>
              <w:rPr>
                <w:rFonts w:ascii="Times New Roman" w:hAnsi="Times New Roman" w:cs="Times New Roman"/>
                <w:color w:val="000000" w:themeColor="text1"/>
                <w:sz w:val="16"/>
              </w:rPr>
              <w:fldChar w:fldCharType="begin"/>
            </w:r>
            <w:r>
              <w:rPr>
                <w:rFonts w:ascii="Times New Roman" w:hAnsi="Times New Roman" w:cs="Times New Roman"/>
                <w:color w:val="000000" w:themeColor="text1"/>
                <w:sz w:val="16"/>
              </w:rPr>
              <w:instrText xml:space="preserve"> ADDIN EN.CITE &lt;EndNote&gt;&lt;Cite&gt;&lt;Author&gt;Fey&lt;/Author&gt;&lt;Year&gt;2013&lt;/Year&gt;&lt;IDText&gt;A Genetic Resource for Rapid and Comprehensive Phenotype Screening of Nonessential Staphylococcus aureus Genes&lt;/IDText&gt;&lt;DisplayText&gt;(Fey&lt;style face="italic"&gt; et al.&lt;/style&gt;, 2013)&lt;/DisplayText&gt;&lt;record&gt;&lt;dates&gt;&lt;pub-dates&gt;&lt;date&gt;Jan-Feb&lt;/date&gt;&lt;/pub-dates&gt;&lt;year&gt;2013&lt;/year&gt;&lt;/dates&gt;&lt;urls&gt;&lt;related-urls&gt;&lt;/related-urls&gt;&lt;/urls&gt;&lt;isbn&gt;2150-7511&lt;/isbn&gt;&lt;titles&gt;&lt;title&gt;&lt;style font="default" size="100%"&gt;A Genetic Resource for Rapid and Comprehensive Phenotype Screening of Nonessential &lt;/style&gt;&lt;style face="italic" font="default" size="100%"&gt;Staphylococcus aureus&lt;/style&gt;&lt;style font="default" size="100%"&gt; Genes&lt;/style&gt;&lt;/title&gt;&lt;secondary-title&gt;Mbio&lt;/secondary-title&gt;&lt;/titles&gt;&lt;number&gt;1&lt;/number&gt;&lt;contributors&gt;&lt;authors&gt;&lt;author&gt;Fey, P. D.&lt;/author&gt;&lt;author&gt;Endres, J. L.&lt;/author&gt;&lt;author&gt;Yajjala, V. K.&lt;/author&gt;&lt;author&gt;Widhelm, T. J.&lt;/author&gt;&lt;author&gt;Boissy, R. J.&lt;/author&gt;&lt;author&gt;Bose, J. L.&lt;/author&gt;&lt;author&gt;Bayles, K. W.&lt;/author&gt;&lt;/authors&gt;&lt;/contributors&gt;&lt;custom7&gt;e00537-12&lt;/custom7&gt;&lt;added-date format="utc"&gt;1674820699&lt;/added-date&gt;&lt;ref-type name="Journal Article"&gt;17&lt;/ref-type&gt;&lt;rec-number&gt;275&lt;/rec-number&gt;&lt;last-updated-date format="utc"&gt;1678058042&lt;/last-updated-date&gt;&lt;accession-num&gt;WOS:000315814300027&lt;/accession-num&gt;&lt;electronic-resource-num&gt;10.1128/mBio.00537-12&lt;/electronic-resource-num&gt;&lt;volume&gt;4&lt;/volume&gt;&lt;/record&gt;&lt;/Cite&gt;&lt;/EndNote&gt;</w:instrText>
            </w:r>
            <w:r>
              <w:rPr>
                <w:rFonts w:ascii="Times New Roman" w:hAnsi="Times New Roman" w:cs="Times New Roman"/>
                <w:color w:val="000000" w:themeColor="text1"/>
                <w:sz w:val="16"/>
              </w:rPr>
              <w:fldChar w:fldCharType="separate"/>
            </w:r>
            <w:r>
              <w:rPr>
                <w:rFonts w:ascii="Times New Roman" w:hAnsi="Times New Roman" w:cs="Times New Roman"/>
                <w:noProof/>
                <w:color w:val="000000" w:themeColor="text1"/>
                <w:sz w:val="16"/>
              </w:rPr>
              <w:t>(Fey</w:t>
            </w:r>
            <w:r w:rsidRPr="00A71D82">
              <w:rPr>
                <w:rFonts w:ascii="Times New Roman" w:hAnsi="Times New Roman" w:cs="Times New Roman"/>
                <w:i/>
                <w:noProof/>
                <w:color w:val="000000" w:themeColor="text1"/>
                <w:sz w:val="16"/>
              </w:rPr>
              <w:t xml:space="preserve"> et al.</w:t>
            </w:r>
            <w:r>
              <w:rPr>
                <w:rFonts w:ascii="Times New Roman" w:hAnsi="Times New Roman" w:cs="Times New Roman"/>
                <w:noProof/>
                <w:color w:val="000000" w:themeColor="text1"/>
                <w:sz w:val="16"/>
              </w:rPr>
              <w:t>, 2013)</w:t>
            </w:r>
            <w:r>
              <w:rPr>
                <w:rFonts w:ascii="Times New Roman" w:hAnsi="Times New Roman" w:cs="Times New Roman"/>
                <w:color w:val="000000" w:themeColor="text1"/>
                <w:sz w:val="16"/>
              </w:rPr>
              <w:fldChar w:fldCharType="end"/>
            </w:r>
          </w:p>
        </w:tc>
      </w:tr>
      <w:tr w:rsidR="00D70E9B" w:rsidRPr="0085544B" w14:paraId="3B5BCBD5"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23898E8D"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RMC1836</w:t>
            </w:r>
          </w:p>
        </w:tc>
        <w:tc>
          <w:tcPr>
            <w:cnfStyle w:val="000010000000" w:firstRow="0" w:lastRow="0" w:firstColumn="0" w:lastColumn="0" w:oddVBand="1" w:evenVBand="0" w:oddHBand="0" w:evenHBand="0" w:firstRowFirstColumn="0" w:firstRowLastColumn="0" w:lastRowFirstColumn="0" w:lastRowLastColumn="0"/>
            <w:tcW w:w="4946" w:type="dxa"/>
          </w:tcPr>
          <w:p w14:paraId="6F2E776F" w14:textId="77777777" w:rsidR="00D70E9B" w:rsidRPr="009C67FB" w:rsidRDefault="00D70E9B" w:rsidP="00A74445">
            <w:pPr>
              <w:spacing w:line="480" w:lineRule="auto"/>
              <w:ind w:right="-1"/>
              <w:rPr>
                <w:rFonts w:ascii="Times New Roman" w:hAnsi="Times New Roman" w:cs="Times New Roman"/>
                <w:i/>
                <w:iCs/>
                <w:color w:val="000000" w:themeColor="text1"/>
                <w:sz w:val="16"/>
              </w:rPr>
            </w:pPr>
            <w:r>
              <w:rPr>
                <w:rFonts w:ascii="Times New Roman" w:hAnsi="Times New Roman" w:cs="Times New Roman"/>
                <w:color w:val="000000" w:themeColor="text1"/>
                <w:sz w:val="16"/>
              </w:rPr>
              <w:t>pALC2073 in JE2; CamR</w:t>
            </w:r>
          </w:p>
        </w:tc>
        <w:tc>
          <w:tcPr>
            <w:tcW w:w="2552" w:type="dxa"/>
          </w:tcPr>
          <w:p w14:paraId="64A8D0B6"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0CD37DFD"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4BA76B91"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RMC1837</w:t>
            </w:r>
          </w:p>
        </w:tc>
        <w:tc>
          <w:tcPr>
            <w:cnfStyle w:val="000010000000" w:firstRow="0" w:lastRow="0" w:firstColumn="0" w:lastColumn="0" w:oddVBand="1" w:evenVBand="0" w:oddHBand="0" w:evenHBand="0" w:firstRowFirstColumn="0" w:firstRowLastColumn="0" w:lastRowFirstColumn="0" w:lastRowLastColumn="0"/>
            <w:tcW w:w="4946" w:type="dxa"/>
          </w:tcPr>
          <w:p w14:paraId="70D67490" w14:textId="77777777" w:rsidR="00D70E9B" w:rsidRPr="00253753"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pALC2073 in JE2 (p)ppGpp</w:t>
            </w:r>
            <w:r>
              <w:rPr>
                <w:rFonts w:ascii="Times New Roman" w:hAnsi="Times New Roman" w:cs="Times New Roman"/>
                <w:color w:val="000000" w:themeColor="text1"/>
                <w:sz w:val="16"/>
                <w:vertAlign w:val="superscript"/>
              </w:rPr>
              <w:t>0</w:t>
            </w:r>
            <w:r>
              <w:rPr>
                <w:rFonts w:ascii="Times New Roman" w:hAnsi="Times New Roman" w:cs="Times New Roman"/>
                <w:color w:val="000000" w:themeColor="text1"/>
                <w:sz w:val="16"/>
              </w:rPr>
              <w:t>; CamR</w:t>
            </w:r>
          </w:p>
        </w:tc>
        <w:tc>
          <w:tcPr>
            <w:tcW w:w="2552" w:type="dxa"/>
          </w:tcPr>
          <w:p w14:paraId="6E429ED0"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60A26293"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28950018"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855</w:t>
            </w:r>
          </w:p>
        </w:tc>
        <w:tc>
          <w:tcPr>
            <w:cnfStyle w:val="000010000000" w:firstRow="0" w:lastRow="0" w:firstColumn="0" w:lastColumn="0" w:oddVBand="1" w:evenVBand="0" w:oddHBand="0" w:evenHBand="0" w:firstRowFirstColumn="0" w:firstRowLastColumn="0" w:lastRowFirstColumn="0" w:lastRowLastColumn="0"/>
            <w:tcW w:w="4946" w:type="dxa"/>
          </w:tcPr>
          <w:p w14:paraId="7731607F"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pCL55-iTET-</w:t>
            </w:r>
            <w:r w:rsidRPr="0085544B">
              <w:rPr>
                <w:rFonts w:ascii="Times New Roman" w:hAnsi="Times New Roman" w:cs="Times New Roman"/>
                <w:i/>
                <w:iCs/>
                <w:color w:val="000000" w:themeColor="text1"/>
                <w:sz w:val="16"/>
              </w:rPr>
              <w:t>rel</w:t>
            </w:r>
            <w:r w:rsidRPr="0085544B">
              <w:rPr>
                <w:rFonts w:ascii="Times New Roman" w:hAnsi="Times New Roman" w:cs="Times New Roman"/>
                <w:i/>
                <w:iCs/>
                <w:color w:val="000000" w:themeColor="text1"/>
                <w:sz w:val="16"/>
                <w:szCs w:val="16"/>
                <w:vertAlign w:val="subscript"/>
              </w:rPr>
              <w:t>Sau</w:t>
            </w:r>
            <w:r w:rsidRPr="0085544B">
              <w:rPr>
                <w:rFonts w:ascii="Times New Roman" w:hAnsi="Times New Roman" w:cs="Times New Roman"/>
                <w:i/>
                <w:iCs/>
                <w:color w:val="000000" w:themeColor="text1"/>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TD-his</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w:t>
            </w:r>
            <w:r w:rsidRPr="0085544B">
              <w:rPr>
                <w:rFonts w:ascii="Times New Roman" w:hAnsi="Times New Roman" w:cs="Times New Roman"/>
                <w:color w:val="000000" w:themeColor="text1"/>
                <w:sz w:val="16"/>
                <w:szCs w:val="16"/>
              </w:rPr>
              <w:t xml:space="preserve">in </w:t>
            </w:r>
            <w:r w:rsidRPr="0085544B">
              <w:rPr>
                <w:rFonts w:ascii="Times New Roman" w:hAnsi="Times New Roman" w:cs="Times New Roman"/>
                <w:color w:val="000000" w:themeColor="text1"/>
                <w:sz w:val="16"/>
              </w:rPr>
              <w:t>JE2 wildtype</w:t>
            </w:r>
            <w:r w:rsidRPr="0085544B">
              <w:rPr>
                <w:rFonts w:ascii="Times New Roman" w:hAnsi="Times New Roman" w:cs="Times New Roman"/>
                <w:color w:val="000000" w:themeColor="text1"/>
                <w:sz w:val="16"/>
                <w:szCs w:val="16"/>
              </w:rPr>
              <w:t>; CamR</w:t>
            </w:r>
          </w:p>
        </w:tc>
        <w:tc>
          <w:tcPr>
            <w:tcW w:w="2552" w:type="dxa"/>
          </w:tcPr>
          <w:p w14:paraId="3C4FE8CA"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color w:val="000000" w:themeColor="text1"/>
                <w:sz w:val="16"/>
              </w:rPr>
              <w:t>This study</w:t>
            </w:r>
          </w:p>
        </w:tc>
      </w:tr>
      <w:tr w:rsidR="00D70E9B" w:rsidRPr="0085544B" w14:paraId="1D1E5A5C"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50AC8F65"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RMC1856</w:t>
            </w:r>
          </w:p>
        </w:tc>
        <w:tc>
          <w:tcPr>
            <w:cnfStyle w:val="000010000000" w:firstRow="0" w:lastRow="0" w:firstColumn="0" w:lastColumn="0" w:oddVBand="1" w:evenVBand="0" w:oddHBand="0" w:evenHBand="0" w:firstRowFirstColumn="0" w:firstRowLastColumn="0" w:lastRowFirstColumn="0" w:lastRowLastColumn="0"/>
            <w:tcW w:w="4946" w:type="dxa"/>
          </w:tcPr>
          <w:p w14:paraId="07060869"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 xml:space="preserve"> in JE2; CamR</w:t>
            </w:r>
          </w:p>
        </w:tc>
        <w:tc>
          <w:tcPr>
            <w:tcW w:w="2552" w:type="dxa"/>
          </w:tcPr>
          <w:p w14:paraId="0D7D5B25"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1E971FCF"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07D2C93"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lang w:val="en-US"/>
              </w:rPr>
              <w:t>1</w:t>
            </w:r>
            <w:r>
              <w:rPr>
                <w:rFonts w:ascii="Times New Roman" w:hAnsi="Times New Roman" w:cs="Times New Roman"/>
                <w:sz w:val="16"/>
                <w:lang w:val="en-US"/>
              </w:rPr>
              <w:t>857</w:t>
            </w:r>
          </w:p>
        </w:tc>
        <w:tc>
          <w:tcPr>
            <w:cnfStyle w:val="000010000000" w:firstRow="0" w:lastRow="0" w:firstColumn="0" w:lastColumn="0" w:oddVBand="1" w:evenVBand="0" w:oddHBand="0" w:evenHBand="0" w:firstRowFirstColumn="0" w:firstRowLastColumn="0" w:lastRowFirstColumn="0" w:lastRowLastColumn="0"/>
            <w:tcW w:w="4946" w:type="dxa"/>
          </w:tcPr>
          <w:p w14:paraId="4D23E33C"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lang w:val="en-US"/>
              </w:rPr>
              <w:t>pCL55-iTET</w:t>
            </w:r>
            <w:r w:rsidRPr="0085544B">
              <w:rPr>
                <w:rFonts w:ascii="Times New Roman" w:hAnsi="Times New Roman" w:cs="Times New Roman"/>
                <w:color w:val="000000" w:themeColor="text1"/>
                <w:sz w:val="16"/>
                <w:vertAlign w:val="subscript"/>
                <w:lang w:val="en-US"/>
              </w:rPr>
              <w:t>r862</w:t>
            </w:r>
            <w:r w:rsidRPr="0085544B">
              <w:rPr>
                <w:rFonts w:ascii="Times New Roman" w:hAnsi="Times New Roman" w:cs="Times New Roman"/>
                <w:color w:val="000000" w:themeColor="text1"/>
                <w:sz w:val="16"/>
              </w:rPr>
              <w:t>-</w:t>
            </w:r>
            <w:r w:rsidRPr="0085544B">
              <w:rPr>
                <w:rFonts w:ascii="Times New Roman" w:hAnsi="Times New Roman" w:cs="Times New Roman"/>
                <w:i/>
                <w:iCs/>
                <w:color w:val="000000" w:themeColor="text1"/>
                <w:sz w:val="16"/>
              </w:rPr>
              <w:t>rel</w:t>
            </w:r>
            <w:r w:rsidRPr="0085544B">
              <w:rPr>
                <w:rFonts w:ascii="Times New Roman" w:hAnsi="Times New Roman" w:cs="Times New Roman"/>
                <w:i/>
                <w:iCs/>
                <w:color w:val="000000" w:themeColor="text1"/>
                <w:sz w:val="16"/>
                <w:szCs w:val="16"/>
                <w:vertAlign w:val="subscript"/>
              </w:rPr>
              <w:t>Sau</w:t>
            </w:r>
            <w:r w:rsidRPr="0085544B">
              <w:rPr>
                <w:rFonts w:ascii="Times New Roman" w:hAnsi="Times New Roman" w:cs="Times New Roman"/>
                <w:i/>
                <w:iCs/>
                <w:color w:val="000000" w:themeColor="text1"/>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TD-his</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w:t>
            </w:r>
            <w:r w:rsidRPr="0085544B">
              <w:rPr>
                <w:rFonts w:ascii="Times New Roman" w:hAnsi="Times New Roman" w:cs="Times New Roman"/>
                <w:color w:val="000000" w:themeColor="text1"/>
                <w:sz w:val="16"/>
                <w:szCs w:val="16"/>
              </w:rPr>
              <w:t xml:space="preserve">in </w:t>
            </w:r>
            <w:r w:rsidRPr="0085544B">
              <w:rPr>
                <w:rFonts w:ascii="Times New Roman" w:hAnsi="Times New Roman" w:cs="Times New Roman"/>
                <w:color w:val="000000" w:themeColor="text1"/>
                <w:sz w:val="16"/>
              </w:rPr>
              <w:t>JE2 wildtype</w:t>
            </w:r>
            <w:r w:rsidRPr="0085544B">
              <w:rPr>
                <w:rFonts w:ascii="Times New Roman" w:hAnsi="Times New Roman" w:cs="Times New Roman"/>
                <w:color w:val="000000" w:themeColor="text1"/>
                <w:sz w:val="16"/>
                <w:szCs w:val="16"/>
              </w:rPr>
              <w:t>; CamR</w:t>
            </w:r>
          </w:p>
        </w:tc>
        <w:tc>
          <w:tcPr>
            <w:tcW w:w="2552" w:type="dxa"/>
          </w:tcPr>
          <w:p w14:paraId="74D15AD9"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color w:val="000000" w:themeColor="text1"/>
                <w:sz w:val="16"/>
              </w:rPr>
              <w:t>This study</w:t>
            </w:r>
          </w:p>
        </w:tc>
      </w:tr>
      <w:tr w:rsidR="00D70E9B" w:rsidRPr="0085544B" w14:paraId="2B145FDC"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26AC0E1C"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RMC1858</w:t>
            </w:r>
          </w:p>
        </w:tc>
        <w:tc>
          <w:tcPr>
            <w:cnfStyle w:val="000010000000" w:firstRow="0" w:lastRow="0" w:firstColumn="0" w:lastColumn="0" w:oddVBand="1" w:evenVBand="0" w:oddHBand="0" w:evenHBand="0" w:firstRowFirstColumn="0" w:firstRowLastColumn="0" w:lastRowFirstColumn="0" w:lastRowLastColumn="0"/>
            <w:tcW w:w="4946" w:type="dxa"/>
          </w:tcPr>
          <w:p w14:paraId="31A60DB5"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vertAlign w:val="subscript"/>
                <w:lang w:val="en-US"/>
              </w:rPr>
              <w:t xml:space="preserve"> </w:t>
            </w:r>
            <w:r>
              <w:rPr>
                <w:rFonts w:ascii="Times New Roman" w:hAnsi="Times New Roman" w:cs="Times New Roman"/>
                <w:sz w:val="16"/>
              </w:rPr>
              <w:t xml:space="preserve">in JE2 </w:t>
            </w:r>
            <w:r>
              <w:rPr>
                <w:rFonts w:ascii="Times New Roman" w:hAnsi="Times New Roman" w:cs="Times New Roman"/>
                <w:color w:val="000000" w:themeColor="text1"/>
                <w:sz w:val="16"/>
              </w:rPr>
              <w:t>(p)ppGpp</w:t>
            </w:r>
            <w:r>
              <w:rPr>
                <w:rFonts w:ascii="Times New Roman" w:hAnsi="Times New Roman" w:cs="Times New Roman"/>
                <w:color w:val="000000" w:themeColor="text1"/>
                <w:sz w:val="16"/>
                <w:vertAlign w:val="superscript"/>
              </w:rPr>
              <w:t>0</w:t>
            </w:r>
            <w:r>
              <w:rPr>
                <w:rFonts w:ascii="Times New Roman" w:hAnsi="Times New Roman" w:cs="Times New Roman"/>
                <w:sz w:val="16"/>
              </w:rPr>
              <w:t>; CamR</w:t>
            </w:r>
          </w:p>
        </w:tc>
        <w:tc>
          <w:tcPr>
            <w:tcW w:w="2552" w:type="dxa"/>
          </w:tcPr>
          <w:p w14:paraId="4A68A1CF"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454660AE"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7AE56B5"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859</w:t>
            </w:r>
          </w:p>
        </w:tc>
        <w:tc>
          <w:tcPr>
            <w:cnfStyle w:val="000010000000" w:firstRow="0" w:lastRow="0" w:firstColumn="0" w:lastColumn="0" w:oddVBand="1" w:evenVBand="0" w:oddHBand="0" w:evenHBand="0" w:firstRowFirstColumn="0" w:firstRowLastColumn="0" w:lastRowFirstColumn="0" w:lastRowLastColumn="0"/>
            <w:tcW w:w="4946" w:type="dxa"/>
          </w:tcPr>
          <w:p w14:paraId="06414B27"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pCL55-iTET</w:t>
            </w:r>
            <w:r w:rsidRPr="0085544B">
              <w:rPr>
                <w:rFonts w:ascii="Times New Roman" w:hAnsi="Times New Roman" w:cs="Times New Roman"/>
                <w:color w:val="000000" w:themeColor="text1"/>
                <w:sz w:val="16"/>
                <w:vertAlign w:val="subscript"/>
                <w:lang w:val="en-US"/>
              </w:rPr>
              <w:t>r862</w:t>
            </w:r>
            <w:r w:rsidRPr="0085544B">
              <w:rPr>
                <w:rFonts w:ascii="Times New Roman" w:hAnsi="Times New Roman" w:cs="Times New Roman"/>
                <w:color w:val="000000" w:themeColor="text1"/>
                <w:sz w:val="16"/>
              </w:rPr>
              <w:t>-</w:t>
            </w:r>
            <w:r w:rsidRPr="0085544B">
              <w:rPr>
                <w:rFonts w:ascii="Times New Roman" w:hAnsi="Times New Roman" w:cs="Times New Roman"/>
                <w:i/>
                <w:iCs/>
                <w:color w:val="000000" w:themeColor="text1"/>
                <w:sz w:val="16"/>
              </w:rPr>
              <w:t>rel</w:t>
            </w:r>
            <w:r w:rsidRPr="0085544B">
              <w:rPr>
                <w:rFonts w:ascii="Times New Roman" w:hAnsi="Times New Roman" w:cs="Times New Roman"/>
                <w:i/>
                <w:iCs/>
                <w:color w:val="000000" w:themeColor="text1"/>
                <w:sz w:val="16"/>
                <w:szCs w:val="16"/>
                <w:vertAlign w:val="subscript"/>
              </w:rPr>
              <w:t>Sau</w:t>
            </w:r>
            <w:r w:rsidRPr="0085544B">
              <w:rPr>
                <w:rFonts w:ascii="Times New Roman" w:hAnsi="Times New Roman" w:cs="Times New Roman"/>
                <w:i/>
                <w:iCs/>
                <w:color w:val="000000" w:themeColor="text1"/>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TD-his</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w:t>
            </w:r>
            <w:r w:rsidRPr="0085544B">
              <w:rPr>
                <w:rFonts w:ascii="Times New Roman" w:hAnsi="Times New Roman" w:cs="Times New Roman"/>
                <w:color w:val="000000" w:themeColor="text1"/>
                <w:sz w:val="16"/>
                <w:szCs w:val="16"/>
              </w:rPr>
              <w:t xml:space="preserve">in </w:t>
            </w:r>
            <w:r w:rsidRPr="0085544B">
              <w:rPr>
                <w:rFonts w:ascii="Times New Roman" w:hAnsi="Times New Roman" w:cs="Times New Roman"/>
                <w:color w:val="000000" w:themeColor="text1"/>
                <w:sz w:val="16"/>
              </w:rPr>
              <w:t xml:space="preserve">JE2 </w:t>
            </w:r>
            <w:r>
              <w:rPr>
                <w:rFonts w:ascii="Times New Roman" w:hAnsi="Times New Roman" w:cs="Times New Roman"/>
                <w:color w:val="000000" w:themeColor="text1"/>
                <w:sz w:val="16"/>
              </w:rPr>
              <w:t>(p)ppGpp</w:t>
            </w:r>
            <w:r>
              <w:rPr>
                <w:rFonts w:ascii="Times New Roman" w:hAnsi="Times New Roman" w:cs="Times New Roman"/>
                <w:color w:val="000000" w:themeColor="text1"/>
                <w:sz w:val="16"/>
                <w:vertAlign w:val="superscript"/>
              </w:rPr>
              <w:t>0</w:t>
            </w:r>
            <w:r w:rsidRPr="0085544B">
              <w:rPr>
                <w:rFonts w:ascii="Times New Roman" w:hAnsi="Times New Roman" w:cs="Times New Roman"/>
                <w:color w:val="000000" w:themeColor="text1"/>
                <w:sz w:val="16"/>
                <w:szCs w:val="16"/>
              </w:rPr>
              <w:t>; CamR</w:t>
            </w:r>
          </w:p>
        </w:tc>
        <w:tc>
          <w:tcPr>
            <w:tcW w:w="2552" w:type="dxa"/>
          </w:tcPr>
          <w:p w14:paraId="11ECD224"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This study</w:t>
            </w:r>
          </w:p>
        </w:tc>
      </w:tr>
      <w:tr w:rsidR="00D70E9B" w:rsidRPr="0085544B" w14:paraId="437CDE67"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37F7D67E"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RMC1861</w:t>
            </w:r>
          </w:p>
        </w:tc>
        <w:tc>
          <w:tcPr>
            <w:cnfStyle w:val="000010000000" w:firstRow="0" w:lastRow="0" w:firstColumn="0" w:lastColumn="0" w:oddVBand="1" w:evenVBand="0" w:oddHBand="0" w:evenHBand="0" w:firstRowFirstColumn="0" w:firstRowLastColumn="0" w:lastRowFirstColumn="0" w:lastRowLastColumn="0"/>
            <w:tcW w:w="4946" w:type="dxa"/>
          </w:tcPr>
          <w:p w14:paraId="39EC6D1A" w14:textId="77777777" w:rsidR="00D70E9B" w:rsidRPr="0085544B"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color w:val="000000" w:themeColor="text1"/>
                <w:sz w:val="16"/>
              </w:rPr>
              <w:t>pALC2073</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i/>
                <w:iCs/>
                <w:sz w:val="16"/>
              </w:rPr>
              <w:t>Q</w:t>
            </w:r>
            <w:r>
              <w:rPr>
                <w:rFonts w:ascii="Times New Roman" w:hAnsi="Times New Roman" w:cs="Times New Roman"/>
                <w:color w:val="000000" w:themeColor="text1"/>
                <w:sz w:val="16"/>
              </w:rPr>
              <w:t xml:space="preserve"> in JE2; CamR</w:t>
            </w:r>
          </w:p>
        </w:tc>
        <w:tc>
          <w:tcPr>
            <w:tcW w:w="2552" w:type="dxa"/>
          </w:tcPr>
          <w:p w14:paraId="3E22434E"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B559D1">
              <w:rPr>
                <w:rFonts w:ascii="Times New Roman" w:hAnsi="Times New Roman" w:cs="Times New Roman"/>
                <w:color w:val="000000" w:themeColor="text1"/>
                <w:sz w:val="16"/>
              </w:rPr>
              <w:t>Laboratory strain collection</w:t>
            </w:r>
          </w:p>
        </w:tc>
      </w:tr>
      <w:tr w:rsidR="00D70E9B" w:rsidRPr="0085544B" w14:paraId="76C21EDB"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286CF1CE"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RMC1862</w:t>
            </w:r>
          </w:p>
        </w:tc>
        <w:tc>
          <w:tcPr>
            <w:cnfStyle w:val="000010000000" w:firstRow="0" w:lastRow="0" w:firstColumn="0" w:lastColumn="0" w:oddVBand="1" w:evenVBand="0" w:oddHBand="0" w:evenHBand="0" w:firstRowFirstColumn="0" w:firstRowLastColumn="0" w:lastRowFirstColumn="0" w:lastRowLastColumn="0"/>
            <w:tcW w:w="4946" w:type="dxa"/>
          </w:tcPr>
          <w:p w14:paraId="76854440"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FA315D">
              <w:rPr>
                <w:rFonts w:ascii="Times New Roman" w:hAnsi="Times New Roman" w:cs="Times New Roman"/>
                <w:color w:val="000000" w:themeColor="text1"/>
                <w:sz w:val="16"/>
              </w:rPr>
              <w:t>pALC2073</w:t>
            </w:r>
            <w:r>
              <w:rPr>
                <w:rFonts w:ascii="Times New Roman" w:hAnsi="Times New Roman" w:cs="Times New Roman"/>
                <w:color w:val="000000" w:themeColor="text1"/>
                <w:sz w:val="16"/>
              </w:rPr>
              <w:t>-</w:t>
            </w:r>
            <w:r>
              <w:rPr>
                <w:rFonts w:ascii="Times New Roman" w:hAnsi="Times New Roman" w:cs="Times New Roman"/>
                <w:i/>
                <w:iCs/>
                <w:color w:val="000000" w:themeColor="text1"/>
                <w:sz w:val="16"/>
              </w:rPr>
              <w:t>rel</w:t>
            </w:r>
            <w:r w:rsidRPr="00FA315D">
              <w:rPr>
                <w:rFonts w:ascii="Times New Roman" w:hAnsi="Times New Roman" w:cs="Times New Roman"/>
                <w:color w:val="000000" w:themeColor="text1"/>
                <w:sz w:val="16"/>
              </w:rPr>
              <w:t xml:space="preserve"> in JE2 (p)ppGpp</w:t>
            </w:r>
            <w:r w:rsidRPr="00FA315D">
              <w:rPr>
                <w:rFonts w:ascii="Times New Roman" w:hAnsi="Times New Roman" w:cs="Times New Roman"/>
                <w:color w:val="000000" w:themeColor="text1"/>
                <w:sz w:val="16"/>
                <w:vertAlign w:val="superscript"/>
              </w:rPr>
              <w:t>0</w:t>
            </w:r>
            <w:r>
              <w:rPr>
                <w:rFonts w:ascii="Times New Roman" w:hAnsi="Times New Roman" w:cs="Times New Roman"/>
                <w:sz w:val="16"/>
              </w:rPr>
              <w:t>; CamR</w:t>
            </w:r>
          </w:p>
        </w:tc>
        <w:tc>
          <w:tcPr>
            <w:tcW w:w="2552" w:type="dxa"/>
          </w:tcPr>
          <w:p w14:paraId="719831F9"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rPr>
            </w:pPr>
            <w:r w:rsidRPr="00B559D1">
              <w:rPr>
                <w:rFonts w:ascii="Times New Roman" w:hAnsi="Times New Roman" w:cs="Times New Roman"/>
                <w:color w:val="000000" w:themeColor="text1"/>
                <w:sz w:val="16"/>
              </w:rPr>
              <w:t>Laboratory strain collection</w:t>
            </w:r>
          </w:p>
        </w:tc>
      </w:tr>
      <w:tr w:rsidR="00D70E9B" w:rsidRPr="0085544B" w14:paraId="6BFDB4AA"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1026AC13"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RMC1868</w:t>
            </w:r>
          </w:p>
        </w:tc>
        <w:tc>
          <w:tcPr>
            <w:cnfStyle w:val="000010000000" w:firstRow="0" w:lastRow="0" w:firstColumn="0" w:lastColumn="0" w:oddVBand="1" w:evenVBand="0" w:oddHBand="0" w:evenHBand="0" w:firstRowFirstColumn="0" w:firstRowLastColumn="0" w:lastRowFirstColumn="0" w:lastRowLastColumn="0"/>
            <w:tcW w:w="4946" w:type="dxa"/>
          </w:tcPr>
          <w:p w14:paraId="36A419C3"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FA315D">
              <w:rPr>
                <w:rFonts w:ascii="Times New Roman" w:hAnsi="Times New Roman" w:cs="Times New Roman"/>
                <w:color w:val="000000" w:themeColor="text1"/>
                <w:sz w:val="16"/>
              </w:rPr>
              <w:t>pALC2073</w:t>
            </w:r>
            <w:r>
              <w:rPr>
                <w:rFonts w:ascii="Times New Roman" w:hAnsi="Times New Roman" w:cs="Times New Roman"/>
                <w:color w:val="000000" w:themeColor="text1"/>
                <w:sz w:val="16"/>
              </w:rPr>
              <w:t>-</w:t>
            </w:r>
            <w:r>
              <w:rPr>
                <w:rFonts w:ascii="Times New Roman" w:hAnsi="Times New Roman" w:cs="Times New Roman"/>
                <w:i/>
                <w:iCs/>
                <w:color w:val="000000" w:themeColor="text1"/>
                <w:sz w:val="16"/>
              </w:rPr>
              <w:t>relP</w:t>
            </w:r>
            <w:r w:rsidRPr="00FA315D">
              <w:rPr>
                <w:rFonts w:ascii="Times New Roman" w:hAnsi="Times New Roman" w:cs="Times New Roman"/>
                <w:color w:val="000000" w:themeColor="text1"/>
                <w:sz w:val="16"/>
              </w:rPr>
              <w:t xml:space="preserve"> in JE2 (p)ppGpp</w:t>
            </w:r>
            <w:r w:rsidRPr="00FA315D">
              <w:rPr>
                <w:rFonts w:ascii="Times New Roman" w:hAnsi="Times New Roman" w:cs="Times New Roman"/>
                <w:color w:val="000000" w:themeColor="text1"/>
                <w:sz w:val="16"/>
                <w:vertAlign w:val="superscript"/>
              </w:rPr>
              <w:t>0</w:t>
            </w:r>
            <w:r>
              <w:rPr>
                <w:rFonts w:ascii="Times New Roman" w:hAnsi="Times New Roman" w:cs="Times New Roman"/>
                <w:sz w:val="16"/>
              </w:rPr>
              <w:t>; CamR</w:t>
            </w:r>
          </w:p>
        </w:tc>
        <w:tc>
          <w:tcPr>
            <w:tcW w:w="2552" w:type="dxa"/>
          </w:tcPr>
          <w:p w14:paraId="507D24E8"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B559D1">
              <w:rPr>
                <w:rFonts w:ascii="Times New Roman" w:hAnsi="Times New Roman" w:cs="Times New Roman"/>
                <w:color w:val="000000" w:themeColor="text1"/>
                <w:sz w:val="16"/>
              </w:rPr>
              <w:t>Laboratory strain collection</w:t>
            </w:r>
          </w:p>
        </w:tc>
      </w:tr>
      <w:tr w:rsidR="00D70E9B" w:rsidRPr="0085544B" w14:paraId="79DCAD6B"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7F08DC88"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RMC1869</w:t>
            </w:r>
          </w:p>
        </w:tc>
        <w:tc>
          <w:tcPr>
            <w:cnfStyle w:val="000010000000" w:firstRow="0" w:lastRow="0" w:firstColumn="0" w:lastColumn="0" w:oddVBand="1" w:evenVBand="0" w:oddHBand="0" w:evenHBand="0" w:firstRowFirstColumn="0" w:firstRowLastColumn="0" w:lastRowFirstColumn="0" w:lastRowLastColumn="0"/>
            <w:tcW w:w="4946" w:type="dxa"/>
          </w:tcPr>
          <w:p w14:paraId="12015A80"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FA315D">
              <w:rPr>
                <w:rFonts w:ascii="Times New Roman" w:hAnsi="Times New Roman" w:cs="Times New Roman"/>
                <w:color w:val="000000" w:themeColor="text1"/>
                <w:sz w:val="16"/>
              </w:rPr>
              <w:t>pALC2073</w:t>
            </w:r>
            <w:r>
              <w:rPr>
                <w:rFonts w:ascii="Times New Roman" w:hAnsi="Times New Roman" w:cs="Times New Roman"/>
                <w:color w:val="000000" w:themeColor="text1"/>
                <w:sz w:val="16"/>
              </w:rPr>
              <w:t>-</w:t>
            </w:r>
            <w:r>
              <w:rPr>
                <w:rFonts w:ascii="Times New Roman" w:hAnsi="Times New Roman" w:cs="Times New Roman"/>
                <w:i/>
                <w:iCs/>
                <w:color w:val="000000" w:themeColor="text1"/>
                <w:sz w:val="16"/>
              </w:rPr>
              <w:t>relQ</w:t>
            </w:r>
            <w:r w:rsidRPr="00FA315D">
              <w:rPr>
                <w:rFonts w:ascii="Times New Roman" w:hAnsi="Times New Roman" w:cs="Times New Roman"/>
                <w:color w:val="000000" w:themeColor="text1"/>
                <w:sz w:val="16"/>
              </w:rPr>
              <w:t xml:space="preserve"> in JE2 (p)ppGpp</w:t>
            </w:r>
            <w:r w:rsidRPr="00FA315D">
              <w:rPr>
                <w:rFonts w:ascii="Times New Roman" w:hAnsi="Times New Roman" w:cs="Times New Roman"/>
                <w:color w:val="000000" w:themeColor="text1"/>
                <w:sz w:val="16"/>
                <w:vertAlign w:val="superscript"/>
              </w:rPr>
              <w:t>0</w:t>
            </w:r>
            <w:r>
              <w:rPr>
                <w:rFonts w:ascii="Times New Roman" w:hAnsi="Times New Roman" w:cs="Times New Roman"/>
                <w:sz w:val="16"/>
              </w:rPr>
              <w:t>; CamR</w:t>
            </w:r>
          </w:p>
        </w:tc>
        <w:tc>
          <w:tcPr>
            <w:tcW w:w="2552" w:type="dxa"/>
          </w:tcPr>
          <w:p w14:paraId="58F9952C"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B559D1">
              <w:rPr>
                <w:rFonts w:ascii="Times New Roman" w:hAnsi="Times New Roman" w:cs="Times New Roman"/>
                <w:color w:val="000000" w:themeColor="text1"/>
                <w:sz w:val="16"/>
              </w:rPr>
              <w:t>Laboratory strain collection</w:t>
            </w:r>
          </w:p>
        </w:tc>
      </w:tr>
      <w:tr w:rsidR="00D70E9B" w:rsidRPr="0085544B" w14:paraId="07AC23D9"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21F5EC6A"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RMC1870</w:t>
            </w:r>
          </w:p>
        </w:tc>
        <w:tc>
          <w:tcPr>
            <w:cnfStyle w:val="000010000000" w:firstRow="0" w:lastRow="0" w:firstColumn="0" w:lastColumn="0" w:oddVBand="1" w:evenVBand="0" w:oddHBand="0" w:evenHBand="0" w:firstRowFirstColumn="0" w:firstRowLastColumn="0" w:lastRowFirstColumn="0" w:lastRowLastColumn="0"/>
            <w:tcW w:w="4946" w:type="dxa"/>
          </w:tcPr>
          <w:p w14:paraId="727B72CD"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sz w:val="16"/>
              </w:rPr>
              <w:t xml:space="preserve"> in JE2 </w:t>
            </w:r>
            <w:r>
              <w:rPr>
                <w:rFonts w:ascii="Times New Roman" w:hAnsi="Times New Roman" w:cs="Times New Roman"/>
                <w:color w:val="000000" w:themeColor="text1"/>
                <w:sz w:val="16"/>
              </w:rPr>
              <w:t>(p)ppGpp</w:t>
            </w:r>
            <w:r>
              <w:rPr>
                <w:rFonts w:ascii="Times New Roman" w:hAnsi="Times New Roman" w:cs="Times New Roman"/>
                <w:color w:val="000000" w:themeColor="text1"/>
                <w:sz w:val="16"/>
                <w:vertAlign w:val="superscript"/>
              </w:rPr>
              <w:t>0</w:t>
            </w:r>
            <w:r w:rsidRPr="0085544B">
              <w:rPr>
                <w:rFonts w:ascii="Times New Roman" w:hAnsi="Times New Roman" w:cs="Times New Roman"/>
                <w:color w:val="000000" w:themeColor="text1"/>
                <w:sz w:val="16"/>
                <w:szCs w:val="16"/>
              </w:rPr>
              <w:t>; CamR</w:t>
            </w:r>
          </w:p>
        </w:tc>
        <w:tc>
          <w:tcPr>
            <w:tcW w:w="2552" w:type="dxa"/>
          </w:tcPr>
          <w:p w14:paraId="04F00994"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7F1A03">
              <w:rPr>
                <w:rFonts w:ascii="Times New Roman" w:hAnsi="Times New Roman" w:cs="Times New Roman"/>
                <w:color w:val="000000" w:themeColor="text1"/>
                <w:sz w:val="16"/>
              </w:rPr>
              <w:t>Laboratory strain collection</w:t>
            </w:r>
          </w:p>
        </w:tc>
      </w:tr>
      <w:tr w:rsidR="00D70E9B" w:rsidRPr="0085544B" w14:paraId="09EA6D62"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71E7EE55"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RMC1871</w:t>
            </w:r>
          </w:p>
        </w:tc>
        <w:tc>
          <w:tcPr>
            <w:cnfStyle w:val="000010000000" w:firstRow="0" w:lastRow="0" w:firstColumn="0" w:lastColumn="0" w:oddVBand="1" w:evenVBand="0" w:oddHBand="0" w:evenHBand="0" w:firstRowFirstColumn="0" w:firstRowLastColumn="0" w:lastRowFirstColumn="0" w:lastRowLastColumn="0"/>
            <w:tcW w:w="4946" w:type="dxa"/>
          </w:tcPr>
          <w:p w14:paraId="69AF1D0D"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i/>
                <w:iCs/>
                <w:sz w:val="16"/>
              </w:rPr>
              <w:t>P</w:t>
            </w:r>
            <w:r>
              <w:rPr>
                <w:rFonts w:ascii="Times New Roman" w:hAnsi="Times New Roman" w:cs="Times New Roman"/>
                <w:sz w:val="16"/>
              </w:rPr>
              <w:t xml:space="preserve"> in JE2 </w:t>
            </w:r>
            <w:r>
              <w:rPr>
                <w:rFonts w:ascii="Times New Roman" w:hAnsi="Times New Roman" w:cs="Times New Roman"/>
                <w:color w:val="000000" w:themeColor="text1"/>
                <w:sz w:val="16"/>
              </w:rPr>
              <w:t>(p)ppGpp</w:t>
            </w:r>
            <w:r>
              <w:rPr>
                <w:rFonts w:ascii="Times New Roman" w:hAnsi="Times New Roman" w:cs="Times New Roman"/>
                <w:color w:val="000000" w:themeColor="text1"/>
                <w:sz w:val="16"/>
                <w:vertAlign w:val="superscript"/>
              </w:rPr>
              <w:t>0</w:t>
            </w:r>
            <w:r w:rsidRPr="0085544B">
              <w:rPr>
                <w:rFonts w:ascii="Times New Roman" w:hAnsi="Times New Roman" w:cs="Times New Roman"/>
                <w:color w:val="000000" w:themeColor="text1"/>
                <w:sz w:val="16"/>
                <w:szCs w:val="16"/>
              </w:rPr>
              <w:t>; CamR</w:t>
            </w:r>
          </w:p>
        </w:tc>
        <w:tc>
          <w:tcPr>
            <w:tcW w:w="2552" w:type="dxa"/>
          </w:tcPr>
          <w:p w14:paraId="7DFA6465"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7F1A03">
              <w:rPr>
                <w:rFonts w:ascii="Times New Roman" w:hAnsi="Times New Roman" w:cs="Times New Roman"/>
                <w:color w:val="000000" w:themeColor="text1"/>
                <w:sz w:val="16"/>
              </w:rPr>
              <w:t>Laboratory strain collection</w:t>
            </w:r>
          </w:p>
        </w:tc>
      </w:tr>
      <w:tr w:rsidR="00D70E9B" w:rsidRPr="0085544B" w14:paraId="0BEAB64C"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0172F14B"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RMC1872</w:t>
            </w:r>
          </w:p>
        </w:tc>
        <w:tc>
          <w:tcPr>
            <w:cnfStyle w:val="000010000000" w:firstRow="0" w:lastRow="0" w:firstColumn="0" w:lastColumn="0" w:oddVBand="1" w:evenVBand="0" w:oddHBand="0" w:evenHBand="0" w:firstRowFirstColumn="0" w:firstRowLastColumn="0" w:lastRowFirstColumn="0" w:lastRowLastColumn="0"/>
            <w:tcW w:w="4946" w:type="dxa"/>
          </w:tcPr>
          <w:p w14:paraId="319F6F90"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i/>
                <w:iCs/>
                <w:sz w:val="16"/>
              </w:rPr>
              <w:t>Q</w:t>
            </w:r>
            <w:r>
              <w:rPr>
                <w:rFonts w:ascii="Times New Roman" w:hAnsi="Times New Roman" w:cs="Times New Roman"/>
                <w:sz w:val="16"/>
              </w:rPr>
              <w:t xml:space="preserve"> in JE2 </w:t>
            </w:r>
            <w:r>
              <w:rPr>
                <w:rFonts w:ascii="Times New Roman" w:hAnsi="Times New Roman" w:cs="Times New Roman"/>
                <w:color w:val="000000" w:themeColor="text1"/>
                <w:sz w:val="16"/>
              </w:rPr>
              <w:t>(p)ppGpp</w:t>
            </w:r>
            <w:r>
              <w:rPr>
                <w:rFonts w:ascii="Times New Roman" w:hAnsi="Times New Roman" w:cs="Times New Roman"/>
                <w:color w:val="000000" w:themeColor="text1"/>
                <w:sz w:val="16"/>
                <w:vertAlign w:val="superscript"/>
              </w:rPr>
              <w:t>0</w:t>
            </w:r>
            <w:r w:rsidRPr="0085544B">
              <w:rPr>
                <w:rFonts w:ascii="Times New Roman" w:hAnsi="Times New Roman" w:cs="Times New Roman"/>
                <w:color w:val="000000" w:themeColor="text1"/>
                <w:sz w:val="16"/>
                <w:szCs w:val="16"/>
              </w:rPr>
              <w:t>; CamR</w:t>
            </w:r>
          </w:p>
        </w:tc>
        <w:tc>
          <w:tcPr>
            <w:tcW w:w="2552" w:type="dxa"/>
          </w:tcPr>
          <w:p w14:paraId="4C87AC52"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7F1A03">
              <w:rPr>
                <w:rFonts w:ascii="Times New Roman" w:hAnsi="Times New Roman" w:cs="Times New Roman"/>
                <w:color w:val="000000" w:themeColor="text1"/>
                <w:sz w:val="16"/>
              </w:rPr>
              <w:t>Laboratory strain collection</w:t>
            </w:r>
          </w:p>
        </w:tc>
      </w:tr>
      <w:tr w:rsidR="00D70E9B" w:rsidRPr="0085544B" w14:paraId="3122BD29"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46603E00"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CD6D78">
              <w:rPr>
                <w:rFonts w:ascii="Times New Roman" w:hAnsi="Times New Roman" w:cs="Times New Roman"/>
                <w:sz w:val="16"/>
              </w:rPr>
              <w:t>1892</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75376F45"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CD6D78">
              <w:rPr>
                <w:rFonts w:ascii="Times New Roman" w:hAnsi="Times New Roman" w:cs="Times New Roman"/>
                <w:color w:val="000000" w:themeColor="text1"/>
                <w:sz w:val="16"/>
              </w:rPr>
              <w:t>pCL55iTET-</w:t>
            </w:r>
            <w:r>
              <w:rPr>
                <w:rFonts w:ascii="Times New Roman" w:hAnsi="Times New Roman" w:cs="Times New Roman"/>
                <w:color w:val="000000" w:themeColor="text1"/>
                <w:sz w:val="16"/>
              </w:rPr>
              <w:t xml:space="preserve">riboswitch-Broccoli in </w:t>
            </w:r>
            <w:r w:rsidRPr="00CD6D78">
              <w:rPr>
                <w:rFonts w:ascii="Times New Roman" w:hAnsi="Times New Roman" w:cs="Times New Roman"/>
                <w:color w:val="000000" w:themeColor="text1"/>
                <w:sz w:val="16"/>
              </w:rPr>
              <w:t>RN4220</w:t>
            </w:r>
            <w:r w:rsidRPr="0085544B">
              <w:rPr>
                <w:rFonts w:ascii="Times New Roman" w:hAnsi="Times New Roman" w:cs="Times New Roman"/>
                <w:color w:val="000000" w:themeColor="text1"/>
                <w:sz w:val="16"/>
                <w:szCs w:val="16"/>
              </w:rPr>
              <w:t>; CamR</w:t>
            </w:r>
          </w:p>
        </w:tc>
        <w:tc>
          <w:tcPr>
            <w:tcW w:w="2552" w:type="dxa"/>
          </w:tcPr>
          <w:p w14:paraId="6AB4B222"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457FB40F"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1CBF9C92"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CD6D78">
              <w:rPr>
                <w:rFonts w:ascii="Times New Roman" w:hAnsi="Times New Roman" w:cs="Times New Roman"/>
                <w:sz w:val="16"/>
              </w:rPr>
              <w:t>1893</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7DE65C3C" w14:textId="77777777" w:rsidR="00D70E9B" w:rsidRPr="00FA315D" w:rsidRDefault="00D70E9B" w:rsidP="00A74445">
            <w:pPr>
              <w:spacing w:line="480" w:lineRule="auto"/>
              <w:ind w:right="-1"/>
              <w:rPr>
                <w:rFonts w:ascii="Times New Roman" w:hAnsi="Times New Roman" w:cs="Times New Roman"/>
                <w:color w:val="000000" w:themeColor="text1"/>
                <w:sz w:val="16"/>
              </w:rPr>
            </w:pPr>
            <w:r w:rsidRPr="00CD6D78">
              <w:rPr>
                <w:rFonts w:ascii="Times New Roman" w:hAnsi="Times New Roman" w:cs="Times New Roman"/>
                <w:color w:val="000000" w:themeColor="text1"/>
                <w:sz w:val="16"/>
              </w:rPr>
              <w:t>pCL55iTET-Broccoli</w:t>
            </w:r>
            <w:r>
              <w:rPr>
                <w:rFonts w:ascii="Times New Roman" w:hAnsi="Times New Roman" w:cs="Times New Roman"/>
                <w:color w:val="000000" w:themeColor="text1"/>
                <w:sz w:val="16"/>
              </w:rPr>
              <w:t xml:space="preserve"> in </w:t>
            </w:r>
            <w:r w:rsidRPr="00CD6D78">
              <w:rPr>
                <w:rFonts w:ascii="Times New Roman" w:hAnsi="Times New Roman" w:cs="Times New Roman"/>
                <w:color w:val="000000" w:themeColor="text1"/>
                <w:sz w:val="16"/>
              </w:rPr>
              <w:t>RN4220</w:t>
            </w:r>
            <w:r w:rsidRPr="0085544B">
              <w:rPr>
                <w:rFonts w:ascii="Times New Roman" w:hAnsi="Times New Roman" w:cs="Times New Roman"/>
                <w:color w:val="000000" w:themeColor="text1"/>
                <w:sz w:val="16"/>
                <w:szCs w:val="16"/>
              </w:rPr>
              <w:t>; CamR</w:t>
            </w:r>
            <w:r>
              <w:rPr>
                <w:rFonts w:ascii="Times New Roman" w:hAnsi="Times New Roman" w:cs="Times New Roman"/>
                <w:color w:val="000000" w:themeColor="text1"/>
                <w:sz w:val="16"/>
                <w:szCs w:val="16"/>
              </w:rPr>
              <w:t xml:space="preserve"> </w:t>
            </w:r>
          </w:p>
        </w:tc>
        <w:tc>
          <w:tcPr>
            <w:tcW w:w="2552" w:type="dxa"/>
          </w:tcPr>
          <w:p w14:paraId="096D69C7" w14:textId="77777777" w:rsidR="00D70E9B" w:rsidRPr="00B559D1"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244C4E4A"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F2B8934"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903</w:t>
            </w:r>
          </w:p>
        </w:tc>
        <w:tc>
          <w:tcPr>
            <w:cnfStyle w:val="000010000000" w:firstRow="0" w:lastRow="0" w:firstColumn="0" w:lastColumn="0" w:oddVBand="1" w:evenVBand="0" w:oddHBand="0" w:evenHBand="0" w:firstRowFirstColumn="0" w:firstRowLastColumn="0" w:lastRowFirstColumn="0" w:lastRowLastColumn="0"/>
            <w:tcW w:w="4946" w:type="dxa"/>
          </w:tcPr>
          <w:p w14:paraId="543B5CFE" w14:textId="77777777" w:rsidR="00D70E9B" w:rsidRPr="00FA315D"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sz w:val="16"/>
              </w:rPr>
              <w:t>pCL55-iTET-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HD in RN4220; CamR</w:t>
            </w:r>
          </w:p>
        </w:tc>
        <w:tc>
          <w:tcPr>
            <w:tcW w:w="2552" w:type="dxa"/>
          </w:tcPr>
          <w:p w14:paraId="046B5298" w14:textId="77777777" w:rsidR="00D70E9B" w:rsidRPr="00B559D1"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This study</w:t>
            </w:r>
          </w:p>
        </w:tc>
      </w:tr>
      <w:tr w:rsidR="00D70E9B" w:rsidRPr="0085544B" w14:paraId="61E7B140"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1E6421C9" w14:textId="77777777" w:rsidR="00D70E9B" w:rsidRPr="006B055B" w:rsidRDefault="00D70E9B" w:rsidP="00A74445">
            <w:pPr>
              <w:spacing w:line="480" w:lineRule="auto"/>
              <w:ind w:right="-1"/>
              <w:rPr>
                <w:rFonts w:ascii="Times New Roman" w:hAnsi="Times New Roman" w:cs="Times New Roman"/>
                <w:sz w:val="18"/>
                <w:szCs w:val="24"/>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904</w:t>
            </w:r>
          </w:p>
        </w:tc>
        <w:tc>
          <w:tcPr>
            <w:cnfStyle w:val="000010000000" w:firstRow="0" w:lastRow="0" w:firstColumn="0" w:lastColumn="0" w:oddVBand="1" w:evenVBand="0" w:oddHBand="0" w:evenHBand="0" w:firstRowFirstColumn="0" w:firstRowLastColumn="0" w:lastRowFirstColumn="0" w:lastRowLastColumn="0"/>
            <w:tcW w:w="4946" w:type="dxa"/>
          </w:tcPr>
          <w:p w14:paraId="0270D8A4" w14:textId="77777777" w:rsidR="00D70E9B" w:rsidRPr="0085544B" w:rsidRDefault="00D70E9B" w:rsidP="00A74445">
            <w:pPr>
              <w:spacing w:line="480" w:lineRule="auto"/>
              <w:ind w:right="-1"/>
              <w:rPr>
                <w:rFonts w:ascii="Times New Roman" w:hAnsi="Times New Roman" w:cs="Times New Roman"/>
                <w:color w:val="FF0000"/>
                <w:sz w:val="16"/>
              </w:rPr>
            </w:pPr>
            <w:r w:rsidRPr="0085544B">
              <w:rPr>
                <w:rFonts w:ascii="Times New Roman" w:hAnsi="Times New Roman" w:cs="Times New Roman"/>
                <w:sz w:val="16"/>
              </w:rPr>
              <w:t>pCL55-iTET-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TD-his</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HD in RN4220; CamR</w:t>
            </w:r>
          </w:p>
        </w:tc>
        <w:tc>
          <w:tcPr>
            <w:tcW w:w="2552" w:type="dxa"/>
          </w:tcPr>
          <w:p w14:paraId="3E33BD08"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color w:val="000000" w:themeColor="text1"/>
                <w:sz w:val="16"/>
              </w:rPr>
              <w:t>This study</w:t>
            </w:r>
          </w:p>
        </w:tc>
      </w:tr>
      <w:tr w:rsidR="00D70E9B" w:rsidRPr="0085544B" w14:paraId="2ED13CBE"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087D0D3"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905</w:t>
            </w:r>
          </w:p>
        </w:tc>
        <w:tc>
          <w:tcPr>
            <w:cnfStyle w:val="000010000000" w:firstRow="0" w:lastRow="0" w:firstColumn="0" w:lastColumn="0" w:oddVBand="1" w:evenVBand="0" w:oddHBand="0" w:evenHBand="0" w:firstRowFirstColumn="0" w:firstRowLastColumn="0" w:lastRowFirstColumn="0" w:lastRowLastColumn="0"/>
            <w:tcW w:w="4946" w:type="dxa"/>
          </w:tcPr>
          <w:p w14:paraId="4562E9B2" w14:textId="77777777" w:rsidR="00D70E9B" w:rsidRPr="0085544B" w:rsidRDefault="00D70E9B" w:rsidP="00A74445">
            <w:pPr>
              <w:spacing w:line="480" w:lineRule="auto"/>
              <w:ind w:right="-1"/>
              <w:rPr>
                <w:rFonts w:ascii="Times New Roman" w:hAnsi="Times New Roman" w:cs="Times New Roman"/>
                <w:color w:val="FF0000"/>
                <w:sz w:val="16"/>
              </w:rPr>
            </w:pPr>
            <w:r w:rsidRPr="0085544B">
              <w:rPr>
                <w:rFonts w:ascii="Times New Roman" w:hAnsi="Times New Roman" w:cs="Times New Roman"/>
                <w:sz w:val="16"/>
                <w:lang w:val="en-US"/>
              </w:rPr>
              <w:t>pCL55-iTET</w:t>
            </w:r>
            <w:r w:rsidRPr="0085544B">
              <w:rPr>
                <w:rFonts w:ascii="Times New Roman" w:hAnsi="Times New Roman" w:cs="Times New Roman"/>
                <w:sz w:val="16"/>
                <w:vertAlign w:val="subscript"/>
                <w:lang w:val="en-US"/>
              </w:rPr>
              <w:t>r862</w:t>
            </w:r>
            <w:r w:rsidRPr="0085544B">
              <w:rPr>
                <w:rFonts w:ascii="Times New Roman" w:hAnsi="Times New Roman" w:cs="Times New Roman"/>
                <w:sz w:val="16"/>
              </w:rPr>
              <w: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HD in RN4220; CamR</w:t>
            </w:r>
          </w:p>
        </w:tc>
        <w:tc>
          <w:tcPr>
            <w:tcW w:w="2552" w:type="dxa"/>
          </w:tcPr>
          <w:p w14:paraId="7EAC3098"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color w:val="000000" w:themeColor="text1"/>
                <w:sz w:val="16"/>
              </w:rPr>
              <w:t>This study</w:t>
            </w:r>
          </w:p>
        </w:tc>
      </w:tr>
      <w:tr w:rsidR="00D70E9B" w:rsidRPr="0085544B" w14:paraId="27235D7A"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2C1412E0"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Pr>
                <w:rFonts w:ascii="Times New Roman" w:hAnsi="Times New Roman" w:cs="Times New Roman"/>
                <w:sz w:val="16"/>
                <w:lang w:val="en-US"/>
              </w:rPr>
              <w:t>1906</w:t>
            </w:r>
          </w:p>
        </w:tc>
        <w:tc>
          <w:tcPr>
            <w:cnfStyle w:val="000010000000" w:firstRow="0" w:lastRow="0" w:firstColumn="0" w:lastColumn="0" w:oddVBand="1" w:evenVBand="0" w:oddHBand="0" w:evenHBand="0" w:firstRowFirstColumn="0" w:firstRowLastColumn="0" w:lastRowFirstColumn="0" w:lastRowLastColumn="0"/>
            <w:tcW w:w="4946" w:type="dxa"/>
          </w:tcPr>
          <w:p w14:paraId="1924EAA7" w14:textId="77777777" w:rsidR="00D70E9B" w:rsidRPr="0085544B" w:rsidRDefault="00D70E9B" w:rsidP="00A74445">
            <w:pPr>
              <w:spacing w:line="480" w:lineRule="auto"/>
              <w:ind w:right="-1"/>
              <w:rPr>
                <w:rFonts w:ascii="Times New Roman" w:hAnsi="Times New Roman" w:cs="Times New Roman"/>
                <w:color w:val="FF0000"/>
                <w:sz w:val="16"/>
              </w:rPr>
            </w:pPr>
            <w:r w:rsidRPr="0085544B">
              <w:rPr>
                <w:rFonts w:ascii="Times New Roman" w:hAnsi="Times New Roman" w:cs="Times New Roman"/>
                <w:sz w:val="16"/>
                <w:lang w:val="en-US"/>
              </w:rPr>
              <w:t>pCL55-iTET</w:t>
            </w:r>
            <w:r w:rsidRPr="0085544B">
              <w:rPr>
                <w:rFonts w:ascii="Times New Roman" w:hAnsi="Times New Roman" w:cs="Times New Roman"/>
                <w:sz w:val="16"/>
                <w:vertAlign w:val="subscript"/>
                <w:lang w:val="en-US"/>
              </w:rPr>
              <w:t>r862</w:t>
            </w:r>
            <w:r w:rsidRPr="0085544B">
              <w:rPr>
                <w:rFonts w:ascii="Times New Roman" w:hAnsi="Times New Roman" w:cs="Times New Roman"/>
                <w:sz w:val="16"/>
              </w:rPr>
              <w:t>-</w:t>
            </w:r>
            <w:r w:rsidRPr="0085544B">
              <w:rPr>
                <w:rFonts w:ascii="Times New Roman" w:hAnsi="Times New Roman" w:cs="Times New Roman"/>
                <w:i/>
                <w:iCs/>
                <w:sz w:val="16"/>
              </w:rPr>
              <w:t>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i/>
                <w:iCs/>
                <w:color w:val="000000"/>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TD-his</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HD in RN4220; CamR</w:t>
            </w:r>
          </w:p>
        </w:tc>
        <w:tc>
          <w:tcPr>
            <w:tcW w:w="2552" w:type="dxa"/>
          </w:tcPr>
          <w:p w14:paraId="384AC2E3"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color w:val="000000" w:themeColor="text1"/>
                <w:sz w:val="16"/>
              </w:rPr>
              <w:t>This study</w:t>
            </w:r>
          </w:p>
        </w:tc>
      </w:tr>
      <w:tr w:rsidR="00D70E9B" w:rsidRPr="0085544B" w14:paraId="16D0D4D7"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2C5D116"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RMC1907</w:t>
            </w:r>
          </w:p>
        </w:tc>
        <w:tc>
          <w:tcPr>
            <w:cnfStyle w:val="000010000000" w:firstRow="0" w:lastRow="0" w:firstColumn="0" w:lastColumn="0" w:oddVBand="1" w:evenVBand="0" w:oddHBand="0" w:evenHBand="0" w:firstRowFirstColumn="0" w:firstRowLastColumn="0" w:lastRowFirstColumn="0" w:lastRowLastColumn="0"/>
            <w:tcW w:w="4946" w:type="dxa"/>
          </w:tcPr>
          <w:p w14:paraId="49F30292" w14:textId="77777777" w:rsidR="00D70E9B" w:rsidRPr="0085544B" w:rsidRDefault="00D70E9B" w:rsidP="00A74445">
            <w:pPr>
              <w:spacing w:line="480" w:lineRule="auto"/>
              <w:ind w:right="-1"/>
              <w:rPr>
                <w:rFonts w:ascii="Times New Roman" w:hAnsi="Times New Roman" w:cs="Times New Roman"/>
                <w:color w:val="FF0000"/>
                <w:sz w:val="16"/>
              </w:rPr>
            </w:pPr>
            <w:r w:rsidRPr="0085544B">
              <w:rPr>
                <w:rFonts w:ascii="Times New Roman" w:hAnsi="Times New Roman" w:cs="Times New Roman"/>
                <w:color w:val="000000" w:themeColor="text1"/>
                <w:sz w:val="16"/>
              </w:rPr>
              <w:t>pCL55-iTET-</w:t>
            </w:r>
            <w:r w:rsidRPr="0085544B">
              <w:rPr>
                <w:rFonts w:ascii="Times New Roman" w:hAnsi="Times New Roman" w:cs="Times New Roman"/>
                <w:i/>
                <w:iCs/>
                <w:color w:val="000000" w:themeColor="text1"/>
                <w:sz w:val="16"/>
              </w:rPr>
              <w:t>rel</w:t>
            </w:r>
            <w:r w:rsidRPr="0085544B">
              <w:rPr>
                <w:rFonts w:ascii="Times New Roman" w:hAnsi="Times New Roman" w:cs="Times New Roman"/>
                <w:i/>
                <w:iCs/>
                <w:color w:val="000000" w:themeColor="text1"/>
                <w:sz w:val="16"/>
                <w:szCs w:val="16"/>
                <w:vertAlign w:val="subscript"/>
              </w:rPr>
              <w:t>Sau</w:t>
            </w:r>
            <w:r w:rsidRPr="0085544B">
              <w:rPr>
                <w:rFonts w:ascii="Times New Roman" w:hAnsi="Times New Roman" w:cs="Times New Roman"/>
                <w:i/>
                <w:iCs/>
                <w:color w:val="000000" w:themeColor="text1"/>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w:t>
            </w:r>
            <w:r w:rsidRPr="0085544B">
              <w:rPr>
                <w:rFonts w:ascii="Times New Roman" w:hAnsi="Times New Roman" w:cs="Times New Roman"/>
                <w:color w:val="000000" w:themeColor="text1"/>
                <w:sz w:val="16"/>
                <w:szCs w:val="16"/>
              </w:rPr>
              <w:t xml:space="preserve">in </w:t>
            </w:r>
            <w:r w:rsidRPr="0085544B">
              <w:rPr>
                <w:rFonts w:ascii="Times New Roman" w:hAnsi="Times New Roman" w:cs="Times New Roman"/>
                <w:color w:val="000000" w:themeColor="text1"/>
                <w:sz w:val="16"/>
              </w:rPr>
              <w:t>JE2 wildtype</w:t>
            </w:r>
            <w:r w:rsidRPr="0085544B">
              <w:rPr>
                <w:rFonts w:ascii="Times New Roman" w:hAnsi="Times New Roman" w:cs="Times New Roman"/>
                <w:color w:val="000000" w:themeColor="text1"/>
                <w:sz w:val="16"/>
                <w:szCs w:val="16"/>
              </w:rPr>
              <w:t>; CamR</w:t>
            </w:r>
          </w:p>
        </w:tc>
        <w:tc>
          <w:tcPr>
            <w:tcW w:w="2552" w:type="dxa"/>
          </w:tcPr>
          <w:p w14:paraId="0AB6831E"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color w:val="000000" w:themeColor="text1"/>
                <w:sz w:val="16"/>
              </w:rPr>
              <w:t>This study</w:t>
            </w:r>
          </w:p>
        </w:tc>
      </w:tr>
      <w:tr w:rsidR="00D70E9B" w:rsidRPr="0085544B" w14:paraId="13EF0D9B"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648205C2"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85544B">
              <w:rPr>
                <w:rFonts w:ascii="Times New Roman" w:hAnsi="Times New Roman" w:cs="Times New Roman"/>
                <w:sz w:val="16"/>
              </w:rPr>
              <w:t>1</w:t>
            </w:r>
            <w:r>
              <w:rPr>
                <w:rFonts w:ascii="Times New Roman" w:hAnsi="Times New Roman" w:cs="Times New Roman"/>
                <w:sz w:val="16"/>
              </w:rPr>
              <w:t>908</w:t>
            </w:r>
          </w:p>
        </w:tc>
        <w:tc>
          <w:tcPr>
            <w:cnfStyle w:val="000010000000" w:firstRow="0" w:lastRow="0" w:firstColumn="0" w:lastColumn="0" w:oddVBand="1" w:evenVBand="0" w:oddHBand="0" w:evenHBand="0" w:firstRowFirstColumn="0" w:firstRowLastColumn="0" w:lastRowFirstColumn="0" w:lastRowLastColumn="0"/>
            <w:tcW w:w="4946" w:type="dxa"/>
          </w:tcPr>
          <w:p w14:paraId="6B23D285"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lang w:val="en-US"/>
              </w:rPr>
              <w:t>pCL55-iTET</w:t>
            </w:r>
            <w:r w:rsidRPr="0085544B">
              <w:rPr>
                <w:rFonts w:ascii="Times New Roman" w:hAnsi="Times New Roman" w:cs="Times New Roman"/>
                <w:color w:val="000000" w:themeColor="text1"/>
                <w:sz w:val="16"/>
                <w:vertAlign w:val="subscript"/>
                <w:lang w:val="en-US"/>
              </w:rPr>
              <w:t>r862</w:t>
            </w:r>
            <w:r w:rsidRPr="0085544B">
              <w:rPr>
                <w:rFonts w:ascii="Times New Roman" w:hAnsi="Times New Roman" w:cs="Times New Roman"/>
                <w:color w:val="000000" w:themeColor="text1"/>
                <w:sz w:val="16"/>
              </w:rPr>
              <w:t>-</w:t>
            </w:r>
            <w:r w:rsidRPr="0085544B">
              <w:rPr>
                <w:rFonts w:ascii="Times New Roman" w:hAnsi="Times New Roman" w:cs="Times New Roman"/>
                <w:i/>
                <w:iCs/>
                <w:color w:val="000000" w:themeColor="text1"/>
                <w:sz w:val="16"/>
              </w:rPr>
              <w:t>rel</w:t>
            </w:r>
            <w:r w:rsidRPr="0085544B">
              <w:rPr>
                <w:rFonts w:ascii="Times New Roman" w:hAnsi="Times New Roman" w:cs="Times New Roman"/>
                <w:i/>
                <w:iCs/>
                <w:color w:val="000000" w:themeColor="text1"/>
                <w:sz w:val="16"/>
                <w:szCs w:val="16"/>
                <w:vertAlign w:val="subscript"/>
              </w:rPr>
              <w:t>Sau</w:t>
            </w:r>
            <w:r w:rsidRPr="0085544B">
              <w:rPr>
                <w:rFonts w:ascii="Times New Roman" w:hAnsi="Times New Roman" w:cs="Times New Roman"/>
                <w:i/>
                <w:iCs/>
                <w:color w:val="000000" w:themeColor="text1"/>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w:t>
            </w:r>
            <w:r w:rsidRPr="0085544B">
              <w:rPr>
                <w:rFonts w:ascii="Times New Roman" w:hAnsi="Times New Roman" w:cs="Times New Roman"/>
                <w:color w:val="000000" w:themeColor="text1"/>
                <w:sz w:val="16"/>
                <w:szCs w:val="16"/>
              </w:rPr>
              <w:t xml:space="preserve">in </w:t>
            </w:r>
            <w:r w:rsidRPr="0085544B">
              <w:rPr>
                <w:rFonts w:ascii="Times New Roman" w:hAnsi="Times New Roman" w:cs="Times New Roman"/>
                <w:color w:val="000000" w:themeColor="text1"/>
                <w:sz w:val="16"/>
              </w:rPr>
              <w:t>JE2 wildtype</w:t>
            </w:r>
            <w:r w:rsidRPr="0085544B">
              <w:rPr>
                <w:rFonts w:ascii="Times New Roman" w:hAnsi="Times New Roman" w:cs="Times New Roman"/>
                <w:color w:val="000000" w:themeColor="text1"/>
                <w:sz w:val="16"/>
                <w:szCs w:val="16"/>
              </w:rPr>
              <w:t>; CamR</w:t>
            </w:r>
          </w:p>
        </w:tc>
        <w:tc>
          <w:tcPr>
            <w:tcW w:w="2552" w:type="dxa"/>
          </w:tcPr>
          <w:p w14:paraId="5850197F"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color w:val="000000" w:themeColor="text1"/>
                <w:sz w:val="16"/>
              </w:rPr>
              <w:t>This study</w:t>
            </w:r>
          </w:p>
        </w:tc>
      </w:tr>
      <w:tr w:rsidR="00D70E9B" w:rsidRPr="0085544B" w14:paraId="29C8983D"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54E9BF6F"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RMC1909</w:t>
            </w:r>
          </w:p>
        </w:tc>
        <w:tc>
          <w:tcPr>
            <w:cnfStyle w:val="000010000000" w:firstRow="0" w:lastRow="0" w:firstColumn="0" w:lastColumn="0" w:oddVBand="1" w:evenVBand="0" w:oddHBand="0" w:evenHBand="0" w:firstRowFirstColumn="0" w:firstRowLastColumn="0" w:lastRowFirstColumn="0" w:lastRowLastColumn="0"/>
            <w:tcW w:w="4946" w:type="dxa"/>
          </w:tcPr>
          <w:p w14:paraId="2661F425"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olor w:val="000000" w:themeColor="text1"/>
                <w:sz w:val="16"/>
              </w:rPr>
              <w:t>pCL55-iTET</w:t>
            </w:r>
            <w:r w:rsidRPr="0085544B">
              <w:rPr>
                <w:rFonts w:ascii="Times New Roman" w:hAnsi="Times New Roman" w:cs="Times New Roman"/>
                <w:color w:val="000000" w:themeColor="text1"/>
                <w:sz w:val="16"/>
                <w:vertAlign w:val="subscript"/>
                <w:lang w:val="en-US"/>
              </w:rPr>
              <w:t>r862</w:t>
            </w:r>
            <w:r w:rsidRPr="0085544B">
              <w:rPr>
                <w:rFonts w:ascii="Times New Roman" w:hAnsi="Times New Roman" w:cs="Times New Roman"/>
                <w:color w:val="000000" w:themeColor="text1"/>
                <w:sz w:val="16"/>
              </w:rPr>
              <w:t>-</w:t>
            </w:r>
            <w:r w:rsidRPr="0085544B">
              <w:rPr>
                <w:rFonts w:ascii="Times New Roman" w:hAnsi="Times New Roman" w:cs="Times New Roman"/>
                <w:i/>
                <w:iCs/>
                <w:color w:val="000000" w:themeColor="text1"/>
                <w:sz w:val="16"/>
              </w:rPr>
              <w:t>rel</w:t>
            </w:r>
            <w:r w:rsidRPr="0085544B">
              <w:rPr>
                <w:rFonts w:ascii="Times New Roman" w:hAnsi="Times New Roman" w:cs="Times New Roman"/>
                <w:i/>
                <w:iCs/>
                <w:color w:val="000000" w:themeColor="text1"/>
                <w:sz w:val="16"/>
                <w:szCs w:val="16"/>
                <w:vertAlign w:val="subscript"/>
              </w:rPr>
              <w:t>Sau</w:t>
            </w:r>
            <w:r w:rsidRPr="0085544B">
              <w:rPr>
                <w:rFonts w:ascii="Times New Roman" w:hAnsi="Times New Roman" w:cs="Times New Roman"/>
                <w:i/>
                <w:iCs/>
                <w:color w:val="000000" w:themeColor="text1"/>
                <w:sz w:val="16"/>
                <w:szCs w:val="16"/>
              </w:rPr>
              <w:t>-</w:t>
            </w:r>
            <w:r w:rsidRPr="0085544B">
              <w:rPr>
                <w:rFonts w:ascii="Times New Roman" w:hAnsi="Times New Roman" w:cs="Times New Roman"/>
                <w:color w:val="000000"/>
                <w:sz w:val="16"/>
                <w:szCs w:val="16"/>
              </w:rPr>
              <w:t>N</w:t>
            </w:r>
            <w:r>
              <w:rPr>
                <w:rFonts w:ascii="Times New Roman" w:hAnsi="Times New Roman" w:cs="Times New Roman"/>
                <w:color w:val="000000"/>
                <w:sz w:val="16"/>
                <w:szCs w:val="16"/>
              </w:rPr>
              <w:t>TD</w:t>
            </w:r>
            <w:r w:rsidRPr="0085544B">
              <w:rPr>
                <w:rFonts w:ascii="Times New Roman" w:hAnsi="Times New Roman" w:cs="Times New Roman"/>
                <w:color w:val="000000"/>
                <w:sz w:val="16"/>
                <w:szCs w:val="16"/>
              </w:rPr>
              <w:t>-</w:t>
            </w:r>
            <w:r w:rsidRPr="005277ED">
              <w:rPr>
                <w:rFonts w:ascii="Times New Roman" w:hAnsi="Times New Roman" w:cs="Times New Roman"/>
                <w:color w:val="000000"/>
                <w:sz w:val="16"/>
                <w:szCs w:val="16"/>
              </w:rPr>
              <w:t>∆</w:t>
            </w:r>
            <w:r w:rsidRPr="0085544B">
              <w:rPr>
                <w:rFonts w:ascii="Times New Roman" w:hAnsi="Times New Roman" w:cs="Times New Roman"/>
                <w:color w:val="000000"/>
                <w:sz w:val="16"/>
                <w:szCs w:val="16"/>
              </w:rPr>
              <w:t xml:space="preserve">HD </w:t>
            </w:r>
            <w:r w:rsidRPr="0085544B">
              <w:rPr>
                <w:rFonts w:ascii="Times New Roman" w:hAnsi="Times New Roman" w:cs="Times New Roman"/>
                <w:color w:val="000000" w:themeColor="text1"/>
                <w:sz w:val="16"/>
                <w:szCs w:val="16"/>
              </w:rPr>
              <w:t xml:space="preserve">in </w:t>
            </w:r>
            <w:r w:rsidRPr="0085544B">
              <w:rPr>
                <w:rFonts w:ascii="Times New Roman" w:hAnsi="Times New Roman" w:cs="Times New Roman"/>
                <w:color w:val="000000" w:themeColor="text1"/>
                <w:sz w:val="16"/>
              </w:rPr>
              <w:t xml:space="preserve">JE2 </w:t>
            </w:r>
            <w:r>
              <w:rPr>
                <w:rFonts w:ascii="Times New Roman" w:hAnsi="Times New Roman" w:cs="Times New Roman"/>
                <w:color w:val="000000" w:themeColor="text1"/>
                <w:sz w:val="16"/>
              </w:rPr>
              <w:t>(p)ppGpp</w:t>
            </w:r>
            <w:r>
              <w:rPr>
                <w:rFonts w:ascii="Times New Roman" w:hAnsi="Times New Roman" w:cs="Times New Roman"/>
                <w:color w:val="000000" w:themeColor="text1"/>
                <w:sz w:val="16"/>
                <w:vertAlign w:val="superscript"/>
              </w:rPr>
              <w:t>0</w:t>
            </w:r>
            <w:r w:rsidRPr="0085544B">
              <w:rPr>
                <w:rFonts w:ascii="Times New Roman" w:hAnsi="Times New Roman" w:cs="Times New Roman"/>
                <w:color w:val="000000" w:themeColor="text1"/>
                <w:sz w:val="16"/>
                <w:szCs w:val="16"/>
              </w:rPr>
              <w:t>; CamR</w:t>
            </w:r>
          </w:p>
        </w:tc>
        <w:tc>
          <w:tcPr>
            <w:tcW w:w="2552" w:type="dxa"/>
          </w:tcPr>
          <w:p w14:paraId="16DFFBB9" w14:textId="77777777" w:rsidR="00D70E9B" w:rsidRPr="0085544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rPr>
            </w:pPr>
            <w:r w:rsidRPr="0085544B">
              <w:rPr>
                <w:rFonts w:ascii="Times New Roman" w:hAnsi="Times New Roman" w:cs="Times New Roman"/>
                <w:color w:val="000000" w:themeColor="text1"/>
                <w:sz w:val="16"/>
              </w:rPr>
              <w:t>This study</w:t>
            </w:r>
          </w:p>
        </w:tc>
      </w:tr>
      <w:tr w:rsidR="00D70E9B" w:rsidRPr="0085544B" w14:paraId="78381E98"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0F852033"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6B3B75">
              <w:rPr>
                <w:rFonts w:ascii="Times New Roman" w:hAnsi="Times New Roman" w:cs="Times New Roman"/>
                <w:color w:val="000000" w:themeColor="text1"/>
                <w:sz w:val="16"/>
              </w:rPr>
              <w:t>1910</w:t>
            </w:r>
          </w:p>
        </w:tc>
        <w:tc>
          <w:tcPr>
            <w:cnfStyle w:val="000010000000" w:firstRow="0" w:lastRow="0" w:firstColumn="0" w:lastColumn="0" w:oddVBand="1" w:evenVBand="0" w:oddHBand="0" w:evenHBand="0" w:firstRowFirstColumn="0" w:firstRowLastColumn="0" w:lastRowFirstColumn="0" w:lastRowLastColumn="0"/>
            <w:tcW w:w="4946" w:type="dxa"/>
          </w:tcPr>
          <w:p w14:paraId="0130F54F" w14:textId="77777777" w:rsidR="00D70E9B" w:rsidRPr="0085544B" w:rsidRDefault="00D70E9B" w:rsidP="00A74445">
            <w:pPr>
              <w:spacing w:line="480" w:lineRule="auto"/>
              <w:ind w:right="-1"/>
              <w:rPr>
                <w:rFonts w:ascii="Times New Roman" w:hAnsi="Times New Roman" w:cs="Times New Roman"/>
                <w:color w:val="000000" w:themeColor="text1"/>
                <w:sz w:val="16"/>
              </w:rPr>
            </w:pPr>
            <w:r w:rsidRPr="006B3B75">
              <w:rPr>
                <w:rFonts w:ascii="Times New Roman" w:hAnsi="Times New Roman" w:cs="Times New Roman"/>
                <w:color w:val="000000" w:themeColor="text1"/>
                <w:sz w:val="16"/>
              </w:rPr>
              <w:t>pCL55-P</w:t>
            </w:r>
            <w:r w:rsidRPr="006B3B75">
              <w:rPr>
                <w:rFonts w:ascii="Times New Roman" w:hAnsi="Times New Roman" w:cs="Times New Roman"/>
                <w:i/>
                <w:iCs/>
                <w:color w:val="000000" w:themeColor="text1"/>
                <w:sz w:val="16"/>
              </w:rPr>
              <w:t>ilvD</w:t>
            </w:r>
            <w:r w:rsidRPr="006B3B75">
              <w:rPr>
                <w:rFonts w:ascii="Times New Roman" w:hAnsi="Times New Roman" w:cs="Times New Roman"/>
                <w:color w:val="000000" w:themeColor="text1"/>
                <w:sz w:val="16"/>
              </w:rPr>
              <w:t>-sGFP-TT </w:t>
            </w:r>
            <w:r>
              <w:rPr>
                <w:rFonts w:ascii="Times New Roman" w:hAnsi="Times New Roman" w:cs="Times New Roman"/>
                <w:color w:val="000000" w:themeColor="text1"/>
                <w:sz w:val="16"/>
              </w:rPr>
              <w:t xml:space="preserve">in </w:t>
            </w:r>
            <w:r w:rsidRPr="006B3B75">
              <w:rPr>
                <w:rFonts w:ascii="Times New Roman" w:hAnsi="Times New Roman" w:cs="Times New Roman"/>
                <w:color w:val="000000" w:themeColor="text1"/>
                <w:sz w:val="16"/>
              </w:rPr>
              <w:t>RN4220</w:t>
            </w:r>
            <w:r>
              <w:rPr>
                <w:rFonts w:ascii="Times New Roman" w:hAnsi="Times New Roman" w:cs="Times New Roman"/>
                <w:color w:val="000000" w:themeColor="text1"/>
                <w:sz w:val="16"/>
              </w:rPr>
              <w:t xml:space="preserve">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4E3F94B1" w14:textId="77777777" w:rsidR="00D70E9B" w:rsidRPr="0085544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rPr>
            </w:pPr>
            <w:r>
              <w:rPr>
                <w:rFonts w:ascii="Times New Roman" w:hAnsi="Times New Roman" w:cs="Times New Roman"/>
                <w:color w:val="000000" w:themeColor="text1"/>
                <w:sz w:val="16"/>
              </w:rPr>
              <w:t>This study</w:t>
            </w:r>
          </w:p>
        </w:tc>
      </w:tr>
      <w:tr w:rsidR="00D70E9B" w:rsidRPr="0085544B" w14:paraId="4F9863B2"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BFA9FC9" w14:textId="77777777" w:rsidR="00D70E9B" w:rsidRPr="006B3B75"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6B3B75">
              <w:rPr>
                <w:rFonts w:ascii="Times New Roman" w:hAnsi="Times New Roman" w:cs="Times New Roman"/>
                <w:color w:val="000000" w:themeColor="text1"/>
                <w:sz w:val="16"/>
              </w:rPr>
              <w:t>1911</w:t>
            </w:r>
          </w:p>
        </w:tc>
        <w:tc>
          <w:tcPr>
            <w:cnfStyle w:val="000010000000" w:firstRow="0" w:lastRow="0" w:firstColumn="0" w:lastColumn="0" w:oddVBand="1" w:evenVBand="0" w:oddHBand="0" w:evenHBand="0" w:firstRowFirstColumn="0" w:firstRowLastColumn="0" w:lastRowFirstColumn="0" w:lastRowLastColumn="0"/>
            <w:tcW w:w="4946" w:type="dxa"/>
          </w:tcPr>
          <w:p w14:paraId="78D0B184" w14:textId="77777777" w:rsidR="00D70E9B" w:rsidRPr="00FA315D" w:rsidRDefault="00D70E9B" w:rsidP="00A74445">
            <w:pPr>
              <w:spacing w:line="480" w:lineRule="auto"/>
              <w:ind w:right="-1"/>
              <w:rPr>
                <w:rFonts w:ascii="Times New Roman" w:hAnsi="Times New Roman" w:cs="Times New Roman"/>
                <w:color w:val="000000" w:themeColor="text1"/>
                <w:sz w:val="16"/>
              </w:rPr>
            </w:pPr>
            <w:r w:rsidRPr="006B3B75">
              <w:rPr>
                <w:rFonts w:ascii="Times New Roman" w:hAnsi="Times New Roman" w:cs="Times New Roman"/>
                <w:color w:val="000000" w:themeColor="text1"/>
                <w:sz w:val="16"/>
              </w:rPr>
              <w:t>pCL55-P</w:t>
            </w:r>
            <w:r w:rsidRPr="006B3B75">
              <w:rPr>
                <w:rFonts w:ascii="Times New Roman" w:hAnsi="Times New Roman" w:cs="Times New Roman"/>
                <w:i/>
                <w:iCs/>
                <w:color w:val="000000" w:themeColor="text1"/>
                <w:sz w:val="16"/>
              </w:rPr>
              <w:t>rpsO</w:t>
            </w:r>
            <w:r w:rsidRPr="006B3B75">
              <w:rPr>
                <w:rFonts w:ascii="Times New Roman" w:hAnsi="Times New Roman" w:cs="Times New Roman"/>
                <w:color w:val="000000" w:themeColor="text1"/>
                <w:sz w:val="16"/>
              </w:rPr>
              <w:t>-dsRED</w:t>
            </w:r>
            <w:r>
              <w:rPr>
                <w:rFonts w:ascii="Times New Roman" w:hAnsi="Times New Roman" w:cs="Times New Roman"/>
                <w:color w:val="000000" w:themeColor="text1"/>
                <w:sz w:val="16"/>
              </w:rPr>
              <w:t xml:space="preserve"> in </w:t>
            </w:r>
            <w:r w:rsidRPr="006B3B75">
              <w:rPr>
                <w:rFonts w:ascii="Times New Roman" w:hAnsi="Times New Roman" w:cs="Times New Roman"/>
                <w:color w:val="000000" w:themeColor="text1"/>
                <w:sz w:val="16"/>
              </w:rPr>
              <w:t>RN4220</w:t>
            </w:r>
            <w:r>
              <w:rPr>
                <w:rFonts w:ascii="Times New Roman" w:hAnsi="Times New Roman" w:cs="Times New Roman"/>
                <w:color w:val="000000" w:themeColor="text1"/>
                <w:sz w:val="16"/>
              </w:rPr>
              <w:t xml:space="preserve">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79370A70" w14:textId="77777777" w:rsidR="00D70E9B" w:rsidRPr="00B559D1"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3B1238" w14:paraId="2440DB9F"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24358AFE" w14:textId="77777777" w:rsidR="00D70E9B" w:rsidRPr="006B3B75"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w:t>
            </w:r>
            <w:r w:rsidRPr="003B1238">
              <w:rPr>
                <w:rFonts w:ascii="Times New Roman" w:hAnsi="Times New Roman" w:cs="Times New Roman"/>
                <w:caps w:val="0"/>
                <w:color w:val="000000" w:themeColor="text1"/>
                <w:sz w:val="16"/>
                <w:szCs w:val="16"/>
              </w:rPr>
              <w:t>1921</w:t>
            </w:r>
          </w:p>
        </w:tc>
        <w:tc>
          <w:tcPr>
            <w:cnfStyle w:val="000010000000" w:firstRow="0" w:lastRow="0" w:firstColumn="0" w:lastColumn="0" w:oddVBand="1" w:evenVBand="0" w:oddHBand="0" w:evenHBand="0" w:firstRowFirstColumn="0" w:firstRowLastColumn="0" w:lastRowFirstColumn="0" w:lastRowLastColumn="0"/>
            <w:tcW w:w="4946" w:type="dxa"/>
          </w:tcPr>
          <w:p w14:paraId="3521F842" w14:textId="77777777" w:rsidR="00D70E9B" w:rsidRPr="006B3B75" w:rsidRDefault="00D70E9B" w:rsidP="00A74445">
            <w:pPr>
              <w:spacing w:line="480" w:lineRule="auto"/>
              <w:ind w:right="-1"/>
              <w:rPr>
                <w:rFonts w:ascii="Times New Roman" w:hAnsi="Times New Roman" w:cs="Times New Roman"/>
                <w:color w:val="000000" w:themeColor="text1"/>
                <w:sz w:val="16"/>
              </w:rPr>
            </w:pPr>
            <w:r w:rsidRPr="003B1238">
              <w:rPr>
                <w:rFonts w:ascii="Times New Roman" w:hAnsi="Times New Roman" w:cs="Times New Roman"/>
                <w:color w:val="000000" w:themeColor="text1"/>
                <w:sz w:val="16"/>
                <w:szCs w:val="16"/>
              </w:rPr>
              <w:t>pCL55</w:t>
            </w:r>
            <w:r>
              <w:rPr>
                <w:rFonts w:ascii="Times New Roman" w:hAnsi="Times New Roman" w:cs="Times New Roman"/>
                <w:color w:val="000000" w:themeColor="text1"/>
                <w:sz w:val="16"/>
                <w:szCs w:val="16"/>
              </w:rPr>
              <w:t>-P</w:t>
            </w:r>
            <w:r w:rsidRPr="003B1238">
              <w:rPr>
                <w:rFonts w:ascii="Times New Roman" w:hAnsi="Times New Roman" w:cs="Times New Roman"/>
                <w:i/>
                <w:iCs/>
                <w:color w:val="000000" w:themeColor="text1"/>
                <w:sz w:val="16"/>
                <w:szCs w:val="16"/>
              </w:rPr>
              <w:t>relP</w:t>
            </w:r>
            <w:r w:rsidRPr="003B1238">
              <w:rPr>
                <w:rFonts w:ascii="Times New Roman" w:hAnsi="Times New Roman" w:cs="Times New Roman"/>
                <w:color w:val="000000" w:themeColor="text1"/>
                <w:sz w:val="16"/>
                <w:szCs w:val="16"/>
              </w:rPr>
              <w:t>-RelP-GFP</w:t>
            </w:r>
            <w:r>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rPr>
              <w:t>in JE2</w:t>
            </w:r>
            <w:r>
              <w:rPr>
                <w:rFonts w:ascii="Times New Roman" w:hAnsi="Times New Roman" w:cs="Times New Roman"/>
                <w:sz w:val="16"/>
                <w:szCs w:val="16"/>
              </w:rPr>
              <w:t>; CamR</w:t>
            </w:r>
          </w:p>
        </w:tc>
        <w:tc>
          <w:tcPr>
            <w:tcW w:w="2552" w:type="dxa"/>
          </w:tcPr>
          <w:p w14:paraId="733DC87A" w14:textId="77777777" w:rsidR="00D70E9B" w:rsidRPr="003B1238"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lang w:val="es-ES"/>
              </w:rPr>
            </w:pPr>
            <w:r>
              <w:rPr>
                <w:rFonts w:ascii="Times New Roman" w:hAnsi="Times New Roman" w:cs="Times New Roman"/>
                <w:color w:val="000000" w:themeColor="text1"/>
                <w:sz w:val="16"/>
              </w:rPr>
              <w:t>This study</w:t>
            </w:r>
          </w:p>
        </w:tc>
      </w:tr>
      <w:tr w:rsidR="00D70E9B" w:rsidRPr="0085544B" w14:paraId="0493DE27"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7361A6E" w14:textId="77777777" w:rsidR="00D70E9B" w:rsidRPr="003B1238" w:rsidRDefault="00D70E9B" w:rsidP="00A74445">
            <w:pPr>
              <w:spacing w:line="480" w:lineRule="auto"/>
              <w:ind w:right="-1"/>
              <w:rPr>
                <w:rFonts w:ascii="Times New Roman" w:hAnsi="Times New Roman" w:cs="Times New Roman"/>
                <w:caps w:val="0"/>
                <w:color w:val="000000" w:themeColor="text1"/>
                <w:sz w:val="16"/>
                <w:szCs w:val="16"/>
              </w:rPr>
            </w:pPr>
            <w:r>
              <w:rPr>
                <w:rFonts w:ascii="Times New Roman" w:hAnsi="Times New Roman" w:cs="Times New Roman"/>
                <w:sz w:val="16"/>
              </w:rPr>
              <w:t>RMC</w:t>
            </w:r>
            <w:r w:rsidRPr="003B1238">
              <w:rPr>
                <w:rFonts w:ascii="Times New Roman" w:hAnsi="Times New Roman" w:cs="Times New Roman"/>
                <w:caps w:val="0"/>
                <w:color w:val="000000" w:themeColor="text1"/>
                <w:sz w:val="16"/>
                <w:szCs w:val="16"/>
              </w:rPr>
              <w:t>1922</w:t>
            </w:r>
          </w:p>
        </w:tc>
        <w:tc>
          <w:tcPr>
            <w:cnfStyle w:val="000010000000" w:firstRow="0" w:lastRow="0" w:firstColumn="0" w:lastColumn="0" w:oddVBand="1" w:evenVBand="0" w:oddHBand="0" w:evenHBand="0" w:firstRowFirstColumn="0" w:firstRowLastColumn="0" w:lastRowFirstColumn="0" w:lastRowLastColumn="0"/>
            <w:tcW w:w="4946" w:type="dxa"/>
          </w:tcPr>
          <w:p w14:paraId="21A0EC98" w14:textId="77777777" w:rsidR="00D70E9B" w:rsidRPr="003B1238" w:rsidRDefault="00D70E9B" w:rsidP="00A74445">
            <w:pPr>
              <w:spacing w:line="480" w:lineRule="auto"/>
              <w:ind w:right="-1"/>
              <w:rPr>
                <w:rFonts w:ascii="Times New Roman" w:hAnsi="Times New Roman" w:cs="Times New Roman"/>
                <w:color w:val="000000" w:themeColor="text1"/>
                <w:sz w:val="16"/>
                <w:szCs w:val="16"/>
              </w:rPr>
            </w:pPr>
            <w:r w:rsidRPr="003B1238">
              <w:rPr>
                <w:rFonts w:ascii="Times New Roman" w:hAnsi="Times New Roman" w:cs="Times New Roman"/>
                <w:color w:val="000000" w:themeColor="text1"/>
                <w:sz w:val="16"/>
                <w:szCs w:val="16"/>
              </w:rPr>
              <w:t>pCL55-</w:t>
            </w:r>
            <w:r>
              <w:rPr>
                <w:rFonts w:ascii="Times New Roman" w:hAnsi="Times New Roman" w:cs="Times New Roman"/>
                <w:color w:val="000000" w:themeColor="text1"/>
                <w:sz w:val="16"/>
                <w:szCs w:val="16"/>
              </w:rPr>
              <w:t>P</w:t>
            </w:r>
            <w:r w:rsidRPr="003B1238">
              <w:rPr>
                <w:rFonts w:ascii="Times New Roman" w:hAnsi="Times New Roman" w:cs="Times New Roman"/>
                <w:i/>
                <w:iCs/>
                <w:color w:val="000000" w:themeColor="text1"/>
                <w:sz w:val="16"/>
                <w:szCs w:val="16"/>
              </w:rPr>
              <w:t>relQ</w:t>
            </w:r>
            <w:r w:rsidRPr="003B1238">
              <w:rPr>
                <w:rFonts w:ascii="Times New Roman" w:hAnsi="Times New Roman" w:cs="Times New Roman"/>
                <w:color w:val="000000" w:themeColor="text1"/>
                <w:sz w:val="16"/>
                <w:szCs w:val="16"/>
              </w:rPr>
              <w:t xml:space="preserve">-RelQ-GFP </w:t>
            </w:r>
            <w:r>
              <w:rPr>
                <w:rFonts w:ascii="Times New Roman" w:hAnsi="Times New Roman" w:cs="Times New Roman"/>
                <w:color w:val="000000" w:themeColor="text1"/>
                <w:sz w:val="16"/>
              </w:rPr>
              <w:t>in JE2</w:t>
            </w:r>
            <w:r>
              <w:rPr>
                <w:rFonts w:ascii="Times New Roman" w:hAnsi="Times New Roman" w:cs="Times New Roman"/>
                <w:sz w:val="16"/>
                <w:szCs w:val="16"/>
              </w:rPr>
              <w:t>; CamR</w:t>
            </w:r>
          </w:p>
        </w:tc>
        <w:tc>
          <w:tcPr>
            <w:tcW w:w="2552" w:type="dxa"/>
          </w:tcPr>
          <w:p w14:paraId="35A135A5" w14:textId="77777777" w:rsidR="00D70E9B" w:rsidRPr="00B559D1"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3B1238" w14:paraId="512AA71A" w14:textId="77777777" w:rsidTr="00A74445">
        <w:tc>
          <w:tcPr>
            <w:cnfStyle w:val="001000000000" w:firstRow="0" w:lastRow="0" w:firstColumn="1" w:lastColumn="0" w:oddVBand="0" w:evenVBand="0" w:oddHBand="0" w:evenHBand="0" w:firstRowFirstColumn="0" w:firstRowLastColumn="0" w:lastRowFirstColumn="0" w:lastRowLastColumn="0"/>
            <w:tcW w:w="1399" w:type="dxa"/>
          </w:tcPr>
          <w:p w14:paraId="37BE1E2A" w14:textId="77777777" w:rsidR="00D70E9B" w:rsidRPr="003B1238" w:rsidRDefault="00D70E9B" w:rsidP="00A74445">
            <w:pPr>
              <w:spacing w:line="480" w:lineRule="auto"/>
              <w:ind w:right="-1"/>
              <w:rPr>
                <w:rFonts w:ascii="Times New Roman" w:hAnsi="Times New Roman" w:cs="Times New Roman"/>
                <w:caps w:val="0"/>
                <w:color w:val="000000" w:themeColor="text1"/>
                <w:sz w:val="16"/>
                <w:szCs w:val="16"/>
              </w:rPr>
            </w:pPr>
            <w:r>
              <w:rPr>
                <w:rFonts w:ascii="Times New Roman" w:hAnsi="Times New Roman" w:cs="Times New Roman"/>
                <w:sz w:val="16"/>
              </w:rPr>
              <w:t>RMC</w:t>
            </w:r>
            <w:r w:rsidRPr="003B1238">
              <w:rPr>
                <w:rFonts w:ascii="Times New Roman" w:hAnsi="Times New Roman" w:cs="Times New Roman"/>
                <w:caps w:val="0"/>
                <w:color w:val="000000" w:themeColor="text1"/>
                <w:sz w:val="16"/>
                <w:szCs w:val="16"/>
              </w:rPr>
              <w:t>1936</w:t>
            </w:r>
          </w:p>
        </w:tc>
        <w:tc>
          <w:tcPr>
            <w:cnfStyle w:val="000010000000" w:firstRow="0" w:lastRow="0" w:firstColumn="0" w:lastColumn="0" w:oddVBand="1" w:evenVBand="0" w:oddHBand="0" w:evenHBand="0" w:firstRowFirstColumn="0" w:firstRowLastColumn="0" w:lastRowFirstColumn="0" w:lastRowLastColumn="0"/>
            <w:tcW w:w="4946" w:type="dxa"/>
          </w:tcPr>
          <w:p w14:paraId="1397FA3E" w14:textId="77777777" w:rsidR="00D70E9B" w:rsidRPr="003B1238" w:rsidRDefault="00D70E9B" w:rsidP="00A74445">
            <w:pPr>
              <w:spacing w:line="480" w:lineRule="auto"/>
              <w:ind w:right="-1"/>
              <w:rPr>
                <w:rFonts w:ascii="Times New Roman" w:hAnsi="Times New Roman" w:cs="Times New Roman"/>
                <w:color w:val="000000" w:themeColor="text1"/>
                <w:sz w:val="16"/>
                <w:szCs w:val="16"/>
              </w:rPr>
            </w:pPr>
            <w:r w:rsidRPr="003B1238">
              <w:rPr>
                <w:rFonts w:ascii="Times New Roman" w:hAnsi="Times New Roman" w:cs="Times New Roman"/>
                <w:color w:val="000000" w:themeColor="text1"/>
                <w:sz w:val="16"/>
                <w:szCs w:val="16"/>
              </w:rPr>
              <w:t>pCL55-</w:t>
            </w:r>
            <w:r>
              <w:rPr>
                <w:rFonts w:ascii="Times New Roman" w:hAnsi="Times New Roman" w:cs="Times New Roman"/>
                <w:color w:val="000000" w:themeColor="text1"/>
                <w:sz w:val="16"/>
                <w:szCs w:val="16"/>
              </w:rPr>
              <w:t>P</w:t>
            </w:r>
            <w:r w:rsidRPr="003B1238">
              <w:rPr>
                <w:rFonts w:ascii="Times New Roman" w:hAnsi="Times New Roman" w:cs="Times New Roman"/>
                <w:i/>
                <w:iCs/>
                <w:color w:val="000000" w:themeColor="text1"/>
                <w:sz w:val="16"/>
                <w:szCs w:val="16"/>
              </w:rPr>
              <w:t>rel</w:t>
            </w:r>
            <w:r w:rsidRPr="003B1238">
              <w:rPr>
                <w:rFonts w:ascii="Times New Roman" w:hAnsi="Times New Roman" w:cs="Times New Roman"/>
                <w:color w:val="000000" w:themeColor="text1"/>
                <w:sz w:val="16"/>
                <w:szCs w:val="16"/>
              </w:rPr>
              <w:t xml:space="preserve">-Rel-GFP </w:t>
            </w:r>
            <w:r>
              <w:rPr>
                <w:rFonts w:ascii="Times New Roman" w:hAnsi="Times New Roman" w:cs="Times New Roman"/>
                <w:color w:val="000000" w:themeColor="text1"/>
                <w:sz w:val="16"/>
              </w:rPr>
              <w:t>in JE2</w:t>
            </w:r>
            <w:r>
              <w:rPr>
                <w:rFonts w:ascii="Times New Roman" w:hAnsi="Times New Roman" w:cs="Times New Roman"/>
                <w:sz w:val="16"/>
                <w:szCs w:val="16"/>
              </w:rPr>
              <w:t>; CamR</w:t>
            </w:r>
          </w:p>
        </w:tc>
        <w:tc>
          <w:tcPr>
            <w:tcW w:w="2552" w:type="dxa"/>
          </w:tcPr>
          <w:p w14:paraId="4867CCDA" w14:textId="77777777" w:rsidR="00D70E9B" w:rsidRPr="003B1238"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lang w:val="es-ES"/>
              </w:rPr>
            </w:pPr>
            <w:r>
              <w:rPr>
                <w:rFonts w:ascii="Times New Roman" w:hAnsi="Times New Roman" w:cs="Times New Roman"/>
                <w:color w:val="000000" w:themeColor="text1"/>
                <w:sz w:val="16"/>
              </w:rPr>
              <w:t>This study</w:t>
            </w:r>
          </w:p>
        </w:tc>
      </w:tr>
      <w:tr w:rsidR="00D70E9B" w:rsidRPr="003B1238" w14:paraId="21764AAD"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6C597D77" w14:textId="77777777" w:rsidR="00D70E9B" w:rsidRPr="003B1238" w:rsidRDefault="00D70E9B" w:rsidP="00A74445">
            <w:pPr>
              <w:spacing w:line="480" w:lineRule="auto"/>
              <w:ind w:right="-1"/>
              <w:rPr>
                <w:rFonts w:ascii="Times New Roman" w:hAnsi="Times New Roman" w:cs="Times New Roman"/>
                <w:caps w:val="0"/>
                <w:color w:val="000000" w:themeColor="text1"/>
                <w:sz w:val="16"/>
                <w:szCs w:val="16"/>
              </w:rPr>
            </w:pPr>
            <w:r>
              <w:rPr>
                <w:rFonts w:ascii="Times New Roman" w:hAnsi="Times New Roman" w:cs="Times New Roman"/>
                <w:sz w:val="16"/>
              </w:rPr>
              <w:t>RMC1939</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402F2316" w14:textId="77777777" w:rsidR="00D70E9B" w:rsidRPr="003B1238" w:rsidRDefault="00D70E9B" w:rsidP="00A74445">
            <w:pPr>
              <w:spacing w:line="480" w:lineRule="auto"/>
              <w:ind w:right="-1"/>
              <w:rPr>
                <w:rFonts w:ascii="Times New Roman" w:hAnsi="Times New Roman" w:cs="Times New Roman"/>
                <w:color w:val="000000" w:themeColor="text1"/>
                <w:sz w:val="16"/>
                <w:szCs w:val="16"/>
              </w:rPr>
            </w:pPr>
            <w:r>
              <w:rPr>
                <w:rFonts w:ascii="Times New Roman" w:hAnsi="Times New Roman" w:cs="Times New Roman"/>
                <w:sz w:val="16"/>
                <w:szCs w:val="16"/>
              </w:rPr>
              <w:t xml:space="preserve">pRN12 (contains mAmetrine) in </w:t>
            </w:r>
            <w:r>
              <w:rPr>
                <w:rFonts w:ascii="Times New Roman" w:hAnsi="Times New Roman" w:cs="Times New Roman"/>
                <w:color w:val="000000" w:themeColor="text1"/>
                <w:sz w:val="16"/>
              </w:rPr>
              <w:t xml:space="preserve">RN4220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6B61C959" w14:textId="77777777" w:rsidR="00D70E9B" w:rsidRPr="003B1238"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lang w:val="es-ES"/>
              </w:rPr>
            </w:pPr>
            <w:r>
              <w:rPr>
                <w:rFonts w:ascii="Times New Roman" w:hAnsi="Times New Roman" w:cs="Times New Roman"/>
                <w:color w:val="000000" w:themeColor="text1"/>
                <w:sz w:val="16"/>
              </w:rPr>
              <w:t>This study</w:t>
            </w:r>
          </w:p>
        </w:tc>
      </w:tr>
      <w:tr w:rsidR="00D70E9B" w:rsidRPr="0085544B" w14:paraId="51A47EED"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521BA5B0"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RMC1940</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09B03EC9" w14:textId="77777777" w:rsidR="00D70E9B" w:rsidRPr="008644E4"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szCs w:val="16"/>
              </w:rPr>
              <w:t xml:space="preserve">pRN12-Broccoli in </w:t>
            </w:r>
            <w:r>
              <w:rPr>
                <w:rFonts w:ascii="Times New Roman" w:hAnsi="Times New Roman" w:cs="Times New Roman"/>
                <w:color w:val="000000" w:themeColor="text1"/>
                <w:sz w:val="16"/>
              </w:rPr>
              <w:t xml:space="preserve">RN4220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4965636F" w14:textId="77777777" w:rsidR="00D70E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6CD04EEB"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2EA62FA0"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RMC1941</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387DEBAF" w14:textId="77777777" w:rsidR="00D70E9B" w:rsidRPr="00CD6D78"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szCs w:val="16"/>
              </w:rPr>
              <w:t xml:space="preserve">pRN12-riboswitch-Broccoli in </w:t>
            </w:r>
            <w:r>
              <w:rPr>
                <w:rFonts w:ascii="Times New Roman" w:hAnsi="Times New Roman" w:cs="Times New Roman"/>
                <w:color w:val="000000" w:themeColor="text1"/>
                <w:sz w:val="16"/>
              </w:rPr>
              <w:t xml:space="preserve">RN4220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51C77B41" w14:textId="77777777" w:rsidR="00D70E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067BF9FE"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0E707334"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RMC1945</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0B003FAD" w14:textId="77777777" w:rsidR="00D70E9B" w:rsidRPr="00CD6D78"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szCs w:val="16"/>
              </w:rPr>
              <w:t xml:space="preserve">pRN12 (no mAmetrine) in </w:t>
            </w:r>
            <w:r>
              <w:rPr>
                <w:rFonts w:ascii="Times New Roman" w:hAnsi="Times New Roman" w:cs="Times New Roman"/>
                <w:color w:val="000000" w:themeColor="text1"/>
                <w:sz w:val="16"/>
              </w:rPr>
              <w:t xml:space="preserve">RN4220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239782A7" w14:textId="77777777" w:rsidR="00D70E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5EE322AF"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5D323706"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RMC1948</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6A75D265" w14:textId="77777777" w:rsidR="00D70E9B" w:rsidRDefault="00D70E9B" w:rsidP="00A74445">
            <w:pPr>
              <w:spacing w:line="480" w:lineRule="auto"/>
              <w:ind w:right="-1"/>
              <w:rPr>
                <w:rFonts w:ascii="Times New Roman" w:hAnsi="Times New Roman" w:cs="Times New Roman"/>
                <w:sz w:val="16"/>
                <w:szCs w:val="16"/>
              </w:rPr>
            </w:pPr>
            <w:r>
              <w:rPr>
                <w:rFonts w:ascii="Times New Roman" w:hAnsi="Times New Roman" w:cs="Times New Roman"/>
                <w:color w:val="000000" w:themeColor="text1"/>
                <w:sz w:val="16"/>
              </w:rPr>
              <w:t>pKASBAR-GFP in JE2; TetR</w:t>
            </w:r>
          </w:p>
        </w:tc>
        <w:tc>
          <w:tcPr>
            <w:tcW w:w="2552" w:type="dxa"/>
          </w:tcPr>
          <w:p w14:paraId="45155823" w14:textId="77777777" w:rsidR="00D70E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7F1A03">
              <w:rPr>
                <w:rFonts w:ascii="Times New Roman" w:hAnsi="Times New Roman" w:cs="Times New Roman"/>
                <w:color w:val="000000" w:themeColor="text1"/>
                <w:sz w:val="16"/>
              </w:rPr>
              <w:t>Laboratory strain collection</w:t>
            </w:r>
          </w:p>
        </w:tc>
      </w:tr>
      <w:tr w:rsidR="00D70E9B" w:rsidRPr="0085544B" w14:paraId="60298BEC"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4AB689F6"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RMC1950</w:t>
            </w:r>
          </w:p>
        </w:tc>
        <w:tc>
          <w:tcPr>
            <w:cnfStyle w:val="000010000000" w:firstRow="0" w:lastRow="0" w:firstColumn="0" w:lastColumn="0" w:oddVBand="1" w:evenVBand="0" w:oddHBand="0" w:evenHBand="0" w:firstRowFirstColumn="0" w:firstRowLastColumn="0" w:lastRowFirstColumn="0" w:lastRowLastColumn="0"/>
            <w:tcW w:w="4946" w:type="dxa"/>
            <w:vAlign w:val="bottom"/>
          </w:tcPr>
          <w:p w14:paraId="57D77BE8" w14:textId="77777777" w:rsidR="00D70E9B" w:rsidRDefault="00D70E9B" w:rsidP="00A74445">
            <w:pPr>
              <w:spacing w:line="480" w:lineRule="auto"/>
              <w:ind w:right="-1"/>
              <w:rPr>
                <w:rFonts w:ascii="Times New Roman" w:hAnsi="Times New Roman" w:cs="Times New Roman"/>
                <w:sz w:val="16"/>
                <w:szCs w:val="16"/>
              </w:rPr>
            </w:pPr>
            <w:r>
              <w:rPr>
                <w:rFonts w:ascii="Times New Roman" w:hAnsi="Times New Roman" w:cs="Times New Roman"/>
                <w:color w:val="000000" w:themeColor="text1"/>
                <w:sz w:val="16"/>
              </w:rPr>
              <w:t xml:space="preserve">pKASBAR-GFP in JE2 </w:t>
            </w:r>
            <w:r>
              <w:rPr>
                <w:rFonts w:ascii="Times New Roman" w:hAnsi="Times New Roman" w:cs="Times New Roman"/>
                <w:sz w:val="16"/>
              </w:rPr>
              <w:t>(p)ppGpp</w:t>
            </w:r>
            <w:r>
              <w:rPr>
                <w:rFonts w:ascii="Times New Roman" w:hAnsi="Times New Roman" w:cs="Times New Roman"/>
                <w:sz w:val="16"/>
                <w:vertAlign w:val="superscript"/>
              </w:rPr>
              <w:t>0</w:t>
            </w:r>
            <w:r>
              <w:rPr>
                <w:rFonts w:ascii="Times New Roman" w:hAnsi="Times New Roman" w:cs="Times New Roman"/>
                <w:color w:val="000000" w:themeColor="text1"/>
                <w:sz w:val="16"/>
              </w:rPr>
              <w:t>; TetR</w:t>
            </w:r>
          </w:p>
        </w:tc>
        <w:tc>
          <w:tcPr>
            <w:tcW w:w="2552" w:type="dxa"/>
          </w:tcPr>
          <w:p w14:paraId="00B94F72" w14:textId="77777777" w:rsidR="00D70E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sidRPr="007F1A03">
              <w:rPr>
                <w:rFonts w:ascii="Times New Roman" w:hAnsi="Times New Roman" w:cs="Times New Roman"/>
                <w:color w:val="000000" w:themeColor="text1"/>
                <w:sz w:val="16"/>
              </w:rPr>
              <w:t>Laboratory strain collection</w:t>
            </w:r>
          </w:p>
        </w:tc>
      </w:tr>
      <w:tr w:rsidR="00D70E9B" w:rsidRPr="0085544B" w14:paraId="14148214"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4E9CFD4"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w:t>
            </w:r>
            <w:r w:rsidRPr="006B3B75">
              <w:rPr>
                <w:rFonts w:ascii="Times New Roman" w:hAnsi="Times New Roman" w:cs="Times New Roman"/>
                <w:color w:val="000000" w:themeColor="text1"/>
                <w:sz w:val="16"/>
              </w:rPr>
              <w:t>1966</w:t>
            </w:r>
          </w:p>
        </w:tc>
        <w:tc>
          <w:tcPr>
            <w:cnfStyle w:val="000010000000" w:firstRow="0" w:lastRow="0" w:firstColumn="0" w:lastColumn="0" w:oddVBand="1" w:evenVBand="0" w:oddHBand="0" w:evenHBand="0" w:firstRowFirstColumn="0" w:firstRowLastColumn="0" w:lastRowFirstColumn="0" w:lastRowLastColumn="0"/>
            <w:tcW w:w="4946" w:type="dxa"/>
          </w:tcPr>
          <w:p w14:paraId="08D6B6F6" w14:textId="77777777" w:rsidR="00D70E9B" w:rsidRPr="00CD6D78" w:rsidRDefault="00D70E9B" w:rsidP="00A74445">
            <w:pPr>
              <w:spacing w:line="480" w:lineRule="auto"/>
              <w:ind w:right="-1"/>
              <w:rPr>
                <w:rFonts w:ascii="Times New Roman" w:hAnsi="Times New Roman" w:cs="Times New Roman"/>
                <w:color w:val="000000" w:themeColor="text1"/>
                <w:sz w:val="16"/>
              </w:rPr>
            </w:pPr>
            <w:r w:rsidRPr="006B3B75">
              <w:rPr>
                <w:rFonts w:ascii="Times New Roman" w:hAnsi="Times New Roman" w:cs="Times New Roman"/>
                <w:color w:val="000000" w:themeColor="text1"/>
                <w:sz w:val="16"/>
              </w:rPr>
              <w:t>pCL55-</w:t>
            </w:r>
            <w:r>
              <w:rPr>
                <w:rFonts w:ascii="Times New Roman" w:hAnsi="Times New Roman" w:cs="Times New Roman"/>
                <w:color w:val="000000" w:themeColor="text1"/>
                <w:sz w:val="16"/>
              </w:rPr>
              <w:t>P</w:t>
            </w:r>
            <w:r w:rsidRPr="006B3B75">
              <w:rPr>
                <w:rFonts w:ascii="Times New Roman" w:hAnsi="Times New Roman" w:cs="Times New Roman"/>
                <w:color w:val="000000" w:themeColor="text1"/>
                <w:sz w:val="16"/>
              </w:rPr>
              <w:t>ilvD-sGFP-</w:t>
            </w:r>
            <w:r>
              <w:rPr>
                <w:rFonts w:ascii="Times New Roman" w:hAnsi="Times New Roman" w:cs="Times New Roman"/>
                <w:color w:val="000000" w:themeColor="text1"/>
                <w:sz w:val="16"/>
              </w:rPr>
              <w:t>TT-P</w:t>
            </w:r>
            <w:r>
              <w:rPr>
                <w:rFonts w:ascii="Times New Roman" w:hAnsi="Times New Roman" w:cs="Times New Roman"/>
                <w:i/>
                <w:iCs/>
                <w:color w:val="000000" w:themeColor="text1"/>
                <w:sz w:val="16"/>
              </w:rPr>
              <w:t>rpsO-</w:t>
            </w:r>
            <w:r>
              <w:rPr>
                <w:rFonts w:ascii="Times New Roman" w:hAnsi="Times New Roman" w:cs="Times New Roman"/>
                <w:color w:val="000000" w:themeColor="text1"/>
                <w:sz w:val="16"/>
              </w:rPr>
              <w:t xml:space="preserve">dsRED in </w:t>
            </w:r>
            <w:r w:rsidRPr="006B3B75">
              <w:rPr>
                <w:rFonts w:ascii="Times New Roman" w:hAnsi="Times New Roman" w:cs="Times New Roman"/>
                <w:color w:val="000000" w:themeColor="text1"/>
                <w:sz w:val="16"/>
              </w:rPr>
              <w:t>RN4220</w:t>
            </w:r>
            <w:r>
              <w:rPr>
                <w:rFonts w:ascii="Times New Roman" w:hAnsi="Times New Roman" w:cs="Times New Roman"/>
                <w:color w:val="000000" w:themeColor="text1"/>
                <w:sz w:val="16"/>
              </w:rPr>
              <w:t xml:space="preserve"> </w:t>
            </w:r>
            <w:r w:rsidRPr="0085544B">
              <w:rPr>
                <w:rFonts w:ascii="Times New Roman" w:hAnsi="Times New Roman" w:cs="Times New Roman"/>
                <w:sz w:val="16"/>
                <w:szCs w:val="16"/>
              </w:rPr>
              <w:t>Δ</w:t>
            </w:r>
            <w:r w:rsidRPr="0085544B">
              <w:rPr>
                <w:rFonts w:ascii="Times New Roman" w:hAnsi="Times New Roman" w:cs="Times New Roman"/>
                <w:i/>
                <w:iCs/>
                <w:sz w:val="16"/>
                <w:szCs w:val="16"/>
              </w:rPr>
              <w:t>spa</w:t>
            </w:r>
            <w:r>
              <w:rPr>
                <w:rFonts w:ascii="Times New Roman" w:hAnsi="Times New Roman" w:cs="Times New Roman"/>
                <w:sz w:val="16"/>
                <w:szCs w:val="16"/>
              </w:rPr>
              <w:t>; CamR</w:t>
            </w:r>
          </w:p>
        </w:tc>
        <w:tc>
          <w:tcPr>
            <w:tcW w:w="2552" w:type="dxa"/>
          </w:tcPr>
          <w:p w14:paraId="30359EA9" w14:textId="77777777" w:rsidR="00D70E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03FCFF30"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71CEF415" w14:textId="77777777" w:rsidR="00D70E9B" w:rsidRPr="006B3B75"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RMC2010</w:t>
            </w:r>
          </w:p>
        </w:tc>
        <w:tc>
          <w:tcPr>
            <w:cnfStyle w:val="000010000000" w:firstRow="0" w:lastRow="0" w:firstColumn="0" w:lastColumn="0" w:oddVBand="1" w:evenVBand="0" w:oddHBand="0" w:evenHBand="0" w:firstRowFirstColumn="0" w:firstRowLastColumn="0" w:lastRowFirstColumn="0" w:lastRowLastColumn="0"/>
            <w:tcW w:w="4946" w:type="dxa"/>
          </w:tcPr>
          <w:p w14:paraId="2B76BA06" w14:textId="77777777" w:rsidR="00D70E9B" w:rsidRPr="006B3B75"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sz w:val="16"/>
              </w:rPr>
              <w:t xml:space="preserve"> in JE2</w:t>
            </w:r>
            <w:r w:rsidRPr="0085544B">
              <w:rPr>
                <w:rFonts w:ascii="Times New Roman" w:hAnsi="Times New Roman" w:cs="Times New Roman"/>
                <w:color w:val="000000" w:themeColor="text1"/>
                <w:sz w:val="16"/>
                <w:szCs w:val="16"/>
              </w:rPr>
              <w:t>; CamR</w:t>
            </w:r>
          </w:p>
        </w:tc>
        <w:tc>
          <w:tcPr>
            <w:tcW w:w="2552" w:type="dxa"/>
          </w:tcPr>
          <w:p w14:paraId="04CB3D58" w14:textId="77777777" w:rsidR="00D70E9B" w:rsidRPr="00B559D1"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13F86D75"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vAlign w:val="bottom"/>
          </w:tcPr>
          <w:p w14:paraId="1BD679FB"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RMC2014</w:t>
            </w:r>
          </w:p>
        </w:tc>
        <w:tc>
          <w:tcPr>
            <w:cnfStyle w:val="000010000000" w:firstRow="0" w:lastRow="0" w:firstColumn="0" w:lastColumn="0" w:oddVBand="1" w:evenVBand="0" w:oddHBand="0" w:evenHBand="0" w:firstRowFirstColumn="0" w:firstRowLastColumn="0" w:lastRowFirstColumn="0" w:lastRowLastColumn="0"/>
            <w:tcW w:w="4946" w:type="dxa"/>
          </w:tcPr>
          <w:p w14:paraId="0E1245BD" w14:textId="77777777" w:rsidR="00D70E9B" w:rsidRPr="00CD6D78" w:rsidRDefault="00D70E9B" w:rsidP="00A74445">
            <w:pPr>
              <w:spacing w:line="480" w:lineRule="auto"/>
              <w:ind w:right="-1"/>
              <w:rPr>
                <w:rFonts w:ascii="Times New Roman" w:hAnsi="Times New Roman" w:cs="Times New Roman"/>
                <w:color w:val="000000" w:themeColor="text1"/>
                <w:sz w:val="16"/>
              </w:rPr>
            </w:pPr>
            <w:r>
              <w:rPr>
                <w:rFonts w:ascii="Times New Roman" w:hAnsi="Times New Roman" w:cs="Times New Roman"/>
                <w:sz w:val="16"/>
              </w:rPr>
              <w:t>(p)ppGpp</w:t>
            </w:r>
            <w:r>
              <w:rPr>
                <w:rFonts w:ascii="Times New Roman" w:hAnsi="Times New Roman" w:cs="Times New Roman"/>
                <w:sz w:val="16"/>
                <w:vertAlign w:val="superscript"/>
              </w:rPr>
              <w:t>0</w:t>
            </w:r>
            <w:r>
              <w:rPr>
                <w:rFonts w:ascii="Times New Roman" w:hAnsi="Times New Roman" w:cs="Times New Roman"/>
                <w:sz w:val="16"/>
              </w:rPr>
              <w:t xml:space="preserve"> </w:t>
            </w:r>
            <w:r w:rsidRPr="006B56C1">
              <w:rPr>
                <w:rFonts w:ascii="Times New Roman" w:hAnsi="Times New Roman" w:cs="Times New Roman"/>
                <w:sz w:val="16"/>
              </w:rPr>
              <w:t>∆</w:t>
            </w:r>
            <w:r w:rsidRPr="006B56C1">
              <w:rPr>
                <w:rFonts w:ascii="Times New Roman" w:hAnsi="Times New Roman" w:cs="Times New Roman"/>
                <w:i/>
                <w:iCs/>
                <w:sz w:val="16"/>
              </w:rPr>
              <w:t>codY</w:t>
            </w:r>
            <w:r>
              <w:rPr>
                <w:rFonts w:ascii="Times New Roman" w:hAnsi="Times New Roman" w:cs="Times New Roman"/>
                <w:sz w:val="16"/>
              </w:rPr>
              <w:t>; ErmR</w:t>
            </w:r>
          </w:p>
        </w:tc>
        <w:tc>
          <w:tcPr>
            <w:tcW w:w="2552" w:type="dxa"/>
          </w:tcPr>
          <w:p w14:paraId="6E0A15EF" w14:textId="77777777" w:rsidR="00D70E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42AF864F" w14:textId="77777777" w:rsidTr="00A74445">
        <w:tc>
          <w:tcPr>
            <w:cnfStyle w:val="001000000000" w:firstRow="0" w:lastRow="0" w:firstColumn="1" w:lastColumn="0" w:oddVBand="0" w:evenVBand="0" w:oddHBand="0" w:evenHBand="0" w:firstRowFirstColumn="0" w:firstRowLastColumn="0" w:lastRowFirstColumn="0" w:lastRowLastColumn="0"/>
            <w:tcW w:w="1399" w:type="dxa"/>
            <w:vAlign w:val="bottom"/>
          </w:tcPr>
          <w:p w14:paraId="3C8BF041"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RMC2021</w:t>
            </w:r>
          </w:p>
        </w:tc>
        <w:tc>
          <w:tcPr>
            <w:cnfStyle w:val="000010000000" w:firstRow="0" w:lastRow="0" w:firstColumn="0" w:lastColumn="0" w:oddVBand="1" w:evenVBand="0" w:oddHBand="0" w:evenHBand="0" w:firstRowFirstColumn="0" w:firstRowLastColumn="0" w:lastRowFirstColumn="0" w:lastRowLastColumn="0"/>
            <w:tcW w:w="4946" w:type="dxa"/>
          </w:tcPr>
          <w:p w14:paraId="5F8CC3C7" w14:textId="77777777" w:rsidR="00D70E9B" w:rsidRPr="006B56C1"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i/>
                <w:iCs/>
                <w:sz w:val="16"/>
              </w:rPr>
              <w:t>P</w:t>
            </w:r>
            <w:r>
              <w:rPr>
                <w:rFonts w:ascii="Times New Roman" w:hAnsi="Times New Roman" w:cs="Times New Roman"/>
                <w:sz w:val="16"/>
              </w:rPr>
              <w:t xml:space="preserve"> in JE2</w:t>
            </w:r>
            <w:r w:rsidRPr="0085544B">
              <w:rPr>
                <w:rFonts w:ascii="Times New Roman" w:hAnsi="Times New Roman" w:cs="Times New Roman"/>
                <w:color w:val="000000" w:themeColor="text1"/>
                <w:sz w:val="16"/>
                <w:szCs w:val="16"/>
              </w:rPr>
              <w:t>; CamR</w:t>
            </w:r>
          </w:p>
        </w:tc>
        <w:tc>
          <w:tcPr>
            <w:tcW w:w="2552" w:type="dxa"/>
          </w:tcPr>
          <w:p w14:paraId="363FA526" w14:textId="77777777" w:rsidR="00D70E9B"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62EBFB01" w14:textId="77777777" w:rsidTr="00A74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Borders>
              <w:bottom w:val="single" w:sz="4" w:space="0" w:color="auto"/>
            </w:tcBorders>
          </w:tcPr>
          <w:p w14:paraId="62C066EE" w14:textId="77777777" w:rsidR="00D70E9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RMC2022</w:t>
            </w:r>
          </w:p>
        </w:tc>
        <w:tc>
          <w:tcPr>
            <w:cnfStyle w:val="000010000000" w:firstRow="0" w:lastRow="0" w:firstColumn="0" w:lastColumn="0" w:oddVBand="1" w:evenVBand="0" w:oddHBand="0" w:evenHBand="0" w:firstRowFirstColumn="0" w:firstRowLastColumn="0" w:lastRowFirstColumn="0" w:lastRowLastColumn="0"/>
            <w:tcW w:w="4946" w:type="dxa"/>
            <w:tcBorders>
              <w:bottom w:val="single" w:sz="4" w:space="0" w:color="auto"/>
            </w:tcBorders>
          </w:tcPr>
          <w:p w14:paraId="0A399753" w14:textId="77777777" w:rsidR="00D70E9B" w:rsidRPr="00CD6D78"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sz w:val="16"/>
              </w:rPr>
              <w:t>pCL55-iTET</w:t>
            </w:r>
            <w:r w:rsidRPr="0085544B">
              <w:rPr>
                <w:rFonts w:ascii="Times New Roman" w:hAnsi="Times New Roman" w:cs="Times New Roman"/>
                <w:sz w:val="16"/>
                <w:vertAlign w:val="subscript"/>
                <w:lang w:val="en-US"/>
              </w:rPr>
              <w:t>r862</w:t>
            </w:r>
            <w:r>
              <w:rPr>
                <w:rFonts w:ascii="Times New Roman" w:hAnsi="Times New Roman" w:cs="Times New Roman"/>
                <w:sz w:val="16"/>
              </w:rPr>
              <w:t>-</w:t>
            </w:r>
            <w:r w:rsidRPr="009C67FB">
              <w:rPr>
                <w:rFonts w:ascii="Times New Roman" w:hAnsi="Times New Roman" w:cs="Times New Roman"/>
                <w:i/>
                <w:iCs/>
                <w:sz w:val="16"/>
              </w:rPr>
              <w:t>rel</w:t>
            </w:r>
            <w:r>
              <w:rPr>
                <w:rFonts w:ascii="Times New Roman" w:hAnsi="Times New Roman" w:cs="Times New Roman"/>
                <w:i/>
                <w:iCs/>
                <w:sz w:val="16"/>
              </w:rPr>
              <w:t>Q</w:t>
            </w:r>
            <w:r>
              <w:rPr>
                <w:rFonts w:ascii="Times New Roman" w:hAnsi="Times New Roman" w:cs="Times New Roman"/>
                <w:sz w:val="16"/>
              </w:rPr>
              <w:t xml:space="preserve"> in JE2</w:t>
            </w:r>
            <w:r w:rsidRPr="0085544B">
              <w:rPr>
                <w:rFonts w:ascii="Times New Roman" w:hAnsi="Times New Roman" w:cs="Times New Roman"/>
                <w:color w:val="000000" w:themeColor="text1"/>
                <w:sz w:val="16"/>
                <w:szCs w:val="16"/>
              </w:rPr>
              <w:t>; CamR</w:t>
            </w:r>
          </w:p>
        </w:tc>
        <w:tc>
          <w:tcPr>
            <w:tcW w:w="2552" w:type="dxa"/>
            <w:tcBorders>
              <w:bottom w:val="single" w:sz="4" w:space="0" w:color="auto"/>
            </w:tcBorders>
          </w:tcPr>
          <w:p w14:paraId="5E6EFCFA" w14:textId="77777777" w:rsidR="00D70E9B"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Pr>
                <w:rFonts w:ascii="Times New Roman" w:hAnsi="Times New Roman" w:cs="Times New Roman"/>
                <w:color w:val="000000" w:themeColor="text1"/>
                <w:sz w:val="16"/>
              </w:rPr>
              <w:t>This study</w:t>
            </w:r>
          </w:p>
        </w:tc>
      </w:tr>
      <w:tr w:rsidR="00D70E9B" w:rsidRPr="0085544B" w14:paraId="076A184A" w14:textId="77777777" w:rsidTr="00A74445">
        <w:tc>
          <w:tcPr>
            <w:cnfStyle w:val="001000000000" w:firstRow="0" w:lastRow="0" w:firstColumn="1" w:lastColumn="0" w:oddVBand="0" w:evenVBand="0" w:oddHBand="0" w:evenHBand="0" w:firstRowFirstColumn="0" w:firstRowLastColumn="0" w:lastRowFirstColumn="0" w:lastRowLastColumn="0"/>
            <w:tcW w:w="8897" w:type="dxa"/>
            <w:gridSpan w:val="3"/>
            <w:tcBorders>
              <w:top w:val="single" w:sz="4" w:space="0" w:color="auto"/>
              <w:right w:val="none" w:sz="0" w:space="0" w:color="auto"/>
            </w:tcBorders>
          </w:tcPr>
          <w:p w14:paraId="12093CB1" w14:textId="6CBB1760" w:rsidR="00D70E9B" w:rsidRPr="00B559D1" w:rsidRDefault="00D70E9B" w:rsidP="00A74445">
            <w:pPr>
              <w:spacing w:line="480" w:lineRule="auto"/>
              <w:ind w:right="-1"/>
              <w:rPr>
                <w:rFonts w:ascii="Times New Roman" w:hAnsi="Times New Roman" w:cs="Times New Roman"/>
                <w:color w:val="000000" w:themeColor="text1"/>
                <w:sz w:val="16"/>
              </w:rPr>
            </w:pPr>
            <w:r w:rsidRPr="0085544B">
              <w:rPr>
                <w:rFonts w:ascii="Times New Roman" w:hAnsi="Times New Roman" w:cs="Times New Roman"/>
                <w:caps w:val="0"/>
                <w:color w:val="000000" w:themeColor="text1"/>
                <w:sz w:val="16"/>
              </w:rPr>
              <w:t>Antibiotics were used at the following concentrations</w:t>
            </w:r>
            <w:r w:rsidR="00045316">
              <w:rPr>
                <w:rFonts w:ascii="Times New Roman" w:hAnsi="Times New Roman" w:cs="Times New Roman"/>
                <w:caps w:val="0"/>
                <w:color w:val="000000" w:themeColor="text1"/>
                <w:sz w:val="16"/>
              </w:rPr>
              <w:t>:</w:t>
            </w:r>
            <w:r w:rsidRPr="0085544B">
              <w:rPr>
                <w:rFonts w:ascii="Times New Roman" w:hAnsi="Times New Roman" w:cs="Times New Roman"/>
                <w:caps w:val="0"/>
                <w:color w:val="000000" w:themeColor="text1"/>
                <w:sz w:val="16"/>
              </w:rPr>
              <w:t xml:space="preserve"> chloramphenicol (</w:t>
            </w:r>
            <w:r>
              <w:rPr>
                <w:rFonts w:ascii="Times New Roman" w:hAnsi="Times New Roman" w:cs="Times New Roman"/>
                <w:caps w:val="0"/>
                <w:color w:val="000000" w:themeColor="text1"/>
                <w:sz w:val="16"/>
              </w:rPr>
              <w:t>C</w:t>
            </w:r>
            <w:r w:rsidRPr="0085544B">
              <w:rPr>
                <w:rFonts w:ascii="Times New Roman" w:hAnsi="Times New Roman" w:cs="Times New Roman"/>
                <w:caps w:val="0"/>
                <w:color w:val="000000" w:themeColor="text1"/>
                <w:sz w:val="16"/>
              </w:rPr>
              <w:t>am</w:t>
            </w:r>
            <w:r>
              <w:rPr>
                <w:rFonts w:ascii="Times New Roman" w:hAnsi="Times New Roman" w:cs="Times New Roman"/>
                <w:caps w:val="0"/>
                <w:color w:val="000000" w:themeColor="text1"/>
                <w:sz w:val="16"/>
              </w:rPr>
              <w:t>R</w:t>
            </w:r>
            <w:r w:rsidRPr="0085544B">
              <w:rPr>
                <w:rFonts w:ascii="Times New Roman" w:hAnsi="Times New Roman" w:cs="Times New Roman"/>
                <w:caps w:val="0"/>
                <w:color w:val="000000" w:themeColor="text1"/>
                <w:sz w:val="16"/>
              </w:rPr>
              <w:t xml:space="preserve">) 7.5 </w:t>
            </w:r>
            <w:r>
              <w:rPr>
                <w:rFonts w:ascii="Times New Roman" w:hAnsi="Times New Roman" w:cs="Times New Roman"/>
                <w:caps w:val="0"/>
                <w:color w:val="000000" w:themeColor="text1"/>
                <w:sz w:val="16"/>
              </w:rPr>
              <w:t xml:space="preserve">and </w:t>
            </w:r>
            <w:r w:rsidRPr="0085544B">
              <w:rPr>
                <w:rFonts w:ascii="Times New Roman" w:hAnsi="Times New Roman" w:cs="Times New Roman"/>
                <w:caps w:val="0"/>
                <w:color w:val="000000" w:themeColor="text1"/>
                <w:sz w:val="16"/>
              </w:rPr>
              <w:t>10 μg/ml</w:t>
            </w:r>
            <w:r>
              <w:rPr>
                <w:rFonts w:ascii="Times New Roman" w:hAnsi="Times New Roman" w:cs="Times New Roman"/>
                <w:caps w:val="0"/>
                <w:color w:val="000000" w:themeColor="text1"/>
                <w:sz w:val="16"/>
              </w:rPr>
              <w:t xml:space="preserve"> for integrated and multicopy plasmids respectively</w:t>
            </w:r>
            <w:r w:rsidRPr="0085544B">
              <w:rPr>
                <w:rFonts w:ascii="Times New Roman" w:hAnsi="Times New Roman" w:cs="Times New Roman"/>
                <w:caps w:val="0"/>
                <w:color w:val="000000" w:themeColor="text1"/>
                <w:sz w:val="16"/>
              </w:rPr>
              <w:t>, carbenicillin (</w:t>
            </w:r>
            <w:r>
              <w:rPr>
                <w:rFonts w:ascii="Times New Roman" w:hAnsi="Times New Roman" w:cs="Times New Roman"/>
                <w:caps w:val="0"/>
                <w:color w:val="000000" w:themeColor="text1"/>
                <w:sz w:val="16"/>
              </w:rPr>
              <w:t>C</w:t>
            </w:r>
            <w:r w:rsidRPr="0085544B">
              <w:rPr>
                <w:rFonts w:ascii="Times New Roman" w:hAnsi="Times New Roman" w:cs="Times New Roman"/>
                <w:caps w:val="0"/>
                <w:color w:val="000000" w:themeColor="text1"/>
                <w:sz w:val="16"/>
              </w:rPr>
              <w:t>arb</w:t>
            </w:r>
            <w:r>
              <w:rPr>
                <w:rFonts w:ascii="Times New Roman" w:hAnsi="Times New Roman" w:cs="Times New Roman"/>
                <w:caps w:val="0"/>
                <w:color w:val="000000" w:themeColor="text1"/>
                <w:sz w:val="16"/>
              </w:rPr>
              <w:t>R</w:t>
            </w:r>
            <w:r w:rsidRPr="0085544B">
              <w:rPr>
                <w:rFonts w:ascii="Times New Roman" w:hAnsi="Times New Roman" w:cs="Times New Roman"/>
                <w:caps w:val="0"/>
                <w:color w:val="000000" w:themeColor="text1"/>
                <w:sz w:val="16"/>
              </w:rPr>
              <w:t>) 150 μg/ml</w:t>
            </w:r>
            <w:r w:rsidRPr="0085544B">
              <w:rPr>
                <w:rFonts w:ascii="Times New Roman" w:hAnsi="Times New Roman" w:cs="Times New Roman"/>
                <w:color w:val="000000" w:themeColor="text1"/>
                <w:sz w:val="16"/>
              </w:rPr>
              <w:t>,</w:t>
            </w:r>
            <w:r>
              <w:rPr>
                <w:rFonts w:ascii="Times New Roman" w:hAnsi="Times New Roman" w:cs="Times New Roman"/>
                <w:color w:val="000000" w:themeColor="text1"/>
                <w:sz w:val="16"/>
              </w:rPr>
              <w:t xml:space="preserve"> </w:t>
            </w:r>
            <w:r>
              <w:rPr>
                <w:rFonts w:ascii="Times New Roman" w:hAnsi="Times New Roman" w:cs="Times New Roman"/>
                <w:caps w:val="0"/>
                <w:color w:val="000000" w:themeColor="text1"/>
                <w:sz w:val="16"/>
              </w:rPr>
              <w:t>erythromycin (ErmR) 10</w:t>
            </w:r>
            <w:r w:rsidRPr="0085544B">
              <w:rPr>
                <w:rFonts w:ascii="Times New Roman" w:hAnsi="Times New Roman" w:cs="Times New Roman"/>
                <w:caps w:val="0"/>
                <w:color w:val="000000" w:themeColor="text1"/>
                <w:sz w:val="16"/>
              </w:rPr>
              <w:t xml:space="preserve"> μg/ml</w:t>
            </w:r>
            <w:r>
              <w:rPr>
                <w:rFonts w:ascii="Times New Roman" w:hAnsi="Times New Roman" w:cs="Times New Roman"/>
                <w:caps w:val="0"/>
                <w:color w:val="000000" w:themeColor="text1"/>
                <w:sz w:val="16"/>
              </w:rPr>
              <w:t>, tetracycline (TetR) 2</w:t>
            </w:r>
            <w:r w:rsidRPr="0085544B">
              <w:rPr>
                <w:rFonts w:ascii="Times New Roman" w:hAnsi="Times New Roman" w:cs="Times New Roman"/>
                <w:caps w:val="0"/>
                <w:color w:val="000000" w:themeColor="text1"/>
                <w:sz w:val="16"/>
              </w:rPr>
              <w:t xml:space="preserve"> μg/ml</w:t>
            </w:r>
            <w:r>
              <w:rPr>
                <w:rFonts w:ascii="Times New Roman" w:hAnsi="Times New Roman" w:cs="Times New Roman"/>
                <w:caps w:val="0"/>
                <w:color w:val="000000" w:themeColor="text1"/>
                <w:sz w:val="16"/>
              </w:rPr>
              <w:t>, Anhydrotetracycline (Atc) 50 ng/ml.</w:t>
            </w:r>
          </w:p>
        </w:tc>
      </w:tr>
    </w:tbl>
    <w:p w14:paraId="0C327506" w14:textId="77777777" w:rsidR="00D70E9B" w:rsidRDefault="00D70E9B" w:rsidP="00D70E9B">
      <w:pPr>
        <w:rPr>
          <w:rFonts w:ascii="Times New Roman" w:hAnsi="Times New Roman" w:cs="Times New Roman"/>
          <w:b/>
          <w:color w:val="FF0000"/>
        </w:rPr>
      </w:pPr>
    </w:p>
    <w:p w14:paraId="06C02C1E" w14:textId="77777777" w:rsidR="00D70E9B" w:rsidRDefault="00D70E9B" w:rsidP="00D70E9B">
      <w:pPr>
        <w:rPr>
          <w:rFonts w:ascii="Times New Roman" w:hAnsi="Times New Roman" w:cs="Times New Roman"/>
          <w:b/>
          <w:color w:val="FF0000"/>
        </w:rPr>
      </w:pPr>
    </w:p>
    <w:p w14:paraId="15693293" w14:textId="77777777" w:rsidR="00D70E9B" w:rsidRDefault="00D70E9B" w:rsidP="00D70E9B">
      <w:pPr>
        <w:rPr>
          <w:rFonts w:ascii="Times New Roman" w:hAnsi="Times New Roman" w:cs="Times New Roman"/>
          <w:b/>
          <w:color w:val="FF0000"/>
        </w:rPr>
      </w:pPr>
    </w:p>
    <w:p w14:paraId="7FC5E34D" w14:textId="77777777" w:rsidR="00D70E9B" w:rsidRDefault="00D70E9B" w:rsidP="00D70E9B">
      <w:pPr>
        <w:rPr>
          <w:rFonts w:ascii="Times New Roman" w:hAnsi="Times New Roman" w:cs="Times New Roman"/>
          <w:b/>
          <w:color w:val="FF0000"/>
        </w:rPr>
      </w:pPr>
    </w:p>
    <w:p w14:paraId="65AE0020" w14:textId="77777777" w:rsidR="00D70E9B" w:rsidRDefault="00D70E9B" w:rsidP="00D70E9B">
      <w:pPr>
        <w:rPr>
          <w:rFonts w:ascii="Times New Roman" w:hAnsi="Times New Roman" w:cs="Times New Roman"/>
          <w:b/>
          <w:color w:val="FF0000"/>
        </w:rPr>
      </w:pPr>
    </w:p>
    <w:p w14:paraId="5F47AEE7" w14:textId="77777777" w:rsidR="00D70E9B" w:rsidRDefault="00D70E9B" w:rsidP="00D70E9B">
      <w:pPr>
        <w:rPr>
          <w:rFonts w:ascii="Times New Roman" w:hAnsi="Times New Roman" w:cs="Times New Roman"/>
          <w:b/>
          <w:color w:val="FF0000"/>
        </w:rPr>
      </w:pPr>
    </w:p>
    <w:p w14:paraId="5C0DC79B" w14:textId="77777777" w:rsidR="00D70E9B" w:rsidRDefault="00D70E9B" w:rsidP="00D70E9B">
      <w:pPr>
        <w:rPr>
          <w:rFonts w:ascii="Times New Roman" w:hAnsi="Times New Roman" w:cs="Times New Roman"/>
          <w:b/>
          <w:color w:val="FF0000"/>
        </w:rPr>
      </w:pPr>
    </w:p>
    <w:p w14:paraId="17AF7089" w14:textId="77777777" w:rsidR="00D70E9B" w:rsidRDefault="00D70E9B" w:rsidP="00D70E9B">
      <w:pPr>
        <w:rPr>
          <w:rFonts w:ascii="Times New Roman" w:hAnsi="Times New Roman" w:cs="Times New Roman"/>
          <w:b/>
          <w:color w:val="FF0000"/>
        </w:rPr>
      </w:pPr>
    </w:p>
    <w:p w14:paraId="407CE879" w14:textId="77777777" w:rsidR="00D70E9B" w:rsidRPr="004E5C27" w:rsidRDefault="00D70E9B" w:rsidP="00D70E9B">
      <w:pPr>
        <w:rPr>
          <w:rFonts w:ascii="Times New Roman" w:hAnsi="Times New Roman" w:cs="Times New Roman"/>
        </w:rPr>
      </w:pPr>
    </w:p>
    <w:tbl>
      <w:tblPr>
        <w:tblStyle w:val="PlainTable4"/>
        <w:tblpPr w:leftFromText="180" w:rightFromText="180" w:vertAnchor="page" w:horzAnchor="margin" w:tblpXSpec="center" w:tblpY="1863"/>
        <w:tblW w:w="8837" w:type="dxa"/>
        <w:tblLook w:val="04A0" w:firstRow="1" w:lastRow="0" w:firstColumn="1" w:lastColumn="0" w:noHBand="0" w:noVBand="1"/>
      </w:tblPr>
      <w:tblGrid>
        <w:gridCol w:w="6516"/>
        <w:gridCol w:w="2321"/>
      </w:tblGrid>
      <w:tr w:rsidR="00D70E9B" w:rsidRPr="00F936DB" w14:paraId="0F4C7455" w14:textId="77777777" w:rsidTr="00A7444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12EF4659" w14:textId="5E4ADBE1" w:rsidR="00D70E9B" w:rsidRPr="00F936DB" w:rsidRDefault="00D70E9B" w:rsidP="00A74445">
            <w:pPr>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 xml:space="preserve">Table </w:t>
            </w:r>
            <w:r w:rsidR="003C640C">
              <w:rPr>
                <w:rFonts w:ascii="Times New Roman" w:eastAsia="Times New Roman" w:hAnsi="Times New Roman" w:cs="Times New Roman"/>
                <w:color w:val="000000"/>
                <w:sz w:val="18"/>
                <w:szCs w:val="18"/>
                <w:lang w:eastAsia="en-GB"/>
              </w:rPr>
              <w:t>2</w:t>
            </w:r>
            <w:r w:rsidRPr="00F936DB">
              <w:rPr>
                <w:rFonts w:ascii="Times New Roman" w:eastAsia="Times New Roman" w:hAnsi="Times New Roman" w:cs="Times New Roman"/>
                <w:color w:val="000000"/>
                <w:sz w:val="18"/>
                <w:szCs w:val="18"/>
                <w:lang w:eastAsia="en-GB"/>
              </w:rPr>
              <w:t>. List of ingredients that comprise CDM.</w:t>
            </w:r>
          </w:p>
        </w:tc>
        <w:tc>
          <w:tcPr>
            <w:tcW w:w="2321" w:type="dxa"/>
            <w:noWrap/>
          </w:tcPr>
          <w:p w14:paraId="006A7663" w14:textId="77777777" w:rsidR="00D70E9B" w:rsidRPr="00F936DB" w:rsidRDefault="00D70E9B" w:rsidP="00A744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p>
        </w:tc>
      </w:tr>
      <w:tr w:rsidR="00D70E9B" w:rsidRPr="00F936DB" w14:paraId="1A9DA7D6"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0317957C" w14:textId="77777777" w:rsidR="00D70E9B" w:rsidRPr="00F936DB" w:rsidRDefault="00D70E9B" w:rsidP="00A74445">
            <w:pPr>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Ingredients</w:t>
            </w:r>
          </w:p>
        </w:tc>
        <w:tc>
          <w:tcPr>
            <w:tcW w:w="2321" w:type="dxa"/>
            <w:noWrap/>
            <w:hideMark/>
          </w:tcPr>
          <w:p w14:paraId="3ACE624B"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g/l</w:t>
            </w:r>
          </w:p>
        </w:tc>
      </w:tr>
      <w:tr w:rsidR="00D70E9B" w:rsidRPr="00F936DB" w14:paraId="3AB9F77A"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2D3C819A" w14:textId="77777777" w:rsidR="00D70E9B" w:rsidRPr="00F936DB" w:rsidRDefault="00D70E9B" w:rsidP="00A74445">
            <w:pPr>
              <w:rPr>
                <w:rFonts w:ascii="Times New Roman" w:eastAsia="Times New Roman" w:hAnsi="Times New Roman" w:cs="Times New Roman"/>
                <w:color w:val="000000"/>
                <w:sz w:val="18"/>
                <w:szCs w:val="18"/>
                <w:u w:val="single"/>
                <w:lang w:eastAsia="en-GB"/>
              </w:rPr>
            </w:pPr>
            <w:r w:rsidRPr="00F936DB">
              <w:rPr>
                <w:rFonts w:ascii="Times New Roman" w:eastAsia="Times New Roman" w:hAnsi="Times New Roman" w:cs="Times New Roman"/>
                <w:color w:val="000000"/>
                <w:sz w:val="18"/>
                <w:szCs w:val="18"/>
                <w:u w:val="single"/>
                <w:lang w:eastAsia="en-GB"/>
              </w:rPr>
              <w:t>Salts</w:t>
            </w:r>
          </w:p>
        </w:tc>
        <w:tc>
          <w:tcPr>
            <w:tcW w:w="2321" w:type="dxa"/>
            <w:noWrap/>
            <w:hideMark/>
          </w:tcPr>
          <w:p w14:paraId="0544C804"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p>
        </w:tc>
      </w:tr>
      <w:tr w:rsidR="00D70E9B" w:rsidRPr="00F936DB" w14:paraId="3B759B25"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0B57DBBD"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KCl</w:t>
            </w:r>
          </w:p>
        </w:tc>
        <w:tc>
          <w:tcPr>
            <w:tcW w:w="2321" w:type="dxa"/>
            <w:noWrap/>
            <w:hideMark/>
          </w:tcPr>
          <w:p w14:paraId="4495A206"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3.0 g</w:t>
            </w:r>
          </w:p>
        </w:tc>
      </w:tr>
      <w:tr w:rsidR="00D70E9B" w:rsidRPr="00F936DB" w14:paraId="3F64D8BD"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29CDA18D"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NaCl</w:t>
            </w:r>
          </w:p>
        </w:tc>
        <w:tc>
          <w:tcPr>
            <w:tcW w:w="2321" w:type="dxa"/>
            <w:noWrap/>
            <w:hideMark/>
          </w:tcPr>
          <w:p w14:paraId="50BB6029"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9.5 g</w:t>
            </w:r>
          </w:p>
        </w:tc>
      </w:tr>
      <w:tr w:rsidR="00D70E9B" w:rsidRPr="00F936DB" w14:paraId="3E43650D"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1ADBAE51"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MgSO</w:t>
            </w:r>
            <w:r w:rsidRPr="00F936DB">
              <w:rPr>
                <w:rFonts w:ascii="Times New Roman" w:eastAsia="Times New Roman" w:hAnsi="Times New Roman" w:cs="Times New Roman"/>
                <w:b w:val="0"/>
                <w:bCs w:val="0"/>
                <w:color w:val="000000"/>
                <w:sz w:val="18"/>
                <w:szCs w:val="18"/>
                <w:vertAlign w:val="subscript"/>
                <w:lang w:eastAsia="en-GB"/>
              </w:rPr>
              <w:t>4</w:t>
            </w:r>
            <w:r w:rsidRPr="00F936DB">
              <w:rPr>
                <w:rFonts w:ascii="Times New Roman" w:eastAsia="Times New Roman" w:hAnsi="Times New Roman" w:cs="Times New Roman"/>
                <w:b w:val="0"/>
                <w:bCs w:val="0"/>
                <w:color w:val="000000"/>
                <w:sz w:val="18"/>
                <w:szCs w:val="18"/>
                <w:lang w:eastAsia="en-GB"/>
              </w:rPr>
              <w:t xml:space="preserve"> 7H</w:t>
            </w:r>
            <w:r w:rsidRPr="00F936DB">
              <w:rPr>
                <w:rFonts w:ascii="Times New Roman" w:eastAsia="Times New Roman" w:hAnsi="Times New Roman" w:cs="Times New Roman"/>
                <w:b w:val="0"/>
                <w:bCs w:val="0"/>
                <w:color w:val="000000"/>
                <w:sz w:val="18"/>
                <w:szCs w:val="18"/>
                <w:vertAlign w:val="subscript"/>
                <w:lang w:eastAsia="en-GB"/>
              </w:rPr>
              <w:t>2</w:t>
            </w:r>
            <w:r w:rsidRPr="00F936DB">
              <w:rPr>
                <w:rFonts w:ascii="Times New Roman" w:eastAsia="Times New Roman" w:hAnsi="Times New Roman" w:cs="Times New Roman"/>
                <w:b w:val="0"/>
                <w:bCs w:val="0"/>
                <w:color w:val="000000"/>
                <w:sz w:val="18"/>
                <w:szCs w:val="18"/>
                <w:lang w:eastAsia="en-GB"/>
              </w:rPr>
              <w:t>O</w:t>
            </w:r>
          </w:p>
        </w:tc>
        <w:tc>
          <w:tcPr>
            <w:tcW w:w="2321" w:type="dxa"/>
            <w:noWrap/>
            <w:hideMark/>
          </w:tcPr>
          <w:p w14:paraId="78BB233A"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1.3 g</w:t>
            </w:r>
          </w:p>
        </w:tc>
      </w:tr>
      <w:tr w:rsidR="00D70E9B" w:rsidRPr="00F936DB" w14:paraId="62D57C3F"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3A887CAA"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(NH</w:t>
            </w:r>
            <w:r w:rsidRPr="00F936DB">
              <w:rPr>
                <w:rFonts w:ascii="Times New Roman" w:eastAsia="Times New Roman" w:hAnsi="Times New Roman" w:cs="Times New Roman"/>
                <w:b w:val="0"/>
                <w:bCs w:val="0"/>
                <w:color w:val="000000"/>
                <w:sz w:val="18"/>
                <w:szCs w:val="18"/>
                <w:vertAlign w:val="subscript"/>
                <w:lang w:eastAsia="en-GB"/>
              </w:rPr>
              <w:t>4</w:t>
            </w:r>
            <w:r w:rsidRPr="00F936DB">
              <w:rPr>
                <w:rFonts w:ascii="Times New Roman" w:eastAsia="Times New Roman" w:hAnsi="Times New Roman" w:cs="Times New Roman"/>
                <w:b w:val="0"/>
                <w:bCs w:val="0"/>
                <w:color w:val="000000"/>
                <w:sz w:val="18"/>
                <w:szCs w:val="18"/>
                <w:lang w:eastAsia="en-GB"/>
              </w:rPr>
              <w:t>)2SO</w:t>
            </w:r>
            <w:r w:rsidRPr="00F936DB">
              <w:rPr>
                <w:rFonts w:ascii="Times New Roman" w:eastAsia="Times New Roman" w:hAnsi="Times New Roman" w:cs="Times New Roman"/>
                <w:b w:val="0"/>
                <w:bCs w:val="0"/>
                <w:color w:val="000000"/>
                <w:sz w:val="18"/>
                <w:szCs w:val="18"/>
                <w:vertAlign w:val="subscript"/>
                <w:lang w:eastAsia="en-GB"/>
              </w:rPr>
              <w:t>4</w:t>
            </w:r>
          </w:p>
        </w:tc>
        <w:tc>
          <w:tcPr>
            <w:tcW w:w="2321" w:type="dxa"/>
            <w:noWrap/>
            <w:hideMark/>
          </w:tcPr>
          <w:p w14:paraId="2123508A"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4.0 g</w:t>
            </w:r>
          </w:p>
        </w:tc>
      </w:tr>
      <w:tr w:rsidR="00D70E9B" w:rsidRPr="00F936DB" w14:paraId="4D02D070"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330C6CFB"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CaCl</w:t>
            </w:r>
            <w:r w:rsidRPr="00F936DB">
              <w:rPr>
                <w:rFonts w:ascii="Times New Roman" w:eastAsia="Times New Roman" w:hAnsi="Times New Roman" w:cs="Times New Roman"/>
                <w:b w:val="0"/>
                <w:bCs w:val="0"/>
                <w:color w:val="000000"/>
                <w:sz w:val="18"/>
                <w:szCs w:val="18"/>
                <w:vertAlign w:val="subscript"/>
                <w:lang w:eastAsia="en-GB"/>
              </w:rPr>
              <w:t>2</w:t>
            </w:r>
            <w:r w:rsidRPr="00F936DB">
              <w:rPr>
                <w:rFonts w:ascii="Times New Roman" w:eastAsia="Times New Roman" w:hAnsi="Times New Roman" w:cs="Times New Roman"/>
                <w:b w:val="0"/>
                <w:bCs w:val="0"/>
                <w:color w:val="000000"/>
                <w:sz w:val="18"/>
                <w:szCs w:val="18"/>
                <w:lang w:eastAsia="en-GB"/>
              </w:rPr>
              <w:t xml:space="preserve"> 2H</w:t>
            </w:r>
            <w:r w:rsidRPr="00F936DB">
              <w:rPr>
                <w:rFonts w:ascii="Times New Roman" w:eastAsia="Times New Roman" w:hAnsi="Times New Roman" w:cs="Times New Roman"/>
                <w:b w:val="0"/>
                <w:bCs w:val="0"/>
                <w:color w:val="000000"/>
                <w:sz w:val="18"/>
                <w:szCs w:val="18"/>
                <w:vertAlign w:val="subscript"/>
                <w:lang w:eastAsia="en-GB"/>
              </w:rPr>
              <w:t>2</w:t>
            </w:r>
            <w:r w:rsidRPr="00F936DB">
              <w:rPr>
                <w:rFonts w:ascii="Times New Roman" w:eastAsia="Times New Roman" w:hAnsi="Times New Roman" w:cs="Times New Roman"/>
                <w:b w:val="0"/>
                <w:bCs w:val="0"/>
                <w:color w:val="000000"/>
                <w:sz w:val="18"/>
                <w:szCs w:val="18"/>
                <w:lang w:eastAsia="en-GB"/>
              </w:rPr>
              <w:t>O</w:t>
            </w:r>
          </w:p>
        </w:tc>
        <w:tc>
          <w:tcPr>
            <w:tcW w:w="2321" w:type="dxa"/>
            <w:noWrap/>
          </w:tcPr>
          <w:p w14:paraId="7EBDA8D4"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22 mg</w:t>
            </w:r>
          </w:p>
        </w:tc>
      </w:tr>
      <w:tr w:rsidR="00D70E9B" w:rsidRPr="00F936DB" w14:paraId="37154A32"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0003499C"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KH</w:t>
            </w:r>
            <w:r w:rsidRPr="00F936DB">
              <w:rPr>
                <w:rFonts w:ascii="Times New Roman" w:eastAsia="Times New Roman" w:hAnsi="Times New Roman" w:cs="Times New Roman"/>
                <w:b w:val="0"/>
                <w:bCs w:val="0"/>
                <w:color w:val="000000"/>
                <w:sz w:val="18"/>
                <w:szCs w:val="18"/>
                <w:vertAlign w:val="subscript"/>
                <w:lang w:eastAsia="en-GB"/>
              </w:rPr>
              <w:t>2</w:t>
            </w:r>
            <w:r w:rsidRPr="00F936DB">
              <w:rPr>
                <w:rFonts w:ascii="Times New Roman" w:eastAsia="Times New Roman" w:hAnsi="Times New Roman" w:cs="Times New Roman"/>
                <w:b w:val="0"/>
                <w:bCs w:val="0"/>
                <w:color w:val="000000"/>
                <w:sz w:val="18"/>
                <w:szCs w:val="18"/>
                <w:lang w:eastAsia="en-GB"/>
              </w:rPr>
              <w:t>PO</w:t>
            </w:r>
            <w:r w:rsidRPr="00F936DB">
              <w:rPr>
                <w:rFonts w:ascii="Times New Roman" w:eastAsia="Times New Roman" w:hAnsi="Times New Roman" w:cs="Times New Roman"/>
                <w:b w:val="0"/>
                <w:bCs w:val="0"/>
                <w:color w:val="000000"/>
                <w:sz w:val="18"/>
                <w:szCs w:val="18"/>
                <w:vertAlign w:val="subscript"/>
                <w:lang w:eastAsia="en-GB"/>
              </w:rPr>
              <w:t>4</w:t>
            </w:r>
          </w:p>
        </w:tc>
        <w:tc>
          <w:tcPr>
            <w:tcW w:w="2321" w:type="dxa"/>
            <w:noWrap/>
          </w:tcPr>
          <w:p w14:paraId="192B8EE3"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140 mg</w:t>
            </w:r>
          </w:p>
        </w:tc>
      </w:tr>
      <w:tr w:rsidR="00D70E9B" w:rsidRPr="00F936DB" w14:paraId="6CF81FEE"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46CC3C83"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FeSO</w:t>
            </w:r>
            <w:r w:rsidRPr="00F936DB">
              <w:rPr>
                <w:rFonts w:ascii="Times New Roman" w:eastAsia="Times New Roman" w:hAnsi="Times New Roman" w:cs="Times New Roman"/>
                <w:b w:val="0"/>
                <w:bCs w:val="0"/>
                <w:color w:val="000000"/>
                <w:sz w:val="18"/>
                <w:szCs w:val="18"/>
                <w:vertAlign w:val="subscript"/>
                <w:lang w:eastAsia="en-GB"/>
              </w:rPr>
              <w:t>4</w:t>
            </w:r>
            <w:r w:rsidRPr="00F936DB">
              <w:rPr>
                <w:rFonts w:ascii="Times New Roman" w:eastAsia="Times New Roman" w:hAnsi="Times New Roman" w:cs="Times New Roman"/>
                <w:b w:val="0"/>
                <w:bCs w:val="0"/>
                <w:color w:val="000000"/>
                <w:sz w:val="18"/>
                <w:szCs w:val="18"/>
                <w:lang w:eastAsia="en-GB"/>
              </w:rPr>
              <w:t xml:space="preserve"> 7H</w:t>
            </w:r>
            <w:r w:rsidRPr="00F936DB">
              <w:rPr>
                <w:rFonts w:ascii="Times New Roman" w:eastAsia="Times New Roman" w:hAnsi="Times New Roman" w:cs="Times New Roman"/>
                <w:b w:val="0"/>
                <w:bCs w:val="0"/>
                <w:color w:val="000000"/>
                <w:sz w:val="18"/>
                <w:szCs w:val="18"/>
                <w:lang w:eastAsia="en-GB"/>
              </w:rPr>
              <w:softHyphen/>
            </w:r>
            <w:r w:rsidRPr="00F936DB">
              <w:rPr>
                <w:rFonts w:ascii="Times New Roman" w:eastAsia="Times New Roman" w:hAnsi="Times New Roman" w:cs="Times New Roman"/>
                <w:b w:val="0"/>
                <w:bCs w:val="0"/>
                <w:color w:val="000000"/>
                <w:sz w:val="18"/>
                <w:szCs w:val="18"/>
                <w:vertAlign w:val="subscript"/>
                <w:lang w:eastAsia="en-GB"/>
              </w:rPr>
              <w:t>2</w:t>
            </w:r>
            <w:r w:rsidRPr="00F936DB">
              <w:rPr>
                <w:rFonts w:ascii="Times New Roman" w:eastAsia="Times New Roman" w:hAnsi="Times New Roman" w:cs="Times New Roman"/>
                <w:b w:val="0"/>
                <w:bCs w:val="0"/>
                <w:color w:val="000000"/>
                <w:sz w:val="18"/>
                <w:szCs w:val="18"/>
                <w:lang w:eastAsia="en-GB"/>
              </w:rPr>
              <w:t>O</w:t>
            </w:r>
          </w:p>
        </w:tc>
        <w:tc>
          <w:tcPr>
            <w:tcW w:w="2321" w:type="dxa"/>
            <w:noWrap/>
          </w:tcPr>
          <w:p w14:paraId="243A55BE"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6 mg</w:t>
            </w:r>
          </w:p>
        </w:tc>
      </w:tr>
      <w:tr w:rsidR="00D70E9B" w:rsidRPr="00F936DB" w14:paraId="0D6690FC"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05EDD95D"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MnSO</w:t>
            </w:r>
            <w:r w:rsidRPr="00F936DB">
              <w:rPr>
                <w:rFonts w:ascii="Times New Roman" w:eastAsia="Times New Roman" w:hAnsi="Times New Roman" w:cs="Times New Roman"/>
                <w:b w:val="0"/>
                <w:bCs w:val="0"/>
                <w:color w:val="000000"/>
                <w:sz w:val="18"/>
                <w:szCs w:val="18"/>
                <w:vertAlign w:val="subscript"/>
                <w:lang w:eastAsia="en-GB"/>
              </w:rPr>
              <w:t>4</w:t>
            </w:r>
            <w:r w:rsidRPr="00F936DB">
              <w:rPr>
                <w:rFonts w:ascii="Times New Roman" w:eastAsia="Times New Roman" w:hAnsi="Times New Roman" w:cs="Times New Roman"/>
                <w:b w:val="0"/>
                <w:bCs w:val="0"/>
                <w:color w:val="000000"/>
                <w:sz w:val="18"/>
                <w:szCs w:val="18"/>
                <w:lang w:eastAsia="en-GB"/>
              </w:rPr>
              <w:t xml:space="preserve"> 4H</w:t>
            </w:r>
            <w:r w:rsidRPr="00F936DB">
              <w:rPr>
                <w:rFonts w:ascii="Times New Roman" w:eastAsia="Times New Roman" w:hAnsi="Times New Roman" w:cs="Times New Roman"/>
                <w:b w:val="0"/>
                <w:bCs w:val="0"/>
                <w:color w:val="000000"/>
                <w:sz w:val="18"/>
                <w:szCs w:val="18"/>
                <w:vertAlign w:val="subscript"/>
                <w:lang w:eastAsia="en-GB"/>
              </w:rPr>
              <w:t>2</w:t>
            </w:r>
            <w:r w:rsidRPr="00F936DB">
              <w:rPr>
                <w:rFonts w:ascii="Times New Roman" w:eastAsia="Times New Roman" w:hAnsi="Times New Roman" w:cs="Times New Roman"/>
                <w:b w:val="0"/>
                <w:bCs w:val="0"/>
                <w:color w:val="000000"/>
                <w:sz w:val="18"/>
                <w:szCs w:val="18"/>
                <w:lang w:eastAsia="en-GB"/>
              </w:rPr>
              <w:t>O</w:t>
            </w:r>
          </w:p>
        </w:tc>
        <w:tc>
          <w:tcPr>
            <w:tcW w:w="2321" w:type="dxa"/>
            <w:noWrap/>
          </w:tcPr>
          <w:p w14:paraId="10B8677B"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10 mg</w:t>
            </w:r>
          </w:p>
        </w:tc>
      </w:tr>
      <w:tr w:rsidR="00D70E9B" w:rsidRPr="00F936DB" w14:paraId="282EBF7E"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37" w:type="dxa"/>
            <w:gridSpan w:val="2"/>
            <w:noWrap/>
            <w:hideMark/>
          </w:tcPr>
          <w:p w14:paraId="32D4C8F9" w14:textId="77777777" w:rsidR="00D70E9B" w:rsidRPr="00F936DB" w:rsidRDefault="00D70E9B" w:rsidP="00A74445">
            <w:pPr>
              <w:rPr>
                <w:rFonts w:ascii="Times New Roman" w:eastAsia="Times New Roman" w:hAnsi="Times New Roman" w:cs="Times New Roman"/>
                <w:color w:val="000000"/>
                <w:sz w:val="18"/>
                <w:szCs w:val="18"/>
                <w:u w:val="single"/>
                <w:lang w:eastAsia="en-GB"/>
              </w:rPr>
            </w:pPr>
            <w:r w:rsidRPr="00F936DB">
              <w:rPr>
                <w:rFonts w:ascii="Times New Roman" w:eastAsia="Times New Roman" w:hAnsi="Times New Roman" w:cs="Times New Roman"/>
                <w:color w:val="000000"/>
                <w:sz w:val="18"/>
                <w:szCs w:val="18"/>
                <w:u w:val="single"/>
                <w:lang w:eastAsia="en-GB"/>
              </w:rPr>
              <w:t>Carbon source</w:t>
            </w:r>
          </w:p>
        </w:tc>
      </w:tr>
      <w:tr w:rsidR="00D70E9B" w:rsidRPr="00F936DB" w14:paraId="5C341430"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2474FFBE"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Glucose</w:t>
            </w:r>
          </w:p>
        </w:tc>
        <w:tc>
          <w:tcPr>
            <w:tcW w:w="2321" w:type="dxa"/>
            <w:noWrap/>
            <w:hideMark/>
          </w:tcPr>
          <w:p w14:paraId="3783F3FD"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5 g</w:t>
            </w:r>
          </w:p>
        </w:tc>
      </w:tr>
      <w:tr w:rsidR="00D70E9B" w:rsidRPr="00F936DB" w14:paraId="3288DBD9"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837" w:type="dxa"/>
            <w:gridSpan w:val="2"/>
            <w:noWrap/>
            <w:hideMark/>
          </w:tcPr>
          <w:p w14:paraId="54F76920" w14:textId="77777777" w:rsidR="00D70E9B" w:rsidRPr="00F936DB" w:rsidRDefault="00D70E9B" w:rsidP="00A74445">
            <w:pPr>
              <w:rPr>
                <w:rFonts w:ascii="Times New Roman" w:eastAsia="Times New Roman" w:hAnsi="Times New Roman" w:cs="Times New Roman"/>
                <w:color w:val="000000"/>
                <w:sz w:val="18"/>
                <w:szCs w:val="18"/>
                <w:u w:val="single"/>
                <w:lang w:eastAsia="en-GB"/>
              </w:rPr>
            </w:pPr>
            <w:r w:rsidRPr="00F936DB">
              <w:rPr>
                <w:rFonts w:ascii="Times New Roman" w:eastAsia="Times New Roman" w:hAnsi="Times New Roman" w:cs="Times New Roman"/>
                <w:color w:val="000000"/>
                <w:sz w:val="18"/>
                <w:szCs w:val="18"/>
                <w:u w:val="single"/>
                <w:lang w:eastAsia="en-GB"/>
              </w:rPr>
              <w:t>Amino acids</w:t>
            </w:r>
          </w:p>
        </w:tc>
      </w:tr>
      <w:tr w:rsidR="00D70E9B" w:rsidRPr="00F936DB" w14:paraId="2243D6F8"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4766EAE6"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L-Arginine</w:t>
            </w:r>
          </w:p>
        </w:tc>
        <w:tc>
          <w:tcPr>
            <w:tcW w:w="2321" w:type="dxa"/>
            <w:noWrap/>
            <w:hideMark/>
          </w:tcPr>
          <w:p w14:paraId="524E55F1"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125 mg</w:t>
            </w:r>
          </w:p>
        </w:tc>
      </w:tr>
      <w:tr w:rsidR="00D70E9B" w:rsidRPr="00F936DB" w14:paraId="4E50A1B3"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1F9AA876"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L-Proline</w:t>
            </w:r>
          </w:p>
        </w:tc>
        <w:tc>
          <w:tcPr>
            <w:tcW w:w="2321" w:type="dxa"/>
            <w:noWrap/>
            <w:hideMark/>
          </w:tcPr>
          <w:p w14:paraId="0B3D6B78"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200 mg</w:t>
            </w:r>
          </w:p>
        </w:tc>
      </w:tr>
      <w:tr w:rsidR="00D70E9B" w:rsidRPr="00F936DB" w14:paraId="1DAE2714"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06583855"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L-Glutamine</w:t>
            </w:r>
          </w:p>
        </w:tc>
        <w:tc>
          <w:tcPr>
            <w:tcW w:w="2321" w:type="dxa"/>
            <w:noWrap/>
            <w:hideMark/>
          </w:tcPr>
          <w:p w14:paraId="0175C25D"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250 mg</w:t>
            </w:r>
          </w:p>
        </w:tc>
      </w:tr>
      <w:tr w:rsidR="00D70E9B" w:rsidRPr="00F936DB" w14:paraId="656F6C95"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3D1DF412"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L-Valine</w:t>
            </w:r>
          </w:p>
        </w:tc>
        <w:tc>
          <w:tcPr>
            <w:tcW w:w="2321" w:type="dxa"/>
            <w:noWrap/>
            <w:hideMark/>
          </w:tcPr>
          <w:p w14:paraId="412938A8"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150 mg</w:t>
            </w:r>
          </w:p>
        </w:tc>
      </w:tr>
      <w:tr w:rsidR="00D70E9B" w:rsidRPr="00F936DB" w14:paraId="54D2A310"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7EA56B03"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L-Threonine</w:t>
            </w:r>
          </w:p>
        </w:tc>
        <w:tc>
          <w:tcPr>
            <w:tcW w:w="2321" w:type="dxa"/>
            <w:noWrap/>
            <w:hideMark/>
          </w:tcPr>
          <w:p w14:paraId="2B075EF5"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150 mg</w:t>
            </w:r>
          </w:p>
        </w:tc>
      </w:tr>
      <w:tr w:rsidR="00D70E9B" w:rsidRPr="00F936DB" w14:paraId="0A78D84B"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2FC67049"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L-Phenylalanine</w:t>
            </w:r>
          </w:p>
        </w:tc>
        <w:tc>
          <w:tcPr>
            <w:tcW w:w="2321" w:type="dxa"/>
            <w:noWrap/>
            <w:hideMark/>
          </w:tcPr>
          <w:p w14:paraId="6ACE6155"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150 mg</w:t>
            </w:r>
          </w:p>
        </w:tc>
      </w:tr>
      <w:tr w:rsidR="00D70E9B" w:rsidRPr="00F936DB" w14:paraId="59C83A90"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590E63A0"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L-Leucine</w:t>
            </w:r>
          </w:p>
        </w:tc>
        <w:tc>
          <w:tcPr>
            <w:tcW w:w="2321" w:type="dxa"/>
            <w:noWrap/>
            <w:hideMark/>
          </w:tcPr>
          <w:p w14:paraId="1810DBAD"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150 mg</w:t>
            </w:r>
          </w:p>
        </w:tc>
      </w:tr>
      <w:tr w:rsidR="00D70E9B" w:rsidRPr="00F936DB" w14:paraId="502EFEB6"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717B816C"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L-Glycine</w:t>
            </w:r>
          </w:p>
        </w:tc>
        <w:tc>
          <w:tcPr>
            <w:tcW w:w="2321" w:type="dxa"/>
            <w:noWrap/>
            <w:hideMark/>
          </w:tcPr>
          <w:p w14:paraId="2A2107A5"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50 mg</w:t>
            </w:r>
          </w:p>
        </w:tc>
      </w:tr>
      <w:tr w:rsidR="00D70E9B" w:rsidRPr="00F936DB" w14:paraId="7266FEB8"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35EE67AE"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L-Serine</w:t>
            </w:r>
          </w:p>
        </w:tc>
        <w:tc>
          <w:tcPr>
            <w:tcW w:w="2321" w:type="dxa"/>
            <w:noWrap/>
            <w:hideMark/>
          </w:tcPr>
          <w:p w14:paraId="160C56B4"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30 mg</w:t>
            </w:r>
          </w:p>
        </w:tc>
      </w:tr>
      <w:tr w:rsidR="00D70E9B" w:rsidRPr="00F936DB" w14:paraId="60A9279D"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7446D60C"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L-Aspartic acid</w:t>
            </w:r>
          </w:p>
        </w:tc>
        <w:tc>
          <w:tcPr>
            <w:tcW w:w="2321" w:type="dxa"/>
            <w:noWrap/>
            <w:hideMark/>
          </w:tcPr>
          <w:p w14:paraId="5C8E7847"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90 mg</w:t>
            </w:r>
          </w:p>
        </w:tc>
      </w:tr>
      <w:tr w:rsidR="00D70E9B" w:rsidRPr="00F936DB" w14:paraId="5672686D"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54619A7C"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L-Lysine</w:t>
            </w:r>
          </w:p>
        </w:tc>
        <w:tc>
          <w:tcPr>
            <w:tcW w:w="2321" w:type="dxa"/>
            <w:noWrap/>
            <w:hideMark/>
          </w:tcPr>
          <w:p w14:paraId="3F7068D4"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50 mg</w:t>
            </w:r>
          </w:p>
        </w:tc>
      </w:tr>
      <w:tr w:rsidR="00D70E9B" w:rsidRPr="00F936DB" w14:paraId="3687EA49"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7E1D0E83"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L-Alanine</w:t>
            </w:r>
          </w:p>
        </w:tc>
        <w:tc>
          <w:tcPr>
            <w:tcW w:w="2321" w:type="dxa"/>
            <w:noWrap/>
            <w:hideMark/>
          </w:tcPr>
          <w:p w14:paraId="3BC2AD87"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60 mg</w:t>
            </w:r>
          </w:p>
        </w:tc>
      </w:tr>
      <w:tr w:rsidR="00D70E9B" w:rsidRPr="00F936DB" w14:paraId="23A46749"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1733CEFC"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L-Tryptophan</w:t>
            </w:r>
          </w:p>
        </w:tc>
        <w:tc>
          <w:tcPr>
            <w:tcW w:w="2321" w:type="dxa"/>
            <w:noWrap/>
            <w:hideMark/>
          </w:tcPr>
          <w:p w14:paraId="39985291"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10 mg</w:t>
            </w:r>
          </w:p>
        </w:tc>
      </w:tr>
      <w:tr w:rsidR="00D70E9B" w:rsidRPr="00F936DB" w14:paraId="0AE6DC0E"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751B107E"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L-Methionine</w:t>
            </w:r>
          </w:p>
        </w:tc>
        <w:tc>
          <w:tcPr>
            <w:tcW w:w="2321" w:type="dxa"/>
            <w:noWrap/>
            <w:hideMark/>
          </w:tcPr>
          <w:p w14:paraId="2A549BB9"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10 mg</w:t>
            </w:r>
          </w:p>
        </w:tc>
      </w:tr>
      <w:tr w:rsidR="00D70E9B" w:rsidRPr="00F936DB" w14:paraId="4553F59D"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5594C260"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L-Histidine</w:t>
            </w:r>
          </w:p>
        </w:tc>
        <w:tc>
          <w:tcPr>
            <w:tcW w:w="2321" w:type="dxa"/>
            <w:noWrap/>
            <w:hideMark/>
          </w:tcPr>
          <w:p w14:paraId="46F1CD0B"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20 mg</w:t>
            </w:r>
          </w:p>
        </w:tc>
      </w:tr>
      <w:tr w:rsidR="00D70E9B" w:rsidRPr="00F936DB" w14:paraId="5DC8CF0F"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410260FA"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L-Isoleucine</w:t>
            </w:r>
          </w:p>
        </w:tc>
        <w:tc>
          <w:tcPr>
            <w:tcW w:w="2321" w:type="dxa"/>
            <w:noWrap/>
            <w:hideMark/>
          </w:tcPr>
          <w:p w14:paraId="134F219A"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30 mg</w:t>
            </w:r>
          </w:p>
        </w:tc>
      </w:tr>
      <w:tr w:rsidR="00D70E9B" w:rsidRPr="00F936DB" w14:paraId="4DE5EE94"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7BBC628A"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L-Tyrosine</w:t>
            </w:r>
          </w:p>
        </w:tc>
        <w:tc>
          <w:tcPr>
            <w:tcW w:w="2321" w:type="dxa"/>
            <w:noWrap/>
            <w:hideMark/>
          </w:tcPr>
          <w:p w14:paraId="051D3E26"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50 mg</w:t>
            </w:r>
          </w:p>
        </w:tc>
      </w:tr>
      <w:tr w:rsidR="00D70E9B" w:rsidRPr="00F936DB" w14:paraId="58F0DCED"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08FE7524"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L-Cystine</w:t>
            </w:r>
          </w:p>
        </w:tc>
        <w:tc>
          <w:tcPr>
            <w:tcW w:w="2321" w:type="dxa"/>
            <w:noWrap/>
          </w:tcPr>
          <w:p w14:paraId="24E0A399"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80 mg</w:t>
            </w:r>
          </w:p>
        </w:tc>
      </w:tr>
      <w:tr w:rsidR="00D70E9B" w:rsidRPr="00F936DB" w14:paraId="7883268B"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8837" w:type="dxa"/>
            <w:gridSpan w:val="2"/>
            <w:noWrap/>
            <w:hideMark/>
          </w:tcPr>
          <w:p w14:paraId="2B5860B7" w14:textId="77777777" w:rsidR="00D70E9B" w:rsidRPr="00F936DB" w:rsidRDefault="00D70E9B" w:rsidP="00A74445">
            <w:pPr>
              <w:rPr>
                <w:rFonts w:ascii="Times New Roman" w:eastAsia="Times New Roman" w:hAnsi="Times New Roman" w:cs="Times New Roman"/>
                <w:color w:val="000000"/>
                <w:sz w:val="18"/>
                <w:szCs w:val="18"/>
                <w:u w:val="single"/>
                <w:lang w:eastAsia="en-GB"/>
              </w:rPr>
            </w:pPr>
            <w:r w:rsidRPr="00F936DB">
              <w:rPr>
                <w:rFonts w:ascii="Times New Roman" w:eastAsia="Times New Roman" w:hAnsi="Times New Roman" w:cs="Times New Roman"/>
                <w:color w:val="000000"/>
                <w:sz w:val="18"/>
                <w:szCs w:val="18"/>
                <w:u w:val="single"/>
                <w:lang w:eastAsia="en-GB"/>
              </w:rPr>
              <w:t>Vitamins</w:t>
            </w:r>
          </w:p>
        </w:tc>
      </w:tr>
      <w:tr w:rsidR="00D70E9B" w:rsidRPr="00F936DB" w14:paraId="1E2ADBAF"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5A6A8912"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Biotin</w:t>
            </w:r>
          </w:p>
        </w:tc>
        <w:tc>
          <w:tcPr>
            <w:tcW w:w="2321" w:type="dxa"/>
            <w:noWrap/>
            <w:hideMark/>
          </w:tcPr>
          <w:p w14:paraId="44196B01"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0.1 mg</w:t>
            </w:r>
          </w:p>
        </w:tc>
      </w:tr>
      <w:tr w:rsidR="00D70E9B" w:rsidRPr="00F936DB" w14:paraId="383D7E3D"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6D3A85A3"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Thiamine</w:t>
            </w:r>
          </w:p>
        </w:tc>
        <w:tc>
          <w:tcPr>
            <w:tcW w:w="2321" w:type="dxa"/>
            <w:noWrap/>
            <w:hideMark/>
          </w:tcPr>
          <w:p w14:paraId="7925BFD6"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2 mg</w:t>
            </w:r>
          </w:p>
        </w:tc>
      </w:tr>
      <w:tr w:rsidR="00D70E9B" w:rsidRPr="00F936DB" w14:paraId="3570D75D"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2A20A9A0"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Nicotinic acid</w:t>
            </w:r>
          </w:p>
        </w:tc>
        <w:tc>
          <w:tcPr>
            <w:tcW w:w="2321" w:type="dxa"/>
            <w:noWrap/>
            <w:hideMark/>
          </w:tcPr>
          <w:p w14:paraId="42183332"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2 mg</w:t>
            </w:r>
          </w:p>
        </w:tc>
      </w:tr>
      <w:tr w:rsidR="00D70E9B" w:rsidRPr="00F936DB" w14:paraId="190569F1"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hideMark/>
          </w:tcPr>
          <w:p w14:paraId="4502C83A"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Calcium pantothenate</w:t>
            </w:r>
          </w:p>
        </w:tc>
        <w:tc>
          <w:tcPr>
            <w:tcW w:w="2321" w:type="dxa"/>
            <w:noWrap/>
            <w:hideMark/>
          </w:tcPr>
          <w:p w14:paraId="16C830D0"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2 mg</w:t>
            </w:r>
          </w:p>
        </w:tc>
      </w:tr>
      <w:tr w:rsidR="00D70E9B" w:rsidRPr="00F936DB" w14:paraId="364A0F97"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7FBDF5E0" w14:textId="77777777" w:rsidR="00D70E9B" w:rsidRPr="00F936DB" w:rsidRDefault="00D70E9B" w:rsidP="00A74445">
            <w:pPr>
              <w:rPr>
                <w:rFonts w:ascii="Times New Roman" w:eastAsia="Times New Roman" w:hAnsi="Times New Roman" w:cs="Times New Roman"/>
                <w:color w:val="000000"/>
                <w:sz w:val="18"/>
                <w:szCs w:val="18"/>
                <w:u w:val="single"/>
                <w:lang w:eastAsia="en-GB"/>
              </w:rPr>
            </w:pPr>
            <w:r w:rsidRPr="00F936DB">
              <w:rPr>
                <w:rFonts w:ascii="Times New Roman" w:eastAsia="Times New Roman" w:hAnsi="Times New Roman" w:cs="Times New Roman"/>
                <w:color w:val="000000"/>
                <w:sz w:val="18"/>
                <w:szCs w:val="18"/>
                <w:u w:val="single"/>
                <w:lang w:eastAsia="en-GB"/>
              </w:rPr>
              <w:t>Others</w:t>
            </w:r>
          </w:p>
        </w:tc>
        <w:tc>
          <w:tcPr>
            <w:tcW w:w="2321" w:type="dxa"/>
            <w:noWrap/>
          </w:tcPr>
          <w:p w14:paraId="358E7C79"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p>
        </w:tc>
      </w:tr>
      <w:tr w:rsidR="00D70E9B" w:rsidRPr="00F936DB" w14:paraId="0FDB57AD"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5244E155"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color w:val="000000"/>
                <w:sz w:val="18"/>
                <w:szCs w:val="18"/>
                <w:lang w:eastAsia="en-GB"/>
              </w:rPr>
              <w:t>Citric acid</w:t>
            </w:r>
          </w:p>
        </w:tc>
        <w:tc>
          <w:tcPr>
            <w:tcW w:w="2321" w:type="dxa"/>
            <w:noWrap/>
          </w:tcPr>
          <w:p w14:paraId="37854CAD"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6 mg</w:t>
            </w:r>
          </w:p>
        </w:tc>
      </w:tr>
      <w:tr w:rsidR="00D70E9B" w:rsidRPr="00F936DB" w14:paraId="3CCD9B62" w14:textId="77777777" w:rsidTr="00A744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6CBF3E9E" w14:textId="77777777" w:rsidR="00D70E9B" w:rsidRPr="00F936DB" w:rsidRDefault="00D70E9B" w:rsidP="00A74445">
            <w:pPr>
              <w:rPr>
                <w:rFonts w:ascii="Times New Roman" w:eastAsia="Times New Roman" w:hAnsi="Times New Roman" w:cs="Times New Roman"/>
                <w:b w:val="0"/>
                <w:bCs w:val="0"/>
                <w:color w:val="000000"/>
                <w:sz w:val="18"/>
                <w:szCs w:val="18"/>
                <w:lang w:eastAsia="en-GB"/>
              </w:rPr>
            </w:pPr>
            <w:r w:rsidRPr="00F936DB">
              <w:rPr>
                <w:rFonts w:ascii="Times New Roman" w:eastAsia="Times New Roman" w:hAnsi="Times New Roman" w:cs="Times New Roman"/>
                <w:b w:val="0"/>
                <w:bCs w:val="0"/>
                <w:sz w:val="18"/>
                <w:szCs w:val="18"/>
                <w:lang w:eastAsia="en-GB"/>
              </w:rPr>
              <w:t>Thymine</w:t>
            </w:r>
          </w:p>
        </w:tc>
        <w:tc>
          <w:tcPr>
            <w:tcW w:w="2321" w:type="dxa"/>
            <w:noWrap/>
          </w:tcPr>
          <w:p w14:paraId="7FD22B21" w14:textId="77777777" w:rsidR="00D70E9B" w:rsidRPr="00F936DB" w:rsidRDefault="00D70E9B" w:rsidP="00A744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20 mg</w:t>
            </w:r>
          </w:p>
        </w:tc>
      </w:tr>
      <w:tr w:rsidR="00D70E9B" w:rsidRPr="00F936DB" w14:paraId="45D35F06" w14:textId="77777777" w:rsidTr="00A74445">
        <w:trPr>
          <w:trHeight w:val="264"/>
        </w:trPr>
        <w:tc>
          <w:tcPr>
            <w:cnfStyle w:val="001000000000" w:firstRow="0" w:lastRow="0" w:firstColumn="1" w:lastColumn="0" w:oddVBand="0" w:evenVBand="0" w:oddHBand="0" w:evenHBand="0" w:firstRowFirstColumn="0" w:firstRowLastColumn="0" w:lastRowFirstColumn="0" w:lastRowLastColumn="0"/>
            <w:tcW w:w="6516" w:type="dxa"/>
            <w:noWrap/>
          </w:tcPr>
          <w:p w14:paraId="36CEC4F6" w14:textId="77777777" w:rsidR="00D70E9B" w:rsidRPr="00F936DB" w:rsidRDefault="00D70E9B" w:rsidP="00A74445">
            <w:pPr>
              <w:rPr>
                <w:rFonts w:ascii="Times New Roman" w:eastAsia="Times New Roman" w:hAnsi="Times New Roman" w:cs="Times New Roman"/>
                <w:b w:val="0"/>
                <w:bCs w:val="0"/>
                <w:sz w:val="18"/>
                <w:szCs w:val="18"/>
                <w:lang w:eastAsia="en-GB"/>
              </w:rPr>
            </w:pPr>
            <w:r w:rsidRPr="00F936DB">
              <w:rPr>
                <w:rFonts w:ascii="Times New Roman" w:eastAsia="Times New Roman" w:hAnsi="Times New Roman" w:cs="Times New Roman"/>
                <w:b w:val="0"/>
                <w:bCs w:val="0"/>
                <w:color w:val="000000"/>
                <w:sz w:val="18"/>
                <w:szCs w:val="18"/>
                <w:lang w:eastAsia="en-GB"/>
              </w:rPr>
              <w:t>Tris</w:t>
            </w:r>
          </w:p>
        </w:tc>
        <w:tc>
          <w:tcPr>
            <w:tcW w:w="2321" w:type="dxa"/>
            <w:noWrap/>
          </w:tcPr>
          <w:p w14:paraId="3566DA59" w14:textId="77777777" w:rsidR="00D70E9B" w:rsidRPr="00F936DB" w:rsidRDefault="00D70E9B" w:rsidP="00A744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12.1 g</w:t>
            </w:r>
          </w:p>
        </w:tc>
      </w:tr>
      <w:tr w:rsidR="00D70E9B" w:rsidRPr="00F936DB" w14:paraId="3B8DBE03" w14:textId="77777777" w:rsidTr="00A74445">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8837" w:type="dxa"/>
            <w:gridSpan w:val="2"/>
            <w:noWrap/>
          </w:tcPr>
          <w:p w14:paraId="58F14916" w14:textId="77777777" w:rsidR="00D70E9B" w:rsidRPr="00F936DB" w:rsidRDefault="00D70E9B" w:rsidP="00A74445">
            <w:pPr>
              <w:rPr>
                <w:rFonts w:ascii="Times New Roman" w:eastAsia="Times New Roman" w:hAnsi="Times New Roman" w:cs="Times New Roman"/>
                <w:color w:val="000000"/>
                <w:sz w:val="18"/>
                <w:szCs w:val="18"/>
                <w:lang w:eastAsia="en-GB"/>
              </w:rPr>
            </w:pPr>
            <w:r w:rsidRPr="00F936DB">
              <w:rPr>
                <w:rFonts w:ascii="Times New Roman" w:eastAsia="Times New Roman" w:hAnsi="Times New Roman" w:cs="Times New Roman"/>
                <w:color w:val="000000"/>
                <w:sz w:val="18"/>
                <w:szCs w:val="18"/>
                <w:lang w:eastAsia="en-GB"/>
              </w:rPr>
              <w:t xml:space="preserve">L-cysteine was the last reagent added to the media, the final solution was adjusted to pH 7.4 and subsequently filter sterilised using </w:t>
            </w:r>
            <w:r w:rsidRPr="00F936DB">
              <w:rPr>
                <w:rFonts w:ascii="Times New Roman" w:eastAsia="Times New Roman" w:hAnsi="Times New Roman" w:cs="Times New Roman"/>
                <w:color w:val="000000" w:themeColor="text1"/>
                <w:sz w:val="18"/>
                <w:szCs w:val="18"/>
                <w:lang w:eastAsia="en-GB"/>
              </w:rPr>
              <w:t>0.22 µm filter</w:t>
            </w:r>
          </w:p>
        </w:tc>
      </w:tr>
    </w:tbl>
    <w:p w14:paraId="47BF5DF1" w14:textId="77777777" w:rsidR="00D70E9B" w:rsidRDefault="00D70E9B" w:rsidP="00D70E9B">
      <w:pPr>
        <w:pStyle w:val="Heading2"/>
      </w:pPr>
      <w:bookmarkStart w:id="67" w:name="_Toc142043589"/>
      <w:bookmarkStart w:id="68" w:name="_Hlk38208842"/>
      <w:r>
        <w:t>2.2. Mammalian tissue culture</w:t>
      </w:r>
      <w:bookmarkEnd w:id="67"/>
      <w:r>
        <w:t xml:space="preserve"> </w:t>
      </w:r>
    </w:p>
    <w:p w14:paraId="1383D320" w14:textId="77777777" w:rsidR="00D70E9B" w:rsidRPr="00306D1D" w:rsidRDefault="00D70E9B" w:rsidP="00D70E9B">
      <w:pPr>
        <w:spacing w:line="360" w:lineRule="auto"/>
        <w:jc w:val="both"/>
        <w:rPr>
          <w:color w:val="000000" w:themeColor="text1"/>
        </w:rPr>
      </w:pPr>
    </w:p>
    <w:p w14:paraId="43472DAB" w14:textId="6E5385C7" w:rsidR="00D70E9B" w:rsidRPr="00306D1D" w:rsidRDefault="00D70E9B" w:rsidP="00D70E9B">
      <w:pPr>
        <w:spacing w:line="360" w:lineRule="auto"/>
        <w:jc w:val="both"/>
        <w:rPr>
          <w:rFonts w:ascii="Calibri" w:eastAsia="Times New Roman" w:hAnsi="Calibri" w:cs="Calibri"/>
          <w:color w:val="000000" w:themeColor="text1"/>
          <w:sz w:val="24"/>
          <w:szCs w:val="24"/>
          <w:lang w:eastAsia="en-GB"/>
        </w:rPr>
      </w:pPr>
      <w:r w:rsidRPr="00306D1D">
        <w:rPr>
          <w:rFonts w:ascii="Times New Roman" w:hAnsi="Times New Roman" w:cs="Times New Roman"/>
          <w:color w:val="000000" w:themeColor="text1"/>
        </w:rPr>
        <w:t>RAW 264.7 murine macrophage</w:t>
      </w:r>
      <w:r w:rsidR="00045316">
        <w:rPr>
          <w:rFonts w:ascii="Times New Roman" w:hAnsi="Times New Roman" w:cs="Times New Roman"/>
          <w:color w:val="000000" w:themeColor="text1"/>
        </w:rPr>
        <w:t>s</w:t>
      </w:r>
      <w:r w:rsidRPr="00306D1D">
        <w:rPr>
          <w:rFonts w:ascii="Times New Roman" w:hAnsi="Times New Roman" w:cs="Times New Roman"/>
          <w:color w:val="000000" w:themeColor="text1"/>
        </w:rPr>
        <w:t xml:space="preserve"> </w:t>
      </w:r>
      <w:r w:rsidRPr="00306D1D">
        <w:rPr>
          <w:rFonts w:ascii="Times New Roman" w:hAnsi="Times New Roman" w:cs="Times New Roman"/>
          <w:color w:val="000000" w:themeColor="text1"/>
          <w:shd w:val="clear" w:color="auto" w:fill="FFFFFF"/>
        </w:rPr>
        <w:t>(ATCC TIB-71)</w:t>
      </w:r>
      <w:r w:rsidRPr="00306D1D">
        <w:rPr>
          <w:rFonts w:ascii="Times New Roman" w:hAnsi="Times New Roman" w:cs="Times New Roman"/>
          <w:color w:val="000000" w:themeColor="text1"/>
        </w:rPr>
        <w:t xml:space="preserve"> </w:t>
      </w:r>
      <w:r w:rsidRPr="00306D1D">
        <w:rPr>
          <w:rFonts w:ascii="Times New Roman" w:hAnsi="Times New Roman" w:cs="Times New Roman"/>
          <w:color w:val="000000" w:themeColor="text1"/>
          <w:shd w:val="clear" w:color="auto" w:fill="FFFFFF"/>
        </w:rPr>
        <w:t>were maintained in Dulbecco’s modified Eagle’s medium (DMEM)</w:t>
      </w:r>
      <w:r>
        <w:rPr>
          <w:rFonts w:ascii="Times New Roman" w:hAnsi="Times New Roman" w:cs="Times New Roman"/>
          <w:color w:val="000000" w:themeColor="text1"/>
          <w:shd w:val="clear" w:color="auto" w:fill="FFFFFF"/>
        </w:rPr>
        <w:t xml:space="preserve"> Low Glucose</w:t>
      </w:r>
      <w:r w:rsidRPr="00306D1D">
        <w:rPr>
          <w:rFonts w:ascii="Times New Roman" w:hAnsi="Times New Roman" w:cs="Times New Roman"/>
          <w:color w:val="000000" w:themeColor="text1"/>
          <w:shd w:val="clear" w:color="auto" w:fill="FFFFFF"/>
        </w:rPr>
        <w:t xml:space="preserve"> (Sigma) supplemented with 2 mM L-glutamine (Gibco) and 10% foetal bovine serum (FBS) (Merck)</w:t>
      </w:r>
      <w:r w:rsidR="00045316">
        <w:rPr>
          <w:rFonts w:ascii="Times New Roman" w:hAnsi="Times New Roman" w:cs="Times New Roman"/>
          <w:color w:val="000000" w:themeColor="text1"/>
          <w:shd w:val="clear" w:color="auto" w:fill="FFFFFF"/>
        </w:rPr>
        <w:t xml:space="preserve"> </w:t>
      </w:r>
      <w:r w:rsidRPr="00306D1D">
        <w:rPr>
          <w:rFonts w:ascii="Times New Roman" w:hAnsi="Times New Roman" w:cs="Times New Roman"/>
          <w:color w:val="000000" w:themeColor="text1"/>
          <w:shd w:val="clear" w:color="auto" w:fill="FFFFFF"/>
        </w:rPr>
        <w:t xml:space="preserve">and were cultured at </w:t>
      </w:r>
      <w:r w:rsidRPr="00306D1D">
        <w:rPr>
          <w:rFonts w:ascii="Times New Roman" w:hAnsi="Times New Roman" w:cs="Times New Roman"/>
          <w:color w:val="000000" w:themeColor="text1"/>
        </w:rPr>
        <w:t>37</w:t>
      </w:r>
      <w:r w:rsidRPr="00306D1D">
        <w:rPr>
          <w:rFonts w:ascii="Times New Roman" w:eastAsia="Times New Roman" w:hAnsi="Times New Roman" w:cs="Times New Roman"/>
          <w:color w:val="000000" w:themeColor="text1"/>
          <w:lang w:eastAsia="en-GB"/>
        </w:rPr>
        <w:t>˚C in the presence of 5% CO</w:t>
      </w:r>
      <w:r w:rsidRPr="00306D1D">
        <w:rPr>
          <w:rFonts w:ascii="Times New Roman" w:eastAsia="Times New Roman" w:hAnsi="Times New Roman" w:cs="Times New Roman"/>
          <w:color w:val="000000" w:themeColor="text1"/>
          <w:vertAlign w:val="subscript"/>
          <w:lang w:eastAsia="en-GB"/>
        </w:rPr>
        <w:t>2</w:t>
      </w:r>
      <w:r w:rsidRPr="00306D1D">
        <w:rPr>
          <w:rFonts w:ascii="Times New Roman" w:hAnsi="Times New Roman" w:cs="Times New Roman"/>
          <w:color w:val="000000" w:themeColor="text1"/>
          <w:shd w:val="clear" w:color="auto" w:fill="FFFFFF"/>
        </w:rPr>
        <w:t>. RAW 264.7 macrophages were passaged into T75 flasks (Greiner Bio-One) until 70-80% confluence was achieved, and experiments were performed at passages 9-18.</w:t>
      </w:r>
    </w:p>
    <w:p w14:paraId="1CAFD80F" w14:textId="77777777" w:rsidR="00D70E9B" w:rsidRPr="00D4711A" w:rsidRDefault="00D70E9B" w:rsidP="00D70E9B">
      <w:pPr>
        <w:pStyle w:val="Heading2"/>
      </w:pPr>
      <w:bookmarkStart w:id="69" w:name="_Toc142043590"/>
      <w:r w:rsidRPr="00D4711A">
        <w:t>2.</w:t>
      </w:r>
      <w:r>
        <w:t>3</w:t>
      </w:r>
      <w:r w:rsidRPr="00D4711A">
        <w:t>. Zebrafish strains and husbandry</w:t>
      </w:r>
      <w:bookmarkEnd w:id="69"/>
    </w:p>
    <w:bookmarkEnd w:id="68"/>
    <w:p w14:paraId="2100703F" w14:textId="77777777" w:rsidR="00D70E9B" w:rsidRDefault="00D70E9B" w:rsidP="00D70E9B">
      <w:pPr>
        <w:spacing w:line="360" w:lineRule="auto"/>
        <w:jc w:val="both"/>
        <w:rPr>
          <w:rFonts w:ascii="Times New Roman" w:eastAsia="Times New Roman" w:hAnsi="Times New Roman" w:cs="Times New Roman"/>
          <w:color w:val="000000"/>
          <w:lang w:eastAsia="en-GB"/>
        </w:rPr>
      </w:pPr>
    </w:p>
    <w:p w14:paraId="28DEEE97" w14:textId="77777777" w:rsidR="00D70E9B" w:rsidRPr="0085544B" w:rsidRDefault="00D70E9B" w:rsidP="00D70E9B">
      <w:pPr>
        <w:spacing w:line="360" w:lineRule="auto"/>
        <w:jc w:val="both"/>
        <w:rPr>
          <w:rFonts w:ascii="Times New Roman" w:hAnsi="Times New Roman" w:cs="Times New Roman"/>
        </w:rPr>
      </w:pPr>
      <w:r w:rsidRPr="0085544B">
        <w:rPr>
          <w:rFonts w:ascii="Times New Roman" w:eastAsia="Times New Roman" w:hAnsi="Times New Roman" w:cs="Times New Roman"/>
          <w:color w:val="000000"/>
          <w:lang w:eastAsia="en-GB"/>
        </w:rPr>
        <w:t>Animal work was completed following the Animals (Scientific Procedures) Act 1986.  London Wildtype zebrafish (</w:t>
      </w:r>
      <w:r w:rsidRPr="0085544B">
        <w:rPr>
          <w:rFonts w:ascii="Times New Roman" w:eastAsia="Times New Roman" w:hAnsi="Times New Roman" w:cs="Times New Roman"/>
          <w:i/>
          <w:iCs/>
          <w:color w:val="000000"/>
          <w:lang w:eastAsia="en-GB"/>
        </w:rPr>
        <w:t>Danio rerio</w:t>
      </w:r>
      <w:r w:rsidRPr="0085544B">
        <w:rPr>
          <w:rFonts w:ascii="Times New Roman" w:eastAsia="Times New Roman" w:hAnsi="Times New Roman" w:cs="Times New Roman"/>
          <w:color w:val="000000"/>
          <w:lang w:eastAsia="en-GB"/>
        </w:rPr>
        <w:t>) embryos were provided by the Bateson Centre aquaria, University of Sheffield and were maintained according to established standards</w:t>
      </w:r>
      <w:r>
        <w:rPr>
          <w:rFonts w:ascii="Times New Roman" w:eastAsia="Times New Roman" w:hAnsi="Times New Roman" w:cs="Times New Roman"/>
          <w:color w:val="000000"/>
          <w:vertAlign w:val="superscript"/>
          <w:lang w:eastAsia="en-GB"/>
        </w:rPr>
        <w:t xml:space="preserve"> </w:t>
      </w:r>
      <w:r w:rsidRPr="003D0B53">
        <w:rPr>
          <w:rFonts w:ascii="Times New Roman" w:eastAsia="Times New Roman" w:hAnsi="Times New Roman" w:cs="Times New Roman"/>
          <w:b/>
          <w:bCs/>
          <w:color w:val="000000"/>
          <w:lang w:eastAsia="en-GB"/>
        </w:rPr>
        <w:fldChar w:fldCharType="begin"/>
      </w:r>
      <w:r w:rsidRPr="003D0B53">
        <w:rPr>
          <w:rFonts w:ascii="Times New Roman" w:eastAsia="Times New Roman" w:hAnsi="Times New Roman" w:cs="Times New Roman"/>
          <w:b/>
          <w:bCs/>
          <w:color w:val="000000"/>
          <w:lang w:eastAsia="en-GB"/>
        </w:rPr>
        <w:instrText xml:space="preserve"> ADDIN EN.CITE &lt;EndNote&gt;&lt;Cite&gt;&lt;Author&gt;Nüsslein-Volhard&lt;/Author&gt;&lt;Year&gt;2002&lt;/Year&gt;&lt;IDText&gt;Zebrafish: A Practical Approach&lt;/IDText&gt;&lt;DisplayText&gt;(Nüsslein-Volhard and Dahm, 2002)&lt;/DisplayText&gt;&lt;record&gt;&lt;titles&gt;&lt;title&gt;Zebrafish: A Practical Approach&lt;/title&gt;&lt;/titles&gt;&lt;contributors&gt;&lt;authors&gt;&lt;author&gt;Nüsslein-Volhard, C&lt;/author&gt;&lt;author&gt;Dahm, R&lt;/author&gt;&lt;/authors&gt;&lt;/contributors&gt;&lt;added-date format="utc"&gt;1663612674&lt;/added-date&gt;&lt;pub-location&gt;Oxford&lt;/pub-location&gt;&lt;ref-type name="Book"&gt;6&lt;/ref-type&gt;&lt;dates&gt;&lt;year&gt;2002&lt;/year&gt;&lt;/dates&gt;&lt;rec-number&gt;66&lt;/rec-number&gt;&lt;publisher&gt;Oxford University Press&lt;/publisher&gt;&lt;last-updated-date format="utc"&gt;1663624413&lt;/last-updated-date&gt;&lt;/record&gt;&lt;/Cite&gt;&lt;/EndNote&gt;</w:instrText>
      </w:r>
      <w:r w:rsidRPr="003D0B53">
        <w:rPr>
          <w:rFonts w:ascii="Times New Roman" w:eastAsia="Times New Roman" w:hAnsi="Times New Roman" w:cs="Times New Roman"/>
          <w:b/>
          <w:bCs/>
          <w:color w:val="000000"/>
          <w:lang w:eastAsia="en-GB"/>
        </w:rPr>
        <w:fldChar w:fldCharType="separate"/>
      </w:r>
      <w:r w:rsidRPr="003D0B53">
        <w:rPr>
          <w:rFonts w:ascii="Times New Roman" w:eastAsia="Times New Roman" w:hAnsi="Times New Roman" w:cs="Times New Roman"/>
          <w:b/>
          <w:bCs/>
          <w:noProof/>
          <w:color w:val="000000"/>
          <w:lang w:eastAsia="en-GB"/>
        </w:rPr>
        <w:t>(Nüsslein-Volhard and Dahm, 2002)</w:t>
      </w:r>
      <w:r w:rsidRPr="003D0B53">
        <w:rPr>
          <w:rFonts w:ascii="Times New Roman" w:eastAsia="Times New Roman" w:hAnsi="Times New Roman" w:cs="Times New Roman"/>
          <w:b/>
          <w:bCs/>
          <w:color w:val="000000"/>
          <w:lang w:eastAsia="en-GB"/>
        </w:rPr>
        <w:fldChar w:fldCharType="end"/>
      </w:r>
      <w:r w:rsidRPr="0085544B">
        <w:rPr>
          <w:rFonts w:ascii="Times New Roman" w:eastAsia="Times New Roman" w:hAnsi="Times New Roman" w:cs="Times New Roman"/>
          <w:color w:val="000000"/>
          <w:lang w:eastAsia="en-GB"/>
        </w:rPr>
        <w:t>. Adult fish were kept at 28.5</w:t>
      </w:r>
      <w:r w:rsidRPr="0085544B">
        <w:rPr>
          <w:rFonts w:ascii="Times New Roman" w:eastAsia="Times New Roman" w:hAnsi="Times New Roman" w:cs="Times New Roman"/>
          <w:lang w:eastAsia="en-GB"/>
        </w:rPr>
        <w:t>˚C in a 14</w:t>
      </w:r>
      <w:r>
        <w:rPr>
          <w:rFonts w:ascii="Times New Roman" w:eastAsia="Times New Roman" w:hAnsi="Times New Roman" w:cs="Times New Roman"/>
          <w:lang w:eastAsia="en-GB"/>
        </w:rPr>
        <w:t xml:space="preserve"> </w:t>
      </w:r>
      <w:r w:rsidRPr="0085544B">
        <w:rPr>
          <w:rFonts w:ascii="Times New Roman" w:eastAsia="Times New Roman" w:hAnsi="Times New Roman" w:cs="Times New Roman"/>
          <w:lang w:eastAsia="en-GB"/>
        </w:rPr>
        <w:t>h</w:t>
      </w:r>
      <w:r>
        <w:rPr>
          <w:rFonts w:ascii="Times New Roman" w:eastAsia="Times New Roman" w:hAnsi="Times New Roman" w:cs="Times New Roman"/>
          <w:lang w:eastAsia="en-GB"/>
        </w:rPr>
        <w:t>our</w:t>
      </w:r>
      <w:r w:rsidRPr="0085544B">
        <w:rPr>
          <w:rFonts w:ascii="Times New Roman" w:eastAsia="Times New Roman" w:hAnsi="Times New Roman" w:cs="Times New Roman"/>
          <w:lang w:eastAsia="en-GB"/>
        </w:rPr>
        <w:t>/10</w:t>
      </w:r>
      <w:r>
        <w:rPr>
          <w:rFonts w:ascii="Times New Roman" w:eastAsia="Times New Roman" w:hAnsi="Times New Roman" w:cs="Times New Roman"/>
          <w:lang w:eastAsia="en-GB"/>
        </w:rPr>
        <w:t xml:space="preserve"> </w:t>
      </w:r>
      <w:r w:rsidRPr="0085544B">
        <w:rPr>
          <w:rFonts w:ascii="Times New Roman" w:eastAsia="Times New Roman" w:hAnsi="Times New Roman" w:cs="Times New Roman"/>
          <w:lang w:eastAsia="en-GB"/>
        </w:rPr>
        <w:t>h</w:t>
      </w:r>
      <w:r>
        <w:rPr>
          <w:rFonts w:ascii="Times New Roman" w:eastAsia="Times New Roman" w:hAnsi="Times New Roman" w:cs="Times New Roman"/>
          <w:lang w:eastAsia="en-GB"/>
        </w:rPr>
        <w:t>ou</w:t>
      </w:r>
      <w:r w:rsidRPr="0085544B">
        <w:rPr>
          <w:rFonts w:ascii="Times New Roman" w:eastAsia="Times New Roman" w:hAnsi="Times New Roman" w:cs="Times New Roman"/>
          <w:lang w:eastAsia="en-GB"/>
        </w:rPr>
        <w:t xml:space="preserve">r light/dark regime. Embryos were incubated at </w:t>
      </w:r>
      <w:r w:rsidRPr="00111E38">
        <w:rPr>
          <w:rFonts w:ascii="Times New Roman" w:eastAsia="Times New Roman" w:hAnsi="Times New Roman" w:cs="Times New Roman"/>
          <w:lang w:eastAsia="en-GB"/>
        </w:rPr>
        <w:t xml:space="preserve">28.5˚C in E3 medium </w:t>
      </w:r>
      <w:r w:rsidRPr="0085544B">
        <w:rPr>
          <w:rFonts w:ascii="Times New Roman" w:eastAsia="Times New Roman" w:hAnsi="Times New Roman" w:cs="Times New Roman"/>
          <w:color w:val="000000"/>
          <w:lang w:eastAsia="en-GB"/>
        </w:rPr>
        <w:t>(0.5 mM NaCl, 17</w:t>
      </w:r>
      <w:r>
        <w:rPr>
          <w:rFonts w:ascii="Times New Roman" w:eastAsia="Times New Roman" w:hAnsi="Times New Roman" w:cs="Times New Roman"/>
          <w:color w:val="000000"/>
          <w:lang w:eastAsia="en-GB"/>
        </w:rPr>
        <w:t xml:space="preserve"> </w:t>
      </w:r>
      <w:r w:rsidRPr="0085544B">
        <w:rPr>
          <w:rFonts w:ascii="Times New Roman" w:eastAsia="Times New Roman" w:hAnsi="Times New Roman" w:cs="Times New Roman"/>
          <w:color w:val="000000"/>
          <w:lang w:eastAsia="en-GB"/>
        </w:rPr>
        <w:t>µM KCl, 33</w:t>
      </w:r>
      <w:r>
        <w:rPr>
          <w:rFonts w:ascii="Times New Roman" w:eastAsia="Times New Roman" w:hAnsi="Times New Roman" w:cs="Times New Roman"/>
          <w:color w:val="000000"/>
          <w:lang w:eastAsia="en-GB"/>
        </w:rPr>
        <w:t xml:space="preserve"> </w:t>
      </w:r>
      <w:r w:rsidRPr="0085544B">
        <w:rPr>
          <w:rFonts w:ascii="Times New Roman" w:eastAsia="Times New Roman" w:hAnsi="Times New Roman" w:cs="Times New Roman"/>
          <w:color w:val="000000"/>
          <w:lang w:eastAsia="en-GB"/>
        </w:rPr>
        <w:t>µM CaCl</w:t>
      </w:r>
      <w:r w:rsidRPr="0085544B">
        <w:rPr>
          <w:rFonts w:ascii="Times New Roman" w:eastAsia="Times New Roman" w:hAnsi="Times New Roman" w:cs="Times New Roman"/>
          <w:color w:val="000000"/>
          <w:vertAlign w:val="subscript"/>
          <w:lang w:eastAsia="en-GB"/>
        </w:rPr>
        <w:t>2</w:t>
      </w:r>
      <w:r w:rsidRPr="0085544B">
        <w:rPr>
          <w:rFonts w:ascii="Times New Roman" w:eastAsia="Times New Roman" w:hAnsi="Times New Roman" w:cs="Times New Roman"/>
          <w:color w:val="000000"/>
          <w:lang w:eastAsia="en-GB"/>
        </w:rPr>
        <w:t>, 33</w:t>
      </w:r>
      <w:r>
        <w:rPr>
          <w:rFonts w:ascii="Times New Roman" w:eastAsia="Times New Roman" w:hAnsi="Times New Roman" w:cs="Times New Roman"/>
          <w:color w:val="000000"/>
          <w:lang w:eastAsia="en-GB"/>
        </w:rPr>
        <w:t xml:space="preserve"> </w:t>
      </w:r>
      <w:r w:rsidRPr="0085544B">
        <w:rPr>
          <w:rFonts w:ascii="Times New Roman" w:eastAsia="Times New Roman" w:hAnsi="Times New Roman" w:cs="Times New Roman"/>
          <w:color w:val="000000"/>
          <w:lang w:eastAsia="en-GB"/>
        </w:rPr>
        <w:t>µM MgSO</w:t>
      </w:r>
      <w:r w:rsidRPr="0085544B">
        <w:rPr>
          <w:rFonts w:ascii="Times New Roman" w:eastAsia="Times New Roman" w:hAnsi="Times New Roman" w:cs="Times New Roman"/>
          <w:color w:val="000000"/>
          <w:vertAlign w:val="subscript"/>
          <w:lang w:eastAsia="en-GB"/>
        </w:rPr>
        <w:t>4</w:t>
      </w:r>
      <w:r w:rsidRPr="0085544B">
        <w:rPr>
          <w:rFonts w:ascii="Times New Roman" w:eastAsia="Times New Roman" w:hAnsi="Times New Roman" w:cs="Times New Roman"/>
          <w:color w:val="000000"/>
          <w:lang w:eastAsia="en-GB"/>
        </w:rPr>
        <w:t>, 0.00005% methylene blue).</w:t>
      </w:r>
    </w:p>
    <w:p w14:paraId="0B73D832" w14:textId="453DDFA8" w:rsidR="00D70E9B" w:rsidRDefault="00D70E9B" w:rsidP="00D70E9B">
      <w:pPr>
        <w:pStyle w:val="Heading2"/>
      </w:pPr>
      <w:bookmarkStart w:id="70" w:name="_Toc142043591"/>
      <w:bookmarkStart w:id="71" w:name="_Hlk38208846"/>
      <w:r w:rsidRPr="00D4711A">
        <w:t>2.</w:t>
      </w:r>
      <w:r w:rsidR="00435991">
        <w:t>4</w:t>
      </w:r>
      <w:r w:rsidRPr="00D4711A">
        <w:t>. Recombinant DNA manipulation</w:t>
      </w:r>
      <w:bookmarkEnd w:id="70"/>
      <w:r w:rsidRPr="00D4711A">
        <w:t xml:space="preserve"> </w:t>
      </w:r>
    </w:p>
    <w:p w14:paraId="7639B89F" w14:textId="77777777" w:rsidR="00D70E9B" w:rsidRPr="00E22CDA" w:rsidRDefault="00D70E9B" w:rsidP="00D70E9B"/>
    <w:p w14:paraId="1F6CB063" w14:textId="093C0023" w:rsidR="00D70E9B" w:rsidRPr="00D4711A" w:rsidRDefault="00D70E9B" w:rsidP="00D70E9B">
      <w:pPr>
        <w:pStyle w:val="Heading3"/>
      </w:pPr>
      <w:bookmarkStart w:id="72" w:name="_Toc142043592"/>
      <w:bookmarkStart w:id="73" w:name="_Hlk38208850"/>
      <w:bookmarkEnd w:id="71"/>
      <w:r w:rsidRPr="00D4711A">
        <w:t>2.</w:t>
      </w:r>
      <w:r w:rsidR="00435991">
        <w:t>4</w:t>
      </w:r>
      <w:r w:rsidRPr="00D4711A">
        <w:t>.1. Polymerase chain reaction (PCR)</w:t>
      </w:r>
      <w:bookmarkEnd w:id="72"/>
      <w:r w:rsidRPr="00D4711A">
        <w:t xml:space="preserve"> </w:t>
      </w:r>
    </w:p>
    <w:bookmarkEnd w:id="73"/>
    <w:p w14:paraId="27B78CEC" w14:textId="77777777" w:rsidR="00D70E9B" w:rsidRDefault="00D70E9B" w:rsidP="00D70E9B">
      <w:pPr>
        <w:spacing w:line="360" w:lineRule="auto"/>
        <w:jc w:val="both"/>
        <w:rPr>
          <w:rFonts w:ascii="Times New Roman" w:hAnsi="Times New Roman" w:cs="Times New Roman"/>
        </w:rPr>
      </w:pPr>
    </w:p>
    <w:p w14:paraId="47A61419" w14:textId="101F55A9" w:rsidR="00D70E9B" w:rsidRPr="0085544B" w:rsidRDefault="00D70E9B" w:rsidP="00D70E9B">
      <w:pPr>
        <w:spacing w:line="360" w:lineRule="auto"/>
        <w:jc w:val="both"/>
        <w:rPr>
          <w:rFonts w:ascii="Times New Roman" w:hAnsi="Times New Roman" w:cs="Times New Roman"/>
        </w:rPr>
      </w:pPr>
      <w:r w:rsidRPr="0085544B">
        <w:rPr>
          <w:rFonts w:ascii="Times New Roman" w:hAnsi="Times New Roman" w:cs="Times New Roman"/>
        </w:rPr>
        <w:t>DNA fragments were amplified in a reaction mixture containing 2X Phusion High-Fidelity PCR Master Mix with HF Buffer (New England BioLabs), ~100 ng/μl template DNA and</w:t>
      </w:r>
      <w:r>
        <w:rPr>
          <w:rFonts w:ascii="Times New Roman" w:hAnsi="Times New Roman" w:cs="Times New Roman"/>
        </w:rPr>
        <w:t xml:space="preserve"> 10</w:t>
      </w:r>
      <w:r w:rsidRPr="0085544B">
        <w:rPr>
          <w:rFonts w:ascii="Times New Roman" w:hAnsi="Times New Roman" w:cs="Times New Roman"/>
        </w:rPr>
        <w:t>μ</w:t>
      </w:r>
      <w:r>
        <w:rPr>
          <w:rFonts w:ascii="Times New Roman" w:hAnsi="Times New Roman" w:cs="Times New Roman"/>
        </w:rPr>
        <w:t xml:space="preserve">M </w:t>
      </w:r>
      <w:r w:rsidRPr="0085544B">
        <w:rPr>
          <w:rFonts w:ascii="Times New Roman" w:hAnsi="Times New Roman" w:cs="Times New Roman"/>
        </w:rPr>
        <w:t>forward/reverse primers (Eurofins Genomics</w:t>
      </w:r>
      <w:r w:rsidRPr="007236A6">
        <w:rPr>
          <w:rFonts w:ascii="Times New Roman" w:hAnsi="Times New Roman" w:cs="Times New Roman"/>
        </w:rPr>
        <w:t xml:space="preserve">) </w:t>
      </w:r>
      <w:r w:rsidRPr="007236A6">
        <w:rPr>
          <w:rFonts w:ascii="Times New Roman" w:hAnsi="Times New Roman" w:cs="Times New Roman"/>
          <w:b/>
          <w:bCs/>
        </w:rPr>
        <w:t xml:space="preserve">(Table </w:t>
      </w:r>
      <w:r w:rsidR="003C640C">
        <w:rPr>
          <w:rFonts w:ascii="Times New Roman" w:hAnsi="Times New Roman" w:cs="Times New Roman"/>
          <w:b/>
          <w:bCs/>
        </w:rPr>
        <w:t>3</w:t>
      </w:r>
      <w:r w:rsidRPr="007236A6">
        <w:rPr>
          <w:rFonts w:ascii="Times New Roman" w:hAnsi="Times New Roman" w:cs="Times New Roman"/>
          <w:b/>
          <w:bCs/>
        </w:rPr>
        <w:t>)</w:t>
      </w:r>
      <w:r w:rsidRPr="007236A6">
        <w:rPr>
          <w:rFonts w:ascii="Times New Roman" w:hAnsi="Times New Roman" w:cs="Times New Roman"/>
        </w:rPr>
        <w:t>.</w:t>
      </w:r>
      <w:r w:rsidRPr="0085544B">
        <w:rPr>
          <w:rFonts w:ascii="Times New Roman" w:hAnsi="Times New Roman" w:cs="Times New Roman"/>
        </w:rPr>
        <w:t xml:space="preserve"> PCR conditions consisted of an initial denaturation step at 94˚C for 2 minutes, followed by 5 cycles of denaturation at 94˚C for 30 secs, annealing at 45˚C for 30 secs and elongation at 72˚C for X mins. Then, 30 cycles of denaturation at 94˚C for 30 secs, annealing at 53˚C for 30 secs and elongation at 72˚C for X mins. This is followed by a further elongation step at 72˚C for X mins and the samples were maintained at 16˚C. Elongation times were adjusted according to the size of the DNA fragment being amplified.</w:t>
      </w:r>
    </w:p>
    <w:p w14:paraId="495DDF2B" w14:textId="77777777" w:rsidR="00D70E9B" w:rsidRPr="0085544B" w:rsidRDefault="00D70E9B" w:rsidP="00D70E9B">
      <w:pPr>
        <w:spacing w:line="360" w:lineRule="auto"/>
        <w:ind w:firstLine="720"/>
        <w:jc w:val="both"/>
        <w:rPr>
          <w:rFonts w:ascii="Times New Roman" w:hAnsi="Times New Roman" w:cs="Times New Roman"/>
        </w:rPr>
      </w:pPr>
      <w:r w:rsidRPr="0085544B">
        <w:rPr>
          <w:rFonts w:ascii="Times New Roman" w:hAnsi="Times New Roman" w:cs="Times New Roman"/>
        </w:rPr>
        <w:t xml:space="preserve">For </w:t>
      </w:r>
      <w:r>
        <w:rPr>
          <w:rFonts w:ascii="Times New Roman" w:hAnsi="Times New Roman" w:cs="Times New Roman"/>
          <w:i/>
          <w:iCs/>
        </w:rPr>
        <w:t xml:space="preserve">E. coli </w:t>
      </w:r>
      <w:r w:rsidRPr="0085544B">
        <w:rPr>
          <w:rFonts w:ascii="Times New Roman" w:hAnsi="Times New Roman" w:cs="Times New Roman"/>
        </w:rPr>
        <w:t>colony PCR, single colonies were inoculated into a PCR mix including the reagents above and were run using the PCR conditions above.</w:t>
      </w:r>
    </w:p>
    <w:p w14:paraId="18F5A6E5" w14:textId="15401051" w:rsidR="00D70E9B" w:rsidRPr="0085544B" w:rsidRDefault="00D70E9B" w:rsidP="00D70E9B">
      <w:pPr>
        <w:spacing w:line="360" w:lineRule="auto"/>
        <w:ind w:firstLine="720"/>
        <w:jc w:val="both"/>
        <w:rPr>
          <w:rFonts w:ascii="Times New Roman" w:hAnsi="Times New Roman" w:cs="Times New Roman"/>
        </w:rPr>
      </w:pPr>
      <w:r w:rsidRPr="0085544B">
        <w:rPr>
          <w:rFonts w:ascii="Times New Roman" w:hAnsi="Times New Roman" w:cs="Times New Roman"/>
        </w:rPr>
        <w:t>For inverse PCR to mutate the hydrolase domain, the same PCR reagents and conditions were used as above except for the extension time. The PCR product was digested with DpnI (</w:t>
      </w:r>
      <w:r>
        <w:rPr>
          <w:rFonts w:ascii="Times New Roman" w:hAnsi="Times New Roman" w:cs="Times New Roman"/>
        </w:rPr>
        <w:t>NEB</w:t>
      </w:r>
      <w:r w:rsidRPr="0085544B">
        <w:rPr>
          <w:rFonts w:ascii="Times New Roman" w:hAnsi="Times New Roman" w:cs="Times New Roman"/>
        </w:rPr>
        <w:t>)</w:t>
      </w:r>
      <w:r>
        <w:rPr>
          <w:rFonts w:ascii="Times New Roman" w:hAnsi="Times New Roman" w:cs="Times New Roman"/>
        </w:rPr>
        <w:t xml:space="preserve"> (20 U), to digest to digest methylated template DNA,</w:t>
      </w:r>
      <w:r w:rsidRPr="0085544B">
        <w:rPr>
          <w:rFonts w:ascii="Times New Roman" w:hAnsi="Times New Roman" w:cs="Times New Roman"/>
        </w:rPr>
        <w:t xml:space="preserve"> for 1 hour at 37˚C and heat inactivated for 20 mins at 80˚C.</w:t>
      </w:r>
    </w:p>
    <w:tbl>
      <w:tblPr>
        <w:tblStyle w:val="PlainTable3"/>
        <w:tblpPr w:leftFromText="180" w:rightFromText="180" w:vertAnchor="text" w:tblpY="1"/>
        <w:tblW w:w="8789" w:type="dxa"/>
        <w:tblLayout w:type="fixed"/>
        <w:tblLook w:val="00A0" w:firstRow="1" w:lastRow="0" w:firstColumn="1" w:lastColumn="0" w:noHBand="0" w:noVBand="0"/>
      </w:tblPr>
      <w:tblGrid>
        <w:gridCol w:w="985"/>
        <w:gridCol w:w="1687"/>
        <w:gridCol w:w="4558"/>
        <w:gridCol w:w="1559"/>
      </w:tblGrid>
      <w:tr w:rsidR="00D70E9B" w:rsidRPr="0085544B" w14:paraId="4431DC71" w14:textId="77777777" w:rsidTr="00A74445">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8789" w:type="dxa"/>
            <w:gridSpan w:val="4"/>
          </w:tcPr>
          <w:p w14:paraId="2310524B" w14:textId="77777777" w:rsidR="00D70E9B" w:rsidRPr="007236A6" w:rsidRDefault="00D70E9B" w:rsidP="00A74445">
            <w:pPr>
              <w:spacing w:line="480" w:lineRule="auto"/>
              <w:ind w:right="-1"/>
              <w:rPr>
                <w:rFonts w:ascii="Times New Roman" w:hAnsi="Times New Roman" w:cs="Times New Roman"/>
                <w:sz w:val="16"/>
              </w:rPr>
            </w:pPr>
            <w:bookmarkStart w:id="74" w:name="_Hlk38208856"/>
            <w:r w:rsidRPr="007236A6">
              <w:rPr>
                <w:rFonts w:ascii="Times New Roman" w:hAnsi="Times New Roman" w:cs="Times New Roman"/>
                <w:sz w:val="16"/>
              </w:rPr>
              <w:t>TABLE 4. Primers</w:t>
            </w:r>
            <w:r>
              <w:rPr>
                <w:rFonts w:ascii="Times New Roman" w:hAnsi="Times New Roman" w:cs="Times New Roman"/>
                <w:sz w:val="16"/>
              </w:rPr>
              <w:t xml:space="preserve"> and oligonucleotides used in this study</w:t>
            </w:r>
          </w:p>
        </w:tc>
      </w:tr>
      <w:tr w:rsidR="00D70E9B" w:rsidRPr="0085544B" w14:paraId="2B054A2D"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47E2A2AF" w14:textId="77777777" w:rsidR="00D70E9B" w:rsidRPr="0085544B" w:rsidRDefault="00D70E9B" w:rsidP="00A74445">
            <w:pPr>
              <w:spacing w:line="480" w:lineRule="auto"/>
              <w:ind w:right="-1"/>
              <w:rPr>
                <w:rFonts w:ascii="Times New Roman" w:hAnsi="Times New Roman" w:cs="Times New Roman"/>
                <w:b w:val="0"/>
                <w:sz w:val="16"/>
              </w:rPr>
            </w:pPr>
            <w:bookmarkStart w:id="75" w:name="OLE_LINK3"/>
            <w:r w:rsidRPr="0085544B">
              <w:rPr>
                <w:rFonts w:ascii="Times New Roman" w:hAnsi="Times New Roman" w:cs="Times New Roman"/>
                <w:caps w:val="0"/>
                <w:sz w:val="16"/>
              </w:rPr>
              <w:t>Number</w:t>
            </w:r>
          </w:p>
        </w:tc>
        <w:tc>
          <w:tcPr>
            <w:cnfStyle w:val="000010000000" w:firstRow="0" w:lastRow="0" w:firstColumn="0" w:lastColumn="0" w:oddVBand="1" w:evenVBand="0" w:oddHBand="0" w:evenHBand="0" w:firstRowFirstColumn="0" w:firstRowLastColumn="0" w:lastRowFirstColumn="0" w:lastRowLastColumn="0"/>
            <w:tcW w:w="1687" w:type="dxa"/>
          </w:tcPr>
          <w:p w14:paraId="5C87DFED" w14:textId="77777777" w:rsidR="00D70E9B" w:rsidRPr="00671957" w:rsidRDefault="00D70E9B" w:rsidP="00A74445">
            <w:pPr>
              <w:spacing w:line="480" w:lineRule="auto"/>
              <w:ind w:right="-1"/>
              <w:jc w:val="center"/>
              <w:rPr>
                <w:rFonts w:ascii="Times New Roman" w:hAnsi="Times New Roman" w:cs="Times New Roman"/>
                <w:b/>
                <w:bCs/>
                <w:sz w:val="16"/>
              </w:rPr>
            </w:pPr>
            <w:r w:rsidRPr="00671957">
              <w:rPr>
                <w:rFonts w:ascii="Times New Roman" w:hAnsi="Times New Roman" w:cs="Times New Roman"/>
                <w:b/>
                <w:bCs/>
                <w:sz w:val="16"/>
              </w:rPr>
              <w:t>Name</w:t>
            </w:r>
          </w:p>
        </w:tc>
        <w:tc>
          <w:tcPr>
            <w:tcW w:w="4558" w:type="dxa"/>
          </w:tcPr>
          <w:p w14:paraId="63A66475" w14:textId="77777777" w:rsidR="00D70E9B" w:rsidRPr="00671957" w:rsidRDefault="00D70E9B" w:rsidP="00A74445">
            <w:pPr>
              <w:spacing w:line="48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rPr>
            </w:pPr>
            <w:r w:rsidRPr="00671957">
              <w:rPr>
                <w:rFonts w:ascii="Times New Roman" w:hAnsi="Times New Roman" w:cs="Times New Roman"/>
                <w:b/>
                <w:bCs/>
                <w:sz w:val="16"/>
              </w:rPr>
              <w:t>Sequence</w:t>
            </w:r>
          </w:p>
        </w:tc>
        <w:tc>
          <w:tcPr>
            <w:cnfStyle w:val="000010000000" w:firstRow="0" w:lastRow="0" w:firstColumn="0" w:lastColumn="0" w:oddVBand="1" w:evenVBand="0" w:oddHBand="0" w:evenHBand="0" w:firstRowFirstColumn="0" w:firstRowLastColumn="0" w:lastRowFirstColumn="0" w:lastRowLastColumn="0"/>
            <w:tcW w:w="1559" w:type="dxa"/>
          </w:tcPr>
          <w:p w14:paraId="0168C2C9" w14:textId="77777777" w:rsidR="00D70E9B" w:rsidRPr="00671957" w:rsidRDefault="00D70E9B" w:rsidP="00A74445">
            <w:pPr>
              <w:spacing w:line="480" w:lineRule="auto"/>
              <w:ind w:right="-1"/>
              <w:rPr>
                <w:rFonts w:ascii="Times New Roman" w:hAnsi="Times New Roman" w:cs="Times New Roman"/>
                <w:b/>
                <w:bCs/>
                <w:sz w:val="16"/>
              </w:rPr>
            </w:pPr>
            <w:r w:rsidRPr="00671957">
              <w:rPr>
                <w:rFonts w:ascii="Times New Roman" w:hAnsi="Times New Roman" w:cs="Times New Roman"/>
                <w:b/>
                <w:bCs/>
                <w:sz w:val="16"/>
              </w:rPr>
              <w:t>Reference</w:t>
            </w:r>
          </w:p>
        </w:tc>
      </w:tr>
      <w:bookmarkEnd w:id="75"/>
      <w:tr w:rsidR="00D70E9B" w:rsidRPr="0085544B" w14:paraId="48A477B0" w14:textId="77777777" w:rsidTr="00A74445">
        <w:trPr>
          <w:trHeight w:val="399"/>
        </w:trPr>
        <w:tc>
          <w:tcPr>
            <w:cnfStyle w:val="001000000000" w:firstRow="0" w:lastRow="0" w:firstColumn="1" w:lastColumn="0" w:oddVBand="0" w:evenVBand="0" w:oddHBand="0" w:evenHBand="0" w:firstRowFirstColumn="0" w:firstRowLastColumn="0" w:lastRowFirstColumn="0" w:lastRowLastColumn="0"/>
            <w:tcW w:w="985" w:type="dxa"/>
          </w:tcPr>
          <w:p w14:paraId="04FB59D3"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006</w:t>
            </w:r>
          </w:p>
        </w:tc>
        <w:tc>
          <w:tcPr>
            <w:cnfStyle w:val="000010000000" w:firstRow="0" w:lastRow="0" w:firstColumn="0" w:lastColumn="0" w:oddVBand="1" w:evenVBand="0" w:oddHBand="0" w:evenHBand="0" w:firstRowFirstColumn="0" w:firstRowLastColumn="0" w:lastRowFirstColumn="0" w:lastRowLastColumn="0"/>
            <w:tcW w:w="1687" w:type="dxa"/>
          </w:tcPr>
          <w:p w14:paraId="39B1987B" w14:textId="77777777" w:rsidR="00D70E9B" w:rsidRPr="0085544B" w:rsidRDefault="00D70E9B" w:rsidP="00A74445">
            <w:pPr>
              <w:rPr>
                <w:rFonts w:ascii="Times New Roman" w:hAnsi="Times New Roman" w:cs="Times New Roman"/>
                <w:sz w:val="16"/>
                <w:szCs w:val="16"/>
              </w:rPr>
            </w:pPr>
            <w:r w:rsidRPr="0085544B">
              <w:rPr>
                <w:rFonts w:ascii="Times New Roman" w:hAnsi="Times New Roman" w:cs="Times New Roman"/>
                <w:sz w:val="16"/>
                <w:szCs w:val="16"/>
              </w:rPr>
              <w:t>R-pCL55+insert</w:t>
            </w:r>
          </w:p>
        </w:tc>
        <w:tc>
          <w:tcPr>
            <w:tcW w:w="4558" w:type="dxa"/>
          </w:tcPr>
          <w:p w14:paraId="6D3377F1"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CACGTTTCCATTTATCTGTATACGGATC</w:t>
            </w:r>
          </w:p>
        </w:tc>
        <w:tc>
          <w:tcPr>
            <w:cnfStyle w:val="000010000000" w:firstRow="0" w:lastRow="0" w:firstColumn="0" w:lastColumn="0" w:oddVBand="1" w:evenVBand="0" w:oddHBand="0" w:evenHBand="0" w:firstRowFirstColumn="0" w:firstRowLastColumn="0" w:lastRowFirstColumn="0" w:lastRowLastColumn="0"/>
            <w:tcW w:w="1559" w:type="dxa"/>
          </w:tcPr>
          <w:p w14:paraId="6A8D4532"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Laboratory primer collection</w:t>
            </w:r>
          </w:p>
        </w:tc>
      </w:tr>
      <w:tr w:rsidR="00D70E9B" w:rsidRPr="0085544B" w14:paraId="68A72097"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689083AF"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007</w:t>
            </w:r>
          </w:p>
        </w:tc>
        <w:tc>
          <w:tcPr>
            <w:cnfStyle w:val="000010000000" w:firstRow="0" w:lastRow="0" w:firstColumn="0" w:lastColumn="0" w:oddVBand="1" w:evenVBand="0" w:oddHBand="0" w:evenHBand="0" w:firstRowFirstColumn="0" w:firstRowLastColumn="0" w:lastRowFirstColumn="0" w:lastRowLastColumn="0"/>
            <w:tcW w:w="1687" w:type="dxa"/>
          </w:tcPr>
          <w:p w14:paraId="0B18CE3C" w14:textId="77777777" w:rsidR="00D70E9B" w:rsidRPr="0085544B" w:rsidRDefault="00D70E9B" w:rsidP="00A74445">
            <w:pPr>
              <w:rPr>
                <w:rFonts w:ascii="Times New Roman" w:hAnsi="Times New Roman" w:cs="Times New Roman"/>
                <w:sz w:val="16"/>
                <w:szCs w:val="16"/>
              </w:rPr>
            </w:pPr>
            <w:r w:rsidRPr="0085544B">
              <w:rPr>
                <w:rFonts w:ascii="Times New Roman" w:hAnsi="Times New Roman" w:cs="Times New Roman"/>
                <w:sz w:val="16"/>
                <w:szCs w:val="16"/>
              </w:rPr>
              <w:t>F-pCL55+insert</w:t>
            </w:r>
          </w:p>
        </w:tc>
        <w:tc>
          <w:tcPr>
            <w:tcW w:w="4558" w:type="dxa"/>
          </w:tcPr>
          <w:p w14:paraId="51AC785C"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AATTCCTCCTTTTTGTTGACACTCTATC</w:t>
            </w:r>
          </w:p>
        </w:tc>
        <w:tc>
          <w:tcPr>
            <w:cnfStyle w:val="000010000000" w:firstRow="0" w:lastRow="0" w:firstColumn="0" w:lastColumn="0" w:oddVBand="1" w:evenVBand="0" w:oddHBand="0" w:evenHBand="0" w:firstRowFirstColumn="0" w:firstRowLastColumn="0" w:lastRowFirstColumn="0" w:lastRowLastColumn="0"/>
            <w:tcW w:w="1559" w:type="dxa"/>
          </w:tcPr>
          <w:p w14:paraId="609253D6"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4AA67473"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6E9A379D"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078</w:t>
            </w:r>
          </w:p>
        </w:tc>
        <w:tc>
          <w:tcPr>
            <w:cnfStyle w:val="000010000000" w:firstRow="0" w:lastRow="0" w:firstColumn="0" w:lastColumn="0" w:oddVBand="1" w:evenVBand="0" w:oddHBand="0" w:evenHBand="0" w:firstRowFirstColumn="0" w:firstRowLastColumn="0" w:lastRowFirstColumn="0" w:lastRowLastColumn="0"/>
            <w:tcW w:w="1687" w:type="dxa"/>
          </w:tcPr>
          <w:p w14:paraId="2D547E6B" w14:textId="77777777" w:rsidR="00D70E9B" w:rsidRPr="0085544B" w:rsidRDefault="00D70E9B" w:rsidP="00A74445">
            <w:pPr>
              <w:rPr>
                <w:rFonts w:ascii="Times New Roman" w:hAnsi="Times New Roman" w:cs="Times New Roman"/>
                <w:sz w:val="16"/>
                <w:szCs w:val="16"/>
              </w:rPr>
            </w:pPr>
            <w:r w:rsidRPr="0085544B">
              <w:rPr>
                <w:rFonts w:ascii="Times New Roman" w:hAnsi="Times New Roman" w:cs="Times New Roman"/>
                <w:color w:val="000000"/>
                <w:sz w:val="16"/>
                <w:szCs w:val="16"/>
              </w:rPr>
              <w:t>F-KpnI-RelQ</w:t>
            </w:r>
            <w:r w:rsidRPr="0085544B">
              <w:rPr>
                <w:rFonts w:ascii="Times New Roman" w:hAnsi="Times New Roman" w:cs="Times New Roman"/>
                <w:i/>
                <w:iCs/>
                <w:color w:val="000000"/>
                <w:sz w:val="16"/>
                <w:szCs w:val="16"/>
                <w:vertAlign w:val="subscript"/>
              </w:rPr>
              <w:t>Sau</w:t>
            </w:r>
          </w:p>
        </w:tc>
        <w:tc>
          <w:tcPr>
            <w:tcW w:w="4558" w:type="dxa"/>
          </w:tcPr>
          <w:p w14:paraId="1D82966E"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GGG</w:t>
            </w:r>
            <w:r w:rsidRPr="0085544B">
              <w:rPr>
                <w:rFonts w:ascii="Times New Roman" w:hAnsi="Times New Roman" w:cs="Times New Roman"/>
                <w:color w:val="000000"/>
                <w:sz w:val="16"/>
                <w:szCs w:val="16"/>
                <w:u w:val="single"/>
              </w:rPr>
              <w:t>GGTACC</w:t>
            </w:r>
            <w:r w:rsidRPr="0085544B">
              <w:rPr>
                <w:rFonts w:ascii="Times New Roman" w:hAnsi="Times New Roman" w:cs="Times New Roman"/>
                <w:color w:val="000000"/>
                <w:sz w:val="16"/>
                <w:szCs w:val="16"/>
              </w:rPr>
              <w:t>GATATGTATACACCTCGTATC</w:t>
            </w:r>
          </w:p>
        </w:tc>
        <w:tc>
          <w:tcPr>
            <w:cnfStyle w:val="000010000000" w:firstRow="0" w:lastRow="0" w:firstColumn="0" w:lastColumn="0" w:oddVBand="1" w:evenVBand="0" w:oddHBand="0" w:evenHBand="0" w:firstRowFirstColumn="0" w:firstRowLastColumn="0" w:lastRowFirstColumn="0" w:lastRowLastColumn="0"/>
            <w:tcW w:w="1559" w:type="dxa"/>
          </w:tcPr>
          <w:p w14:paraId="35D1BF58"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7C10A6DB"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6ECE45AD"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081</w:t>
            </w:r>
          </w:p>
        </w:tc>
        <w:tc>
          <w:tcPr>
            <w:cnfStyle w:val="000010000000" w:firstRow="0" w:lastRow="0" w:firstColumn="0" w:lastColumn="0" w:oddVBand="1" w:evenVBand="0" w:oddHBand="0" w:evenHBand="0" w:firstRowFirstColumn="0" w:firstRowLastColumn="0" w:lastRowFirstColumn="0" w:lastRowLastColumn="0"/>
            <w:tcW w:w="1687" w:type="dxa"/>
          </w:tcPr>
          <w:p w14:paraId="7A53FF3F"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F-KpnI-RelP</w:t>
            </w:r>
            <w:r w:rsidRPr="0085544B">
              <w:rPr>
                <w:rFonts w:ascii="Times New Roman" w:hAnsi="Times New Roman" w:cs="Times New Roman"/>
                <w:i/>
                <w:iCs/>
                <w:color w:val="000000"/>
                <w:sz w:val="16"/>
                <w:szCs w:val="16"/>
                <w:vertAlign w:val="subscript"/>
              </w:rPr>
              <w:t>Sau</w:t>
            </w:r>
          </w:p>
        </w:tc>
        <w:tc>
          <w:tcPr>
            <w:tcW w:w="4558" w:type="dxa"/>
          </w:tcPr>
          <w:p w14:paraId="03740867"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GGG</w:t>
            </w:r>
            <w:r w:rsidRPr="0085544B">
              <w:rPr>
                <w:rFonts w:ascii="Times New Roman" w:hAnsi="Times New Roman" w:cs="Times New Roman"/>
                <w:color w:val="000000"/>
                <w:sz w:val="16"/>
                <w:szCs w:val="16"/>
                <w:u w:val="single"/>
              </w:rPr>
              <w:t>GGTACC</w:t>
            </w:r>
            <w:r w:rsidRPr="0085544B">
              <w:rPr>
                <w:rFonts w:ascii="Times New Roman" w:hAnsi="Times New Roman" w:cs="Times New Roman"/>
                <w:color w:val="000000"/>
                <w:sz w:val="16"/>
                <w:szCs w:val="16"/>
              </w:rPr>
              <w:t>CATCTCTATCAATTAAGCAC</w:t>
            </w:r>
          </w:p>
        </w:tc>
        <w:tc>
          <w:tcPr>
            <w:cnfStyle w:val="000010000000" w:firstRow="0" w:lastRow="0" w:firstColumn="0" w:lastColumn="0" w:oddVBand="1" w:evenVBand="0" w:oddHBand="0" w:evenHBand="0" w:firstRowFirstColumn="0" w:firstRowLastColumn="0" w:lastRowFirstColumn="0" w:lastRowLastColumn="0"/>
            <w:tcW w:w="1559" w:type="dxa"/>
          </w:tcPr>
          <w:p w14:paraId="15731C48"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6FFC9CA5"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25DE224F"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084</w:t>
            </w:r>
          </w:p>
        </w:tc>
        <w:tc>
          <w:tcPr>
            <w:cnfStyle w:val="000010000000" w:firstRow="0" w:lastRow="0" w:firstColumn="0" w:lastColumn="0" w:oddVBand="1" w:evenVBand="0" w:oddHBand="0" w:evenHBand="0" w:firstRowFirstColumn="0" w:firstRowLastColumn="0" w:lastRowFirstColumn="0" w:lastRowLastColumn="0"/>
            <w:tcW w:w="1687" w:type="dxa"/>
          </w:tcPr>
          <w:p w14:paraId="55D70930"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F-KpnI-Rel</w:t>
            </w:r>
            <w:r w:rsidRPr="0085544B">
              <w:rPr>
                <w:rFonts w:ascii="Times New Roman" w:hAnsi="Times New Roman" w:cs="Times New Roman"/>
                <w:i/>
                <w:iCs/>
                <w:color w:val="000000"/>
                <w:sz w:val="16"/>
                <w:szCs w:val="16"/>
                <w:vertAlign w:val="subscript"/>
              </w:rPr>
              <w:t>Sau</w:t>
            </w:r>
          </w:p>
        </w:tc>
        <w:tc>
          <w:tcPr>
            <w:tcW w:w="4558" w:type="dxa"/>
          </w:tcPr>
          <w:p w14:paraId="35886422"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GGG</w:t>
            </w:r>
            <w:r w:rsidRPr="0085544B">
              <w:rPr>
                <w:rFonts w:ascii="Times New Roman" w:hAnsi="Times New Roman" w:cs="Times New Roman"/>
                <w:color w:val="000000"/>
                <w:sz w:val="16"/>
                <w:szCs w:val="16"/>
                <w:u w:val="single"/>
              </w:rPr>
              <w:t>GGTACC</w:t>
            </w:r>
            <w:r w:rsidRPr="0085544B">
              <w:rPr>
                <w:rFonts w:ascii="Times New Roman" w:hAnsi="Times New Roman" w:cs="Times New Roman"/>
                <w:color w:val="000000"/>
                <w:sz w:val="16"/>
                <w:szCs w:val="16"/>
              </w:rPr>
              <w:t>GAGTTTAATCTCATACGACG</w:t>
            </w:r>
          </w:p>
        </w:tc>
        <w:tc>
          <w:tcPr>
            <w:cnfStyle w:val="000010000000" w:firstRow="0" w:lastRow="0" w:firstColumn="0" w:lastColumn="0" w:oddVBand="1" w:evenVBand="0" w:oddHBand="0" w:evenHBand="0" w:firstRowFirstColumn="0" w:firstRowLastColumn="0" w:lastRowFirstColumn="0" w:lastRowLastColumn="0"/>
            <w:tcW w:w="1559" w:type="dxa"/>
          </w:tcPr>
          <w:p w14:paraId="4C764331"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07EAFD0F" w14:textId="77777777" w:rsidTr="00A7444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85" w:type="dxa"/>
          </w:tcPr>
          <w:p w14:paraId="49124AB8"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094</w:t>
            </w:r>
          </w:p>
        </w:tc>
        <w:tc>
          <w:tcPr>
            <w:cnfStyle w:val="000010000000" w:firstRow="0" w:lastRow="0" w:firstColumn="0" w:lastColumn="0" w:oddVBand="1" w:evenVBand="0" w:oddHBand="0" w:evenHBand="0" w:firstRowFirstColumn="0" w:firstRowLastColumn="0" w:lastRowFirstColumn="0" w:lastRowLastColumn="0"/>
            <w:tcW w:w="1687" w:type="dxa"/>
          </w:tcPr>
          <w:p w14:paraId="5DC95A85"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R-BamHI-RelP</w:t>
            </w:r>
            <w:r w:rsidRPr="0085544B">
              <w:rPr>
                <w:rFonts w:ascii="Times New Roman" w:hAnsi="Times New Roman" w:cs="Times New Roman"/>
                <w:i/>
                <w:iCs/>
                <w:color w:val="000000"/>
                <w:sz w:val="16"/>
                <w:szCs w:val="16"/>
                <w:vertAlign w:val="subscript"/>
              </w:rPr>
              <w:t>Sau</w:t>
            </w:r>
          </w:p>
        </w:tc>
        <w:tc>
          <w:tcPr>
            <w:tcW w:w="4558" w:type="dxa"/>
          </w:tcPr>
          <w:p w14:paraId="10A28CD1"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AATT</w:t>
            </w:r>
            <w:r w:rsidRPr="0085544B">
              <w:rPr>
                <w:rFonts w:ascii="Times New Roman" w:hAnsi="Times New Roman" w:cs="Times New Roman"/>
                <w:color w:val="000000"/>
                <w:sz w:val="16"/>
                <w:szCs w:val="16"/>
                <w:u w:val="single"/>
              </w:rPr>
              <w:t>GGATCC</w:t>
            </w:r>
            <w:r w:rsidRPr="0085544B">
              <w:rPr>
                <w:rFonts w:ascii="Times New Roman" w:hAnsi="Times New Roman" w:cs="Times New Roman"/>
                <w:color w:val="000000"/>
                <w:sz w:val="16"/>
                <w:szCs w:val="16"/>
              </w:rPr>
              <w:t>CCCTCTGTTATTTCAGAATG</w:t>
            </w:r>
          </w:p>
        </w:tc>
        <w:tc>
          <w:tcPr>
            <w:cnfStyle w:val="000010000000" w:firstRow="0" w:lastRow="0" w:firstColumn="0" w:lastColumn="0" w:oddVBand="1" w:evenVBand="0" w:oddHBand="0" w:evenHBand="0" w:firstRowFirstColumn="0" w:firstRowLastColumn="0" w:lastRowFirstColumn="0" w:lastRowLastColumn="0"/>
            <w:tcW w:w="1559" w:type="dxa"/>
          </w:tcPr>
          <w:p w14:paraId="4700E200"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5935BC8A"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5CFAE0DE"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095</w:t>
            </w:r>
          </w:p>
        </w:tc>
        <w:tc>
          <w:tcPr>
            <w:cnfStyle w:val="000010000000" w:firstRow="0" w:lastRow="0" w:firstColumn="0" w:lastColumn="0" w:oddVBand="1" w:evenVBand="0" w:oddHBand="0" w:evenHBand="0" w:firstRowFirstColumn="0" w:firstRowLastColumn="0" w:lastRowFirstColumn="0" w:lastRowLastColumn="0"/>
            <w:tcW w:w="1687" w:type="dxa"/>
          </w:tcPr>
          <w:p w14:paraId="1F919C3C"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F-NcoI-RelQ</w:t>
            </w:r>
            <w:r w:rsidRPr="0085544B">
              <w:rPr>
                <w:rFonts w:ascii="Times New Roman" w:hAnsi="Times New Roman" w:cs="Times New Roman"/>
                <w:i/>
                <w:iCs/>
                <w:color w:val="000000"/>
                <w:sz w:val="16"/>
                <w:szCs w:val="16"/>
                <w:vertAlign w:val="subscript"/>
              </w:rPr>
              <w:t>Sau</w:t>
            </w:r>
          </w:p>
        </w:tc>
        <w:tc>
          <w:tcPr>
            <w:tcW w:w="4558" w:type="dxa"/>
          </w:tcPr>
          <w:p w14:paraId="30237FBE"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AATT</w:t>
            </w:r>
            <w:r w:rsidRPr="0085544B">
              <w:rPr>
                <w:rFonts w:ascii="Times New Roman" w:hAnsi="Times New Roman" w:cs="Times New Roman"/>
                <w:color w:val="000000"/>
                <w:sz w:val="16"/>
                <w:szCs w:val="16"/>
                <w:u w:val="single"/>
              </w:rPr>
              <w:t>CCATGG</w:t>
            </w:r>
            <w:r w:rsidRPr="0085544B">
              <w:rPr>
                <w:rFonts w:ascii="Times New Roman" w:hAnsi="Times New Roman" w:cs="Times New Roman"/>
                <w:color w:val="000000"/>
                <w:sz w:val="16"/>
                <w:szCs w:val="16"/>
              </w:rPr>
              <w:t>ATGAATCAATGGGATCAGTTC</w:t>
            </w:r>
          </w:p>
        </w:tc>
        <w:tc>
          <w:tcPr>
            <w:cnfStyle w:val="000010000000" w:firstRow="0" w:lastRow="0" w:firstColumn="0" w:lastColumn="0" w:oddVBand="1" w:evenVBand="0" w:oddHBand="0" w:evenHBand="0" w:firstRowFirstColumn="0" w:firstRowLastColumn="0" w:lastRowFirstColumn="0" w:lastRowLastColumn="0"/>
            <w:tcW w:w="1559" w:type="dxa"/>
          </w:tcPr>
          <w:p w14:paraId="5CE85C9C"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5E137089"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7D8EDB3D"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096</w:t>
            </w:r>
          </w:p>
        </w:tc>
        <w:tc>
          <w:tcPr>
            <w:cnfStyle w:val="000010000000" w:firstRow="0" w:lastRow="0" w:firstColumn="0" w:lastColumn="0" w:oddVBand="1" w:evenVBand="0" w:oddHBand="0" w:evenHBand="0" w:firstRowFirstColumn="0" w:firstRowLastColumn="0" w:lastRowFirstColumn="0" w:lastRowLastColumn="0"/>
            <w:tcW w:w="1687" w:type="dxa"/>
          </w:tcPr>
          <w:p w14:paraId="6C7D9C95"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R-BamHI-RelQ</w:t>
            </w:r>
            <w:r w:rsidRPr="0085544B">
              <w:rPr>
                <w:rFonts w:ascii="Times New Roman" w:hAnsi="Times New Roman" w:cs="Times New Roman"/>
                <w:i/>
                <w:iCs/>
                <w:color w:val="000000"/>
                <w:sz w:val="16"/>
                <w:szCs w:val="16"/>
                <w:vertAlign w:val="subscript"/>
              </w:rPr>
              <w:t>Sau</w:t>
            </w:r>
          </w:p>
        </w:tc>
        <w:tc>
          <w:tcPr>
            <w:tcW w:w="4558" w:type="dxa"/>
          </w:tcPr>
          <w:p w14:paraId="29ECEFD9"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AATT</w:t>
            </w:r>
            <w:r w:rsidRPr="0085544B">
              <w:rPr>
                <w:rFonts w:ascii="Times New Roman" w:hAnsi="Times New Roman" w:cs="Times New Roman"/>
                <w:color w:val="000000"/>
                <w:sz w:val="16"/>
                <w:szCs w:val="16"/>
                <w:u w:val="single"/>
              </w:rPr>
              <w:t>GGATCC</w:t>
            </w:r>
            <w:r w:rsidRPr="0085544B">
              <w:rPr>
                <w:rFonts w:ascii="Times New Roman" w:hAnsi="Times New Roman" w:cs="Times New Roman"/>
                <w:color w:val="000000"/>
                <w:sz w:val="16"/>
                <w:szCs w:val="16"/>
              </w:rPr>
              <w:t>CCATCATTTTCATGTTTTTTAGAACG</w:t>
            </w:r>
          </w:p>
        </w:tc>
        <w:tc>
          <w:tcPr>
            <w:cnfStyle w:val="000010000000" w:firstRow="0" w:lastRow="0" w:firstColumn="0" w:lastColumn="0" w:oddVBand="1" w:evenVBand="0" w:oddHBand="0" w:evenHBand="0" w:firstRowFirstColumn="0" w:firstRowLastColumn="0" w:lastRowFirstColumn="0" w:lastRowLastColumn="0"/>
            <w:tcW w:w="1559" w:type="dxa"/>
          </w:tcPr>
          <w:p w14:paraId="01BA2B15"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4B7374FA"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2AD1228C"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122</w:t>
            </w:r>
          </w:p>
        </w:tc>
        <w:tc>
          <w:tcPr>
            <w:cnfStyle w:val="000010000000" w:firstRow="0" w:lastRow="0" w:firstColumn="0" w:lastColumn="0" w:oddVBand="1" w:evenVBand="0" w:oddHBand="0" w:evenHBand="0" w:firstRowFirstColumn="0" w:firstRowLastColumn="0" w:lastRowFirstColumn="0" w:lastRowLastColumn="0"/>
            <w:tcW w:w="1687" w:type="dxa"/>
          </w:tcPr>
          <w:tbl>
            <w:tblPr>
              <w:tblW w:w="2778" w:type="dxa"/>
              <w:tblLayout w:type="fixed"/>
              <w:tblCellMar>
                <w:left w:w="0" w:type="dxa"/>
                <w:right w:w="0" w:type="dxa"/>
              </w:tblCellMar>
              <w:tblLook w:val="04A0" w:firstRow="1" w:lastRow="0" w:firstColumn="1" w:lastColumn="0" w:noHBand="0" w:noVBand="1"/>
            </w:tblPr>
            <w:tblGrid>
              <w:gridCol w:w="2778"/>
            </w:tblGrid>
            <w:tr w:rsidR="00D70E9B" w:rsidRPr="0085544B" w14:paraId="5AFB7FF2" w14:textId="77777777" w:rsidTr="00A74445">
              <w:trPr>
                <w:trHeight w:val="321"/>
              </w:trPr>
              <w:tc>
                <w:tcPr>
                  <w:tcW w:w="2778" w:type="dxa"/>
                  <w:tcBorders>
                    <w:top w:val="nil"/>
                    <w:left w:val="nil"/>
                    <w:bottom w:val="nil"/>
                    <w:right w:val="nil"/>
                  </w:tcBorders>
                  <w:shd w:val="clear" w:color="auto" w:fill="auto"/>
                  <w:noWrap/>
                  <w:tcMar>
                    <w:top w:w="15" w:type="dxa"/>
                    <w:left w:w="15" w:type="dxa"/>
                    <w:bottom w:w="0" w:type="dxa"/>
                    <w:right w:w="15" w:type="dxa"/>
                  </w:tcMar>
                  <w:vAlign w:val="bottom"/>
                  <w:hideMark/>
                </w:tcPr>
                <w:p w14:paraId="3427191F" w14:textId="77777777" w:rsidR="00D70E9B" w:rsidRPr="0085544B" w:rsidRDefault="00D70E9B">
                  <w:pPr>
                    <w:framePr w:hSpace="180" w:wrap="around" w:vAnchor="text" w:hAnchor="text" w:y="1"/>
                    <w:rPr>
                      <w:rFonts w:ascii="Times New Roman" w:hAnsi="Times New Roman" w:cs="Times New Roman"/>
                      <w:color w:val="000000"/>
                      <w:sz w:val="16"/>
                      <w:szCs w:val="16"/>
                    </w:rPr>
                  </w:pPr>
                  <w:r w:rsidRPr="0085544B">
                    <w:rPr>
                      <w:rFonts w:ascii="Times New Roman" w:hAnsi="Times New Roman" w:cs="Times New Roman"/>
                      <w:color w:val="000000"/>
                      <w:sz w:val="16"/>
                      <w:szCs w:val="16"/>
                    </w:rPr>
                    <w:t>R-RelQ</w:t>
                  </w:r>
                  <w:r w:rsidRPr="0085544B">
                    <w:rPr>
                      <w:rFonts w:ascii="Times New Roman" w:hAnsi="Times New Roman" w:cs="Times New Roman"/>
                      <w:i/>
                      <w:iCs/>
                      <w:color w:val="000000"/>
                      <w:sz w:val="16"/>
                      <w:szCs w:val="16"/>
                      <w:vertAlign w:val="subscript"/>
                    </w:rPr>
                    <w:t>Sau</w:t>
                  </w:r>
                </w:p>
              </w:tc>
            </w:tr>
          </w:tbl>
          <w:p w14:paraId="7D683DE7" w14:textId="77777777" w:rsidR="00D70E9B" w:rsidRPr="0085544B" w:rsidRDefault="00D70E9B" w:rsidP="00A74445">
            <w:pPr>
              <w:rPr>
                <w:rFonts w:ascii="Times New Roman" w:hAnsi="Times New Roman" w:cs="Times New Roman"/>
                <w:color w:val="000000"/>
                <w:sz w:val="16"/>
                <w:szCs w:val="16"/>
              </w:rPr>
            </w:pPr>
          </w:p>
        </w:tc>
        <w:tc>
          <w:tcPr>
            <w:tcW w:w="4558" w:type="dxa"/>
          </w:tcPr>
          <w:tbl>
            <w:tblPr>
              <w:tblW w:w="4742" w:type="dxa"/>
              <w:tblLayout w:type="fixed"/>
              <w:tblCellMar>
                <w:left w:w="0" w:type="dxa"/>
                <w:right w:w="0" w:type="dxa"/>
              </w:tblCellMar>
              <w:tblLook w:val="04A0" w:firstRow="1" w:lastRow="0" w:firstColumn="1" w:lastColumn="0" w:noHBand="0" w:noVBand="1"/>
            </w:tblPr>
            <w:tblGrid>
              <w:gridCol w:w="4742"/>
            </w:tblGrid>
            <w:tr w:rsidR="00D70E9B" w:rsidRPr="0085544B" w14:paraId="7B09298F" w14:textId="77777777" w:rsidTr="00A74445">
              <w:trPr>
                <w:trHeight w:val="321"/>
              </w:trPr>
              <w:tc>
                <w:tcPr>
                  <w:tcW w:w="4742" w:type="dxa"/>
                  <w:tcBorders>
                    <w:top w:val="nil"/>
                    <w:left w:val="nil"/>
                    <w:bottom w:val="nil"/>
                    <w:right w:val="nil"/>
                  </w:tcBorders>
                  <w:shd w:val="clear" w:color="auto" w:fill="auto"/>
                  <w:noWrap/>
                  <w:tcMar>
                    <w:top w:w="15" w:type="dxa"/>
                    <w:left w:w="15" w:type="dxa"/>
                    <w:bottom w:w="0" w:type="dxa"/>
                    <w:right w:w="15" w:type="dxa"/>
                  </w:tcMar>
                  <w:vAlign w:val="bottom"/>
                  <w:hideMark/>
                </w:tcPr>
                <w:p w14:paraId="231BC2B4" w14:textId="77777777" w:rsidR="00D70E9B" w:rsidRPr="0085544B" w:rsidRDefault="00D70E9B">
                  <w:pPr>
                    <w:framePr w:hSpace="180" w:wrap="around" w:vAnchor="text" w:hAnchor="text" w:y="1"/>
                    <w:rPr>
                      <w:rFonts w:ascii="Times New Roman" w:hAnsi="Times New Roman" w:cs="Times New Roman"/>
                      <w:color w:val="000000"/>
                      <w:sz w:val="16"/>
                      <w:szCs w:val="16"/>
                    </w:rPr>
                  </w:pPr>
                  <w:r w:rsidRPr="0085544B">
                    <w:rPr>
                      <w:rFonts w:ascii="Times New Roman" w:hAnsi="Times New Roman" w:cs="Times New Roman"/>
                      <w:color w:val="000000"/>
                      <w:sz w:val="16"/>
                      <w:szCs w:val="16"/>
                    </w:rPr>
                    <w:t>CAATGATATAGTACTTGTTC</w:t>
                  </w:r>
                </w:p>
              </w:tc>
            </w:tr>
          </w:tbl>
          <w:p w14:paraId="298C5FAB"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093EDB65"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500236F1"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275B7902"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165</w:t>
            </w:r>
          </w:p>
        </w:tc>
        <w:tc>
          <w:tcPr>
            <w:cnfStyle w:val="000010000000" w:firstRow="0" w:lastRow="0" w:firstColumn="0" w:lastColumn="0" w:oddVBand="1" w:evenVBand="0" w:oddHBand="0" w:evenHBand="0" w:firstRowFirstColumn="0" w:firstRowLastColumn="0" w:lastRowFirstColumn="0" w:lastRowLastColumn="0"/>
            <w:tcW w:w="1687" w:type="dxa"/>
          </w:tcPr>
          <w:p w14:paraId="7B3E0190"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F-AvrII-Rel</w:t>
            </w:r>
            <w:r w:rsidRPr="0085544B">
              <w:rPr>
                <w:rFonts w:ascii="Times New Roman" w:hAnsi="Times New Roman" w:cs="Times New Roman"/>
                <w:i/>
                <w:iCs/>
                <w:color w:val="000000"/>
                <w:sz w:val="16"/>
                <w:szCs w:val="16"/>
                <w:vertAlign w:val="subscript"/>
              </w:rPr>
              <w:t>Sau</w:t>
            </w:r>
          </w:p>
        </w:tc>
        <w:tc>
          <w:tcPr>
            <w:tcW w:w="4558" w:type="dxa"/>
          </w:tcPr>
          <w:p w14:paraId="14CEE83A"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AAA</w:t>
            </w:r>
            <w:r w:rsidRPr="0085544B">
              <w:rPr>
                <w:rFonts w:ascii="Times New Roman" w:hAnsi="Times New Roman" w:cs="Times New Roman"/>
                <w:color w:val="000000"/>
                <w:sz w:val="16"/>
                <w:szCs w:val="16"/>
                <w:u w:val="single"/>
              </w:rPr>
              <w:t>CCTAGG</w:t>
            </w:r>
            <w:r w:rsidRPr="0085544B">
              <w:rPr>
                <w:rFonts w:ascii="Times New Roman" w:hAnsi="Times New Roman" w:cs="Times New Roman"/>
                <w:color w:val="000000"/>
                <w:sz w:val="16"/>
                <w:szCs w:val="16"/>
              </w:rPr>
              <w:t>CCTAAATCATTGTTTAAGGCG</w:t>
            </w:r>
          </w:p>
        </w:tc>
        <w:tc>
          <w:tcPr>
            <w:cnfStyle w:val="000010000000" w:firstRow="0" w:lastRow="0" w:firstColumn="0" w:lastColumn="0" w:oddVBand="1" w:evenVBand="0" w:oddHBand="0" w:evenHBand="0" w:firstRowFirstColumn="0" w:firstRowLastColumn="0" w:lastRowFirstColumn="0" w:lastRowLastColumn="0"/>
            <w:tcW w:w="1559" w:type="dxa"/>
          </w:tcPr>
          <w:p w14:paraId="60AFB6BC" w14:textId="77777777" w:rsidR="00D70E9B" w:rsidRPr="0085544B" w:rsidRDefault="00D70E9B" w:rsidP="00A74445">
            <w:pPr>
              <w:rPr>
                <w:rFonts w:ascii="Times New Roman" w:hAnsi="Times New Roman" w:cs="Times New Roman"/>
                <w:color w:val="000000"/>
                <w:sz w:val="16"/>
                <w:szCs w:val="16"/>
              </w:rPr>
            </w:pPr>
            <w:r w:rsidRPr="00CA14A9">
              <w:rPr>
                <w:rFonts w:ascii="Times New Roman" w:hAnsi="Times New Roman" w:cs="Times New Roman"/>
                <w:color w:val="000000"/>
                <w:sz w:val="16"/>
                <w:szCs w:val="16"/>
              </w:rPr>
              <w:t>Laboratory primer collection</w:t>
            </w:r>
          </w:p>
        </w:tc>
      </w:tr>
      <w:tr w:rsidR="00D70E9B" w:rsidRPr="0085544B" w14:paraId="1A9C0FAF"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0002A3EE"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259</w:t>
            </w:r>
          </w:p>
        </w:tc>
        <w:tc>
          <w:tcPr>
            <w:cnfStyle w:val="000010000000" w:firstRow="0" w:lastRow="0" w:firstColumn="0" w:lastColumn="0" w:oddVBand="1" w:evenVBand="0" w:oddHBand="0" w:evenHBand="0" w:firstRowFirstColumn="0" w:firstRowLastColumn="0" w:lastRowFirstColumn="0" w:lastRowLastColumn="0"/>
            <w:tcW w:w="1687" w:type="dxa"/>
          </w:tcPr>
          <w:p w14:paraId="005795EA" w14:textId="77777777" w:rsidR="00D70E9B" w:rsidRPr="002C47C2" w:rsidRDefault="00D70E9B" w:rsidP="00A74445">
            <w:pPr>
              <w:spacing w:line="480" w:lineRule="auto"/>
              <w:ind w:right="-1"/>
              <w:rPr>
                <w:rFonts w:ascii="Times New Roman" w:hAnsi="Times New Roman" w:cs="Times New Roman"/>
                <w:sz w:val="16"/>
              </w:rPr>
            </w:pPr>
            <w:r w:rsidRPr="002C47C2">
              <w:rPr>
                <w:rFonts w:ascii="Times New Roman" w:hAnsi="Times New Roman" w:cs="Times New Roman"/>
                <w:sz w:val="16"/>
              </w:rPr>
              <w:t>R-KpnI-Rel</w:t>
            </w:r>
            <w:r w:rsidRPr="00241B49">
              <w:rPr>
                <w:rFonts w:ascii="Times New Roman" w:hAnsi="Times New Roman" w:cs="Times New Roman"/>
                <w:sz w:val="16"/>
                <w:vertAlign w:val="subscript"/>
              </w:rPr>
              <w:t>Sau</w:t>
            </w:r>
          </w:p>
        </w:tc>
        <w:tc>
          <w:tcPr>
            <w:tcW w:w="4558" w:type="dxa"/>
          </w:tcPr>
          <w:p w14:paraId="3B1EEB2E" w14:textId="77777777" w:rsidR="00D70E9B" w:rsidRPr="002C47C2" w:rsidRDefault="00D70E9B" w:rsidP="00A74445">
            <w:pPr>
              <w:spacing w:line="48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2C47C2">
              <w:rPr>
                <w:rFonts w:ascii="Times New Roman" w:hAnsi="Times New Roman" w:cs="Times New Roman"/>
                <w:sz w:val="16"/>
              </w:rPr>
              <w:t>GGGGGTACCTTCCAAACTCTTGTTAC</w:t>
            </w:r>
          </w:p>
        </w:tc>
        <w:tc>
          <w:tcPr>
            <w:cnfStyle w:val="000010000000" w:firstRow="0" w:lastRow="0" w:firstColumn="0" w:lastColumn="0" w:oddVBand="1" w:evenVBand="0" w:oddHBand="0" w:evenHBand="0" w:firstRowFirstColumn="0" w:firstRowLastColumn="0" w:lastRowFirstColumn="0" w:lastRowLastColumn="0"/>
            <w:tcW w:w="1559" w:type="dxa"/>
          </w:tcPr>
          <w:p w14:paraId="2C311BBA" w14:textId="77777777" w:rsidR="00D70E9B" w:rsidRDefault="00D70E9B" w:rsidP="00A74445">
            <w:pPr>
              <w:ind w:right="-1"/>
              <w:rPr>
                <w:rFonts w:ascii="Times New Roman" w:hAnsi="Times New Roman" w:cs="Times New Roman"/>
                <w:sz w:val="16"/>
              </w:rPr>
            </w:pPr>
            <w:r w:rsidRPr="002C47C2">
              <w:rPr>
                <w:rFonts w:ascii="Times New Roman" w:hAnsi="Times New Roman" w:cs="Times New Roman"/>
                <w:sz w:val="16"/>
              </w:rPr>
              <w:t>Laboratory primer</w:t>
            </w:r>
          </w:p>
          <w:p w14:paraId="7301796C" w14:textId="77777777" w:rsidR="00D70E9B" w:rsidRPr="002C47C2" w:rsidRDefault="00D70E9B" w:rsidP="00A74445">
            <w:pPr>
              <w:ind w:right="-1"/>
              <w:rPr>
                <w:rFonts w:ascii="Times New Roman" w:hAnsi="Times New Roman" w:cs="Times New Roman"/>
                <w:sz w:val="16"/>
              </w:rPr>
            </w:pPr>
            <w:r w:rsidRPr="002C47C2">
              <w:rPr>
                <w:rFonts w:ascii="Times New Roman" w:hAnsi="Times New Roman" w:cs="Times New Roman"/>
                <w:sz w:val="16"/>
              </w:rPr>
              <w:t>collection</w:t>
            </w:r>
          </w:p>
        </w:tc>
      </w:tr>
      <w:tr w:rsidR="00D70E9B" w:rsidRPr="0085544B" w14:paraId="71F40E46"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70127254"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708</w:t>
            </w:r>
          </w:p>
        </w:tc>
        <w:tc>
          <w:tcPr>
            <w:cnfStyle w:val="000010000000" w:firstRow="0" w:lastRow="0" w:firstColumn="0" w:lastColumn="0" w:oddVBand="1" w:evenVBand="0" w:oddHBand="0" w:evenHBand="0" w:firstRowFirstColumn="0" w:firstRowLastColumn="0" w:lastRowFirstColumn="0" w:lastRowLastColumn="0"/>
            <w:tcW w:w="1687" w:type="dxa"/>
          </w:tcPr>
          <w:p w14:paraId="0EB904D8"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R-Rel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color w:val="000000"/>
                <w:sz w:val="16"/>
                <w:szCs w:val="16"/>
              </w:rPr>
              <w:t>-HD-mut</w:t>
            </w:r>
          </w:p>
        </w:tc>
        <w:tc>
          <w:tcPr>
            <w:tcW w:w="4558" w:type="dxa"/>
          </w:tcPr>
          <w:p w14:paraId="6AFB7D8D"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CGGTGTATCTTCAATTACAGAAGCCAAAAAACCTGCGACAATCG</w:t>
            </w:r>
          </w:p>
        </w:tc>
        <w:tc>
          <w:tcPr>
            <w:cnfStyle w:val="000010000000" w:firstRow="0" w:lastRow="0" w:firstColumn="0" w:lastColumn="0" w:oddVBand="1" w:evenVBand="0" w:oddHBand="0" w:evenHBand="0" w:firstRowFirstColumn="0" w:firstRowLastColumn="0" w:lastRowFirstColumn="0" w:lastRowLastColumn="0"/>
            <w:tcW w:w="1559" w:type="dxa"/>
          </w:tcPr>
          <w:p w14:paraId="4D0C7512" w14:textId="77777777" w:rsidR="00D70E9B" w:rsidRPr="0085544B" w:rsidRDefault="00D70E9B" w:rsidP="00A74445">
            <w:pPr>
              <w:rPr>
                <w:rFonts w:ascii="Times New Roman" w:hAnsi="Times New Roman" w:cs="Times New Roman"/>
                <w:color w:val="000000"/>
                <w:sz w:val="16"/>
                <w:szCs w:val="16"/>
              </w:rPr>
            </w:pPr>
            <w:r w:rsidRPr="00883910">
              <w:rPr>
                <w:rFonts w:ascii="Times New Roman" w:hAnsi="Times New Roman" w:cs="Times New Roman"/>
                <w:color w:val="000000"/>
                <w:sz w:val="16"/>
                <w:szCs w:val="16"/>
              </w:rPr>
              <w:t>Laboratory primer collection</w:t>
            </w:r>
          </w:p>
        </w:tc>
      </w:tr>
      <w:tr w:rsidR="00D70E9B" w:rsidRPr="0085544B" w14:paraId="3A71572A"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3AD4925C" w14:textId="77777777" w:rsidR="00D70E9B" w:rsidRPr="0085544B" w:rsidRDefault="00D70E9B" w:rsidP="00A74445">
            <w:pPr>
              <w:spacing w:line="480" w:lineRule="auto"/>
              <w:ind w:right="-1"/>
              <w:rPr>
                <w:rFonts w:ascii="Times New Roman" w:hAnsi="Times New Roman" w:cs="Times New Roman"/>
                <w:sz w:val="16"/>
              </w:rPr>
            </w:pPr>
            <w:r w:rsidRPr="0085544B">
              <w:rPr>
                <w:rFonts w:ascii="Times New Roman" w:hAnsi="Times New Roman" w:cs="Times New Roman"/>
                <w:sz w:val="16"/>
              </w:rPr>
              <w:t>709</w:t>
            </w:r>
          </w:p>
        </w:tc>
        <w:tc>
          <w:tcPr>
            <w:cnfStyle w:val="000010000000" w:firstRow="0" w:lastRow="0" w:firstColumn="0" w:lastColumn="0" w:oddVBand="1" w:evenVBand="0" w:oddHBand="0" w:evenHBand="0" w:firstRowFirstColumn="0" w:firstRowLastColumn="0" w:lastRowFirstColumn="0" w:lastRowLastColumn="0"/>
            <w:tcW w:w="1687" w:type="dxa"/>
          </w:tcPr>
          <w:p w14:paraId="07FFA1E0"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F-Rel</w:t>
            </w:r>
            <w:r w:rsidRPr="0085544B">
              <w:rPr>
                <w:rFonts w:ascii="Times New Roman" w:hAnsi="Times New Roman" w:cs="Times New Roman"/>
                <w:i/>
                <w:iCs/>
                <w:color w:val="000000"/>
                <w:sz w:val="16"/>
                <w:szCs w:val="16"/>
                <w:vertAlign w:val="subscript"/>
              </w:rPr>
              <w:t>Sau</w:t>
            </w:r>
            <w:r w:rsidRPr="0085544B">
              <w:rPr>
                <w:rFonts w:ascii="Times New Roman" w:hAnsi="Times New Roman" w:cs="Times New Roman"/>
                <w:color w:val="000000"/>
                <w:sz w:val="16"/>
                <w:szCs w:val="16"/>
              </w:rPr>
              <w:t>-HD-mut</w:t>
            </w:r>
          </w:p>
        </w:tc>
        <w:tc>
          <w:tcPr>
            <w:tcW w:w="4558" w:type="dxa"/>
          </w:tcPr>
          <w:p w14:paraId="74F1C8AB"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CGATTGTCGCAGGTTTTTTGGCTTCTGTAATTGAAGATACACCG</w:t>
            </w:r>
          </w:p>
        </w:tc>
        <w:tc>
          <w:tcPr>
            <w:cnfStyle w:val="000010000000" w:firstRow="0" w:lastRow="0" w:firstColumn="0" w:lastColumn="0" w:oddVBand="1" w:evenVBand="0" w:oddHBand="0" w:evenHBand="0" w:firstRowFirstColumn="0" w:firstRowLastColumn="0" w:lastRowFirstColumn="0" w:lastRowLastColumn="0"/>
            <w:tcW w:w="1559" w:type="dxa"/>
          </w:tcPr>
          <w:p w14:paraId="7AAC2E18" w14:textId="77777777" w:rsidR="00D70E9B" w:rsidRPr="0085544B" w:rsidRDefault="00D70E9B" w:rsidP="00A74445">
            <w:pPr>
              <w:rPr>
                <w:rFonts w:ascii="Times New Roman" w:hAnsi="Times New Roman" w:cs="Times New Roman"/>
                <w:color w:val="000000"/>
                <w:sz w:val="16"/>
                <w:szCs w:val="16"/>
              </w:rPr>
            </w:pPr>
            <w:r w:rsidRPr="00883910">
              <w:rPr>
                <w:rFonts w:ascii="Times New Roman" w:hAnsi="Times New Roman" w:cs="Times New Roman"/>
                <w:color w:val="000000"/>
                <w:sz w:val="16"/>
                <w:szCs w:val="16"/>
              </w:rPr>
              <w:t>Laboratory primer collection</w:t>
            </w:r>
          </w:p>
        </w:tc>
      </w:tr>
      <w:tr w:rsidR="00D70E9B" w:rsidRPr="0085544B" w14:paraId="6130ECB7" w14:textId="77777777" w:rsidTr="00A7444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85" w:type="dxa"/>
          </w:tcPr>
          <w:p w14:paraId="2929B742"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772</w:t>
            </w:r>
          </w:p>
        </w:tc>
        <w:tc>
          <w:tcPr>
            <w:cnfStyle w:val="000010000000" w:firstRow="0" w:lastRow="0" w:firstColumn="0" w:lastColumn="0" w:oddVBand="1" w:evenVBand="0" w:oddHBand="0" w:evenHBand="0" w:firstRowFirstColumn="0" w:firstRowLastColumn="0" w:lastRowFirstColumn="0" w:lastRowLastColumn="0"/>
            <w:tcW w:w="1687" w:type="dxa"/>
          </w:tcPr>
          <w:p w14:paraId="40682004"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F-ilvD-EcoRI</w:t>
            </w:r>
          </w:p>
        </w:tc>
        <w:tc>
          <w:tcPr>
            <w:tcW w:w="4558" w:type="dxa"/>
          </w:tcPr>
          <w:p w14:paraId="75A10667"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AAA</w:t>
            </w:r>
            <w:r w:rsidRPr="00EE40D1">
              <w:rPr>
                <w:rFonts w:ascii="Times New Roman" w:hAnsi="Times New Roman" w:cs="Times New Roman"/>
                <w:color w:val="000000"/>
                <w:sz w:val="16"/>
                <w:szCs w:val="16"/>
                <w:u w:val="single"/>
              </w:rPr>
              <w:t>GAATTC</w:t>
            </w:r>
            <w:r w:rsidRPr="00EE40D1">
              <w:rPr>
                <w:rFonts w:ascii="Times New Roman" w:hAnsi="Times New Roman" w:cs="Times New Roman"/>
                <w:color w:val="000000"/>
                <w:sz w:val="16"/>
                <w:szCs w:val="16"/>
              </w:rPr>
              <w:t>AAAAATGATTATCCATTGTTCAATCG</w:t>
            </w:r>
          </w:p>
        </w:tc>
        <w:tc>
          <w:tcPr>
            <w:cnfStyle w:val="000010000000" w:firstRow="0" w:lastRow="0" w:firstColumn="0" w:lastColumn="0" w:oddVBand="1" w:evenVBand="0" w:oddHBand="0" w:evenHBand="0" w:firstRowFirstColumn="0" w:firstRowLastColumn="0" w:lastRowFirstColumn="0" w:lastRowLastColumn="0"/>
            <w:tcW w:w="1559" w:type="dxa"/>
          </w:tcPr>
          <w:p w14:paraId="3D7F8C2A" w14:textId="77777777" w:rsidR="00D70E9B" w:rsidRPr="00EE40D1"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This study</w:t>
            </w:r>
          </w:p>
        </w:tc>
      </w:tr>
      <w:tr w:rsidR="00D70E9B" w:rsidRPr="0085544B" w14:paraId="7FDF3E98"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2CF610EF"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773</w:t>
            </w:r>
          </w:p>
        </w:tc>
        <w:tc>
          <w:tcPr>
            <w:cnfStyle w:val="000010000000" w:firstRow="0" w:lastRow="0" w:firstColumn="0" w:lastColumn="0" w:oddVBand="1" w:evenVBand="0" w:oddHBand="0" w:evenHBand="0" w:firstRowFirstColumn="0" w:firstRowLastColumn="0" w:lastRowFirstColumn="0" w:lastRowLastColumn="0"/>
            <w:tcW w:w="1687" w:type="dxa"/>
          </w:tcPr>
          <w:p w14:paraId="76F45C3D"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R-ilvD-sGFP-SOE</w:t>
            </w:r>
          </w:p>
        </w:tc>
        <w:tc>
          <w:tcPr>
            <w:tcW w:w="4558" w:type="dxa"/>
          </w:tcPr>
          <w:p w14:paraId="178391F0"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TTTGCTCCCGGGGTCGCTTCGCATAGTAAATTCCCC</w:t>
            </w:r>
          </w:p>
        </w:tc>
        <w:tc>
          <w:tcPr>
            <w:cnfStyle w:val="000010000000" w:firstRow="0" w:lastRow="0" w:firstColumn="0" w:lastColumn="0" w:oddVBand="1" w:evenVBand="0" w:oddHBand="0" w:evenHBand="0" w:firstRowFirstColumn="0" w:firstRowLastColumn="0" w:lastRowFirstColumn="0" w:lastRowLastColumn="0"/>
            <w:tcW w:w="1559" w:type="dxa"/>
          </w:tcPr>
          <w:p w14:paraId="2D826EBE"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205D37B3"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327149AD"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774</w:t>
            </w:r>
          </w:p>
        </w:tc>
        <w:tc>
          <w:tcPr>
            <w:cnfStyle w:val="000010000000" w:firstRow="0" w:lastRow="0" w:firstColumn="0" w:lastColumn="0" w:oddVBand="1" w:evenVBand="0" w:oddHBand="0" w:evenHBand="0" w:firstRowFirstColumn="0" w:firstRowLastColumn="0" w:lastRowFirstColumn="0" w:lastRowLastColumn="0"/>
            <w:tcW w:w="1687" w:type="dxa"/>
          </w:tcPr>
          <w:p w14:paraId="3F244073"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F-ilvD-sGFP-SOE</w:t>
            </w:r>
          </w:p>
        </w:tc>
        <w:tc>
          <w:tcPr>
            <w:tcW w:w="4558" w:type="dxa"/>
          </w:tcPr>
          <w:p w14:paraId="6CC94401"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ATGCGAAGCGACCCCGGGAGCAAAGGAGAAGAACTT</w:t>
            </w:r>
          </w:p>
        </w:tc>
        <w:tc>
          <w:tcPr>
            <w:cnfStyle w:val="000010000000" w:firstRow="0" w:lastRow="0" w:firstColumn="0" w:lastColumn="0" w:oddVBand="1" w:evenVBand="0" w:oddHBand="0" w:evenHBand="0" w:firstRowFirstColumn="0" w:firstRowLastColumn="0" w:lastRowFirstColumn="0" w:lastRowLastColumn="0"/>
            <w:tcW w:w="1559" w:type="dxa"/>
          </w:tcPr>
          <w:p w14:paraId="0042DE77"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5F1EA246"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332E97E9"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775</w:t>
            </w:r>
          </w:p>
        </w:tc>
        <w:tc>
          <w:tcPr>
            <w:cnfStyle w:val="000010000000" w:firstRow="0" w:lastRow="0" w:firstColumn="0" w:lastColumn="0" w:oddVBand="1" w:evenVBand="0" w:oddHBand="0" w:evenHBand="0" w:firstRowFirstColumn="0" w:firstRowLastColumn="0" w:lastRowFirstColumn="0" w:lastRowLastColumn="0"/>
            <w:tcW w:w="1687" w:type="dxa"/>
          </w:tcPr>
          <w:p w14:paraId="1D868B41"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R-sGFP-TT-SOE</w:t>
            </w:r>
          </w:p>
        </w:tc>
        <w:tc>
          <w:tcPr>
            <w:tcW w:w="4558" w:type="dxa"/>
          </w:tcPr>
          <w:p w14:paraId="4D990CA3"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AATAGGCGCGCCTTATTTGTAGAGCTCATCCATGCC</w:t>
            </w:r>
          </w:p>
        </w:tc>
        <w:tc>
          <w:tcPr>
            <w:cnfStyle w:val="000010000000" w:firstRow="0" w:lastRow="0" w:firstColumn="0" w:lastColumn="0" w:oddVBand="1" w:evenVBand="0" w:oddHBand="0" w:evenHBand="0" w:firstRowFirstColumn="0" w:firstRowLastColumn="0" w:lastRowFirstColumn="0" w:lastRowLastColumn="0"/>
            <w:tcW w:w="1559" w:type="dxa"/>
          </w:tcPr>
          <w:p w14:paraId="0386A2C2"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490E2BDD" w14:textId="77777777" w:rsidTr="00A7444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85" w:type="dxa"/>
          </w:tcPr>
          <w:p w14:paraId="3544414E"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776</w:t>
            </w:r>
          </w:p>
        </w:tc>
        <w:tc>
          <w:tcPr>
            <w:cnfStyle w:val="000010000000" w:firstRow="0" w:lastRow="0" w:firstColumn="0" w:lastColumn="0" w:oddVBand="1" w:evenVBand="0" w:oddHBand="0" w:evenHBand="0" w:firstRowFirstColumn="0" w:firstRowLastColumn="0" w:lastRowFirstColumn="0" w:lastRowLastColumn="0"/>
            <w:tcW w:w="1687" w:type="dxa"/>
          </w:tcPr>
          <w:p w14:paraId="168A1A11"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F-sGFP-TT-SOE</w:t>
            </w:r>
          </w:p>
        </w:tc>
        <w:tc>
          <w:tcPr>
            <w:tcW w:w="4558" w:type="dxa"/>
          </w:tcPr>
          <w:p w14:paraId="4B16B1A7" w14:textId="77777777" w:rsidR="00D70E9B" w:rsidRPr="00EE40D1"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CTCTACAAATAAGGCGCGCCTATTCTAAATGCATAA</w:t>
            </w:r>
          </w:p>
          <w:p w14:paraId="40AA2557"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Pr>
          <w:p w14:paraId="5A6753FE"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49446674"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3FB5890A"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777</w:t>
            </w:r>
          </w:p>
        </w:tc>
        <w:tc>
          <w:tcPr>
            <w:cnfStyle w:val="000010000000" w:firstRow="0" w:lastRow="0" w:firstColumn="0" w:lastColumn="0" w:oddVBand="1" w:evenVBand="0" w:oddHBand="0" w:evenHBand="0" w:firstRowFirstColumn="0" w:firstRowLastColumn="0" w:lastRowFirstColumn="0" w:lastRowLastColumn="0"/>
            <w:tcW w:w="1687" w:type="dxa"/>
          </w:tcPr>
          <w:p w14:paraId="3257109C"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R-TT-KpnI</w:t>
            </w:r>
          </w:p>
        </w:tc>
        <w:tc>
          <w:tcPr>
            <w:tcW w:w="4558" w:type="dxa"/>
          </w:tcPr>
          <w:p w14:paraId="5125118E"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GGG</w:t>
            </w:r>
            <w:r w:rsidRPr="00EE40D1">
              <w:rPr>
                <w:rFonts w:ascii="Times New Roman" w:hAnsi="Times New Roman" w:cs="Times New Roman"/>
                <w:color w:val="000000"/>
                <w:sz w:val="16"/>
                <w:szCs w:val="16"/>
                <w:u w:val="single"/>
              </w:rPr>
              <w:t>GGTACC</w:t>
            </w:r>
            <w:r w:rsidRPr="00EE40D1">
              <w:rPr>
                <w:rFonts w:ascii="Times New Roman" w:hAnsi="Times New Roman" w:cs="Times New Roman"/>
                <w:color w:val="000000"/>
                <w:sz w:val="16"/>
                <w:szCs w:val="16"/>
              </w:rPr>
              <w:t>TGTCACTTTGCTTGATATATGAG</w:t>
            </w:r>
          </w:p>
        </w:tc>
        <w:tc>
          <w:tcPr>
            <w:cnfStyle w:val="000010000000" w:firstRow="0" w:lastRow="0" w:firstColumn="0" w:lastColumn="0" w:oddVBand="1" w:evenVBand="0" w:oddHBand="0" w:evenHBand="0" w:firstRowFirstColumn="0" w:firstRowLastColumn="0" w:lastRowFirstColumn="0" w:lastRowLastColumn="0"/>
            <w:tcW w:w="1559" w:type="dxa"/>
          </w:tcPr>
          <w:p w14:paraId="161F491C"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3C79F5ED"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601B3B38"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778</w:t>
            </w:r>
          </w:p>
        </w:tc>
        <w:tc>
          <w:tcPr>
            <w:cnfStyle w:val="000010000000" w:firstRow="0" w:lastRow="0" w:firstColumn="0" w:lastColumn="0" w:oddVBand="1" w:evenVBand="0" w:oddHBand="0" w:evenHBand="0" w:firstRowFirstColumn="0" w:firstRowLastColumn="0" w:lastRowFirstColumn="0" w:lastRowLastColumn="0"/>
            <w:tcW w:w="1687" w:type="dxa"/>
          </w:tcPr>
          <w:p w14:paraId="0FBBAD56"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F-rpsO-BamHI</w:t>
            </w:r>
          </w:p>
        </w:tc>
        <w:tc>
          <w:tcPr>
            <w:tcW w:w="4558" w:type="dxa"/>
          </w:tcPr>
          <w:p w14:paraId="2DF5757D"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GGG</w:t>
            </w:r>
            <w:r w:rsidRPr="00EE40D1">
              <w:rPr>
                <w:rFonts w:ascii="Times New Roman" w:hAnsi="Times New Roman" w:cs="Times New Roman"/>
                <w:color w:val="000000"/>
                <w:sz w:val="16"/>
                <w:szCs w:val="16"/>
                <w:u w:val="single"/>
              </w:rPr>
              <w:t>GGATCC</w:t>
            </w:r>
            <w:r w:rsidRPr="00EE40D1">
              <w:rPr>
                <w:rFonts w:ascii="Times New Roman" w:hAnsi="Times New Roman" w:cs="Times New Roman"/>
                <w:color w:val="000000"/>
                <w:sz w:val="16"/>
                <w:szCs w:val="16"/>
              </w:rPr>
              <w:t>GAATATCTTTGACTTTGAGGATAATA</w:t>
            </w:r>
          </w:p>
        </w:tc>
        <w:tc>
          <w:tcPr>
            <w:cnfStyle w:val="000010000000" w:firstRow="0" w:lastRow="0" w:firstColumn="0" w:lastColumn="0" w:oddVBand="1" w:evenVBand="0" w:oddHBand="0" w:evenHBand="0" w:firstRowFirstColumn="0" w:firstRowLastColumn="0" w:lastRowFirstColumn="0" w:lastRowLastColumn="0"/>
            <w:tcW w:w="1559" w:type="dxa"/>
          </w:tcPr>
          <w:p w14:paraId="3CA90D8F"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44460273"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2DDC49CF"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779</w:t>
            </w:r>
          </w:p>
        </w:tc>
        <w:tc>
          <w:tcPr>
            <w:cnfStyle w:val="000010000000" w:firstRow="0" w:lastRow="0" w:firstColumn="0" w:lastColumn="0" w:oddVBand="1" w:evenVBand="0" w:oddHBand="0" w:evenHBand="0" w:firstRowFirstColumn="0" w:firstRowLastColumn="0" w:lastRowFirstColumn="0" w:lastRowLastColumn="0"/>
            <w:tcW w:w="1687" w:type="dxa"/>
          </w:tcPr>
          <w:p w14:paraId="77085354"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R-rpsO-dsRED-SOE</w:t>
            </w:r>
          </w:p>
        </w:tc>
        <w:tc>
          <w:tcPr>
            <w:tcW w:w="4558" w:type="dxa"/>
          </w:tcPr>
          <w:p w14:paraId="1571A226"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TTCTGTATTATCTGAAATTGCCATAATCAATTTCCT</w:t>
            </w:r>
          </w:p>
        </w:tc>
        <w:tc>
          <w:tcPr>
            <w:cnfStyle w:val="000010000000" w:firstRow="0" w:lastRow="0" w:firstColumn="0" w:lastColumn="0" w:oddVBand="1" w:evenVBand="0" w:oddHBand="0" w:evenHBand="0" w:firstRowFirstColumn="0" w:firstRowLastColumn="0" w:lastRowFirstColumn="0" w:lastRowLastColumn="0"/>
            <w:tcW w:w="1559" w:type="dxa"/>
          </w:tcPr>
          <w:p w14:paraId="43663D2F"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1E5CB1F4"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4CD8CF77"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780</w:t>
            </w:r>
          </w:p>
        </w:tc>
        <w:tc>
          <w:tcPr>
            <w:cnfStyle w:val="000010000000" w:firstRow="0" w:lastRow="0" w:firstColumn="0" w:lastColumn="0" w:oddVBand="1" w:evenVBand="0" w:oddHBand="0" w:evenHBand="0" w:firstRowFirstColumn="0" w:firstRowLastColumn="0" w:lastRowFirstColumn="0" w:lastRowLastColumn="0"/>
            <w:tcW w:w="1687" w:type="dxa"/>
          </w:tcPr>
          <w:p w14:paraId="349BF254"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F-rpsO-dsRED-SOE</w:t>
            </w:r>
          </w:p>
        </w:tc>
        <w:tc>
          <w:tcPr>
            <w:tcW w:w="4558" w:type="dxa"/>
          </w:tcPr>
          <w:p w14:paraId="5DAC6225"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ATGGCAATTTCAGATAATACAGAAGATGTTATTAAA</w:t>
            </w:r>
          </w:p>
        </w:tc>
        <w:tc>
          <w:tcPr>
            <w:cnfStyle w:val="000010000000" w:firstRow="0" w:lastRow="0" w:firstColumn="0" w:lastColumn="0" w:oddVBand="1" w:evenVBand="0" w:oddHBand="0" w:evenHBand="0" w:firstRowFirstColumn="0" w:firstRowLastColumn="0" w:lastRowFirstColumn="0" w:lastRowLastColumn="0"/>
            <w:tcW w:w="1559" w:type="dxa"/>
          </w:tcPr>
          <w:p w14:paraId="393E1948"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77D3EBDF" w14:textId="77777777" w:rsidTr="00A74445">
        <w:trPr>
          <w:trHeight w:val="399"/>
        </w:trPr>
        <w:tc>
          <w:tcPr>
            <w:cnfStyle w:val="001000000000" w:firstRow="0" w:lastRow="0" w:firstColumn="1" w:lastColumn="0" w:oddVBand="0" w:evenVBand="0" w:oddHBand="0" w:evenHBand="0" w:firstRowFirstColumn="0" w:firstRowLastColumn="0" w:lastRowFirstColumn="0" w:lastRowLastColumn="0"/>
            <w:tcW w:w="985" w:type="dxa"/>
          </w:tcPr>
          <w:p w14:paraId="6523AC77"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rPr>
              <w:t>781</w:t>
            </w:r>
          </w:p>
        </w:tc>
        <w:tc>
          <w:tcPr>
            <w:cnfStyle w:val="000010000000" w:firstRow="0" w:lastRow="0" w:firstColumn="0" w:lastColumn="0" w:oddVBand="1" w:evenVBand="0" w:oddHBand="0" w:evenHBand="0" w:firstRowFirstColumn="0" w:firstRowLastColumn="0" w:lastRowFirstColumn="0" w:lastRowLastColumn="0"/>
            <w:tcW w:w="1687" w:type="dxa"/>
          </w:tcPr>
          <w:p w14:paraId="249C2E5E"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R-dsRED-KpnI</w:t>
            </w:r>
          </w:p>
        </w:tc>
        <w:tc>
          <w:tcPr>
            <w:tcW w:w="4558" w:type="dxa"/>
          </w:tcPr>
          <w:p w14:paraId="16AB9D86"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E40D1">
              <w:rPr>
                <w:rFonts w:ascii="Times New Roman" w:hAnsi="Times New Roman" w:cs="Times New Roman"/>
                <w:color w:val="000000"/>
                <w:sz w:val="16"/>
                <w:szCs w:val="16"/>
              </w:rPr>
              <w:t>GGG</w:t>
            </w:r>
            <w:r w:rsidRPr="00EE40D1">
              <w:rPr>
                <w:rFonts w:ascii="Times New Roman" w:hAnsi="Times New Roman" w:cs="Times New Roman"/>
                <w:color w:val="000000"/>
                <w:sz w:val="16"/>
                <w:szCs w:val="16"/>
                <w:u w:val="single"/>
              </w:rPr>
              <w:t>GGTACC</w:t>
            </w:r>
            <w:r w:rsidRPr="00EE40D1">
              <w:rPr>
                <w:rFonts w:ascii="Times New Roman" w:hAnsi="Times New Roman" w:cs="Times New Roman"/>
                <w:color w:val="000000"/>
                <w:sz w:val="16"/>
                <w:szCs w:val="16"/>
              </w:rPr>
              <w:t>TTATAAAAACAAATGATGACGACCTTCT</w:t>
            </w:r>
          </w:p>
        </w:tc>
        <w:tc>
          <w:tcPr>
            <w:cnfStyle w:val="000010000000" w:firstRow="0" w:lastRow="0" w:firstColumn="0" w:lastColumn="0" w:oddVBand="1" w:evenVBand="0" w:oddHBand="0" w:evenHBand="0" w:firstRowFirstColumn="0" w:firstRowLastColumn="0" w:lastRowFirstColumn="0" w:lastRowLastColumn="0"/>
            <w:tcW w:w="1559" w:type="dxa"/>
          </w:tcPr>
          <w:p w14:paraId="50C6DB32" w14:textId="77777777" w:rsidR="00D70E9B" w:rsidRPr="00EE40D1"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131EDA0F"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180CBAA2"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sidRPr="0085544B">
              <w:rPr>
                <w:rFonts w:ascii="Times New Roman" w:hAnsi="Times New Roman" w:cs="Times New Roman"/>
                <w:sz w:val="16"/>
              </w:rPr>
              <w:t>739</w:t>
            </w:r>
          </w:p>
        </w:tc>
        <w:tc>
          <w:tcPr>
            <w:cnfStyle w:val="000010000000" w:firstRow="0" w:lastRow="0" w:firstColumn="0" w:lastColumn="0" w:oddVBand="1" w:evenVBand="0" w:oddHBand="0" w:evenHBand="0" w:firstRowFirstColumn="0" w:firstRowLastColumn="0" w:lastRowFirstColumn="0" w:lastRowLastColumn="0"/>
            <w:tcW w:w="1687" w:type="dxa"/>
          </w:tcPr>
          <w:p w14:paraId="3B608CA1"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R-SacII-Rel</w:t>
            </w:r>
            <w:r w:rsidRPr="00796016">
              <w:rPr>
                <w:rFonts w:ascii="Times New Roman" w:hAnsi="Times New Roman" w:cs="Times New Roman"/>
                <w:i/>
                <w:iCs/>
                <w:color w:val="000000"/>
                <w:sz w:val="16"/>
                <w:szCs w:val="16"/>
                <w:vertAlign w:val="subscript"/>
              </w:rPr>
              <w:t>Sau</w:t>
            </w:r>
            <w:r w:rsidRPr="0085544B">
              <w:rPr>
                <w:rFonts w:ascii="Times New Roman" w:hAnsi="Times New Roman" w:cs="Times New Roman"/>
                <w:color w:val="000000"/>
                <w:sz w:val="16"/>
                <w:szCs w:val="16"/>
              </w:rPr>
              <w:t>-Nterm</w:t>
            </w:r>
          </w:p>
        </w:tc>
        <w:tc>
          <w:tcPr>
            <w:tcW w:w="4558" w:type="dxa"/>
          </w:tcPr>
          <w:p w14:paraId="01FFC3AD" w14:textId="77777777" w:rsidR="00D70E9B" w:rsidRPr="00EE40D1"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AAA</w:t>
            </w:r>
            <w:r w:rsidRPr="00796016">
              <w:rPr>
                <w:rFonts w:ascii="Times New Roman" w:hAnsi="Times New Roman" w:cs="Times New Roman"/>
                <w:color w:val="000000"/>
                <w:sz w:val="16"/>
                <w:szCs w:val="16"/>
                <w:u w:val="single"/>
              </w:rPr>
              <w:t>CCGCG</w:t>
            </w:r>
            <w:r w:rsidRPr="00275FCD">
              <w:rPr>
                <w:rFonts w:ascii="Times New Roman" w:hAnsi="Times New Roman" w:cs="Times New Roman"/>
                <w:color w:val="000000"/>
                <w:sz w:val="16"/>
                <w:szCs w:val="16"/>
                <w:u w:val="single"/>
              </w:rPr>
              <w:t>G</w:t>
            </w:r>
            <w:r w:rsidRPr="0085544B">
              <w:rPr>
                <w:rFonts w:ascii="Times New Roman" w:hAnsi="Times New Roman" w:cs="Times New Roman"/>
                <w:color w:val="000000"/>
                <w:sz w:val="16"/>
                <w:szCs w:val="16"/>
              </w:rPr>
              <w:t>TTAACTCTGTAAGTCATATTTTAAGG</w:t>
            </w:r>
          </w:p>
        </w:tc>
        <w:tc>
          <w:tcPr>
            <w:cnfStyle w:val="000010000000" w:firstRow="0" w:lastRow="0" w:firstColumn="0" w:lastColumn="0" w:oddVBand="1" w:evenVBand="0" w:oddHBand="0" w:evenHBand="0" w:firstRowFirstColumn="0" w:firstRowLastColumn="0" w:lastRowFirstColumn="0" w:lastRowLastColumn="0"/>
            <w:tcW w:w="1559" w:type="dxa"/>
          </w:tcPr>
          <w:p w14:paraId="4C026664" w14:textId="77777777" w:rsidR="00D70E9B" w:rsidRPr="0085544B"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05B3C2CE"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21A01FC2"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sidRPr="0085544B">
              <w:rPr>
                <w:rFonts w:ascii="Times New Roman" w:hAnsi="Times New Roman" w:cs="Times New Roman"/>
                <w:sz w:val="16"/>
              </w:rPr>
              <w:t>740</w:t>
            </w:r>
          </w:p>
        </w:tc>
        <w:tc>
          <w:tcPr>
            <w:cnfStyle w:val="000010000000" w:firstRow="0" w:lastRow="0" w:firstColumn="0" w:lastColumn="0" w:oddVBand="1" w:evenVBand="0" w:oddHBand="0" w:evenHBand="0" w:firstRowFirstColumn="0" w:firstRowLastColumn="0" w:lastRowFirstColumn="0" w:lastRowLastColumn="0"/>
            <w:tcW w:w="1687" w:type="dxa"/>
          </w:tcPr>
          <w:p w14:paraId="16EF12B2"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R-SacII-Rel</w:t>
            </w:r>
            <w:r w:rsidRPr="00796016">
              <w:rPr>
                <w:rFonts w:ascii="Times New Roman" w:hAnsi="Times New Roman" w:cs="Times New Roman"/>
                <w:i/>
                <w:iCs/>
                <w:color w:val="000000"/>
                <w:sz w:val="16"/>
                <w:szCs w:val="16"/>
                <w:vertAlign w:val="subscript"/>
              </w:rPr>
              <w:t>Sau</w:t>
            </w:r>
            <w:r w:rsidRPr="0085544B">
              <w:rPr>
                <w:rFonts w:ascii="Times New Roman" w:hAnsi="Times New Roman" w:cs="Times New Roman"/>
                <w:color w:val="000000"/>
                <w:sz w:val="16"/>
                <w:szCs w:val="16"/>
              </w:rPr>
              <w:t>-Nterm-His</w:t>
            </w:r>
          </w:p>
        </w:tc>
        <w:tc>
          <w:tcPr>
            <w:tcW w:w="4558" w:type="dxa"/>
          </w:tcPr>
          <w:p w14:paraId="6CACF97F"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5544B">
              <w:rPr>
                <w:rFonts w:ascii="Times New Roman" w:hAnsi="Times New Roman" w:cs="Times New Roman"/>
                <w:color w:val="000000"/>
                <w:sz w:val="16"/>
                <w:szCs w:val="16"/>
              </w:rPr>
              <w:t>GGG</w:t>
            </w:r>
            <w:r w:rsidRPr="00796016">
              <w:rPr>
                <w:rFonts w:ascii="Times New Roman" w:hAnsi="Times New Roman" w:cs="Times New Roman"/>
                <w:color w:val="000000"/>
                <w:sz w:val="16"/>
                <w:szCs w:val="16"/>
                <w:u w:val="single"/>
              </w:rPr>
              <w:t>CCGCG</w:t>
            </w:r>
            <w:r w:rsidRPr="00275FCD">
              <w:rPr>
                <w:rFonts w:ascii="Times New Roman" w:hAnsi="Times New Roman" w:cs="Times New Roman"/>
                <w:color w:val="000000"/>
                <w:sz w:val="16"/>
                <w:szCs w:val="16"/>
                <w:u w:val="single"/>
              </w:rPr>
              <w:t>G</w:t>
            </w:r>
            <w:r w:rsidRPr="0085544B">
              <w:rPr>
                <w:rFonts w:ascii="Times New Roman" w:hAnsi="Times New Roman" w:cs="Times New Roman"/>
                <w:color w:val="000000"/>
                <w:sz w:val="16"/>
                <w:szCs w:val="16"/>
              </w:rPr>
              <w:t>TTAGTGATGGTGATGGTGATGACTCTGTAAGTCATATTTTAAGG</w:t>
            </w:r>
          </w:p>
        </w:tc>
        <w:tc>
          <w:tcPr>
            <w:cnfStyle w:val="000010000000" w:firstRow="0" w:lastRow="0" w:firstColumn="0" w:lastColumn="0" w:oddVBand="1" w:evenVBand="0" w:oddHBand="0" w:evenHBand="0" w:firstRowFirstColumn="0" w:firstRowLastColumn="0" w:lastRowFirstColumn="0" w:lastRowLastColumn="0"/>
            <w:tcW w:w="1559" w:type="dxa"/>
          </w:tcPr>
          <w:p w14:paraId="42EC7E3D" w14:textId="77777777" w:rsidR="00D70E9B" w:rsidRPr="0085544B"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5A543A80"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5C4507BD"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Pr>
                <w:rFonts w:ascii="Times New Roman" w:hAnsi="Times New Roman" w:cs="Times New Roman"/>
                <w:sz w:val="16"/>
                <w:szCs w:val="16"/>
              </w:rPr>
              <w:t>846</w:t>
            </w:r>
          </w:p>
        </w:tc>
        <w:tc>
          <w:tcPr>
            <w:cnfStyle w:val="000010000000" w:firstRow="0" w:lastRow="0" w:firstColumn="0" w:lastColumn="0" w:oddVBand="1" w:evenVBand="0" w:oddHBand="0" w:evenHBand="0" w:firstRowFirstColumn="0" w:firstRowLastColumn="0" w:lastRowFirstColumn="0" w:lastRowLastColumn="0"/>
            <w:tcW w:w="1687" w:type="dxa"/>
          </w:tcPr>
          <w:p w14:paraId="5F46D29F" w14:textId="77777777" w:rsidR="00D70E9B" w:rsidRPr="0085544B" w:rsidRDefault="00D70E9B" w:rsidP="00A74445">
            <w:pPr>
              <w:rPr>
                <w:rFonts w:ascii="Times New Roman" w:hAnsi="Times New Roman" w:cs="Times New Roman"/>
                <w:color w:val="000000"/>
                <w:sz w:val="16"/>
                <w:szCs w:val="16"/>
              </w:rPr>
            </w:pPr>
            <w:r w:rsidRPr="00796016">
              <w:rPr>
                <w:rFonts w:ascii="Times New Roman" w:hAnsi="Times New Roman" w:cs="Times New Roman"/>
                <w:color w:val="000000"/>
                <w:sz w:val="16"/>
                <w:szCs w:val="16"/>
              </w:rPr>
              <w:t>F-EcoRV-broccoli</w:t>
            </w:r>
          </w:p>
        </w:tc>
        <w:tc>
          <w:tcPr>
            <w:tcW w:w="4558" w:type="dxa"/>
          </w:tcPr>
          <w:p w14:paraId="3B0B0C5B"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GGG</w:t>
            </w:r>
            <w:r w:rsidRPr="00796016">
              <w:rPr>
                <w:rFonts w:ascii="Times New Roman" w:hAnsi="Times New Roman" w:cs="Times New Roman"/>
                <w:color w:val="000000"/>
                <w:sz w:val="16"/>
                <w:szCs w:val="16"/>
                <w:u w:val="single"/>
              </w:rPr>
              <w:t>GATAT</w:t>
            </w:r>
            <w:r w:rsidRPr="00275FCD">
              <w:rPr>
                <w:rFonts w:ascii="Times New Roman" w:hAnsi="Times New Roman" w:cs="Times New Roman"/>
                <w:color w:val="000000"/>
                <w:sz w:val="16"/>
                <w:szCs w:val="16"/>
                <w:u w:val="single"/>
              </w:rPr>
              <w:t>C</w:t>
            </w:r>
            <w:r w:rsidRPr="00796016">
              <w:rPr>
                <w:rFonts w:ascii="Times New Roman" w:hAnsi="Times New Roman" w:cs="Times New Roman"/>
                <w:color w:val="000000"/>
                <w:sz w:val="16"/>
                <w:szCs w:val="16"/>
              </w:rPr>
              <w:t>TTGCCATGTGTATGTGGGAGACGG</w:t>
            </w:r>
          </w:p>
        </w:tc>
        <w:tc>
          <w:tcPr>
            <w:cnfStyle w:val="000010000000" w:firstRow="0" w:lastRow="0" w:firstColumn="0" w:lastColumn="0" w:oddVBand="1" w:evenVBand="0" w:oddHBand="0" w:evenHBand="0" w:firstRowFirstColumn="0" w:firstRowLastColumn="0" w:lastRowFirstColumn="0" w:lastRowLastColumn="0"/>
            <w:tcW w:w="1559" w:type="dxa"/>
          </w:tcPr>
          <w:p w14:paraId="31E5DCCC" w14:textId="77777777" w:rsidR="00D70E9B" w:rsidRPr="00796016"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43351EBD"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6C5529C6"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Pr>
                <w:rFonts w:ascii="Times New Roman" w:hAnsi="Times New Roman" w:cs="Times New Roman"/>
                <w:sz w:val="16"/>
                <w:szCs w:val="16"/>
              </w:rPr>
              <w:t>847</w:t>
            </w:r>
          </w:p>
        </w:tc>
        <w:tc>
          <w:tcPr>
            <w:cnfStyle w:val="000010000000" w:firstRow="0" w:lastRow="0" w:firstColumn="0" w:lastColumn="0" w:oddVBand="1" w:evenVBand="0" w:oddHBand="0" w:evenHBand="0" w:firstRowFirstColumn="0" w:firstRowLastColumn="0" w:lastRowFirstColumn="0" w:lastRowLastColumn="0"/>
            <w:tcW w:w="1687" w:type="dxa"/>
          </w:tcPr>
          <w:p w14:paraId="1A3072A4" w14:textId="77777777" w:rsidR="00D70E9B" w:rsidRPr="0085544B" w:rsidRDefault="00D70E9B" w:rsidP="00A74445">
            <w:pPr>
              <w:rPr>
                <w:rFonts w:ascii="Times New Roman" w:hAnsi="Times New Roman" w:cs="Times New Roman"/>
                <w:color w:val="000000"/>
                <w:sz w:val="16"/>
                <w:szCs w:val="16"/>
              </w:rPr>
            </w:pPr>
            <w:r w:rsidRPr="00796016">
              <w:rPr>
                <w:rFonts w:ascii="Times New Roman" w:hAnsi="Times New Roman" w:cs="Times New Roman"/>
                <w:color w:val="000000"/>
                <w:sz w:val="16"/>
                <w:szCs w:val="16"/>
              </w:rPr>
              <w:t>R-AvrII-broccoli</w:t>
            </w:r>
          </w:p>
        </w:tc>
        <w:tc>
          <w:tcPr>
            <w:tcW w:w="4558" w:type="dxa"/>
          </w:tcPr>
          <w:p w14:paraId="4FAAABA9"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GGG</w:t>
            </w:r>
            <w:r w:rsidRPr="00796016">
              <w:rPr>
                <w:rFonts w:ascii="Times New Roman" w:hAnsi="Times New Roman" w:cs="Times New Roman"/>
                <w:color w:val="000000"/>
                <w:sz w:val="16"/>
                <w:szCs w:val="16"/>
                <w:u w:val="single"/>
              </w:rPr>
              <w:t>CCTAG</w:t>
            </w:r>
            <w:r w:rsidRPr="00275FCD">
              <w:rPr>
                <w:rFonts w:ascii="Times New Roman" w:hAnsi="Times New Roman" w:cs="Times New Roman"/>
                <w:color w:val="000000"/>
                <w:sz w:val="16"/>
                <w:szCs w:val="16"/>
                <w:u w:val="single"/>
              </w:rPr>
              <w:t>G</w:t>
            </w:r>
            <w:r w:rsidRPr="00796016">
              <w:rPr>
                <w:rFonts w:ascii="Times New Roman" w:hAnsi="Times New Roman" w:cs="Times New Roman"/>
                <w:color w:val="000000"/>
                <w:sz w:val="16"/>
                <w:szCs w:val="16"/>
              </w:rPr>
              <w:t>CAAAAAACCCCTCAAGACCCG</w:t>
            </w:r>
          </w:p>
        </w:tc>
        <w:tc>
          <w:tcPr>
            <w:cnfStyle w:val="000010000000" w:firstRow="0" w:lastRow="0" w:firstColumn="0" w:lastColumn="0" w:oddVBand="1" w:evenVBand="0" w:oddHBand="0" w:evenHBand="0" w:firstRowFirstColumn="0" w:firstRowLastColumn="0" w:lastRowFirstColumn="0" w:lastRowLastColumn="0"/>
            <w:tcW w:w="1559" w:type="dxa"/>
          </w:tcPr>
          <w:p w14:paraId="61884111" w14:textId="77777777" w:rsidR="00D70E9B" w:rsidRPr="00796016"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383122D6" w14:textId="77777777" w:rsidTr="00A7444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85" w:type="dxa"/>
          </w:tcPr>
          <w:p w14:paraId="67E91246"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Pr>
                <w:rFonts w:ascii="Times New Roman" w:hAnsi="Times New Roman" w:cs="Times New Roman"/>
                <w:sz w:val="16"/>
                <w:szCs w:val="16"/>
              </w:rPr>
              <w:t>848</w:t>
            </w:r>
          </w:p>
        </w:tc>
        <w:tc>
          <w:tcPr>
            <w:cnfStyle w:val="000010000000" w:firstRow="0" w:lastRow="0" w:firstColumn="0" w:lastColumn="0" w:oddVBand="1" w:evenVBand="0" w:oddHBand="0" w:evenHBand="0" w:firstRowFirstColumn="0" w:firstRowLastColumn="0" w:lastRowFirstColumn="0" w:lastRowLastColumn="0"/>
            <w:tcW w:w="1687" w:type="dxa"/>
          </w:tcPr>
          <w:p w14:paraId="736EEA8F" w14:textId="77777777" w:rsidR="00D70E9B" w:rsidRPr="0085544B" w:rsidRDefault="00D70E9B" w:rsidP="00A74445">
            <w:pPr>
              <w:rPr>
                <w:rFonts w:ascii="Times New Roman" w:hAnsi="Times New Roman" w:cs="Times New Roman"/>
                <w:color w:val="000000"/>
                <w:sz w:val="16"/>
                <w:szCs w:val="16"/>
              </w:rPr>
            </w:pPr>
            <w:r w:rsidRPr="00796016">
              <w:rPr>
                <w:rFonts w:ascii="Times New Roman" w:hAnsi="Times New Roman" w:cs="Times New Roman"/>
                <w:color w:val="000000"/>
                <w:sz w:val="16"/>
                <w:szCs w:val="16"/>
              </w:rPr>
              <w:t>F-EcoRV-ppGpp-apt</w:t>
            </w:r>
          </w:p>
        </w:tc>
        <w:tc>
          <w:tcPr>
            <w:tcW w:w="4558" w:type="dxa"/>
          </w:tcPr>
          <w:p w14:paraId="012955B5"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GGG</w:t>
            </w:r>
            <w:r w:rsidRPr="00796016">
              <w:rPr>
                <w:rFonts w:ascii="Times New Roman" w:hAnsi="Times New Roman" w:cs="Times New Roman"/>
                <w:color w:val="000000"/>
                <w:sz w:val="16"/>
                <w:szCs w:val="16"/>
                <w:u w:val="single"/>
              </w:rPr>
              <w:t>GATAT</w:t>
            </w:r>
            <w:r w:rsidRPr="00275FCD">
              <w:rPr>
                <w:rFonts w:ascii="Times New Roman" w:hAnsi="Times New Roman" w:cs="Times New Roman"/>
                <w:color w:val="000000"/>
                <w:sz w:val="16"/>
                <w:szCs w:val="16"/>
                <w:u w:val="single"/>
              </w:rPr>
              <w:t>C</w:t>
            </w:r>
            <w:r w:rsidRPr="00796016">
              <w:rPr>
                <w:rFonts w:ascii="Times New Roman" w:hAnsi="Times New Roman" w:cs="Times New Roman"/>
                <w:color w:val="000000"/>
                <w:sz w:val="16"/>
                <w:szCs w:val="16"/>
              </w:rPr>
              <w:t>GGAAGTGTACCTTAGGGTTCCGG</w:t>
            </w:r>
          </w:p>
        </w:tc>
        <w:tc>
          <w:tcPr>
            <w:cnfStyle w:val="000010000000" w:firstRow="0" w:lastRow="0" w:firstColumn="0" w:lastColumn="0" w:oddVBand="1" w:evenVBand="0" w:oddHBand="0" w:evenHBand="0" w:firstRowFirstColumn="0" w:firstRowLastColumn="0" w:lastRowFirstColumn="0" w:lastRowLastColumn="0"/>
            <w:tcW w:w="1559" w:type="dxa"/>
          </w:tcPr>
          <w:p w14:paraId="29C9A7A5" w14:textId="77777777" w:rsidR="00D70E9B" w:rsidRPr="00796016"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3F15C34D"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50122C11"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Pr>
                <w:rFonts w:ascii="Times New Roman" w:hAnsi="Times New Roman" w:cs="Times New Roman"/>
                <w:sz w:val="16"/>
                <w:szCs w:val="16"/>
              </w:rPr>
              <w:t>849</w:t>
            </w:r>
          </w:p>
        </w:tc>
        <w:tc>
          <w:tcPr>
            <w:cnfStyle w:val="000010000000" w:firstRow="0" w:lastRow="0" w:firstColumn="0" w:lastColumn="0" w:oddVBand="1" w:evenVBand="0" w:oddHBand="0" w:evenHBand="0" w:firstRowFirstColumn="0" w:firstRowLastColumn="0" w:lastRowFirstColumn="0" w:lastRowLastColumn="0"/>
            <w:tcW w:w="1687" w:type="dxa"/>
          </w:tcPr>
          <w:p w14:paraId="643172DF" w14:textId="77777777" w:rsidR="00D70E9B" w:rsidRPr="0085544B" w:rsidRDefault="00D70E9B" w:rsidP="00A74445">
            <w:pPr>
              <w:rPr>
                <w:rFonts w:ascii="Times New Roman" w:hAnsi="Times New Roman" w:cs="Times New Roman"/>
                <w:color w:val="000000"/>
                <w:sz w:val="16"/>
                <w:szCs w:val="16"/>
              </w:rPr>
            </w:pPr>
            <w:r w:rsidRPr="00796016">
              <w:rPr>
                <w:rFonts w:ascii="Times New Roman" w:hAnsi="Times New Roman" w:cs="Times New Roman"/>
                <w:color w:val="000000"/>
                <w:sz w:val="16"/>
                <w:szCs w:val="16"/>
              </w:rPr>
              <w:t>R-NheI-ppGpp-apt</w:t>
            </w:r>
          </w:p>
        </w:tc>
        <w:tc>
          <w:tcPr>
            <w:tcW w:w="4558" w:type="dxa"/>
          </w:tcPr>
          <w:p w14:paraId="5810C807"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GGG</w:t>
            </w:r>
            <w:r w:rsidRPr="00796016">
              <w:rPr>
                <w:rFonts w:ascii="Times New Roman" w:hAnsi="Times New Roman" w:cs="Times New Roman"/>
                <w:color w:val="000000"/>
                <w:sz w:val="16"/>
                <w:szCs w:val="16"/>
                <w:u w:val="single"/>
              </w:rPr>
              <w:t>GCTAG</w:t>
            </w:r>
            <w:r w:rsidRPr="00275FCD">
              <w:rPr>
                <w:rFonts w:ascii="Times New Roman" w:hAnsi="Times New Roman" w:cs="Times New Roman"/>
                <w:color w:val="000000"/>
                <w:sz w:val="16"/>
                <w:szCs w:val="16"/>
                <w:u w:val="single"/>
              </w:rPr>
              <w:t>C</w:t>
            </w:r>
            <w:r w:rsidRPr="00796016">
              <w:rPr>
                <w:rFonts w:ascii="Times New Roman" w:hAnsi="Times New Roman" w:cs="Times New Roman"/>
                <w:color w:val="000000"/>
                <w:sz w:val="16"/>
                <w:szCs w:val="16"/>
              </w:rPr>
              <w:t>GGAACTTGCCGCTGGAGC</w:t>
            </w:r>
          </w:p>
        </w:tc>
        <w:tc>
          <w:tcPr>
            <w:cnfStyle w:val="000010000000" w:firstRow="0" w:lastRow="0" w:firstColumn="0" w:lastColumn="0" w:oddVBand="1" w:evenVBand="0" w:oddHBand="0" w:evenHBand="0" w:firstRowFirstColumn="0" w:firstRowLastColumn="0" w:lastRowFirstColumn="0" w:lastRowLastColumn="0"/>
            <w:tcW w:w="1559" w:type="dxa"/>
          </w:tcPr>
          <w:p w14:paraId="16D6876B" w14:textId="77777777" w:rsidR="00D70E9B" w:rsidRPr="00796016"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14D6C174"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40F239FD"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Pr>
                <w:rFonts w:ascii="Times New Roman" w:hAnsi="Times New Roman" w:cs="Times New Roman"/>
                <w:sz w:val="16"/>
                <w:szCs w:val="16"/>
              </w:rPr>
              <w:t>889</w:t>
            </w:r>
          </w:p>
        </w:tc>
        <w:tc>
          <w:tcPr>
            <w:cnfStyle w:val="000010000000" w:firstRow="0" w:lastRow="0" w:firstColumn="0" w:lastColumn="0" w:oddVBand="1" w:evenVBand="0" w:oddHBand="0" w:evenHBand="0" w:firstRowFirstColumn="0" w:firstRowLastColumn="0" w:lastRowFirstColumn="0" w:lastRowLastColumn="0"/>
            <w:tcW w:w="1687" w:type="dxa"/>
          </w:tcPr>
          <w:p w14:paraId="27A770A9" w14:textId="77777777" w:rsidR="00D70E9B" w:rsidRPr="0085544B" w:rsidRDefault="00D70E9B" w:rsidP="00A74445">
            <w:pPr>
              <w:rPr>
                <w:rFonts w:ascii="Times New Roman" w:hAnsi="Times New Roman" w:cs="Times New Roman"/>
                <w:color w:val="000000"/>
                <w:sz w:val="16"/>
                <w:szCs w:val="16"/>
              </w:rPr>
            </w:pPr>
            <w:r w:rsidRPr="00796016">
              <w:rPr>
                <w:rFonts w:ascii="Times New Roman" w:hAnsi="Times New Roman" w:cs="Times New Roman"/>
                <w:color w:val="000000"/>
                <w:sz w:val="16"/>
                <w:szCs w:val="16"/>
              </w:rPr>
              <w:t>F-pRN12</w:t>
            </w:r>
            <w:r>
              <w:rPr>
                <w:rFonts w:ascii="Times New Roman" w:hAnsi="Times New Roman" w:cs="Times New Roman"/>
                <w:color w:val="000000"/>
                <w:sz w:val="16"/>
                <w:szCs w:val="16"/>
              </w:rPr>
              <w:t>insert</w:t>
            </w:r>
          </w:p>
        </w:tc>
        <w:tc>
          <w:tcPr>
            <w:tcW w:w="4558" w:type="dxa"/>
          </w:tcPr>
          <w:p w14:paraId="5D99BD63"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TTGCATGCCTGCAGGTCGACTCTA</w:t>
            </w:r>
          </w:p>
        </w:tc>
        <w:tc>
          <w:tcPr>
            <w:cnfStyle w:val="000010000000" w:firstRow="0" w:lastRow="0" w:firstColumn="0" w:lastColumn="0" w:oddVBand="1" w:evenVBand="0" w:oddHBand="0" w:evenHBand="0" w:firstRowFirstColumn="0" w:firstRowLastColumn="0" w:lastRowFirstColumn="0" w:lastRowLastColumn="0"/>
            <w:tcW w:w="1559" w:type="dxa"/>
          </w:tcPr>
          <w:p w14:paraId="6E036F6E" w14:textId="77777777" w:rsidR="00D70E9B" w:rsidRPr="00796016"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1FCEC303"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0DC8479A"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Pr>
                <w:rFonts w:ascii="Times New Roman" w:hAnsi="Times New Roman" w:cs="Times New Roman"/>
                <w:sz w:val="16"/>
                <w:szCs w:val="16"/>
              </w:rPr>
              <w:t>890</w:t>
            </w:r>
          </w:p>
        </w:tc>
        <w:tc>
          <w:tcPr>
            <w:cnfStyle w:val="000010000000" w:firstRow="0" w:lastRow="0" w:firstColumn="0" w:lastColumn="0" w:oddVBand="1" w:evenVBand="0" w:oddHBand="0" w:evenHBand="0" w:firstRowFirstColumn="0" w:firstRowLastColumn="0" w:lastRowFirstColumn="0" w:lastRowLastColumn="0"/>
            <w:tcW w:w="1687" w:type="dxa"/>
          </w:tcPr>
          <w:p w14:paraId="576F84DC"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R-pRN12insert</w:t>
            </w:r>
          </w:p>
        </w:tc>
        <w:tc>
          <w:tcPr>
            <w:tcW w:w="4558" w:type="dxa"/>
          </w:tcPr>
          <w:p w14:paraId="6C48C250"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TTATGCTTCCGGCTCGTATGTTGTGTGG</w:t>
            </w:r>
          </w:p>
        </w:tc>
        <w:tc>
          <w:tcPr>
            <w:cnfStyle w:val="000010000000" w:firstRow="0" w:lastRow="0" w:firstColumn="0" w:lastColumn="0" w:oddVBand="1" w:evenVBand="0" w:oddHBand="0" w:evenHBand="0" w:firstRowFirstColumn="0" w:firstRowLastColumn="0" w:lastRowFirstColumn="0" w:lastRowLastColumn="0"/>
            <w:tcW w:w="1559" w:type="dxa"/>
          </w:tcPr>
          <w:p w14:paraId="3E536176" w14:textId="77777777" w:rsidR="00D70E9B" w:rsidRPr="00796016"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509E8F66"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5A1C0715"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Pr>
                <w:rFonts w:ascii="Times New Roman" w:hAnsi="Times New Roman" w:cs="Times New Roman"/>
                <w:sz w:val="16"/>
                <w:szCs w:val="16"/>
              </w:rPr>
              <w:t>891</w:t>
            </w:r>
          </w:p>
        </w:tc>
        <w:tc>
          <w:tcPr>
            <w:cnfStyle w:val="000010000000" w:firstRow="0" w:lastRow="0" w:firstColumn="0" w:lastColumn="0" w:oddVBand="1" w:evenVBand="0" w:oddHBand="0" w:evenHBand="0" w:firstRowFirstColumn="0" w:firstRowLastColumn="0" w:lastRowFirstColumn="0" w:lastRowLastColumn="0"/>
            <w:tcW w:w="1687" w:type="dxa"/>
          </w:tcPr>
          <w:p w14:paraId="004884ED"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F-KpnI-Broccoli</w:t>
            </w:r>
          </w:p>
        </w:tc>
        <w:tc>
          <w:tcPr>
            <w:tcW w:w="4558" w:type="dxa"/>
          </w:tcPr>
          <w:p w14:paraId="792038D5" w14:textId="77777777" w:rsidR="00D70E9B" w:rsidRPr="00EE40D1"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GGG</w:t>
            </w:r>
            <w:r w:rsidRPr="00275FCD">
              <w:rPr>
                <w:rFonts w:ascii="Times New Roman" w:hAnsi="Times New Roman" w:cs="Times New Roman"/>
                <w:color w:val="000000"/>
                <w:sz w:val="16"/>
                <w:szCs w:val="16"/>
                <w:u w:val="single"/>
              </w:rPr>
              <w:t>GGTACC</w:t>
            </w:r>
            <w:r w:rsidRPr="00796016">
              <w:rPr>
                <w:rFonts w:ascii="Times New Roman" w:hAnsi="Times New Roman" w:cs="Times New Roman"/>
                <w:color w:val="000000"/>
                <w:sz w:val="16"/>
                <w:szCs w:val="16"/>
              </w:rPr>
              <w:t>GATATCTTGCCATGTGTATGTGGGAGACGG</w:t>
            </w:r>
          </w:p>
        </w:tc>
        <w:tc>
          <w:tcPr>
            <w:cnfStyle w:val="000010000000" w:firstRow="0" w:lastRow="0" w:firstColumn="0" w:lastColumn="0" w:oddVBand="1" w:evenVBand="0" w:oddHBand="0" w:evenHBand="0" w:firstRowFirstColumn="0" w:firstRowLastColumn="0" w:lastRowFirstColumn="0" w:lastRowLastColumn="0"/>
            <w:tcW w:w="1559" w:type="dxa"/>
          </w:tcPr>
          <w:p w14:paraId="6431412F" w14:textId="77777777" w:rsidR="00D70E9B" w:rsidRPr="00796016"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74BB87AF" w14:textId="77777777" w:rsidTr="00A74445">
        <w:trPr>
          <w:trHeight w:val="399"/>
        </w:trPr>
        <w:tc>
          <w:tcPr>
            <w:cnfStyle w:val="001000000000" w:firstRow="0" w:lastRow="0" w:firstColumn="1" w:lastColumn="0" w:oddVBand="0" w:evenVBand="0" w:oddHBand="0" w:evenHBand="0" w:firstRowFirstColumn="0" w:firstRowLastColumn="0" w:lastRowFirstColumn="0" w:lastRowLastColumn="0"/>
            <w:tcW w:w="985" w:type="dxa"/>
          </w:tcPr>
          <w:p w14:paraId="6DF02866" w14:textId="77777777" w:rsidR="00D70E9B" w:rsidRPr="00EE40D1" w:rsidRDefault="00D70E9B" w:rsidP="00A74445">
            <w:pPr>
              <w:spacing w:line="480" w:lineRule="auto"/>
              <w:ind w:right="-1"/>
              <w:rPr>
                <w:rFonts w:ascii="Times New Roman" w:hAnsi="Times New Roman" w:cs="Times New Roman"/>
                <w:b w:val="0"/>
                <w:bCs w:val="0"/>
                <w:caps w:val="0"/>
                <w:color w:val="000000"/>
                <w:sz w:val="16"/>
                <w:szCs w:val="16"/>
              </w:rPr>
            </w:pPr>
            <w:r>
              <w:rPr>
                <w:rFonts w:ascii="Times New Roman" w:hAnsi="Times New Roman" w:cs="Times New Roman"/>
                <w:sz w:val="16"/>
                <w:szCs w:val="16"/>
              </w:rPr>
              <w:t>892</w:t>
            </w:r>
          </w:p>
        </w:tc>
        <w:tc>
          <w:tcPr>
            <w:cnfStyle w:val="000010000000" w:firstRow="0" w:lastRow="0" w:firstColumn="0" w:lastColumn="0" w:oddVBand="1" w:evenVBand="0" w:oddHBand="0" w:evenHBand="0" w:firstRowFirstColumn="0" w:firstRowLastColumn="0" w:lastRowFirstColumn="0" w:lastRowLastColumn="0"/>
            <w:tcW w:w="1687" w:type="dxa"/>
          </w:tcPr>
          <w:p w14:paraId="314AC3EC"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R-EcoRI-Broccoli</w:t>
            </w:r>
          </w:p>
        </w:tc>
        <w:tc>
          <w:tcPr>
            <w:tcW w:w="4558" w:type="dxa"/>
          </w:tcPr>
          <w:p w14:paraId="1C4AF9BF"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GGG</w:t>
            </w:r>
            <w:r w:rsidRPr="00275FCD">
              <w:rPr>
                <w:rFonts w:ascii="Times New Roman" w:hAnsi="Times New Roman" w:cs="Times New Roman"/>
                <w:color w:val="000000"/>
                <w:sz w:val="16"/>
                <w:szCs w:val="16"/>
                <w:u w:val="single"/>
              </w:rPr>
              <w:t>GAATTC</w:t>
            </w:r>
            <w:r w:rsidRPr="00796016">
              <w:rPr>
                <w:rFonts w:ascii="Times New Roman" w:hAnsi="Times New Roman" w:cs="Times New Roman"/>
                <w:color w:val="000000"/>
                <w:sz w:val="16"/>
                <w:szCs w:val="16"/>
              </w:rPr>
              <w:t>CAAAAAACCCCTCAAGACCCGTTTAGA</w:t>
            </w:r>
          </w:p>
        </w:tc>
        <w:tc>
          <w:tcPr>
            <w:cnfStyle w:val="000010000000" w:firstRow="0" w:lastRow="0" w:firstColumn="0" w:lastColumn="0" w:oddVBand="1" w:evenVBand="0" w:oddHBand="0" w:evenHBand="0" w:firstRowFirstColumn="0" w:firstRowLastColumn="0" w:lastRowFirstColumn="0" w:lastRowLastColumn="0"/>
            <w:tcW w:w="1559" w:type="dxa"/>
          </w:tcPr>
          <w:p w14:paraId="035BD308" w14:textId="77777777" w:rsidR="00D70E9B" w:rsidRPr="00796016" w:rsidRDefault="00D70E9B" w:rsidP="00A74445">
            <w:pPr>
              <w:rPr>
                <w:rFonts w:ascii="Times New Roman" w:hAnsi="Times New Roman" w:cs="Times New Roman"/>
                <w:color w:val="000000"/>
                <w:sz w:val="16"/>
                <w:szCs w:val="16"/>
              </w:rPr>
            </w:pPr>
            <w:r w:rsidRPr="006578E9">
              <w:rPr>
                <w:rFonts w:ascii="Times New Roman" w:hAnsi="Times New Roman" w:cs="Times New Roman"/>
                <w:color w:val="000000"/>
                <w:sz w:val="16"/>
                <w:szCs w:val="16"/>
              </w:rPr>
              <w:t>This study</w:t>
            </w:r>
          </w:p>
        </w:tc>
      </w:tr>
      <w:tr w:rsidR="00D70E9B" w:rsidRPr="0085544B" w14:paraId="2DAA9440"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Pr>
          <w:p w14:paraId="5951441A"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szCs w:val="16"/>
              </w:rPr>
              <w:t>893</w:t>
            </w:r>
          </w:p>
        </w:tc>
        <w:tc>
          <w:tcPr>
            <w:cnfStyle w:val="000010000000" w:firstRow="0" w:lastRow="0" w:firstColumn="0" w:lastColumn="0" w:oddVBand="1" w:evenVBand="0" w:oddHBand="0" w:evenHBand="0" w:firstRowFirstColumn="0" w:firstRowLastColumn="0" w:lastRowFirstColumn="0" w:lastRowLastColumn="0"/>
            <w:tcW w:w="1687" w:type="dxa"/>
          </w:tcPr>
          <w:p w14:paraId="1DAE7948"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F-KpnI-ppgpp-apt</w:t>
            </w:r>
          </w:p>
        </w:tc>
        <w:tc>
          <w:tcPr>
            <w:tcW w:w="4558" w:type="dxa"/>
          </w:tcPr>
          <w:p w14:paraId="496F7ED8" w14:textId="77777777" w:rsidR="00D70E9B" w:rsidRPr="0085544B"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GGG</w:t>
            </w:r>
            <w:r w:rsidRPr="00275FCD">
              <w:rPr>
                <w:rFonts w:ascii="Times New Roman" w:hAnsi="Times New Roman" w:cs="Times New Roman"/>
                <w:color w:val="000000"/>
                <w:sz w:val="16"/>
                <w:szCs w:val="16"/>
                <w:u w:val="single"/>
              </w:rPr>
              <w:t>GGTACC</w:t>
            </w:r>
            <w:r w:rsidRPr="00796016">
              <w:rPr>
                <w:rFonts w:ascii="Times New Roman" w:hAnsi="Times New Roman" w:cs="Times New Roman"/>
                <w:color w:val="000000"/>
                <w:sz w:val="16"/>
                <w:szCs w:val="16"/>
              </w:rPr>
              <w:t>GATATCGGAAGTGTACCTTAGGGTTCCGG</w:t>
            </w:r>
          </w:p>
        </w:tc>
        <w:tc>
          <w:tcPr>
            <w:cnfStyle w:val="000010000000" w:firstRow="0" w:lastRow="0" w:firstColumn="0" w:lastColumn="0" w:oddVBand="1" w:evenVBand="0" w:oddHBand="0" w:evenHBand="0" w:firstRowFirstColumn="0" w:firstRowLastColumn="0" w:lastRowFirstColumn="0" w:lastRowLastColumn="0"/>
            <w:tcW w:w="1559" w:type="dxa"/>
          </w:tcPr>
          <w:p w14:paraId="55620D71" w14:textId="77777777" w:rsidR="00D70E9B" w:rsidRPr="00796016" w:rsidRDefault="00D70E9B" w:rsidP="00A74445">
            <w:pPr>
              <w:rPr>
                <w:rFonts w:ascii="Times New Roman" w:hAnsi="Times New Roman" w:cs="Times New Roman"/>
                <w:color w:val="000000"/>
                <w:sz w:val="16"/>
                <w:szCs w:val="16"/>
              </w:rPr>
            </w:pPr>
            <w:r w:rsidRPr="00AA081E">
              <w:rPr>
                <w:rFonts w:ascii="Times New Roman" w:hAnsi="Times New Roman" w:cs="Times New Roman"/>
                <w:color w:val="000000"/>
                <w:sz w:val="16"/>
                <w:szCs w:val="16"/>
              </w:rPr>
              <w:t>This study</w:t>
            </w:r>
          </w:p>
        </w:tc>
      </w:tr>
      <w:tr w:rsidR="00D70E9B" w:rsidRPr="0085544B" w14:paraId="52728D08" w14:textId="77777777" w:rsidTr="00A74445">
        <w:trPr>
          <w:trHeight w:val="410"/>
        </w:trPr>
        <w:tc>
          <w:tcPr>
            <w:cnfStyle w:val="001000000000" w:firstRow="0" w:lastRow="0" w:firstColumn="1" w:lastColumn="0" w:oddVBand="0" w:evenVBand="0" w:oddHBand="0" w:evenHBand="0" w:firstRowFirstColumn="0" w:firstRowLastColumn="0" w:lastRowFirstColumn="0" w:lastRowLastColumn="0"/>
            <w:tcW w:w="985" w:type="dxa"/>
          </w:tcPr>
          <w:p w14:paraId="040619D2" w14:textId="77777777" w:rsidR="00D70E9B" w:rsidRPr="0085544B" w:rsidRDefault="00D70E9B" w:rsidP="00A74445">
            <w:pPr>
              <w:spacing w:line="480" w:lineRule="auto"/>
              <w:ind w:right="-1"/>
              <w:rPr>
                <w:rFonts w:ascii="Times New Roman" w:hAnsi="Times New Roman" w:cs="Times New Roman"/>
                <w:sz w:val="16"/>
              </w:rPr>
            </w:pPr>
            <w:r>
              <w:rPr>
                <w:rFonts w:ascii="Times New Roman" w:hAnsi="Times New Roman" w:cs="Times New Roman"/>
                <w:sz w:val="16"/>
                <w:szCs w:val="16"/>
              </w:rPr>
              <w:t>894</w:t>
            </w:r>
          </w:p>
        </w:tc>
        <w:tc>
          <w:tcPr>
            <w:cnfStyle w:val="000010000000" w:firstRow="0" w:lastRow="0" w:firstColumn="0" w:lastColumn="0" w:oddVBand="1" w:evenVBand="0" w:oddHBand="0" w:evenHBand="0" w:firstRowFirstColumn="0" w:firstRowLastColumn="0" w:lastRowFirstColumn="0" w:lastRowLastColumn="0"/>
            <w:tcW w:w="1687" w:type="dxa"/>
          </w:tcPr>
          <w:p w14:paraId="79193419" w14:textId="77777777" w:rsidR="00D70E9B" w:rsidRPr="0085544B" w:rsidRDefault="00D70E9B" w:rsidP="00A74445">
            <w:pPr>
              <w:rPr>
                <w:rFonts w:ascii="Times New Roman" w:hAnsi="Times New Roman" w:cs="Times New Roman"/>
                <w:color w:val="000000"/>
                <w:sz w:val="16"/>
                <w:szCs w:val="16"/>
              </w:rPr>
            </w:pPr>
            <w:r>
              <w:rPr>
                <w:rFonts w:ascii="Times New Roman" w:hAnsi="Times New Roman" w:cs="Times New Roman"/>
                <w:color w:val="000000"/>
                <w:sz w:val="16"/>
                <w:szCs w:val="16"/>
              </w:rPr>
              <w:t>R-EcoRI-ppgpp-apt</w:t>
            </w:r>
          </w:p>
        </w:tc>
        <w:tc>
          <w:tcPr>
            <w:tcW w:w="4558" w:type="dxa"/>
          </w:tcPr>
          <w:p w14:paraId="56F0A6BB" w14:textId="77777777" w:rsidR="00D70E9B" w:rsidRPr="0085544B" w:rsidRDefault="00D70E9B" w:rsidP="00A744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796016">
              <w:rPr>
                <w:rFonts w:ascii="Times New Roman" w:hAnsi="Times New Roman" w:cs="Times New Roman"/>
                <w:color w:val="000000"/>
                <w:sz w:val="16"/>
                <w:szCs w:val="16"/>
              </w:rPr>
              <w:t>GGG</w:t>
            </w:r>
            <w:r w:rsidRPr="00275FCD">
              <w:rPr>
                <w:rFonts w:ascii="Times New Roman" w:hAnsi="Times New Roman" w:cs="Times New Roman"/>
                <w:color w:val="000000"/>
                <w:sz w:val="16"/>
                <w:szCs w:val="16"/>
                <w:u w:val="single"/>
              </w:rPr>
              <w:t>GAATTC</w:t>
            </w:r>
            <w:r w:rsidRPr="00796016">
              <w:rPr>
                <w:rFonts w:ascii="Times New Roman" w:hAnsi="Times New Roman" w:cs="Times New Roman"/>
                <w:color w:val="000000"/>
                <w:sz w:val="16"/>
                <w:szCs w:val="16"/>
              </w:rPr>
              <w:t>CCTAGGCAAAAAACCCCTCAAGACCCG</w:t>
            </w:r>
          </w:p>
        </w:tc>
        <w:tc>
          <w:tcPr>
            <w:cnfStyle w:val="000010000000" w:firstRow="0" w:lastRow="0" w:firstColumn="0" w:lastColumn="0" w:oddVBand="1" w:evenVBand="0" w:oddHBand="0" w:evenHBand="0" w:firstRowFirstColumn="0" w:firstRowLastColumn="0" w:lastRowFirstColumn="0" w:lastRowLastColumn="0"/>
            <w:tcW w:w="1559" w:type="dxa"/>
          </w:tcPr>
          <w:p w14:paraId="69393351" w14:textId="77777777" w:rsidR="00D70E9B" w:rsidRPr="00796016" w:rsidRDefault="00D70E9B" w:rsidP="00A74445">
            <w:pPr>
              <w:rPr>
                <w:rFonts w:ascii="Times New Roman" w:hAnsi="Times New Roman" w:cs="Times New Roman"/>
                <w:color w:val="000000"/>
                <w:sz w:val="16"/>
                <w:szCs w:val="16"/>
              </w:rPr>
            </w:pPr>
            <w:r w:rsidRPr="00AA081E">
              <w:rPr>
                <w:rFonts w:ascii="Times New Roman" w:hAnsi="Times New Roman" w:cs="Times New Roman"/>
                <w:color w:val="000000"/>
                <w:sz w:val="16"/>
                <w:szCs w:val="16"/>
              </w:rPr>
              <w:t>This study</w:t>
            </w:r>
          </w:p>
        </w:tc>
      </w:tr>
      <w:tr w:rsidR="00D70E9B" w:rsidRPr="0085544B" w14:paraId="0B76EC04" w14:textId="77777777" w:rsidTr="00A7444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85" w:type="dxa"/>
            <w:tcBorders>
              <w:bottom w:val="single" w:sz="4" w:space="0" w:color="auto"/>
            </w:tcBorders>
          </w:tcPr>
          <w:p w14:paraId="0F99473F" w14:textId="77777777" w:rsidR="00D70E9B" w:rsidRDefault="00D70E9B" w:rsidP="00A74445">
            <w:pPr>
              <w:spacing w:line="480" w:lineRule="auto"/>
              <w:ind w:right="-1"/>
              <w:rPr>
                <w:rFonts w:ascii="Times New Roman" w:hAnsi="Times New Roman" w:cs="Times New Roman"/>
                <w:sz w:val="16"/>
                <w:szCs w:val="16"/>
              </w:rPr>
            </w:pPr>
            <w:r>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1687" w:type="dxa"/>
            <w:tcBorders>
              <w:bottom w:val="single" w:sz="4" w:space="0" w:color="auto"/>
            </w:tcBorders>
          </w:tcPr>
          <w:p w14:paraId="064EFF7A" w14:textId="77777777" w:rsidR="00D70E9B" w:rsidRDefault="00D70E9B" w:rsidP="00A74445">
            <w:pPr>
              <w:rPr>
                <w:rFonts w:ascii="Times New Roman" w:hAnsi="Times New Roman" w:cs="Times New Roman"/>
                <w:color w:val="000000"/>
                <w:sz w:val="16"/>
                <w:szCs w:val="16"/>
              </w:rPr>
            </w:pPr>
            <w:r>
              <w:rPr>
                <w:rFonts w:ascii="Times New Roman" w:hAnsi="Times New Roman" w:cs="Times New Roman"/>
                <w:sz w:val="16"/>
                <w:szCs w:val="16"/>
              </w:rPr>
              <w:t>PU.1 morpholino</w:t>
            </w:r>
          </w:p>
        </w:tc>
        <w:tc>
          <w:tcPr>
            <w:tcW w:w="4558" w:type="dxa"/>
            <w:tcBorders>
              <w:bottom w:val="single" w:sz="4" w:space="0" w:color="auto"/>
            </w:tcBorders>
          </w:tcPr>
          <w:p w14:paraId="1FAB98A7" w14:textId="77777777" w:rsidR="00D70E9B" w:rsidRPr="00796016" w:rsidRDefault="00D70E9B" w:rsidP="00A744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AE45EA">
              <w:rPr>
                <w:rFonts w:ascii="Times New Roman" w:hAnsi="Times New Roman" w:cs="Times New Roman"/>
                <w:color w:val="000000"/>
                <w:sz w:val="16"/>
                <w:szCs w:val="16"/>
              </w:rPr>
              <w:t>GATATACTGATACTCCATTGGTGGT</w:t>
            </w:r>
          </w:p>
        </w:tc>
        <w:tc>
          <w:tcPr>
            <w:cnfStyle w:val="000010000000" w:firstRow="0" w:lastRow="0" w:firstColumn="0" w:lastColumn="0" w:oddVBand="1" w:evenVBand="0" w:oddHBand="0" w:evenHBand="0" w:firstRowFirstColumn="0" w:firstRowLastColumn="0" w:lastRowFirstColumn="0" w:lastRowLastColumn="0"/>
            <w:tcW w:w="1559" w:type="dxa"/>
            <w:tcBorders>
              <w:bottom w:val="single" w:sz="4" w:space="0" w:color="auto"/>
            </w:tcBorders>
          </w:tcPr>
          <w:p w14:paraId="150C1464" w14:textId="77777777" w:rsidR="00D70E9B" w:rsidRPr="00A71D82" w:rsidRDefault="00D70E9B" w:rsidP="00A74445">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fldChar w:fldCharType="begin"/>
            </w:r>
            <w:r>
              <w:rPr>
                <w:rFonts w:ascii="Times New Roman" w:hAnsi="Times New Roman" w:cs="Times New Roman"/>
                <w:color w:val="000000" w:themeColor="text1"/>
                <w:sz w:val="16"/>
                <w:szCs w:val="16"/>
              </w:rPr>
              <w:instrText xml:space="preserve"> ADDIN EN.CITE &lt;EndNote&gt;&lt;Cite&gt;&lt;Author&gt;Rhodes&lt;/Author&gt;&lt;Year&gt;2005&lt;/Year&gt;&lt;IDText&gt;Interplay of Pu.1 and gatal determines myelo-erythroid progenitor cell fate in zebrafish&lt;/IDText&gt;&lt;DisplayText&gt;(Rhodes&lt;style face="italic"&gt; et al.&lt;/style&gt;, 2005)&lt;/DisplayText&gt;&lt;record&gt;&lt;dates&gt;&lt;pub-dates&gt;&lt;date&gt;Jan&lt;/date&gt;&lt;/pub-dates&gt;&lt;year&gt;2005&lt;/year&gt;&lt;/dates&gt;&lt;urls&gt;&lt;related-urls&gt;&lt;url&gt;&amp;lt;Go to ISI&amp;gt;://WOS:000226325700013&lt;/url&gt;&lt;/related-urls&gt;&lt;/urls&gt;&lt;isbn&gt;1534-5807&lt;/isbn&gt;&lt;titles&gt;&lt;title&gt;Interplay of Pu.1 and gatal determines myelo-erythroid progenitor cell fate in zebrafish&lt;/title&gt;&lt;secondary-title&gt;Developmental Cell&lt;/secondary-title&gt;&lt;/titles&gt;&lt;pages&gt;97-108&lt;/pages&gt;&lt;number&gt;1&lt;/number&gt;&lt;contributors&gt;&lt;authors&gt;&lt;author&gt;Rhodes, J.&lt;/author&gt;&lt;author&gt;Hagen, A.&lt;/author&gt;&lt;author&gt;Hsu, K.&lt;/author&gt;&lt;author&gt;Deng, M.&lt;/author&gt;&lt;author&gt;Liu, T. X.&lt;/author&gt;&lt;author&gt;Look, A. T.&lt;/author&gt;&lt;author&gt;Kanki, J. P.&lt;/author&gt;&lt;/authors&gt;&lt;/contributors&gt;&lt;added-date format="utc"&gt;1678987024&lt;/added-date&gt;&lt;ref-type name="Journal Article"&gt;17&lt;/ref-type&gt;&lt;rec-number&gt;780&lt;/rec-number&gt;&lt;last-updated-date format="utc"&gt;1678987024&lt;/last-updated-date&gt;&lt;accession-num&gt;WOS:000226325700013&lt;/accession-num&gt;&lt;electronic-resource-num&gt;10.1016/j.devcel.2004.11.014&lt;/electronic-resource-num&gt;&lt;volume&gt;8&lt;/volume&gt;&lt;/record&gt;&lt;/Cite&gt;&lt;/EndNote&gt;</w:instrText>
            </w:r>
            <w:r>
              <w:rPr>
                <w:rFonts w:ascii="Times New Roman" w:hAnsi="Times New Roman" w:cs="Times New Roman"/>
                <w:color w:val="000000" w:themeColor="text1"/>
                <w:sz w:val="16"/>
                <w:szCs w:val="16"/>
              </w:rPr>
              <w:fldChar w:fldCharType="separate"/>
            </w:r>
            <w:r>
              <w:rPr>
                <w:rFonts w:ascii="Times New Roman" w:hAnsi="Times New Roman" w:cs="Times New Roman"/>
                <w:noProof/>
                <w:color w:val="000000" w:themeColor="text1"/>
                <w:sz w:val="16"/>
                <w:szCs w:val="16"/>
              </w:rPr>
              <w:t>(Rhodes</w:t>
            </w:r>
            <w:r w:rsidRPr="00A71D82">
              <w:rPr>
                <w:rFonts w:ascii="Times New Roman" w:hAnsi="Times New Roman" w:cs="Times New Roman"/>
                <w:i/>
                <w:noProof/>
                <w:color w:val="000000" w:themeColor="text1"/>
                <w:sz w:val="16"/>
                <w:szCs w:val="16"/>
              </w:rPr>
              <w:t xml:space="preserve"> et al.</w:t>
            </w:r>
            <w:r>
              <w:rPr>
                <w:rFonts w:ascii="Times New Roman" w:hAnsi="Times New Roman" w:cs="Times New Roman"/>
                <w:noProof/>
                <w:color w:val="000000" w:themeColor="text1"/>
                <w:sz w:val="16"/>
                <w:szCs w:val="16"/>
              </w:rPr>
              <w:t>, 2005)</w:t>
            </w:r>
            <w:r>
              <w:rPr>
                <w:rFonts w:ascii="Times New Roman" w:hAnsi="Times New Roman" w:cs="Times New Roman"/>
                <w:color w:val="000000" w:themeColor="text1"/>
                <w:sz w:val="16"/>
                <w:szCs w:val="16"/>
              </w:rPr>
              <w:fldChar w:fldCharType="end"/>
            </w:r>
          </w:p>
        </w:tc>
      </w:tr>
      <w:tr w:rsidR="00D70E9B" w:rsidRPr="0085544B" w14:paraId="48500AFD" w14:textId="77777777" w:rsidTr="00A74445">
        <w:trPr>
          <w:trHeight w:val="199"/>
        </w:trPr>
        <w:tc>
          <w:tcPr>
            <w:cnfStyle w:val="001000000000" w:firstRow="0" w:lastRow="0" w:firstColumn="1" w:lastColumn="0" w:oddVBand="0" w:evenVBand="0" w:oddHBand="0" w:evenHBand="0" w:firstRowFirstColumn="0" w:firstRowLastColumn="0" w:lastRowFirstColumn="0" w:lastRowLastColumn="0"/>
            <w:tcW w:w="8789" w:type="dxa"/>
            <w:gridSpan w:val="4"/>
            <w:tcBorders>
              <w:top w:val="single" w:sz="4" w:space="0" w:color="auto"/>
              <w:right w:val="none" w:sz="0" w:space="0" w:color="auto"/>
            </w:tcBorders>
          </w:tcPr>
          <w:p w14:paraId="6C4904F5" w14:textId="77777777" w:rsidR="00D70E9B" w:rsidRPr="0085544B" w:rsidRDefault="00D70E9B" w:rsidP="00A74445">
            <w:pPr>
              <w:rPr>
                <w:rFonts w:ascii="Times New Roman" w:hAnsi="Times New Roman" w:cs="Times New Roman"/>
                <w:color w:val="000000"/>
                <w:sz w:val="16"/>
                <w:szCs w:val="16"/>
              </w:rPr>
            </w:pPr>
            <w:r w:rsidRPr="0085544B">
              <w:rPr>
                <w:rFonts w:ascii="Times New Roman" w:hAnsi="Times New Roman" w:cs="Times New Roman"/>
                <w:color w:val="000000"/>
                <w:sz w:val="16"/>
                <w:szCs w:val="16"/>
              </w:rPr>
              <w:t>Restriction sites are underlined.</w:t>
            </w:r>
          </w:p>
        </w:tc>
      </w:tr>
    </w:tbl>
    <w:p w14:paraId="41C2599C" w14:textId="24EC2722" w:rsidR="00D70E9B" w:rsidRPr="00E315F1" w:rsidRDefault="00D70E9B" w:rsidP="00E315F1">
      <w:pPr>
        <w:pStyle w:val="Heading3"/>
      </w:pPr>
      <w:bookmarkStart w:id="76" w:name="_Toc142043593"/>
      <w:r w:rsidRPr="00E315F1">
        <w:t>2.</w:t>
      </w:r>
      <w:r w:rsidR="00435991" w:rsidRPr="00E315F1">
        <w:t>4</w:t>
      </w:r>
      <w:r w:rsidRPr="00E315F1">
        <w:t>.2. Isolation of plasmid DNA</w:t>
      </w:r>
      <w:bookmarkEnd w:id="76"/>
    </w:p>
    <w:bookmarkEnd w:id="74"/>
    <w:p w14:paraId="57F49D5F" w14:textId="77777777" w:rsidR="00D70E9B" w:rsidRDefault="00D70E9B" w:rsidP="00D70E9B">
      <w:pPr>
        <w:spacing w:line="360" w:lineRule="auto"/>
        <w:jc w:val="both"/>
        <w:rPr>
          <w:rFonts w:ascii="Times New Roman" w:hAnsi="Times New Roman" w:cs="Times New Roman"/>
        </w:rPr>
      </w:pPr>
    </w:p>
    <w:p w14:paraId="5E462E56" w14:textId="77777777" w:rsidR="00D70E9B" w:rsidRPr="0085544B" w:rsidRDefault="00D70E9B" w:rsidP="00D70E9B">
      <w:pPr>
        <w:spacing w:line="360" w:lineRule="auto"/>
        <w:jc w:val="both"/>
        <w:rPr>
          <w:rFonts w:ascii="Times New Roman" w:hAnsi="Times New Roman" w:cs="Times New Roman"/>
        </w:rPr>
      </w:pPr>
      <w:r w:rsidRPr="0085544B">
        <w:rPr>
          <w:rFonts w:ascii="Times New Roman" w:hAnsi="Times New Roman" w:cs="Times New Roman"/>
        </w:rPr>
        <w:t xml:space="preserve">Plasmid DNA was isolated from 5 ml of the appropriate </w:t>
      </w:r>
      <w:r w:rsidRPr="0085544B">
        <w:rPr>
          <w:rFonts w:ascii="Times New Roman" w:hAnsi="Times New Roman" w:cs="Times New Roman"/>
          <w:i/>
          <w:iCs/>
        </w:rPr>
        <w:t>E. coli</w:t>
      </w:r>
      <w:r w:rsidRPr="0085544B">
        <w:rPr>
          <w:rFonts w:ascii="Times New Roman" w:hAnsi="Times New Roman" w:cs="Times New Roman"/>
        </w:rPr>
        <w:t xml:space="preserve"> strain using the GeneJET Plasmid Miniprep Kit (ThermoFisher Scientific) as per manufacturer</w:t>
      </w:r>
      <w:r>
        <w:rPr>
          <w:rFonts w:ascii="Times New Roman" w:hAnsi="Times New Roman" w:cs="Times New Roman"/>
        </w:rPr>
        <w:t>’</w:t>
      </w:r>
      <w:r w:rsidRPr="0085544B">
        <w:rPr>
          <w:rFonts w:ascii="Times New Roman" w:hAnsi="Times New Roman" w:cs="Times New Roman"/>
        </w:rPr>
        <w:t xml:space="preserve">s guidelines. Samples were eluted with 50 μl autoclaved </w:t>
      </w:r>
      <w:r>
        <w:rPr>
          <w:rFonts w:ascii="Times New Roman" w:hAnsi="Times New Roman" w:cs="Times New Roman"/>
        </w:rPr>
        <w:t xml:space="preserve">distilled </w:t>
      </w:r>
      <w:r w:rsidRPr="0085544B">
        <w:rPr>
          <w:rFonts w:ascii="Times New Roman" w:hAnsi="Times New Roman" w:cs="Times New Roman"/>
        </w:rPr>
        <w:t>water and were stored at -20˚C.</w:t>
      </w:r>
    </w:p>
    <w:p w14:paraId="456C7781" w14:textId="05CC9FBE" w:rsidR="00D70E9B" w:rsidRDefault="00D70E9B" w:rsidP="00E315F1">
      <w:pPr>
        <w:pStyle w:val="Heading3"/>
      </w:pPr>
      <w:bookmarkStart w:id="77" w:name="_Toc142043594"/>
      <w:bookmarkStart w:id="78" w:name="_Hlk38208860"/>
      <w:r w:rsidRPr="00D4711A">
        <w:t>2.</w:t>
      </w:r>
      <w:r w:rsidR="00435991">
        <w:t>4</w:t>
      </w:r>
      <w:r w:rsidRPr="00D4711A">
        <w:t>.3. Purification of digested DNA</w:t>
      </w:r>
      <w:bookmarkEnd w:id="77"/>
      <w:r w:rsidRPr="00D4711A">
        <w:t xml:space="preserve"> </w:t>
      </w:r>
    </w:p>
    <w:p w14:paraId="484D4BC3" w14:textId="77777777" w:rsidR="00E315F1" w:rsidRPr="00E315F1" w:rsidRDefault="00E315F1" w:rsidP="00E315F1"/>
    <w:bookmarkEnd w:id="78"/>
    <w:p w14:paraId="6D3156AB" w14:textId="77777777" w:rsidR="00D70E9B" w:rsidRPr="0085544B" w:rsidRDefault="00D70E9B" w:rsidP="00D70E9B">
      <w:pPr>
        <w:spacing w:line="360" w:lineRule="auto"/>
        <w:jc w:val="both"/>
        <w:rPr>
          <w:rFonts w:ascii="Times New Roman" w:hAnsi="Times New Roman" w:cs="Times New Roman"/>
        </w:rPr>
      </w:pPr>
      <w:r w:rsidRPr="0085544B">
        <w:rPr>
          <w:rFonts w:ascii="Times New Roman" w:hAnsi="Times New Roman" w:cs="Times New Roman"/>
        </w:rPr>
        <w:t>Digested DNA was purified from using the GeneJET Gel Extraction Kit (ThermoFisher Scientific) as per manufacturer</w:t>
      </w:r>
      <w:r>
        <w:rPr>
          <w:rFonts w:ascii="Times New Roman" w:hAnsi="Times New Roman" w:cs="Times New Roman"/>
        </w:rPr>
        <w:t>’</w:t>
      </w:r>
      <w:r w:rsidRPr="0085544B">
        <w:rPr>
          <w:rFonts w:ascii="Times New Roman" w:hAnsi="Times New Roman" w:cs="Times New Roman"/>
        </w:rPr>
        <w:t>s guidelines. Samples were eluted with 50 μl autoclaved</w:t>
      </w:r>
      <w:r>
        <w:rPr>
          <w:rFonts w:ascii="Times New Roman" w:hAnsi="Times New Roman" w:cs="Times New Roman"/>
        </w:rPr>
        <w:t xml:space="preserve"> distilled </w:t>
      </w:r>
      <w:r w:rsidRPr="0085544B">
        <w:rPr>
          <w:rFonts w:ascii="Times New Roman" w:hAnsi="Times New Roman" w:cs="Times New Roman"/>
        </w:rPr>
        <w:t xml:space="preserve">water and were stored at </w:t>
      </w:r>
      <w:r>
        <w:rPr>
          <w:rFonts w:ascii="Times New Roman" w:hAnsi="Times New Roman" w:cs="Times New Roman"/>
        </w:rPr>
        <w:t>-</w:t>
      </w:r>
      <w:r w:rsidRPr="0085544B">
        <w:rPr>
          <w:rFonts w:ascii="Times New Roman" w:hAnsi="Times New Roman" w:cs="Times New Roman"/>
        </w:rPr>
        <w:t>20˚C.</w:t>
      </w:r>
    </w:p>
    <w:p w14:paraId="18D6D0EA" w14:textId="53476E97" w:rsidR="00D70E9B" w:rsidRPr="00E315F1" w:rsidRDefault="00D70E9B" w:rsidP="00E315F1">
      <w:pPr>
        <w:pStyle w:val="Heading3"/>
      </w:pPr>
      <w:bookmarkStart w:id="79" w:name="_Toc142043595"/>
      <w:bookmarkStart w:id="80" w:name="_Hlk38208866"/>
      <w:r w:rsidRPr="00E315F1">
        <w:t>2.</w:t>
      </w:r>
      <w:r w:rsidR="00435991" w:rsidRPr="00E315F1">
        <w:t>4</w:t>
      </w:r>
      <w:r w:rsidRPr="00E315F1">
        <w:t>.4. Isolation of genomic DNA</w:t>
      </w:r>
      <w:bookmarkEnd w:id="79"/>
    </w:p>
    <w:bookmarkEnd w:id="80"/>
    <w:p w14:paraId="04195EFA" w14:textId="77777777" w:rsidR="00D70E9B" w:rsidRDefault="00D70E9B" w:rsidP="00D70E9B">
      <w:pPr>
        <w:spacing w:line="360" w:lineRule="auto"/>
        <w:jc w:val="both"/>
        <w:rPr>
          <w:rFonts w:ascii="Times New Roman" w:hAnsi="Times New Roman" w:cs="Times New Roman"/>
        </w:rPr>
      </w:pPr>
    </w:p>
    <w:p w14:paraId="5C5D589D" w14:textId="77777777" w:rsidR="00D70E9B" w:rsidRPr="0085544B" w:rsidRDefault="00D70E9B" w:rsidP="00D70E9B">
      <w:pPr>
        <w:spacing w:line="360" w:lineRule="auto"/>
        <w:jc w:val="both"/>
        <w:rPr>
          <w:rFonts w:ascii="Times New Roman" w:hAnsi="Times New Roman" w:cs="Times New Roman"/>
          <w:color w:val="000000" w:themeColor="text1"/>
        </w:rPr>
      </w:pPr>
      <w:r w:rsidRPr="0085544B">
        <w:rPr>
          <w:rFonts w:ascii="Times New Roman" w:hAnsi="Times New Roman" w:cs="Times New Roman"/>
        </w:rPr>
        <w:t xml:space="preserve">The pellet from a </w:t>
      </w:r>
      <w:r>
        <w:rPr>
          <w:rFonts w:ascii="Times New Roman" w:hAnsi="Times New Roman" w:cs="Times New Roman"/>
        </w:rPr>
        <w:t>3</w:t>
      </w:r>
      <w:r w:rsidRPr="0085544B">
        <w:rPr>
          <w:rFonts w:ascii="Times New Roman" w:hAnsi="Times New Roman" w:cs="Times New Roman"/>
        </w:rPr>
        <w:t xml:space="preserve"> ml </w:t>
      </w:r>
      <w:r w:rsidRPr="0085544B">
        <w:rPr>
          <w:rFonts w:ascii="Times New Roman" w:hAnsi="Times New Roman" w:cs="Times New Roman"/>
          <w:i/>
          <w:iCs/>
        </w:rPr>
        <w:t>S. aureus</w:t>
      </w:r>
      <w:r w:rsidRPr="0085544B">
        <w:rPr>
          <w:rFonts w:ascii="Times New Roman" w:hAnsi="Times New Roman" w:cs="Times New Roman"/>
        </w:rPr>
        <w:t xml:space="preserve"> culture was resuspended in 100 μl TSM (50 mM Tris pH 7.5, 0.5 M sucrose, 10 mM MgCl</w:t>
      </w:r>
      <w:r w:rsidRPr="0085544B">
        <w:rPr>
          <w:rFonts w:ascii="Times New Roman" w:hAnsi="Times New Roman" w:cs="Times New Roman"/>
          <w:vertAlign w:val="subscript"/>
        </w:rPr>
        <w:t>2</w:t>
      </w:r>
      <w:r w:rsidRPr="0085544B">
        <w:rPr>
          <w:rFonts w:ascii="Times New Roman" w:hAnsi="Times New Roman" w:cs="Times New Roman"/>
        </w:rPr>
        <w:t>) and lysed for 30 minutes at 37˚C with 5 μg of lysostaphin. 600 μl of Nuclei Lysis Solution (Promega) was added to the lysate and this was incubated at 80˚C for 10 minutes where samples were inverted after 5 minutes. 1.7 μg of RNase solutio</w:t>
      </w:r>
      <w:r>
        <w:rPr>
          <w:rFonts w:ascii="Times New Roman" w:hAnsi="Times New Roman" w:cs="Times New Roman"/>
        </w:rPr>
        <w:t xml:space="preserve">n (Sigma) </w:t>
      </w:r>
      <w:r w:rsidRPr="0085544B">
        <w:rPr>
          <w:rFonts w:ascii="Times New Roman" w:hAnsi="Times New Roman" w:cs="Times New Roman"/>
          <w:color w:val="000000" w:themeColor="text1"/>
        </w:rPr>
        <w:t xml:space="preserve">was added and this was further incubated at room temperature for 30 minutes. Cellular protein was precipitated using 200 </w:t>
      </w:r>
      <w:r w:rsidRPr="0085544B">
        <w:rPr>
          <w:rFonts w:ascii="Times New Roman" w:hAnsi="Times New Roman" w:cs="Times New Roman"/>
        </w:rPr>
        <w:t>μl</w:t>
      </w:r>
      <w:r w:rsidRPr="0085544B">
        <w:rPr>
          <w:rFonts w:ascii="Times New Roman" w:hAnsi="Times New Roman" w:cs="Times New Roman"/>
          <w:color w:val="000000" w:themeColor="text1"/>
        </w:rPr>
        <w:t xml:space="preserve"> Protein Precipitation Solution (Promega). After 5</w:t>
      </w:r>
      <w:r>
        <w:rPr>
          <w:rFonts w:ascii="Times New Roman" w:hAnsi="Times New Roman" w:cs="Times New Roman"/>
          <w:color w:val="000000" w:themeColor="text1"/>
        </w:rPr>
        <w:t>-</w:t>
      </w:r>
      <w:r w:rsidRPr="0085544B">
        <w:rPr>
          <w:rFonts w:ascii="Times New Roman" w:hAnsi="Times New Roman" w:cs="Times New Roman"/>
          <w:color w:val="000000" w:themeColor="text1"/>
        </w:rPr>
        <w:t xml:space="preserve">minute incubation on ice, samples were pelleted and 600 </w:t>
      </w:r>
      <w:r w:rsidRPr="0085544B">
        <w:rPr>
          <w:rFonts w:ascii="Times New Roman" w:hAnsi="Times New Roman" w:cs="Times New Roman"/>
        </w:rPr>
        <w:t>μl of isopropano</w:t>
      </w:r>
      <w:r>
        <w:rPr>
          <w:rFonts w:ascii="Times New Roman" w:hAnsi="Times New Roman" w:cs="Times New Roman"/>
        </w:rPr>
        <w:t xml:space="preserve">l </w:t>
      </w:r>
      <w:r w:rsidRPr="0085544B">
        <w:rPr>
          <w:rFonts w:ascii="Times New Roman" w:hAnsi="Times New Roman" w:cs="Times New Roman"/>
        </w:rPr>
        <w:t>was added to the supernatant</w:t>
      </w:r>
      <w:r>
        <w:rPr>
          <w:rFonts w:ascii="Times New Roman" w:hAnsi="Times New Roman" w:cs="Times New Roman"/>
        </w:rPr>
        <w:t xml:space="preserve"> to precipitate DNA</w:t>
      </w:r>
      <w:r w:rsidRPr="0085544B">
        <w:rPr>
          <w:rFonts w:ascii="Times New Roman" w:hAnsi="Times New Roman" w:cs="Times New Roman"/>
        </w:rPr>
        <w:t xml:space="preserve">. The sample was then washed with 600 μl ethanol and the DNA pellet was allowed to dry. DNA was rehydrated using 40 μl autoclaved </w:t>
      </w:r>
      <w:r>
        <w:rPr>
          <w:rFonts w:ascii="Times New Roman" w:hAnsi="Times New Roman" w:cs="Times New Roman"/>
        </w:rPr>
        <w:t xml:space="preserve">distilled </w:t>
      </w:r>
      <w:r w:rsidRPr="0085544B">
        <w:rPr>
          <w:rFonts w:ascii="Times New Roman" w:hAnsi="Times New Roman" w:cs="Times New Roman"/>
        </w:rPr>
        <w:t>water. Samples were stored at -20˚C.</w:t>
      </w:r>
    </w:p>
    <w:p w14:paraId="041D56EE" w14:textId="02F0A8F7" w:rsidR="00D70E9B" w:rsidRPr="00D4711A" w:rsidRDefault="00D70E9B" w:rsidP="00D70E9B">
      <w:pPr>
        <w:pStyle w:val="Heading3"/>
      </w:pPr>
      <w:bookmarkStart w:id="81" w:name="_Toc142043596"/>
      <w:bookmarkStart w:id="82" w:name="_Hlk38208870"/>
      <w:r w:rsidRPr="00D4711A">
        <w:t>2.</w:t>
      </w:r>
      <w:r w:rsidR="00E315F1">
        <w:t>4</w:t>
      </w:r>
      <w:r w:rsidRPr="00D4711A">
        <w:t>.</w:t>
      </w:r>
      <w:r w:rsidR="00E315F1">
        <w:t>5</w:t>
      </w:r>
      <w:r w:rsidRPr="00D4711A">
        <w:t>. Digestion of DNA with restriction enzymes</w:t>
      </w:r>
      <w:bookmarkEnd w:id="81"/>
    </w:p>
    <w:bookmarkEnd w:id="82"/>
    <w:p w14:paraId="749C9E68" w14:textId="77777777" w:rsidR="00D70E9B" w:rsidRDefault="00D70E9B" w:rsidP="00D70E9B">
      <w:pPr>
        <w:spacing w:line="360" w:lineRule="auto"/>
        <w:jc w:val="both"/>
        <w:rPr>
          <w:rFonts w:ascii="Times New Roman" w:hAnsi="Times New Roman" w:cs="Times New Roman"/>
        </w:rPr>
      </w:pPr>
    </w:p>
    <w:p w14:paraId="3775F398" w14:textId="77777777" w:rsidR="00D70E9B" w:rsidRPr="0085544B" w:rsidRDefault="00D70E9B" w:rsidP="00D70E9B">
      <w:pPr>
        <w:spacing w:line="360" w:lineRule="auto"/>
        <w:jc w:val="both"/>
        <w:rPr>
          <w:rFonts w:ascii="Times New Roman" w:hAnsi="Times New Roman" w:cs="Times New Roman"/>
        </w:rPr>
      </w:pPr>
      <w:r w:rsidRPr="0085544B">
        <w:rPr>
          <w:rFonts w:ascii="Times New Roman" w:hAnsi="Times New Roman" w:cs="Times New Roman"/>
        </w:rPr>
        <w:t xml:space="preserve">Restriction digestions were set up as follows. DNA was combined with </w:t>
      </w:r>
      <w:r>
        <w:rPr>
          <w:rFonts w:ascii="Times New Roman" w:hAnsi="Times New Roman" w:cs="Times New Roman"/>
        </w:rPr>
        <w:t>between 2-20 U</w:t>
      </w:r>
      <w:r w:rsidRPr="0085544B">
        <w:rPr>
          <w:rFonts w:ascii="Times New Roman" w:hAnsi="Times New Roman" w:cs="Times New Roman"/>
        </w:rPr>
        <w:t xml:space="preserve"> restriction enzyme (NEB), 5 μl of 10X CutSmart Buffer (</w:t>
      </w:r>
      <w:r>
        <w:rPr>
          <w:rFonts w:ascii="Times New Roman" w:hAnsi="Times New Roman" w:cs="Times New Roman"/>
        </w:rPr>
        <w:t>NEB</w:t>
      </w:r>
      <w:r w:rsidRPr="0085544B">
        <w:rPr>
          <w:rFonts w:ascii="Times New Roman" w:hAnsi="Times New Roman" w:cs="Times New Roman"/>
        </w:rPr>
        <w:t>) and was made up to 50 μl with autoclaved</w:t>
      </w:r>
      <w:r>
        <w:rPr>
          <w:rFonts w:ascii="Times New Roman" w:hAnsi="Times New Roman" w:cs="Times New Roman"/>
        </w:rPr>
        <w:t xml:space="preserve"> distilled</w:t>
      </w:r>
      <w:r w:rsidRPr="0085544B">
        <w:rPr>
          <w:rFonts w:ascii="Times New Roman" w:hAnsi="Times New Roman" w:cs="Times New Roman"/>
        </w:rPr>
        <w:t xml:space="preserve"> water. Reactions were incubated at 37˚C for a minimum of 4 hours.</w:t>
      </w:r>
    </w:p>
    <w:p w14:paraId="430ED2C7" w14:textId="4175389E" w:rsidR="00D70E9B" w:rsidRPr="00D4711A" w:rsidRDefault="00D70E9B" w:rsidP="00D70E9B">
      <w:pPr>
        <w:pStyle w:val="Heading3"/>
      </w:pPr>
      <w:bookmarkStart w:id="83" w:name="_Toc142043597"/>
      <w:bookmarkStart w:id="84" w:name="_Hlk38208874"/>
      <w:r w:rsidRPr="00D4711A">
        <w:t>2.</w:t>
      </w:r>
      <w:r w:rsidR="00E315F1">
        <w:t>4</w:t>
      </w:r>
      <w:r w:rsidRPr="00D4711A">
        <w:t>.6. DNA fragment ligation</w:t>
      </w:r>
      <w:bookmarkEnd w:id="83"/>
    </w:p>
    <w:bookmarkEnd w:id="84"/>
    <w:p w14:paraId="2AB8FDDA" w14:textId="77777777" w:rsidR="00D70E9B" w:rsidRDefault="00D70E9B" w:rsidP="00D70E9B">
      <w:pPr>
        <w:spacing w:line="360" w:lineRule="auto"/>
        <w:jc w:val="both"/>
        <w:rPr>
          <w:rFonts w:ascii="Times New Roman" w:hAnsi="Times New Roman" w:cs="Times New Roman"/>
        </w:rPr>
      </w:pPr>
    </w:p>
    <w:p w14:paraId="15EF5AB5" w14:textId="2AB85299" w:rsidR="00D70E9B" w:rsidRDefault="00D70E9B" w:rsidP="00D70E9B">
      <w:pPr>
        <w:spacing w:line="360" w:lineRule="auto"/>
        <w:jc w:val="both"/>
        <w:rPr>
          <w:rFonts w:ascii="Times New Roman" w:hAnsi="Times New Roman" w:cs="Times New Roman"/>
        </w:rPr>
      </w:pPr>
      <w:r w:rsidRPr="0085544B">
        <w:rPr>
          <w:rFonts w:ascii="Times New Roman" w:hAnsi="Times New Roman" w:cs="Times New Roman"/>
        </w:rPr>
        <w:t>Target inserts and vectors were digested with restriction enzymes AvrII</w:t>
      </w:r>
      <w:r>
        <w:rPr>
          <w:rFonts w:ascii="Times New Roman" w:hAnsi="Times New Roman" w:cs="Times New Roman"/>
        </w:rPr>
        <w:t xml:space="preserve"> (2-20 U)</w:t>
      </w:r>
      <w:r w:rsidRPr="0085544B">
        <w:rPr>
          <w:rFonts w:ascii="Times New Roman" w:hAnsi="Times New Roman" w:cs="Times New Roman"/>
        </w:rPr>
        <w:t xml:space="preserve"> and SacII </w:t>
      </w:r>
      <w:r>
        <w:rPr>
          <w:rFonts w:ascii="Times New Roman" w:hAnsi="Times New Roman" w:cs="Times New Roman"/>
        </w:rPr>
        <w:t xml:space="preserve">(2-20 U) </w:t>
      </w:r>
      <w:r w:rsidRPr="0085544B">
        <w:rPr>
          <w:rFonts w:ascii="Times New Roman" w:hAnsi="Times New Roman" w:cs="Times New Roman"/>
        </w:rPr>
        <w:t>(NEB) and subsequently purified. Ligation reactions were set up resulting in a 3</w:t>
      </w:r>
      <w:r w:rsidR="005C546F">
        <w:rPr>
          <w:rFonts w:ascii="Times New Roman" w:hAnsi="Times New Roman" w:cs="Times New Roman"/>
        </w:rPr>
        <w:t>:</w:t>
      </w:r>
      <w:r w:rsidRPr="0085544B">
        <w:rPr>
          <w:rFonts w:ascii="Times New Roman" w:hAnsi="Times New Roman" w:cs="Times New Roman"/>
        </w:rPr>
        <w:t>1 insert</w:t>
      </w:r>
      <w:r w:rsidR="005C546F">
        <w:rPr>
          <w:rFonts w:ascii="Times New Roman" w:hAnsi="Times New Roman" w:cs="Times New Roman"/>
        </w:rPr>
        <w:t>:</w:t>
      </w:r>
      <w:r w:rsidRPr="0085544B">
        <w:rPr>
          <w:rFonts w:ascii="Times New Roman" w:hAnsi="Times New Roman" w:cs="Times New Roman"/>
        </w:rPr>
        <w:t xml:space="preserve"> vector ratio. In a volume of 20 μl, inserts and vectors were incubated with 2 μl 10X Ligase Buffer </w:t>
      </w:r>
      <w:r w:rsidRPr="00111E38">
        <w:rPr>
          <w:rFonts w:ascii="Times New Roman" w:hAnsi="Times New Roman" w:cs="Times New Roman"/>
        </w:rPr>
        <w:t>(NEB)</w:t>
      </w:r>
      <w:r w:rsidRPr="0085544B">
        <w:rPr>
          <w:rFonts w:ascii="Times New Roman" w:hAnsi="Times New Roman" w:cs="Times New Roman"/>
          <w:color w:val="000000" w:themeColor="text1"/>
        </w:rPr>
        <w:t>, T4 DNA Ligase</w:t>
      </w:r>
      <w:r>
        <w:rPr>
          <w:rFonts w:ascii="Times New Roman" w:hAnsi="Times New Roman" w:cs="Times New Roman"/>
          <w:color w:val="000000" w:themeColor="text1"/>
        </w:rPr>
        <w:t xml:space="preserve"> (400 U)</w:t>
      </w:r>
      <w:r w:rsidRPr="0085544B">
        <w:rPr>
          <w:rFonts w:ascii="Times New Roman" w:hAnsi="Times New Roman" w:cs="Times New Roman"/>
          <w:color w:val="000000" w:themeColor="text1"/>
        </w:rPr>
        <w:t xml:space="preserve"> and autoclaved</w:t>
      </w:r>
      <w:r>
        <w:rPr>
          <w:rFonts w:ascii="Times New Roman" w:hAnsi="Times New Roman" w:cs="Times New Roman"/>
          <w:color w:val="000000" w:themeColor="text1"/>
        </w:rPr>
        <w:t xml:space="preserve"> distilled</w:t>
      </w:r>
      <w:r w:rsidRPr="0085544B">
        <w:rPr>
          <w:rFonts w:ascii="Times New Roman" w:hAnsi="Times New Roman" w:cs="Times New Roman"/>
          <w:color w:val="000000" w:themeColor="text1"/>
        </w:rPr>
        <w:t xml:space="preserve"> water. Reactions were incubated at room temperature overnight and reactions were heat-inactivated at 65</w:t>
      </w:r>
      <w:r w:rsidRPr="0085544B">
        <w:rPr>
          <w:rFonts w:ascii="Times New Roman" w:hAnsi="Times New Roman" w:cs="Times New Roman"/>
        </w:rPr>
        <w:t xml:space="preserve">˚C for 20 minutes. </w:t>
      </w:r>
    </w:p>
    <w:p w14:paraId="1A77824F" w14:textId="1B52D27F" w:rsidR="00D70E9B" w:rsidRDefault="00D70E9B" w:rsidP="00D70E9B">
      <w:pPr>
        <w:pStyle w:val="Heading3"/>
      </w:pPr>
      <w:bookmarkStart w:id="85" w:name="_Toc142043598"/>
      <w:r>
        <w:t>2.</w:t>
      </w:r>
      <w:r w:rsidR="00E315F1">
        <w:t>4</w:t>
      </w:r>
      <w:r>
        <w:t>.7. Blunting of linearised plasmids</w:t>
      </w:r>
      <w:bookmarkEnd w:id="85"/>
    </w:p>
    <w:p w14:paraId="75CEDF25" w14:textId="77777777" w:rsidR="00D70E9B" w:rsidRDefault="00D70E9B" w:rsidP="00D70E9B">
      <w:pPr>
        <w:spacing w:line="360" w:lineRule="auto"/>
        <w:jc w:val="both"/>
        <w:rPr>
          <w:rFonts w:ascii="Times New Roman" w:hAnsi="Times New Roman" w:cs="Times New Roman"/>
        </w:rPr>
      </w:pPr>
    </w:p>
    <w:p w14:paraId="1C539577" w14:textId="1927ACA3" w:rsidR="00D70E9B" w:rsidRDefault="00D70E9B" w:rsidP="00D70E9B">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For the multicopy riboswitch-based molecular biosensor, the pRN12 multicopy plasmid that was utilised contained the mAmetrine fluorophore that needed to be removed by restriction digestion. Linearised plasmids </w:t>
      </w:r>
      <w:r w:rsidR="0096455D">
        <w:rPr>
          <w:rFonts w:ascii="Times New Roman" w:hAnsi="Times New Roman" w:cs="Times New Roman"/>
          <w:color w:val="000000" w:themeColor="text1"/>
        </w:rPr>
        <w:t>were then</w:t>
      </w:r>
      <w:r>
        <w:rPr>
          <w:rFonts w:ascii="Times New Roman" w:hAnsi="Times New Roman" w:cs="Times New Roman"/>
          <w:color w:val="000000" w:themeColor="text1"/>
        </w:rPr>
        <w:t xml:space="preserve"> blunted before ligation for the construction of a negative control. To do this, the NEB </w:t>
      </w:r>
      <w:r w:rsidRPr="003843ED">
        <w:rPr>
          <w:rFonts w:ascii="Times New Roman" w:hAnsi="Times New Roman" w:cs="Times New Roman"/>
          <w:color w:val="000000" w:themeColor="text1"/>
        </w:rPr>
        <w:t>Quick Blunting™ Kit</w:t>
      </w:r>
      <w:r>
        <w:rPr>
          <w:rFonts w:ascii="Times New Roman" w:hAnsi="Times New Roman" w:cs="Times New Roman"/>
          <w:color w:val="000000" w:themeColor="text1"/>
        </w:rPr>
        <w:t xml:space="preserve"> was used and the reaction was set up as follows; restriction digested pRN12 plasmid </w:t>
      </w:r>
      <w:r w:rsidRPr="0085544B">
        <w:rPr>
          <w:rFonts w:ascii="Times New Roman" w:hAnsi="Times New Roman" w:cs="Times New Roman"/>
        </w:rPr>
        <w:t xml:space="preserve">DNA was combined with 1 μl </w:t>
      </w:r>
      <w:r>
        <w:rPr>
          <w:rFonts w:ascii="Times New Roman" w:hAnsi="Times New Roman" w:cs="Times New Roman"/>
        </w:rPr>
        <w:t>Quick Blunt enzyme</w:t>
      </w:r>
      <w:r w:rsidRPr="0085544B">
        <w:rPr>
          <w:rFonts w:ascii="Times New Roman" w:hAnsi="Times New Roman" w:cs="Times New Roman"/>
        </w:rPr>
        <w:t xml:space="preserve">, </w:t>
      </w:r>
      <w:r>
        <w:rPr>
          <w:rFonts w:ascii="Times New Roman" w:hAnsi="Times New Roman" w:cs="Times New Roman"/>
        </w:rPr>
        <w:t>2.</w:t>
      </w:r>
      <w:r w:rsidRPr="0085544B">
        <w:rPr>
          <w:rFonts w:ascii="Times New Roman" w:hAnsi="Times New Roman" w:cs="Times New Roman"/>
        </w:rPr>
        <w:t xml:space="preserve">5 μl of 10X </w:t>
      </w:r>
      <w:r>
        <w:rPr>
          <w:rFonts w:ascii="Times New Roman" w:hAnsi="Times New Roman" w:cs="Times New Roman"/>
        </w:rPr>
        <w:t>Quick Blunt</w:t>
      </w:r>
      <w:r w:rsidRPr="0085544B">
        <w:rPr>
          <w:rFonts w:ascii="Times New Roman" w:hAnsi="Times New Roman" w:cs="Times New Roman"/>
        </w:rPr>
        <w:t xml:space="preserve"> Buffer and</w:t>
      </w:r>
      <w:r>
        <w:rPr>
          <w:rFonts w:ascii="Times New Roman" w:hAnsi="Times New Roman" w:cs="Times New Roman"/>
        </w:rPr>
        <w:t xml:space="preserve"> dNTPs (final concentration 100 </w:t>
      </w:r>
      <w:r w:rsidRPr="0085544B">
        <w:rPr>
          <w:rFonts w:ascii="Times New Roman" w:hAnsi="Times New Roman" w:cs="Times New Roman"/>
        </w:rPr>
        <w:t>μ</w:t>
      </w:r>
      <w:r>
        <w:rPr>
          <w:rFonts w:ascii="Times New Roman" w:hAnsi="Times New Roman" w:cs="Times New Roman"/>
        </w:rPr>
        <w:t>M) and</w:t>
      </w:r>
      <w:r w:rsidRPr="0085544B">
        <w:rPr>
          <w:rFonts w:ascii="Times New Roman" w:hAnsi="Times New Roman" w:cs="Times New Roman"/>
        </w:rPr>
        <w:t xml:space="preserve"> was made up to </w:t>
      </w:r>
      <w:r>
        <w:rPr>
          <w:rFonts w:ascii="Times New Roman" w:hAnsi="Times New Roman" w:cs="Times New Roman"/>
        </w:rPr>
        <w:t>25</w:t>
      </w:r>
      <w:r w:rsidRPr="0085544B">
        <w:rPr>
          <w:rFonts w:ascii="Times New Roman" w:hAnsi="Times New Roman" w:cs="Times New Roman"/>
        </w:rPr>
        <w:t xml:space="preserve"> μl with autoclaved</w:t>
      </w:r>
      <w:r>
        <w:rPr>
          <w:rFonts w:ascii="Times New Roman" w:hAnsi="Times New Roman" w:cs="Times New Roman"/>
        </w:rPr>
        <w:t xml:space="preserve"> distilled</w:t>
      </w:r>
      <w:r w:rsidRPr="0085544B">
        <w:rPr>
          <w:rFonts w:ascii="Times New Roman" w:hAnsi="Times New Roman" w:cs="Times New Roman"/>
        </w:rPr>
        <w:t xml:space="preserve"> water. Reactions were incubated at 37˚C for </w:t>
      </w:r>
      <w:r>
        <w:rPr>
          <w:rFonts w:ascii="Times New Roman" w:hAnsi="Times New Roman" w:cs="Times New Roman"/>
        </w:rPr>
        <w:t>15 minutes after which the sample was heat inactivated at 70</w:t>
      </w:r>
      <w:r w:rsidRPr="0085544B">
        <w:rPr>
          <w:rFonts w:ascii="Times New Roman" w:hAnsi="Times New Roman" w:cs="Times New Roman"/>
        </w:rPr>
        <w:t>˚C</w:t>
      </w:r>
      <w:r>
        <w:rPr>
          <w:rFonts w:ascii="Times New Roman" w:hAnsi="Times New Roman" w:cs="Times New Roman"/>
        </w:rPr>
        <w:t xml:space="preserve"> for 10 minutes. Linearised and blunted plasmid DNA was then ligated using DNA ligase to circularise the plasmid.</w:t>
      </w:r>
    </w:p>
    <w:p w14:paraId="4D99B5FE" w14:textId="23C9DBEF" w:rsidR="00D70E9B" w:rsidRPr="00D4711A" w:rsidRDefault="00D70E9B" w:rsidP="00D70E9B">
      <w:pPr>
        <w:pStyle w:val="Heading3"/>
      </w:pPr>
      <w:bookmarkStart w:id="86" w:name="_Toc142043599"/>
      <w:bookmarkStart w:id="87" w:name="_Hlk38208878"/>
      <w:r w:rsidRPr="00D4711A">
        <w:t>2.</w:t>
      </w:r>
      <w:r w:rsidR="00E315F1">
        <w:t>4</w:t>
      </w:r>
      <w:r w:rsidRPr="00D4711A">
        <w:t>.</w:t>
      </w:r>
      <w:r>
        <w:t>8</w:t>
      </w:r>
      <w:r w:rsidRPr="00D4711A">
        <w:t>.</w:t>
      </w:r>
      <w:r>
        <w:t xml:space="preserve"> Preparation and t</w:t>
      </w:r>
      <w:r w:rsidRPr="00D4711A">
        <w:t xml:space="preserve">ransformation of </w:t>
      </w:r>
      <w:r w:rsidRPr="00D4711A">
        <w:rPr>
          <w:i/>
          <w:iCs/>
        </w:rPr>
        <w:t>E. coli</w:t>
      </w:r>
      <w:r w:rsidRPr="00D4711A">
        <w:t xml:space="preserve"> </w:t>
      </w:r>
      <w:r>
        <w:t xml:space="preserve">chemically </w:t>
      </w:r>
      <w:r w:rsidRPr="00D4711A">
        <w:t>competent cells</w:t>
      </w:r>
      <w:bookmarkEnd w:id="86"/>
    </w:p>
    <w:bookmarkEnd w:id="87"/>
    <w:p w14:paraId="1CE7C138" w14:textId="77777777" w:rsidR="00D70E9B" w:rsidRDefault="00D70E9B" w:rsidP="00D70E9B">
      <w:pPr>
        <w:spacing w:line="360" w:lineRule="auto"/>
        <w:jc w:val="both"/>
        <w:rPr>
          <w:rFonts w:ascii="Times New Roman" w:hAnsi="Times New Roman" w:cs="Times New Roman"/>
          <w:color w:val="000000" w:themeColor="text1"/>
        </w:rPr>
      </w:pPr>
    </w:p>
    <w:p w14:paraId="01EC430F" w14:textId="596BF9A0" w:rsidR="00D70E9B" w:rsidRPr="001A31F6" w:rsidRDefault="00D70E9B" w:rsidP="00D70E9B">
      <w:pPr>
        <w:spacing w:line="360" w:lineRule="auto"/>
        <w:jc w:val="both"/>
        <w:rPr>
          <w:rFonts w:ascii="Times New Roman" w:hAnsi="Times New Roman" w:cs="Times New Roman"/>
        </w:rPr>
      </w:pPr>
      <w:r w:rsidRPr="001A31F6">
        <w:rPr>
          <w:rFonts w:ascii="Times New Roman" w:hAnsi="Times New Roman" w:cs="Times New Roman"/>
          <w:color w:val="000000" w:themeColor="text1"/>
        </w:rPr>
        <w:t xml:space="preserve">Chemically competent </w:t>
      </w:r>
      <w:r w:rsidRPr="001A31F6">
        <w:rPr>
          <w:rFonts w:ascii="Times New Roman" w:hAnsi="Times New Roman" w:cs="Times New Roman"/>
          <w:i/>
          <w:iCs/>
          <w:color w:val="000000" w:themeColor="text1"/>
        </w:rPr>
        <w:t xml:space="preserve">E. coli </w:t>
      </w:r>
      <w:r>
        <w:rPr>
          <w:rFonts w:ascii="Times New Roman" w:hAnsi="Times New Roman" w:cs="Times New Roman"/>
          <w:color w:val="000000" w:themeColor="text1"/>
        </w:rPr>
        <w:t>XL1-Blue</w:t>
      </w:r>
      <w:r w:rsidRPr="001A31F6">
        <w:rPr>
          <w:rFonts w:ascii="Times New Roman" w:hAnsi="Times New Roman" w:cs="Times New Roman"/>
          <w:color w:val="000000" w:themeColor="text1"/>
        </w:rPr>
        <w:t xml:space="preserve"> were prepared by growing up 20 ml overnight culture of </w:t>
      </w:r>
      <w:r w:rsidRPr="001A31F6">
        <w:rPr>
          <w:rFonts w:ascii="Times New Roman" w:hAnsi="Times New Roman" w:cs="Times New Roman"/>
          <w:i/>
          <w:iCs/>
          <w:color w:val="000000" w:themeColor="text1"/>
        </w:rPr>
        <w:t xml:space="preserve">E. coli </w:t>
      </w:r>
      <w:r>
        <w:rPr>
          <w:rFonts w:ascii="Times New Roman" w:hAnsi="Times New Roman" w:cs="Times New Roman"/>
          <w:color w:val="000000" w:themeColor="text1"/>
        </w:rPr>
        <w:t>XL1-Blue</w:t>
      </w:r>
      <w:r w:rsidRPr="001A31F6">
        <w:rPr>
          <w:rFonts w:ascii="Times New Roman" w:hAnsi="Times New Roman" w:cs="Times New Roman"/>
          <w:color w:val="000000" w:themeColor="text1"/>
        </w:rPr>
        <w:t xml:space="preserve"> in LB medium at 37</w:t>
      </w:r>
      <w:r w:rsidRPr="001A31F6">
        <w:rPr>
          <w:rFonts w:ascii="Times New Roman" w:hAnsi="Times New Roman" w:cs="Times New Roman"/>
        </w:rPr>
        <w:t>˚C</w:t>
      </w:r>
      <w:r w:rsidRPr="001A31F6">
        <w:rPr>
          <w:rFonts w:ascii="Times New Roman" w:hAnsi="Times New Roman" w:cs="Times New Roman"/>
          <w:color w:val="000000" w:themeColor="text1"/>
        </w:rPr>
        <w:t xml:space="preserve"> with aeration at 200 rpm. Cultures were diluted 1</w:t>
      </w:r>
      <w:r w:rsidR="0096455D">
        <w:rPr>
          <w:rFonts w:ascii="Times New Roman" w:hAnsi="Times New Roman" w:cs="Times New Roman"/>
          <w:color w:val="000000" w:themeColor="text1"/>
        </w:rPr>
        <w:t>:</w:t>
      </w:r>
      <w:r w:rsidRPr="001A31F6">
        <w:rPr>
          <w:rFonts w:ascii="Times New Roman" w:hAnsi="Times New Roman" w:cs="Times New Roman"/>
          <w:color w:val="000000" w:themeColor="text1"/>
        </w:rPr>
        <w:t xml:space="preserve">100 into 1 L of PSI broth </w:t>
      </w:r>
      <w:r w:rsidRPr="001A31F6">
        <w:rPr>
          <w:rFonts w:ascii="Times New Roman" w:hAnsi="Times New Roman" w:cs="Times New Roman"/>
        </w:rPr>
        <w:t>(0.5% (w/v) yeast extract, 2% (w/v) tryptone, adjusted to pH 7.4 using 0.1 M KOH with sterile MgSO</w:t>
      </w:r>
      <w:r w:rsidRPr="001A31F6">
        <w:rPr>
          <w:rFonts w:ascii="Times New Roman" w:hAnsi="Times New Roman" w:cs="Times New Roman"/>
          <w:vertAlign w:val="subscript"/>
        </w:rPr>
        <w:t xml:space="preserve">4 </w:t>
      </w:r>
      <w:r w:rsidRPr="001A31F6">
        <w:rPr>
          <w:rFonts w:ascii="Times New Roman" w:hAnsi="Times New Roman" w:cs="Times New Roman"/>
        </w:rPr>
        <w:t>(20 mM final concentration) added fresh before use) and grown to mid-exponential phase (</w:t>
      </w:r>
      <w:r w:rsidRPr="001A31F6">
        <w:rPr>
          <w:rFonts w:ascii="Times New Roman" w:hAnsi="Times New Roman" w:cs="Times New Roman"/>
          <w:color w:val="000000" w:themeColor="text1"/>
        </w:rPr>
        <w:t>OD</w:t>
      </w:r>
      <w:r w:rsidRPr="001A31F6">
        <w:rPr>
          <w:rFonts w:ascii="Times New Roman" w:hAnsi="Times New Roman" w:cs="Times New Roman"/>
          <w:color w:val="000000" w:themeColor="text1"/>
          <w:vertAlign w:val="subscript"/>
        </w:rPr>
        <w:t>600</w:t>
      </w:r>
      <w:r w:rsidRPr="001A31F6">
        <w:rPr>
          <w:rFonts w:ascii="Times New Roman" w:hAnsi="Times New Roman" w:cs="Times New Roman"/>
          <w:color w:val="000000" w:themeColor="text1"/>
        </w:rPr>
        <w:t xml:space="preserve"> 0.5-0.7)</w:t>
      </w:r>
      <w:r w:rsidRPr="001A31F6">
        <w:rPr>
          <w:rFonts w:ascii="Times New Roman" w:hAnsi="Times New Roman" w:cs="Times New Roman"/>
        </w:rPr>
        <w:t xml:space="preserve">. Once the desired </w:t>
      </w:r>
      <w:r w:rsidRPr="001A31F6">
        <w:rPr>
          <w:rFonts w:ascii="Times New Roman" w:hAnsi="Times New Roman" w:cs="Times New Roman"/>
          <w:color w:val="000000" w:themeColor="text1"/>
        </w:rPr>
        <w:t>OD</w:t>
      </w:r>
      <w:r w:rsidRPr="001A31F6">
        <w:rPr>
          <w:rFonts w:ascii="Times New Roman" w:hAnsi="Times New Roman" w:cs="Times New Roman"/>
          <w:color w:val="000000" w:themeColor="text1"/>
          <w:vertAlign w:val="subscript"/>
        </w:rPr>
        <w:t>600</w:t>
      </w:r>
      <w:r w:rsidRPr="001A31F6">
        <w:rPr>
          <w:rFonts w:ascii="Times New Roman" w:hAnsi="Times New Roman" w:cs="Times New Roman"/>
        </w:rPr>
        <w:t xml:space="preserve"> was reached, bacterial cells were cooled to 4˚C and maintained at this temperature. Cultures were then centrifuged at 6,000 × g for 10 minutes and bacterial pellets were resuspended in 200 ml ice-cold sterile transformation buffer I (TfbI) (30 mM CH</w:t>
      </w:r>
      <w:r w:rsidRPr="001A31F6">
        <w:rPr>
          <w:rFonts w:ascii="Times New Roman" w:hAnsi="Times New Roman" w:cs="Times New Roman"/>
          <w:vertAlign w:val="subscript"/>
        </w:rPr>
        <w:t>3</w:t>
      </w:r>
      <w:r w:rsidRPr="001A31F6">
        <w:rPr>
          <w:rFonts w:ascii="Times New Roman" w:hAnsi="Times New Roman" w:cs="Times New Roman"/>
        </w:rPr>
        <w:t>COOK, 100 mM RbCl, 10 mM CaCl</w:t>
      </w:r>
      <w:r w:rsidRPr="001A31F6">
        <w:rPr>
          <w:rFonts w:ascii="Times New Roman" w:hAnsi="Times New Roman" w:cs="Times New Roman"/>
          <w:vertAlign w:val="subscript"/>
        </w:rPr>
        <w:t>2</w:t>
      </w:r>
      <w:r w:rsidRPr="001A31F6">
        <w:rPr>
          <w:rFonts w:ascii="Times New Roman" w:hAnsi="Times New Roman" w:cs="Times New Roman"/>
        </w:rPr>
        <w:t>, 50 mM MnCl</w:t>
      </w:r>
      <w:r w:rsidRPr="001A31F6">
        <w:rPr>
          <w:rFonts w:ascii="Times New Roman" w:hAnsi="Times New Roman" w:cs="Times New Roman"/>
          <w:vertAlign w:val="subscript"/>
        </w:rPr>
        <w:t>2</w:t>
      </w:r>
      <w:r w:rsidRPr="001A31F6">
        <w:rPr>
          <w:rFonts w:ascii="Times New Roman" w:hAnsi="Times New Roman" w:cs="Times New Roman"/>
        </w:rPr>
        <w:t>, 15% glycerol, adjusted to pH 5.8 using 0.2 M acetic acid) and incubated on ice for 15 minutes. Bacteria were pelleted again at 6,000 × g for 10 minutes and resuspended in 25 ml ice-cold sterile TfbII (10 mM MOPS adjusted to pH 6.5 using KOH, 75 mM CaCl</w:t>
      </w:r>
      <w:r w:rsidRPr="001A31F6">
        <w:rPr>
          <w:rFonts w:ascii="Times New Roman" w:hAnsi="Times New Roman" w:cs="Times New Roman"/>
          <w:vertAlign w:val="subscript"/>
        </w:rPr>
        <w:t>2</w:t>
      </w:r>
      <w:r w:rsidRPr="001A31F6">
        <w:rPr>
          <w:rFonts w:ascii="Times New Roman" w:hAnsi="Times New Roman" w:cs="Times New Roman"/>
        </w:rPr>
        <w:t>, 10 mM RbCl, 15% glycerol) and incubated on ice for 15 minutes. Cultures were the aliquoted into 1.5 ml microcentrifuge tubes (500 μl per tube) and frozen using a ethanol/dry ice bath and subsequently stored at -80˚C.</w:t>
      </w:r>
    </w:p>
    <w:p w14:paraId="5FD55563" w14:textId="77777777" w:rsidR="00D70E9B" w:rsidRPr="0085544B" w:rsidRDefault="00D70E9B" w:rsidP="00D70E9B">
      <w:pPr>
        <w:spacing w:line="360" w:lineRule="auto"/>
        <w:ind w:firstLine="720"/>
        <w:jc w:val="both"/>
        <w:rPr>
          <w:rFonts w:ascii="Times New Roman" w:hAnsi="Times New Roman" w:cs="Times New Roman"/>
        </w:rPr>
      </w:pPr>
      <w:r>
        <w:rPr>
          <w:rFonts w:ascii="Times New Roman" w:hAnsi="Times New Roman" w:cs="Times New Roman"/>
          <w:color w:val="000000" w:themeColor="text1"/>
        </w:rPr>
        <w:t xml:space="preserve">For transformation, </w:t>
      </w:r>
      <w:r w:rsidRPr="0085544B">
        <w:rPr>
          <w:rFonts w:ascii="Times New Roman" w:hAnsi="Times New Roman" w:cs="Times New Roman"/>
          <w:color w:val="000000" w:themeColor="text1"/>
        </w:rPr>
        <w:t xml:space="preserve">100 </w:t>
      </w:r>
      <w:r w:rsidRPr="0085544B">
        <w:rPr>
          <w:rFonts w:ascii="Times New Roman" w:hAnsi="Times New Roman" w:cs="Times New Roman"/>
        </w:rPr>
        <w:t xml:space="preserve">μl of competent cells were incubated on ice with 12 μl of ligation product for 10 minutes, heat shocked for 45 seconds at 42˚C, and returned to ice for a further 5 minutes. To each reaction, 900 μl SOC media </w:t>
      </w:r>
      <w:r w:rsidRPr="003C4B8B">
        <w:rPr>
          <w:rFonts w:ascii="Times New Roman" w:hAnsi="Times New Roman" w:cs="Times New Roman"/>
        </w:rPr>
        <w:t xml:space="preserve">(0.5% yeast extract, 2% tryptone, 0.05% NaCl, 20 mM glucose, 2.5 mM KCl) </w:t>
      </w:r>
      <w:r w:rsidRPr="0085544B">
        <w:rPr>
          <w:rFonts w:ascii="Times New Roman" w:hAnsi="Times New Roman" w:cs="Times New Roman"/>
          <w:color w:val="000000" w:themeColor="text1"/>
        </w:rPr>
        <w:t>was added before recovering at 37</w:t>
      </w:r>
      <w:r w:rsidRPr="0085544B">
        <w:rPr>
          <w:rFonts w:ascii="Times New Roman" w:hAnsi="Times New Roman" w:cs="Times New Roman"/>
        </w:rPr>
        <w:t>˚C for 1 hour. Cells were plated on the appropriate agar plates.</w:t>
      </w:r>
    </w:p>
    <w:p w14:paraId="1639A6FD" w14:textId="37C95CA0" w:rsidR="00D70E9B" w:rsidRPr="00D4711A" w:rsidRDefault="00D70E9B" w:rsidP="00D70E9B">
      <w:pPr>
        <w:pStyle w:val="Heading3"/>
      </w:pPr>
      <w:bookmarkStart w:id="88" w:name="_Toc142043600"/>
      <w:bookmarkStart w:id="89" w:name="_Hlk38208885"/>
      <w:r w:rsidRPr="00D4711A">
        <w:t>2.</w:t>
      </w:r>
      <w:r w:rsidR="00E315F1">
        <w:t>4</w:t>
      </w:r>
      <w:r w:rsidRPr="00D4711A">
        <w:t>.</w:t>
      </w:r>
      <w:r>
        <w:t>9</w:t>
      </w:r>
      <w:r w:rsidRPr="00D4711A">
        <w:t xml:space="preserve">. Preparation and electroporation of </w:t>
      </w:r>
      <w:r w:rsidRPr="00D4711A">
        <w:rPr>
          <w:i/>
          <w:iCs/>
        </w:rPr>
        <w:t xml:space="preserve">S. aureus </w:t>
      </w:r>
      <w:r>
        <w:t>electro-</w:t>
      </w:r>
      <w:r w:rsidRPr="00D4711A">
        <w:t>competent cells</w:t>
      </w:r>
      <w:bookmarkEnd w:id="88"/>
    </w:p>
    <w:bookmarkEnd w:id="89"/>
    <w:p w14:paraId="3CC7F13B" w14:textId="77777777" w:rsidR="00D70E9B" w:rsidRDefault="00D70E9B" w:rsidP="00D70E9B">
      <w:pPr>
        <w:spacing w:line="360" w:lineRule="auto"/>
        <w:jc w:val="both"/>
        <w:rPr>
          <w:rFonts w:ascii="Times New Roman" w:hAnsi="Times New Roman" w:cs="Times New Roman"/>
        </w:rPr>
      </w:pPr>
    </w:p>
    <w:p w14:paraId="5D7E3C8C" w14:textId="77777777" w:rsidR="00D70E9B" w:rsidRPr="0085544B" w:rsidRDefault="00D70E9B" w:rsidP="00D70E9B">
      <w:pPr>
        <w:spacing w:line="360" w:lineRule="auto"/>
        <w:jc w:val="both"/>
        <w:rPr>
          <w:rFonts w:ascii="Times New Roman" w:hAnsi="Times New Roman" w:cs="Times New Roman"/>
        </w:rPr>
      </w:pPr>
      <w:r w:rsidRPr="0085544B">
        <w:rPr>
          <w:rFonts w:ascii="Times New Roman" w:hAnsi="Times New Roman" w:cs="Times New Roman"/>
        </w:rPr>
        <w:t xml:space="preserve">Electrocompetent </w:t>
      </w:r>
      <w:r w:rsidRPr="0085544B">
        <w:rPr>
          <w:rFonts w:ascii="Times New Roman" w:hAnsi="Times New Roman" w:cs="Times New Roman"/>
          <w:i/>
          <w:iCs/>
        </w:rPr>
        <w:t xml:space="preserve">S. aureus </w:t>
      </w:r>
      <w:r>
        <w:rPr>
          <w:rFonts w:ascii="Times New Roman" w:hAnsi="Times New Roman" w:cs="Times New Roman"/>
        </w:rPr>
        <w:t xml:space="preserve">RN4220 </w:t>
      </w:r>
      <w:r w:rsidRPr="0085544B">
        <w:rPr>
          <w:rFonts w:ascii="Times New Roman" w:hAnsi="Times New Roman" w:cs="Times New Roman"/>
        </w:rPr>
        <w:t xml:space="preserve">cells were prepared by back-diluting an overnight culture into </w:t>
      </w:r>
      <w:r>
        <w:rPr>
          <w:rFonts w:ascii="Times New Roman" w:hAnsi="Times New Roman" w:cs="Times New Roman"/>
        </w:rPr>
        <w:t xml:space="preserve">50 ml </w:t>
      </w:r>
      <w:r w:rsidRPr="0085544B">
        <w:rPr>
          <w:rFonts w:ascii="Times New Roman" w:hAnsi="Times New Roman" w:cs="Times New Roman"/>
        </w:rPr>
        <w:t xml:space="preserve">fresh TSB and incubating </w:t>
      </w:r>
      <w:r>
        <w:rPr>
          <w:rFonts w:ascii="Times New Roman" w:hAnsi="Times New Roman" w:cs="Times New Roman"/>
          <w:color w:val="000000" w:themeColor="text1"/>
        </w:rPr>
        <w:t>at 37</w:t>
      </w:r>
      <w:r w:rsidRPr="0085544B">
        <w:rPr>
          <w:rFonts w:ascii="Times New Roman" w:hAnsi="Times New Roman" w:cs="Times New Roman"/>
        </w:rPr>
        <w:t>˚C</w:t>
      </w:r>
      <w:r>
        <w:rPr>
          <w:rFonts w:ascii="Times New Roman" w:hAnsi="Times New Roman" w:cs="Times New Roman"/>
          <w:color w:val="000000" w:themeColor="text1"/>
        </w:rPr>
        <w:t xml:space="preserve"> with aeration at 200 rpm </w:t>
      </w:r>
      <w:r w:rsidRPr="0085544B">
        <w:rPr>
          <w:rFonts w:ascii="Times New Roman" w:hAnsi="Times New Roman" w:cs="Times New Roman"/>
        </w:rPr>
        <w:t>for 3 hours. Cells were washed twice with 100 ml ice cold 0.5 M sucrose wash solution and then once with 50 ml. Cell pellets were resuspended in 1 ml wash solution</w:t>
      </w:r>
      <w:r>
        <w:rPr>
          <w:rFonts w:ascii="Times New Roman" w:hAnsi="Times New Roman" w:cs="Times New Roman"/>
        </w:rPr>
        <w:t xml:space="preserve"> and were stored by freezing </w:t>
      </w:r>
      <w:r w:rsidRPr="001A31F6">
        <w:rPr>
          <w:rFonts w:ascii="Times New Roman" w:hAnsi="Times New Roman" w:cs="Times New Roman"/>
        </w:rPr>
        <w:t xml:space="preserve">using a ethanol/dry ice bath and subsequently </w:t>
      </w:r>
      <w:r>
        <w:rPr>
          <w:rFonts w:ascii="Times New Roman" w:hAnsi="Times New Roman" w:cs="Times New Roman"/>
        </w:rPr>
        <w:t xml:space="preserve">kept </w:t>
      </w:r>
      <w:r w:rsidRPr="001A31F6">
        <w:rPr>
          <w:rFonts w:ascii="Times New Roman" w:hAnsi="Times New Roman" w:cs="Times New Roman"/>
        </w:rPr>
        <w:t>at -80˚C.</w:t>
      </w:r>
    </w:p>
    <w:p w14:paraId="4EE5B813" w14:textId="0FBF2A74" w:rsidR="00D70E9B" w:rsidRPr="0085544B" w:rsidRDefault="00D70E9B" w:rsidP="00D70E9B">
      <w:pPr>
        <w:spacing w:line="360" w:lineRule="auto"/>
        <w:ind w:firstLine="720"/>
        <w:jc w:val="both"/>
        <w:rPr>
          <w:rFonts w:ascii="Times New Roman" w:hAnsi="Times New Roman" w:cs="Times New Roman"/>
        </w:rPr>
      </w:pPr>
      <w:r>
        <w:rPr>
          <w:rFonts w:ascii="Times New Roman" w:hAnsi="Times New Roman" w:cs="Times New Roman"/>
        </w:rPr>
        <w:t xml:space="preserve">For electroporation, </w:t>
      </w:r>
      <w:r w:rsidRPr="0085544B">
        <w:rPr>
          <w:rFonts w:ascii="Times New Roman" w:hAnsi="Times New Roman" w:cs="Times New Roman"/>
        </w:rPr>
        <w:t xml:space="preserve">20 μl of the desired plasmid DNA was dialysed against </w:t>
      </w:r>
      <w:r>
        <w:rPr>
          <w:rFonts w:ascii="Times New Roman" w:hAnsi="Times New Roman" w:cs="Times New Roman"/>
        </w:rPr>
        <w:t xml:space="preserve">autoclaved distilled </w:t>
      </w:r>
      <w:r w:rsidRPr="0085544B">
        <w:rPr>
          <w:rFonts w:ascii="Times New Roman" w:hAnsi="Times New Roman" w:cs="Times New Roman"/>
        </w:rPr>
        <w:t xml:space="preserve">water using a 0.025 μm filter </w:t>
      </w:r>
      <w:r w:rsidRPr="00111E38">
        <w:rPr>
          <w:rFonts w:ascii="Times New Roman" w:hAnsi="Times New Roman" w:cs="Times New Roman"/>
        </w:rPr>
        <w:t xml:space="preserve">(MF-Millipore) </w:t>
      </w:r>
      <w:r w:rsidRPr="0085544B">
        <w:rPr>
          <w:rFonts w:ascii="Times New Roman" w:hAnsi="Times New Roman" w:cs="Times New Roman"/>
        </w:rPr>
        <w:t>for 30 minutes. 100 μl competent cells and 15 μl dialysed DNA were added to an 0.1 cm electroporation cuvett</w:t>
      </w:r>
      <w:r>
        <w:rPr>
          <w:rFonts w:ascii="Times New Roman" w:hAnsi="Times New Roman" w:cs="Times New Roman"/>
        </w:rPr>
        <w:t xml:space="preserve">e (Bio-Rad) </w:t>
      </w:r>
      <w:r w:rsidRPr="0085544B">
        <w:rPr>
          <w:rFonts w:ascii="Times New Roman" w:hAnsi="Times New Roman" w:cs="Times New Roman"/>
        </w:rPr>
        <w:t>and the sample was electroporated under the following conditions</w:t>
      </w:r>
      <w:r w:rsidR="00045316">
        <w:rPr>
          <w:rFonts w:ascii="Times New Roman" w:hAnsi="Times New Roman" w:cs="Times New Roman"/>
        </w:rPr>
        <w:t>:</w:t>
      </w:r>
      <w:r w:rsidRPr="0085544B">
        <w:rPr>
          <w:rFonts w:ascii="Times New Roman" w:hAnsi="Times New Roman" w:cs="Times New Roman"/>
        </w:rPr>
        <w:t xml:space="preserve"> 100</w:t>
      </w:r>
      <w:r>
        <w:rPr>
          <w:rFonts w:ascii="Times New Roman" w:hAnsi="Times New Roman" w:cs="Times New Roman"/>
        </w:rPr>
        <w:t xml:space="preserve"> </w:t>
      </w:r>
      <w:r w:rsidRPr="0085544B">
        <w:rPr>
          <w:rFonts w:ascii="Times New Roman" w:hAnsi="Times New Roman" w:cs="Times New Roman"/>
        </w:rPr>
        <w:sym w:font="Symbol" w:char="F057"/>
      </w:r>
      <w:r w:rsidRPr="0085544B">
        <w:rPr>
          <w:rFonts w:ascii="Times New Roman" w:hAnsi="Times New Roman" w:cs="Times New Roman"/>
        </w:rPr>
        <w:t>, 2.5 kV, 25</w:t>
      </w:r>
      <w:r>
        <w:rPr>
          <w:rFonts w:ascii="Times New Roman" w:hAnsi="Times New Roman" w:cs="Times New Roman"/>
        </w:rPr>
        <w:t xml:space="preserve"> </w:t>
      </w:r>
      <w:r w:rsidRPr="0085544B">
        <w:rPr>
          <w:rFonts w:ascii="Times New Roman" w:hAnsi="Times New Roman" w:cs="Times New Roman"/>
        </w:rPr>
        <w:sym w:font="Symbol" w:char="F06D"/>
      </w:r>
      <w:r w:rsidRPr="0085544B">
        <w:rPr>
          <w:rFonts w:ascii="Times New Roman" w:hAnsi="Times New Roman" w:cs="Times New Roman"/>
        </w:rPr>
        <w:t>F. Cells were recovered for 1 h</w:t>
      </w:r>
      <w:r>
        <w:rPr>
          <w:rFonts w:ascii="Times New Roman" w:hAnsi="Times New Roman" w:cs="Times New Roman"/>
        </w:rPr>
        <w:t>ou</w:t>
      </w:r>
      <w:r w:rsidRPr="0085544B">
        <w:rPr>
          <w:rFonts w:ascii="Times New Roman" w:hAnsi="Times New Roman" w:cs="Times New Roman"/>
        </w:rPr>
        <w:t>r with BHI 0.5 M sucrose</w:t>
      </w:r>
      <w:r>
        <w:rPr>
          <w:rFonts w:ascii="Times New Roman" w:hAnsi="Times New Roman" w:cs="Times New Roman"/>
        </w:rPr>
        <w:t xml:space="preserve"> </w:t>
      </w:r>
      <w:r>
        <w:rPr>
          <w:rFonts w:ascii="Times New Roman" w:hAnsi="Times New Roman" w:cs="Times New Roman"/>
          <w:color w:val="000000" w:themeColor="text1"/>
        </w:rPr>
        <w:t>at 37</w:t>
      </w:r>
      <w:r w:rsidRPr="0085544B">
        <w:rPr>
          <w:rFonts w:ascii="Times New Roman" w:hAnsi="Times New Roman" w:cs="Times New Roman"/>
        </w:rPr>
        <w:t>˚C</w:t>
      </w:r>
      <w:r>
        <w:rPr>
          <w:rFonts w:ascii="Times New Roman" w:hAnsi="Times New Roman" w:cs="Times New Roman"/>
          <w:color w:val="000000" w:themeColor="text1"/>
        </w:rPr>
        <w:t xml:space="preserve"> with aeration at 200 rpm</w:t>
      </w:r>
      <w:r w:rsidRPr="0085544B">
        <w:rPr>
          <w:rFonts w:ascii="Times New Roman" w:hAnsi="Times New Roman" w:cs="Times New Roman"/>
        </w:rPr>
        <w:t xml:space="preserve"> and plated on the appropriate</w:t>
      </w:r>
      <w:r>
        <w:rPr>
          <w:rFonts w:ascii="Times New Roman" w:hAnsi="Times New Roman" w:cs="Times New Roman"/>
        </w:rPr>
        <w:t xml:space="preserve"> TSA</w:t>
      </w:r>
      <w:r w:rsidRPr="0085544B">
        <w:rPr>
          <w:rFonts w:ascii="Times New Roman" w:hAnsi="Times New Roman" w:cs="Times New Roman"/>
        </w:rPr>
        <w:t xml:space="preserve"> plates.</w:t>
      </w:r>
    </w:p>
    <w:p w14:paraId="5DD39C59" w14:textId="5EA85968" w:rsidR="00D70E9B" w:rsidRPr="005109FC" w:rsidRDefault="00D70E9B" w:rsidP="00D70E9B">
      <w:pPr>
        <w:pStyle w:val="Heading3"/>
        <w:rPr>
          <w:i/>
          <w:iCs/>
        </w:rPr>
      </w:pPr>
      <w:bookmarkStart w:id="90" w:name="_Toc142043601"/>
      <w:bookmarkStart w:id="91" w:name="_Hlk38208889"/>
      <w:r w:rsidRPr="00D4711A">
        <w:t>2.</w:t>
      </w:r>
      <w:r w:rsidR="00E315F1">
        <w:t>4</w:t>
      </w:r>
      <w:r w:rsidRPr="00D4711A">
        <w:t>.</w:t>
      </w:r>
      <w:r>
        <w:t>10</w:t>
      </w:r>
      <w:r w:rsidRPr="00D4711A">
        <w:t xml:space="preserve">. Phage transduction </w:t>
      </w:r>
      <w:r>
        <w:t xml:space="preserve">into </w:t>
      </w:r>
      <w:r>
        <w:rPr>
          <w:i/>
          <w:iCs/>
        </w:rPr>
        <w:t>S. aureus</w:t>
      </w:r>
      <w:bookmarkEnd w:id="90"/>
    </w:p>
    <w:bookmarkEnd w:id="91"/>
    <w:p w14:paraId="1A21EE4E" w14:textId="77777777" w:rsidR="00D70E9B" w:rsidRDefault="00D70E9B" w:rsidP="00D70E9B">
      <w:pPr>
        <w:spacing w:line="360" w:lineRule="auto"/>
        <w:jc w:val="both"/>
        <w:rPr>
          <w:rFonts w:ascii="Times New Roman" w:hAnsi="Times New Roman" w:cs="Times New Roman"/>
        </w:rPr>
      </w:pPr>
    </w:p>
    <w:p w14:paraId="22BFF65D" w14:textId="24C4A348" w:rsidR="00D70E9B" w:rsidRPr="0085544B" w:rsidRDefault="00D70E9B" w:rsidP="00D70E9B">
      <w:pPr>
        <w:spacing w:line="360" w:lineRule="auto"/>
        <w:jc w:val="both"/>
        <w:rPr>
          <w:rFonts w:ascii="Times New Roman" w:hAnsi="Times New Roman" w:cs="Times New Roman"/>
        </w:rPr>
      </w:pPr>
      <w:r w:rsidRPr="0085544B">
        <w:rPr>
          <w:rFonts w:ascii="Times New Roman" w:hAnsi="Times New Roman" w:cs="Times New Roman"/>
        </w:rPr>
        <w:t xml:space="preserve">To prepare phage lysates, 5 ml of the appropriate </w:t>
      </w:r>
      <w:r w:rsidRPr="0085544B">
        <w:rPr>
          <w:rFonts w:ascii="Times New Roman" w:hAnsi="Times New Roman" w:cs="Times New Roman"/>
          <w:i/>
          <w:iCs/>
        </w:rPr>
        <w:t xml:space="preserve">S. aureus </w:t>
      </w:r>
      <w:r w:rsidRPr="0085544B">
        <w:rPr>
          <w:rFonts w:ascii="Times New Roman" w:hAnsi="Times New Roman" w:cs="Times New Roman"/>
        </w:rPr>
        <w:t>culture was back-diluted in fresh LB/TSB + 5 mM CaCl</w:t>
      </w:r>
      <w:r w:rsidRPr="0085544B">
        <w:rPr>
          <w:rFonts w:ascii="Times New Roman" w:hAnsi="Times New Roman" w:cs="Times New Roman"/>
          <w:vertAlign w:val="subscript"/>
        </w:rPr>
        <w:t xml:space="preserve">2 </w:t>
      </w:r>
      <w:r w:rsidRPr="0085544B">
        <w:rPr>
          <w:rFonts w:ascii="Times New Roman" w:hAnsi="Times New Roman" w:cs="Times New Roman"/>
        </w:rPr>
        <w:t>(1</w:t>
      </w:r>
      <w:r w:rsidR="0096455D">
        <w:rPr>
          <w:rFonts w:ascii="Times New Roman" w:hAnsi="Times New Roman" w:cs="Times New Roman"/>
        </w:rPr>
        <w:t>:</w:t>
      </w:r>
      <w:r w:rsidRPr="0085544B">
        <w:rPr>
          <w:rFonts w:ascii="Times New Roman" w:hAnsi="Times New Roman" w:cs="Times New Roman"/>
        </w:rPr>
        <w:t xml:space="preserve">50) and grown </w:t>
      </w:r>
      <w:r>
        <w:rPr>
          <w:rFonts w:ascii="Times New Roman" w:hAnsi="Times New Roman" w:cs="Times New Roman"/>
          <w:color w:val="000000" w:themeColor="text1"/>
        </w:rPr>
        <w:t>at 37</w:t>
      </w:r>
      <w:r w:rsidRPr="0085544B">
        <w:rPr>
          <w:rFonts w:ascii="Times New Roman" w:hAnsi="Times New Roman" w:cs="Times New Roman"/>
        </w:rPr>
        <w:t>˚C</w:t>
      </w:r>
      <w:r>
        <w:rPr>
          <w:rFonts w:ascii="Times New Roman" w:hAnsi="Times New Roman" w:cs="Times New Roman"/>
          <w:color w:val="000000" w:themeColor="text1"/>
        </w:rPr>
        <w:t xml:space="preserve"> with aeration at 200 rpm </w:t>
      </w:r>
      <w:r w:rsidRPr="0085544B">
        <w:rPr>
          <w:rFonts w:ascii="Times New Roman" w:hAnsi="Times New Roman" w:cs="Times New Roman"/>
        </w:rPr>
        <w:t>for 3 hours. 100 μl of different phage dilutions (diluted in TMG buffer (10</w:t>
      </w:r>
      <w:r>
        <w:rPr>
          <w:rFonts w:ascii="Times New Roman" w:hAnsi="Times New Roman" w:cs="Times New Roman"/>
        </w:rPr>
        <w:t xml:space="preserve"> </w:t>
      </w:r>
      <w:r w:rsidRPr="0085544B">
        <w:rPr>
          <w:rFonts w:ascii="Times New Roman" w:hAnsi="Times New Roman" w:cs="Times New Roman"/>
        </w:rPr>
        <w:t>mM Tris pH 7.5, 10 mM MgSO</w:t>
      </w:r>
      <w:r w:rsidRPr="0085544B">
        <w:rPr>
          <w:rFonts w:ascii="Times New Roman" w:hAnsi="Times New Roman" w:cs="Times New Roman"/>
          <w:vertAlign w:val="subscript"/>
        </w:rPr>
        <w:t>4</w:t>
      </w:r>
      <w:r w:rsidRPr="0085544B">
        <w:rPr>
          <w:rFonts w:ascii="Times New Roman" w:hAnsi="Times New Roman" w:cs="Times New Roman"/>
        </w:rPr>
        <w:t>, 0.1% gelatin</w:t>
      </w:r>
      <w:r>
        <w:rPr>
          <w:rFonts w:ascii="Times New Roman" w:hAnsi="Times New Roman" w:cs="Times New Roman"/>
        </w:rPr>
        <w:t>e</w:t>
      </w:r>
      <w:r w:rsidRPr="0085544B">
        <w:rPr>
          <w:rFonts w:ascii="Times New Roman" w:hAnsi="Times New Roman" w:cs="Times New Roman"/>
        </w:rPr>
        <w:t>) were added to 500 μl culture aliquots and was incubated at room temperature for 30 minutes. Subsequently, 5 ml top agar (0.8% Bacto-agar, 0.8% NaCl, 5 mM CaCl</w:t>
      </w:r>
      <w:r w:rsidRPr="0085544B">
        <w:rPr>
          <w:rFonts w:ascii="Times New Roman" w:hAnsi="Times New Roman" w:cs="Times New Roman"/>
          <w:vertAlign w:val="subscript"/>
        </w:rPr>
        <w:t>2</w:t>
      </w:r>
      <w:r w:rsidRPr="0085544B">
        <w:rPr>
          <w:rFonts w:ascii="Times New Roman" w:hAnsi="Times New Roman" w:cs="Times New Roman"/>
        </w:rPr>
        <w:t>) was added and each dilution was plated on the appropriate plates. The confluent plate was determined and overlaid with TMG buffer after which the top layer was scraped off and spun at 13,000 rpm for 10 mins. The supernatant/phage lysate was filter sterilised using a 0.22 μ</w:t>
      </w:r>
      <w:r>
        <w:rPr>
          <w:rFonts w:ascii="Times New Roman" w:hAnsi="Times New Roman" w:cs="Times New Roman"/>
        </w:rPr>
        <w:t>m</w:t>
      </w:r>
      <w:r w:rsidRPr="0085544B">
        <w:rPr>
          <w:rFonts w:ascii="Times New Roman" w:hAnsi="Times New Roman" w:cs="Times New Roman"/>
        </w:rPr>
        <w:t xml:space="preserve"> filter and stored at 4˚C.</w:t>
      </w:r>
    </w:p>
    <w:p w14:paraId="395B00F6" w14:textId="5A314D47" w:rsidR="00D70E9B" w:rsidRPr="0085544B" w:rsidRDefault="00D70E9B" w:rsidP="00D70E9B">
      <w:pPr>
        <w:spacing w:line="360" w:lineRule="auto"/>
        <w:ind w:firstLine="720"/>
        <w:jc w:val="both"/>
        <w:rPr>
          <w:rFonts w:ascii="Times New Roman" w:hAnsi="Times New Roman" w:cs="Times New Roman"/>
        </w:rPr>
      </w:pPr>
      <w:r w:rsidRPr="0085544B">
        <w:rPr>
          <w:rFonts w:ascii="Times New Roman" w:hAnsi="Times New Roman" w:cs="Times New Roman"/>
        </w:rPr>
        <w:t>For the phage transduction, the pellet from a 5 ml culture of the appropriate</w:t>
      </w:r>
      <w:r w:rsidRPr="0085544B">
        <w:rPr>
          <w:rFonts w:ascii="Times New Roman" w:hAnsi="Times New Roman" w:cs="Times New Roman"/>
          <w:i/>
          <w:iCs/>
        </w:rPr>
        <w:t xml:space="preserve"> S. aureus </w:t>
      </w:r>
      <w:r w:rsidRPr="0085544B">
        <w:rPr>
          <w:rFonts w:ascii="Times New Roman" w:hAnsi="Times New Roman" w:cs="Times New Roman"/>
        </w:rPr>
        <w:t>recipient strain was resuspended in 100 μl LB/TSB + 5 mM CaCl</w:t>
      </w:r>
      <w:r w:rsidRPr="0085544B">
        <w:rPr>
          <w:rFonts w:ascii="Times New Roman" w:hAnsi="Times New Roman" w:cs="Times New Roman"/>
          <w:vertAlign w:val="subscript"/>
        </w:rPr>
        <w:t>2</w:t>
      </w:r>
      <w:r w:rsidRPr="0085544B">
        <w:rPr>
          <w:rFonts w:ascii="Times New Roman" w:hAnsi="Times New Roman" w:cs="Times New Roman"/>
        </w:rPr>
        <w:t xml:space="preserve"> (5 X concentrated). 250 μl of concentrated culture and 400 μl of phage lysate were mixed and then incubated at 37˚C for 20 minutes. Ice cold 1 M sodium citrate</w:t>
      </w:r>
      <w:r>
        <w:rPr>
          <w:rFonts w:ascii="Times New Roman" w:hAnsi="Times New Roman" w:cs="Times New Roman"/>
        </w:rPr>
        <w:t xml:space="preserve"> </w:t>
      </w:r>
      <w:r w:rsidRPr="0085544B">
        <w:rPr>
          <w:rFonts w:ascii="Times New Roman" w:hAnsi="Times New Roman" w:cs="Times New Roman"/>
        </w:rPr>
        <w:t>was added to each sample to bring the overall sodium citrate concentration to 40 mM. Following this, the cells underwent three wash steps with ice cold 40 mM sodium citrate. The cells were then resuspended in 300 μl 40 mM sodium citrate. 100 μl and 200 μl were plated on plates</w:t>
      </w:r>
      <w:r w:rsidR="0096455D">
        <w:rPr>
          <w:rFonts w:ascii="Times New Roman" w:hAnsi="Times New Roman" w:cs="Times New Roman"/>
        </w:rPr>
        <w:t xml:space="preserve"> containing 20 mM sodium citrate and the appropriate antibiotics. </w:t>
      </w:r>
    </w:p>
    <w:p w14:paraId="7340B987" w14:textId="10DC35C9" w:rsidR="00D70E9B" w:rsidRPr="00D4711A" w:rsidRDefault="00D70E9B" w:rsidP="00D70E9B">
      <w:pPr>
        <w:pStyle w:val="Heading2"/>
      </w:pPr>
      <w:bookmarkStart w:id="92" w:name="_Toc142043602"/>
      <w:bookmarkStart w:id="93" w:name="_Hlk38208895"/>
      <w:r w:rsidRPr="00D4711A">
        <w:t>2.</w:t>
      </w:r>
      <w:r w:rsidR="00E315F1">
        <w:t>5</w:t>
      </w:r>
      <w:r w:rsidRPr="00D4711A">
        <w:t>. Agarose gel electrophoresis</w:t>
      </w:r>
      <w:bookmarkEnd w:id="92"/>
      <w:r w:rsidRPr="00D4711A">
        <w:t xml:space="preserve"> </w:t>
      </w:r>
    </w:p>
    <w:bookmarkEnd w:id="93"/>
    <w:p w14:paraId="151A59EB" w14:textId="77777777" w:rsidR="00D70E9B" w:rsidRDefault="00D70E9B" w:rsidP="00D70E9B">
      <w:pPr>
        <w:spacing w:line="360" w:lineRule="auto"/>
        <w:jc w:val="both"/>
        <w:rPr>
          <w:rFonts w:ascii="Times New Roman" w:hAnsi="Times New Roman" w:cs="Times New Roman"/>
        </w:rPr>
      </w:pPr>
    </w:p>
    <w:p w14:paraId="2EF8592D" w14:textId="77777777" w:rsidR="00D70E9B" w:rsidRPr="0085544B" w:rsidRDefault="00D70E9B" w:rsidP="00D70E9B">
      <w:pPr>
        <w:spacing w:line="360" w:lineRule="auto"/>
        <w:jc w:val="both"/>
        <w:rPr>
          <w:rFonts w:ascii="Times New Roman" w:hAnsi="Times New Roman" w:cs="Times New Roman"/>
          <w:color w:val="000000" w:themeColor="text1"/>
        </w:rPr>
      </w:pPr>
      <w:r w:rsidRPr="0085544B">
        <w:rPr>
          <w:rFonts w:ascii="Times New Roman" w:hAnsi="Times New Roman" w:cs="Times New Roman"/>
        </w:rPr>
        <w:t>Appropriate volumes of DNA were mixed with 6X Purple Gel Loading Dye (</w:t>
      </w:r>
      <w:r>
        <w:rPr>
          <w:rFonts w:ascii="Times New Roman" w:hAnsi="Times New Roman" w:cs="Times New Roman"/>
        </w:rPr>
        <w:t>NEB</w:t>
      </w:r>
      <w:r w:rsidRPr="0085544B">
        <w:rPr>
          <w:rFonts w:ascii="Times New Roman" w:hAnsi="Times New Roman" w:cs="Times New Roman"/>
        </w:rPr>
        <w:t>) and were loaded onto a 1% agarose gel</w:t>
      </w:r>
      <w:r>
        <w:rPr>
          <w:rFonts w:ascii="Times New Roman" w:hAnsi="Times New Roman" w:cs="Times New Roman"/>
        </w:rPr>
        <w:t xml:space="preserve"> (Oxoid)</w:t>
      </w:r>
      <w:r w:rsidRPr="0085544B">
        <w:rPr>
          <w:rFonts w:ascii="Times New Roman" w:hAnsi="Times New Roman" w:cs="Times New Roman"/>
          <w:color w:val="000000" w:themeColor="text1"/>
        </w:rPr>
        <w:t xml:space="preserve"> containing SYBR Safe DNA Gel Stain (ThermoFisher Scientific). The gels were run in 1 </w:t>
      </w:r>
      <w:r w:rsidRPr="003C4B8B">
        <w:rPr>
          <w:rFonts w:ascii="Times New Roman" w:hAnsi="Times New Roman" w:cs="Times New Roman"/>
        </w:rPr>
        <w:t xml:space="preserve">X TAE buffer </w:t>
      </w:r>
      <w:r>
        <w:rPr>
          <w:rFonts w:ascii="Times New Roman" w:hAnsi="Times New Roman" w:cs="Times New Roman"/>
          <w:color w:val="000000" w:themeColor="text1"/>
        </w:rPr>
        <w:t xml:space="preserve">(40 mM Tris base, 0.11% glacial acetic acid, 1 mM EDTA) </w:t>
      </w:r>
      <w:r w:rsidRPr="0085544B">
        <w:rPr>
          <w:rFonts w:ascii="Times New Roman" w:hAnsi="Times New Roman" w:cs="Times New Roman"/>
          <w:color w:val="000000" w:themeColor="text1"/>
        </w:rPr>
        <w:t>at 110 V for 20-30 mins and were</w:t>
      </w:r>
      <w:r>
        <w:rPr>
          <w:rFonts w:ascii="Times New Roman" w:hAnsi="Times New Roman" w:cs="Times New Roman"/>
          <w:color w:val="000000" w:themeColor="text1"/>
        </w:rPr>
        <w:t xml:space="preserve"> subsequently</w:t>
      </w:r>
      <w:r w:rsidRPr="0085544B">
        <w:rPr>
          <w:rFonts w:ascii="Times New Roman" w:hAnsi="Times New Roman" w:cs="Times New Roman"/>
          <w:color w:val="000000" w:themeColor="text1"/>
        </w:rPr>
        <w:t xml:space="preserve"> visua</w:t>
      </w:r>
      <w:r>
        <w:rPr>
          <w:rFonts w:ascii="Times New Roman" w:hAnsi="Times New Roman" w:cs="Times New Roman"/>
          <w:color w:val="000000" w:themeColor="text1"/>
        </w:rPr>
        <w:t>lised</w:t>
      </w:r>
      <w:r w:rsidRPr="0085544B">
        <w:rPr>
          <w:rFonts w:ascii="Times New Roman" w:hAnsi="Times New Roman" w:cs="Times New Roman"/>
          <w:color w:val="000000" w:themeColor="text1"/>
        </w:rPr>
        <w:t>.</w:t>
      </w:r>
    </w:p>
    <w:p w14:paraId="0881CDCC" w14:textId="32FA1D1E" w:rsidR="00D70E9B" w:rsidRDefault="00D70E9B" w:rsidP="00D70E9B">
      <w:pPr>
        <w:pStyle w:val="Heading2"/>
      </w:pPr>
      <w:bookmarkStart w:id="94" w:name="_Toc142043603"/>
      <w:bookmarkStart w:id="95" w:name="_Hlk38208899"/>
      <w:r w:rsidRPr="00D4711A">
        <w:t>2.</w:t>
      </w:r>
      <w:r w:rsidR="00E315F1">
        <w:t>6</w:t>
      </w:r>
      <w:r w:rsidRPr="00D4711A">
        <w:t>. Growth and survival curves</w:t>
      </w:r>
      <w:bookmarkEnd w:id="94"/>
    </w:p>
    <w:p w14:paraId="76C0B24B" w14:textId="77777777" w:rsidR="00D70E9B" w:rsidRPr="005109FC" w:rsidRDefault="00D70E9B" w:rsidP="00D70E9B"/>
    <w:p w14:paraId="5984E75F" w14:textId="508A0CC9" w:rsidR="00D70E9B" w:rsidRPr="00D4711A" w:rsidRDefault="00D70E9B" w:rsidP="00D70E9B">
      <w:pPr>
        <w:pStyle w:val="Heading3"/>
      </w:pPr>
      <w:bookmarkStart w:id="96" w:name="_Toc142043604"/>
      <w:bookmarkStart w:id="97" w:name="_Hlk38208904"/>
      <w:bookmarkEnd w:id="95"/>
      <w:r w:rsidRPr="00D4711A">
        <w:t>2.</w:t>
      </w:r>
      <w:r w:rsidR="00E315F1">
        <w:t>6</w:t>
      </w:r>
      <w:r w:rsidRPr="00D4711A">
        <w:t xml:space="preserve">.1. </w:t>
      </w:r>
      <w:r w:rsidRPr="00D4711A">
        <w:rPr>
          <w:i/>
          <w:iCs/>
        </w:rPr>
        <w:t xml:space="preserve">S. aureus </w:t>
      </w:r>
      <w:r w:rsidRPr="00D4711A">
        <w:t>growth curves</w:t>
      </w:r>
      <w:bookmarkEnd w:id="96"/>
    </w:p>
    <w:bookmarkEnd w:id="97"/>
    <w:p w14:paraId="5AAD18BA" w14:textId="77777777" w:rsidR="00D70E9B" w:rsidRDefault="00D70E9B" w:rsidP="00D70E9B">
      <w:pPr>
        <w:spacing w:line="360" w:lineRule="auto"/>
        <w:jc w:val="both"/>
        <w:rPr>
          <w:rFonts w:ascii="Times New Roman" w:hAnsi="Times New Roman" w:cs="Times New Roman"/>
          <w:color w:val="000000" w:themeColor="text1"/>
        </w:rPr>
      </w:pPr>
    </w:p>
    <w:p w14:paraId="3D9A8305" w14:textId="5AC7D30C" w:rsidR="00D70E9B" w:rsidRPr="006F1EA2" w:rsidRDefault="00D70E9B" w:rsidP="00D70E9B">
      <w:pPr>
        <w:spacing w:line="360" w:lineRule="auto"/>
        <w:jc w:val="both"/>
        <w:rPr>
          <w:rFonts w:ascii="Times New Roman" w:hAnsi="Times New Roman" w:cs="Times New Roman"/>
          <w:color w:val="000000" w:themeColor="text1"/>
        </w:rPr>
      </w:pPr>
      <w:r w:rsidRPr="0085544B">
        <w:rPr>
          <w:rFonts w:ascii="Times New Roman" w:hAnsi="Times New Roman" w:cs="Times New Roman"/>
          <w:i/>
          <w:iCs/>
          <w:color w:val="000000" w:themeColor="text1"/>
        </w:rPr>
        <w:t xml:space="preserve">S. aureus </w:t>
      </w:r>
      <w:r w:rsidRPr="0085544B">
        <w:rPr>
          <w:rFonts w:ascii="Times New Roman" w:hAnsi="Times New Roman" w:cs="Times New Roman"/>
          <w:color w:val="000000" w:themeColor="text1"/>
        </w:rPr>
        <w:t>overnight culture</w:t>
      </w:r>
      <w:r>
        <w:rPr>
          <w:rFonts w:ascii="Times New Roman" w:hAnsi="Times New Roman" w:cs="Times New Roman"/>
          <w:color w:val="000000" w:themeColor="text1"/>
        </w:rPr>
        <w:t>s</w:t>
      </w:r>
      <w:r w:rsidRPr="0085544B">
        <w:rPr>
          <w:rFonts w:ascii="Times New Roman" w:hAnsi="Times New Roman" w:cs="Times New Roman"/>
          <w:color w:val="000000" w:themeColor="text1"/>
        </w:rPr>
        <w:t xml:space="preserve"> </w:t>
      </w:r>
      <w:r>
        <w:rPr>
          <w:rFonts w:ascii="Times New Roman" w:hAnsi="Times New Roman" w:cs="Times New Roman"/>
          <w:color w:val="000000" w:themeColor="text1"/>
        </w:rPr>
        <w:t>were</w:t>
      </w:r>
      <w:r w:rsidRPr="0085544B">
        <w:rPr>
          <w:rFonts w:ascii="Times New Roman" w:hAnsi="Times New Roman" w:cs="Times New Roman"/>
          <w:color w:val="000000" w:themeColor="text1"/>
        </w:rPr>
        <w:t xml:space="preserve"> diluted to an OD</w:t>
      </w:r>
      <w:r w:rsidRPr="0085544B">
        <w:rPr>
          <w:rFonts w:ascii="Times New Roman" w:hAnsi="Times New Roman" w:cs="Times New Roman"/>
          <w:color w:val="000000" w:themeColor="text1"/>
          <w:vertAlign w:val="subscript"/>
        </w:rPr>
        <w:t>600</w:t>
      </w:r>
      <w:r w:rsidRPr="0085544B">
        <w:rPr>
          <w:rFonts w:ascii="Times New Roman" w:hAnsi="Times New Roman" w:cs="Times New Roman"/>
          <w:color w:val="000000" w:themeColor="text1"/>
        </w:rPr>
        <w:t xml:space="preserve"> of 0.05</w:t>
      </w:r>
      <w:r>
        <w:rPr>
          <w:rFonts w:ascii="Times New Roman" w:hAnsi="Times New Roman" w:cs="Times New Roman"/>
          <w:color w:val="000000" w:themeColor="text1"/>
        </w:rPr>
        <w:t xml:space="preserve"> in TSB or </w:t>
      </w:r>
      <w:r w:rsidR="0096455D">
        <w:rPr>
          <w:rFonts w:ascii="Times New Roman" w:hAnsi="Times New Roman" w:cs="Times New Roman"/>
          <w:color w:val="000000" w:themeColor="text1"/>
        </w:rPr>
        <w:t>t</w:t>
      </w:r>
      <w:r>
        <w:rPr>
          <w:rFonts w:ascii="Times New Roman" w:hAnsi="Times New Roman" w:cs="Times New Roman"/>
          <w:color w:val="000000" w:themeColor="text1"/>
        </w:rPr>
        <w:t xml:space="preserve">ris-maleate buffered TSB (TSB dissolved in 0.1 M </w:t>
      </w:r>
      <w:r w:rsidR="0096455D">
        <w:rPr>
          <w:rFonts w:ascii="Times New Roman" w:hAnsi="Times New Roman" w:cs="Times New Roman"/>
          <w:color w:val="000000" w:themeColor="text1"/>
        </w:rPr>
        <w:t>t</w:t>
      </w:r>
      <w:r>
        <w:rPr>
          <w:rFonts w:ascii="Times New Roman" w:hAnsi="Times New Roman" w:cs="Times New Roman"/>
          <w:color w:val="000000" w:themeColor="text1"/>
        </w:rPr>
        <w:t xml:space="preserve">ris and 0.1 M maleic acid (Sigma) adjusted to pH 4.5 and 7.5) </w:t>
      </w:r>
      <w:r w:rsidRPr="0085544B">
        <w:rPr>
          <w:rFonts w:ascii="Times New Roman" w:hAnsi="Times New Roman" w:cs="Times New Roman"/>
          <w:color w:val="000000" w:themeColor="text1"/>
        </w:rPr>
        <w:t>and w</w:t>
      </w:r>
      <w:r>
        <w:rPr>
          <w:rFonts w:ascii="Times New Roman" w:hAnsi="Times New Roman" w:cs="Times New Roman"/>
          <w:color w:val="000000" w:themeColor="text1"/>
        </w:rPr>
        <w:t>ere</w:t>
      </w:r>
      <w:r w:rsidRPr="0085544B">
        <w:rPr>
          <w:rFonts w:ascii="Times New Roman" w:hAnsi="Times New Roman" w:cs="Times New Roman"/>
          <w:color w:val="000000" w:themeColor="text1"/>
        </w:rPr>
        <w:t xml:space="preserve"> supplemented with antibiotics</w:t>
      </w:r>
      <w:r>
        <w:rPr>
          <w:rFonts w:ascii="Times New Roman" w:hAnsi="Times New Roman" w:cs="Times New Roman"/>
          <w:color w:val="000000" w:themeColor="text1"/>
        </w:rPr>
        <w:t xml:space="preserve"> when necessary</w:t>
      </w:r>
      <w:r w:rsidRPr="0085544B">
        <w:rPr>
          <w:rFonts w:ascii="Times New Roman" w:hAnsi="Times New Roman" w:cs="Times New Roman"/>
          <w:color w:val="000000" w:themeColor="text1"/>
        </w:rPr>
        <w:t xml:space="preserve">. </w:t>
      </w:r>
      <w:r>
        <w:rPr>
          <w:rFonts w:ascii="Times New Roman" w:hAnsi="Times New Roman" w:cs="Times New Roman"/>
          <w:color w:val="000000" w:themeColor="text1"/>
        </w:rPr>
        <w:t>Diluted cultures were</w:t>
      </w:r>
      <w:r w:rsidRPr="0085544B">
        <w:rPr>
          <w:rFonts w:ascii="Times New Roman" w:hAnsi="Times New Roman" w:cs="Times New Roman"/>
          <w:color w:val="000000" w:themeColor="text1"/>
        </w:rPr>
        <w:t xml:space="preserve"> incubated at 37</w:t>
      </w:r>
      <w:r w:rsidRPr="0085544B">
        <w:rPr>
          <w:rFonts w:ascii="Times New Roman" w:hAnsi="Times New Roman" w:cs="Times New Roman"/>
        </w:rPr>
        <w:t xml:space="preserve">˚C for 8 hours and </w:t>
      </w:r>
      <w:r w:rsidRPr="0085544B">
        <w:rPr>
          <w:rFonts w:ascii="Times New Roman" w:hAnsi="Times New Roman" w:cs="Times New Roman"/>
          <w:color w:val="000000" w:themeColor="text1"/>
        </w:rPr>
        <w:t>OD</w:t>
      </w:r>
      <w:r w:rsidRPr="0085544B">
        <w:rPr>
          <w:rFonts w:ascii="Times New Roman" w:hAnsi="Times New Roman" w:cs="Times New Roman"/>
          <w:color w:val="000000" w:themeColor="text1"/>
          <w:vertAlign w:val="subscript"/>
        </w:rPr>
        <w:t xml:space="preserve">600 </w:t>
      </w:r>
      <w:r w:rsidRPr="0085544B">
        <w:rPr>
          <w:rFonts w:ascii="Times New Roman" w:hAnsi="Times New Roman" w:cs="Times New Roman"/>
          <w:color w:val="000000" w:themeColor="text1"/>
        </w:rPr>
        <w:t xml:space="preserve">values were determined at hourly intervals. </w:t>
      </w:r>
    </w:p>
    <w:p w14:paraId="6BA11C6C" w14:textId="76520829" w:rsidR="00D70E9B" w:rsidRDefault="00D70E9B" w:rsidP="00D70E9B">
      <w:pPr>
        <w:pStyle w:val="Heading3"/>
      </w:pPr>
      <w:bookmarkStart w:id="98" w:name="_Toc142043605"/>
      <w:r>
        <w:t>2.</w:t>
      </w:r>
      <w:r w:rsidR="00E315F1">
        <w:t>6</w:t>
      </w:r>
      <w:r>
        <w:t xml:space="preserve">.2. </w:t>
      </w:r>
      <w:r w:rsidRPr="005B40AE">
        <w:t>Biolog Phenotype MicroArray PM10 plates</w:t>
      </w:r>
      <w:bookmarkEnd w:id="98"/>
    </w:p>
    <w:p w14:paraId="1ECC51A0" w14:textId="77777777" w:rsidR="00D70E9B" w:rsidRDefault="00D70E9B" w:rsidP="00D70E9B"/>
    <w:p w14:paraId="1F641A4E" w14:textId="37EBF35C" w:rsidR="00D70E9B" w:rsidRPr="00335F39" w:rsidRDefault="00D70E9B" w:rsidP="00D70E9B">
      <w:pPr>
        <w:pStyle w:val="Default"/>
        <w:spacing w:line="360" w:lineRule="auto"/>
        <w:jc w:val="both"/>
        <w:rPr>
          <w:sz w:val="22"/>
          <w:szCs w:val="22"/>
        </w:rPr>
      </w:pPr>
      <w:r w:rsidRPr="00335F39">
        <w:rPr>
          <w:sz w:val="22"/>
          <w:szCs w:val="22"/>
        </w:rPr>
        <w:t xml:space="preserve">The </w:t>
      </w:r>
      <w:r w:rsidRPr="00335F39">
        <w:rPr>
          <w:i/>
          <w:iCs/>
          <w:sz w:val="22"/>
          <w:szCs w:val="22"/>
        </w:rPr>
        <w:t xml:space="preserve">S. aureus </w:t>
      </w:r>
      <w:r w:rsidRPr="00335F39">
        <w:rPr>
          <w:sz w:val="22"/>
          <w:szCs w:val="22"/>
        </w:rPr>
        <w:t xml:space="preserve">strains to be tested were streaked on TSA </w:t>
      </w:r>
      <w:r w:rsidR="0096455D">
        <w:rPr>
          <w:sz w:val="22"/>
          <w:szCs w:val="22"/>
        </w:rPr>
        <w:t>plates</w:t>
      </w:r>
      <w:r w:rsidRPr="00335F39">
        <w:rPr>
          <w:sz w:val="22"/>
          <w:szCs w:val="22"/>
        </w:rPr>
        <w:t xml:space="preserve"> and grown overnight at 37</w:t>
      </w:r>
      <w:r w:rsidRPr="00335F39">
        <w:rPr>
          <w:color w:val="auto"/>
          <w:sz w:val="22"/>
          <w:szCs w:val="22"/>
        </w:rPr>
        <w:t>°C</w:t>
      </w:r>
      <w:r w:rsidRPr="00335F39">
        <w:rPr>
          <w:sz w:val="22"/>
          <w:szCs w:val="22"/>
        </w:rPr>
        <w:t>. A single colony from each strain was re-streaked and grown again</w:t>
      </w:r>
      <w:r w:rsidR="0096455D">
        <w:rPr>
          <w:sz w:val="22"/>
          <w:szCs w:val="22"/>
        </w:rPr>
        <w:t xml:space="preserve"> overnight</w:t>
      </w:r>
      <w:r w:rsidRPr="00335F39">
        <w:rPr>
          <w:sz w:val="22"/>
          <w:szCs w:val="22"/>
        </w:rPr>
        <w:t xml:space="preserve">. A sterile swab was used to inoculate 5 ml of IF-0a GN/GP Base inoculating fluid (1.2x) with the appropriate </w:t>
      </w:r>
      <w:r w:rsidRPr="00335F39">
        <w:rPr>
          <w:i/>
          <w:iCs/>
          <w:sz w:val="22"/>
          <w:szCs w:val="22"/>
        </w:rPr>
        <w:t xml:space="preserve">S, aureus </w:t>
      </w:r>
      <w:r w:rsidRPr="00335F39">
        <w:rPr>
          <w:sz w:val="22"/>
          <w:szCs w:val="22"/>
        </w:rPr>
        <w:t xml:space="preserve">culture, resulting in a suspension with 81% transmittance (or </w:t>
      </w:r>
      <w:r w:rsidRPr="00335F39">
        <w:rPr>
          <w:color w:val="000000" w:themeColor="text1"/>
          <w:sz w:val="22"/>
          <w:szCs w:val="22"/>
        </w:rPr>
        <w:t>OD</w:t>
      </w:r>
      <w:r w:rsidRPr="00335F39">
        <w:rPr>
          <w:color w:val="000000" w:themeColor="text1"/>
          <w:sz w:val="22"/>
          <w:szCs w:val="22"/>
          <w:vertAlign w:val="subscript"/>
        </w:rPr>
        <w:t xml:space="preserve">600 </w:t>
      </w:r>
      <w:r w:rsidRPr="00335F39">
        <w:rPr>
          <w:sz w:val="22"/>
          <w:szCs w:val="22"/>
        </w:rPr>
        <w:t>0.1). The 1X PM Inoculating Fluid was prepared by mixing 1.2X IF-10b GN/GP, 100X Dye mix H, 12X PM additive solution (2 mM MgCl</w:t>
      </w:r>
      <w:r w:rsidRPr="00335F39">
        <w:rPr>
          <w:sz w:val="22"/>
          <w:szCs w:val="22"/>
          <w:vertAlign w:val="subscript"/>
        </w:rPr>
        <w:t xml:space="preserve">2 </w:t>
      </w:r>
      <w:r w:rsidRPr="00335F39">
        <w:rPr>
          <w:sz w:val="22"/>
          <w:szCs w:val="22"/>
        </w:rPr>
        <w:t>6H</w:t>
      </w:r>
      <w:r w:rsidRPr="00335F39">
        <w:rPr>
          <w:sz w:val="22"/>
          <w:szCs w:val="22"/>
          <w:vertAlign w:val="subscript"/>
        </w:rPr>
        <w:t>2</w:t>
      </w:r>
      <w:r w:rsidRPr="00335F39">
        <w:rPr>
          <w:sz w:val="22"/>
          <w:szCs w:val="22"/>
        </w:rPr>
        <w:t>O, 1 mM CaCl</w:t>
      </w:r>
      <w:r w:rsidRPr="00335F39">
        <w:rPr>
          <w:sz w:val="22"/>
          <w:szCs w:val="22"/>
          <w:vertAlign w:val="subscript"/>
        </w:rPr>
        <w:t>2</w:t>
      </w:r>
      <w:r w:rsidRPr="00335F39">
        <w:rPr>
          <w:sz w:val="22"/>
          <w:szCs w:val="22"/>
        </w:rPr>
        <w:t xml:space="preserve"> 2H</w:t>
      </w:r>
      <w:r w:rsidRPr="00335F39">
        <w:rPr>
          <w:sz w:val="22"/>
          <w:szCs w:val="22"/>
          <w:vertAlign w:val="subscript"/>
        </w:rPr>
        <w:t>2</w:t>
      </w:r>
      <w:r w:rsidRPr="00335F39">
        <w:rPr>
          <w:sz w:val="22"/>
          <w:szCs w:val="22"/>
        </w:rPr>
        <w:t xml:space="preserve">O, 0.005% yeast extract, 0.005% tween 80, 2.5 mM D-glucose, 5 mM sodium pyruvate and made up to 100 ml with </w:t>
      </w:r>
      <w:r>
        <w:rPr>
          <w:sz w:val="22"/>
          <w:szCs w:val="22"/>
        </w:rPr>
        <w:t>autoclaved distilled</w:t>
      </w:r>
      <w:r w:rsidRPr="00335F39">
        <w:rPr>
          <w:sz w:val="22"/>
          <w:szCs w:val="22"/>
        </w:rPr>
        <w:t xml:space="preserve"> water)</w:t>
      </w:r>
      <w:r>
        <w:rPr>
          <w:sz w:val="22"/>
          <w:szCs w:val="22"/>
        </w:rPr>
        <w:t xml:space="preserve"> and</w:t>
      </w:r>
      <w:r w:rsidRPr="00335F39">
        <w:rPr>
          <w:sz w:val="22"/>
          <w:szCs w:val="22"/>
        </w:rPr>
        <w:t xml:space="preserve"> 13.64X bacterial cell culture made up in IF-0a GN/GP Base inoculating fluid and was made up to 12 ml. The 1X PM Inoculating Fluid was added to the Biolog Phenotype Microarray PM10 plate at 100 µl/well and growth was measured at OD</w:t>
      </w:r>
      <w:r w:rsidRPr="00335F39">
        <w:rPr>
          <w:sz w:val="22"/>
          <w:szCs w:val="22"/>
          <w:vertAlign w:val="subscript"/>
        </w:rPr>
        <w:t>590</w:t>
      </w:r>
      <w:r w:rsidRPr="00335F39">
        <w:rPr>
          <w:sz w:val="22"/>
          <w:szCs w:val="22"/>
        </w:rPr>
        <w:t xml:space="preserve"> for 20 hours at 37</w:t>
      </w:r>
      <w:r w:rsidRPr="00335F39">
        <w:rPr>
          <w:color w:val="auto"/>
          <w:sz w:val="22"/>
          <w:szCs w:val="22"/>
        </w:rPr>
        <w:t>°C with aeration at 200 rpm</w:t>
      </w:r>
      <w:r w:rsidRPr="00335F39">
        <w:rPr>
          <w:sz w:val="22"/>
          <w:szCs w:val="22"/>
        </w:rPr>
        <w:t xml:space="preserve"> in a Hidex Sense platereader</w:t>
      </w:r>
    </w:p>
    <w:p w14:paraId="5E51D822" w14:textId="26B678A4" w:rsidR="00D70E9B" w:rsidRDefault="00D70E9B" w:rsidP="00D70E9B">
      <w:pPr>
        <w:pStyle w:val="Heading2"/>
      </w:pPr>
      <w:bookmarkStart w:id="99" w:name="_Toc142043606"/>
      <w:r>
        <w:t>2.</w:t>
      </w:r>
      <w:r w:rsidR="00E315F1">
        <w:t>7</w:t>
      </w:r>
      <w:r>
        <w:t>. Mammalian cell infection</w:t>
      </w:r>
      <w:bookmarkEnd w:id="99"/>
    </w:p>
    <w:p w14:paraId="04DD7A3B" w14:textId="77777777" w:rsidR="00D70E9B" w:rsidRDefault="00D70E9B" w:rsidP="00D70E9B"/>
    <w:p w14:paraId="3FA6CFCC" w14:textId="256A1D77" w:rsidR="00D70E9B" w:rsidRDefault="00D70E9B" w:rsidP="00D70E9B">
      <w:pPr>
        <w:pStyle w:val="Heading3"/>
      </w:pPr>
      <w:bookmarkStart w:id="100" w:name="_Toc142043607"/>
      <w:r>
        <w:t>2.</w:t>
      </w:r>
      <w:r w:rsidR="00E315F1">
        <w:t>7</w:t>
      </w:r>
      <w:r>
        <w:t xml:space="preserve">.1. Preparation of </w:t>
      </w:r>
      <w:r>
        <w:rPr>
          <w:i/>
          <w:iCs/>
        </w:rPr>
        <w:t xml:space="preserve">S. aureus </w:t>
      </w:r>
      <w:r>
        <w:t>frozen stocks for macrophage infection</w:t>
      </w:r>
      <w:bookmarkEnd w:id="100"/>
    </w:p>
    <w:p w14:paraId="7D7E9EF2" w14:textId="77777777" w:rsidR="00D70E9B" w:rsidRDefault="00D70E9B" w:rsidP="00D70E9B"/>
    <w:p w14:paraId="7DA4A1F2" w14:textId="77777777" w:rsidR="00D70E9B" w:rsidRDefault="00D70E9B" w:rsidP="00D70E9B">
      <w:pPr>
        <w:spacing w:line="360" w:lineRule="auto"/>
        <w:jc w:val="both"/>
        <w:rPr>
          <w:rFonts w:ascii="Times New Roman" w:hAnsi="Times New Roman" w:cs="Times New Roman"/>
          <w:color w:val="000000" w:themeColor="text1"/>
        </w:rPr>
      </w:pPr>
      <w:r>
        <w:rPr>
          <w:rFonts w:ascii="Times New Roman" w:hAnsi="Times New Roman" w:cs="Times New Roman"/>
        </w:rPr>
        <w:t xml:space="preserve">For the preparation of frozen </w:t>
      </w:r>
      <w:r>
        <w:rPr>
          <w:rFonts w:ascii="Times New Roman" w:hAnsi="Times New Roman" w:cs="Times New Roman"/>
          <w:i/>
          <w:iCs/>
        </w:rPr>
        <w:t xml:space="preserve">S. aureus </w:t>
      </w:r>
      <w:r>
        <w:rPr>
          <w:rFonts w:ascii="Times New Roman" w:hAnsi="Times New Roman" w:cs="Times New Roman"/>
        </w:rPr>
        <w:t xml:space="preserve">cultures, </w:t>
      </w:r>
      <w:r w:rsidRPr="0004177D">
        <w:rPr>
          <w:rFonts w:ascii="Times New Roman" w:hAnsi="Times New Roman" w:cs="Times New Roman"/>
        </w:rPr>
        <w:t>JE2 and (p)ppGpp</w:t>
      </w:r>
      <w:r w:rsidRPr="0004177D">
        <w:rPr>
          <w:rFonts w:ascii="Times New Roman" w:hAnsi="Times New Roman" w:cs="Times New Roman"/>
          <w:vertAlign w:val="superscript"/>
        </w:rPr>
        <w:t>0</w:t>
      </w:r>
      <w:r w:rsidRPr="0004177D">
        <w:rPr>
          <w:rFonts w:ascii="Times New Roman" w:hAnsi="Times New Roman" w:cs="Times New Roman"/>
        </w:rPr>
        <w:t xml:space="preserve"> </w:t>
      </w:r>
      <w:r>
        <w:rPr>
          <w:rFonts w:ascii="Times New Roman" w:hAnsi="Times New Roman" w:cs="Times New Roman"/>
        </w:rPr>
        <w:t xml:space="preserve">overnight </w:t>
      </w:r>
      <w:r w:rsidRPr="003E713C">
        <w:rPr>
          <w:rFonts w:ascii="Times New Roman" w:hAnsi="Times New Roman" w:cs="Times New Roman"/>
          <w:color w:val="000000" w:themeColor="text1"/>
        </w:rPr>
        <w:t>cultures</w:t>
      </w:r>
      <w:r w:rsidRPr="003E713C">
        <w:rPr>
          <w:rFonts w:ascii="Times New Roman" w:hAnsi="Times New Roman" w:cs="Times New Roman"/>
        </w:rPr>
        <w:t xml:space="preserve"> were diluted to </w:t>
      </w:r>
      <w:r w:rsidRPr="003E713C">
        <w:rPr>
          <w:rFonts w:ascii="Times New Roman" w:hAnsi="Times New Roman" w:cs="Times New Roman"/>
          <w:color w:val="000000" w:themeColor="text1"/>
        </w:rPr>
        <w:t>OD</w:t>
      </w:r>
      <w:r w:rsidRPr="003E713C">
        <w:rPr>
          <w:rFonts w:ascii="Times New Roman" w:hAnsi="Times New Roman" w:cs="Times New Roman"/>
          <w:color w:val="000000" w:themeColor="text1"/>
          <w:vertAlign w:val="subscript"/>
        </w:rPr>
        <w:t>600</w:t>
      </w:r>
      <w:r w:rsidRPr="003E713C">
        <w:rPr>
          <w:rFonts w:ascii="Times New Roman" w:hAnsi="Times New Roman" w:cs="Times New Roman"/>
          <w:color w:val="000000" w:themeColor="text1"/>
        </w:rPr>
        <w:t xml:space="preserve"> 0.</w:t>
      </w:r>
      <w:r>
        <w:rPr>
          <w:rFonts w:ascii="Times New Roman" w:hAnsi="Times New Roman" w:cs="Times New Roman"/>
          <w:color w:val="000000" w:themeColor="text1"/>
        </w:rPr>
        <w:t>1 and grown to late stationary phase at 37</w:t>
      </w:r>
      <w:r w:rsidRPr="0085544B">
        <w:rPr>
          <w:rFonts w:ascii="Times New Roman" w:hAnsi="Times New Roman" w:cs="Times New Roman"/>
        </w:rPr>
        <w:t>˚C</w:t>
      </w:r>
      <w:r>
        <w:rPr>
          <w:rFonts w:ascii="Times New Roman" w:hAnsi="Times New Roman" w:cs="Times New Roman"/>
          <w:color w:val="000000" w:themeColor="text1"/>
        </w:rPr>
        <w:t xml:space="preserve"> with aeration at 200 rpm </w:t>
      </w:r>
      <w:r w:rsidRPr="00B32C48">
        <w:rPr>
          <w:rFonts w:ascii="Times New Roman" w:hAnsi="Times New Roman" w:cs="Times New Roman"/>
          <w:color w:val="000000" w:themeColor="text1"/>
        </w:rPr>
        <w:t>in 25 ml TSB</w:t>
      </w:r>
      <w:r>
        <w:rPr>
          <w:rFonts w:ascii="Times New Roman" w:hAnsi="Times New Roman" w:cs="Times New Roman"/>
          <w:color w:val="000000" w:themeColor="text1"/>
        </w:rPr>
        <w:t xml:space="preserve">. </w:t>
      </w:r>
      <w:r w:rsidRPr="00B32C48">
        <w:rPr>
          <w:rFonts w:ascii="Times New Roman" w:hAnsi="Times New Roman" w:cs="Times New Roman"/>
          <w:color w:val="000000" w:themeColor="text1"/>
        </w:rPr>
        <w:t xml:space="preserve">Cells were washed three times in sterile </w:t>
      </w:r>
      <w:r w:rsidRPr="003E713C">
        <w:rPr>
          <w:rFonts w:ascii="Times New Roman" w:hAnsi="Times New Roman" w:cs="Times New Roman"/>
          <w:color w:val="000000" w:themeColor="text1"/>
        </w:rPr>
        <w:t>phosphate-buffered saline</w:t>
      </w:r>
      <w:r w:rsidRPr="00B32C48">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B32C48">
        <w:rPr>
          <w:rFonts w:ascii="Times New Roman" w:hAnsi="Times New Roman" w:cs="Times New Roman"/>
          <w:color w:val="000000" w:themeColor="text1"/>
        </w:rPr>
        <w:t>PBS</w:t>
      </w:r>
      <w:r>
        <w:rPr>
          <w:rFonts w:ascii="Times New Roman" w:hAnsi="Times New Roman" w:cs="Times New Roman"/>
          <w:color w:val="000000" w:themeColor="text1"/>
        </w:rPr>
        <w:t>)</w:t>
      </w:r>
      <w:r w:rsidRPr="00B32C48">
        <w:rPr>
          <w:rFonts w:ascii="Times New Roman" w:hAnsi="Times New Roman" w:cs="Times New Roman"/>
          <w:color w:val="000000" w:themeColor="text1"/>
        </w:rPr>
        <w:t xml:space="preserve"> and resuspended in 5% BSA (dissolved in </w:t>
      </w:r>
      <w:r>
        <w:rPr>
          <w:rFonts w:ascii="Times New Roman" w:hAnsi="Times New Roman" w:cs="Times New Roman"/>
          <w:color w:val="000000" w:themeColor="text1"/>
        </w:rPr>
        <w:t xml:space="preserve">sterile </w:t>
      </w:r>
      <w:r w:rsidRPr="00B32C48">
        <w:rPr>
          <w:rFonts w:ascii="Times New Roman" w:hAnsi="Times New Roman" w:cs="Times New Roman"/>
          <w:color w:val="000000" w:themeColor="text1"/>
        </w:rPr>
        <w:t>PBS). Cultures were aliquoted into 1.5 ml microcentrifuge tubes (250</w:t>
      </w:r>
      <w:r w:rsidRPr="00B32C48">
        <w:rPr>
          <w:rFonts w:ascii="Times New Roman" w:hAnsi="Times New Roman" w:cs="Times New Roman"/>
        </w:rPr>
        <w:t xml:space="preserve"> µl</w:t>
      </w:r>
      <w:r w:rsidRPr="00B32C48">
        <w:rPr>
          <w:rFonts w:ascii="Times New Roman" w:hAnsi="Times New Roman" w:cs="Times New Roman"/>
          <w:color w:val="000000" w:themeColor="text1"/>
        </w:rPr>
        <w:t xml:space="preserve"> per tube) and stored at -80</w:t>
      </w:r>
      <w:r w:rsidRPr="00B32C48">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color w:val="000000" w:themeColor="text1"/>
        </w:rPr>
        <w:t xml:space="preserve">CFU/ml of the aliquots were determined by thawing the cultures two days post freezing, resuspending in 750 </w:t>
      </w:r>
      <w:r w:rsidRPr="0004177D">
        <w:rPr>
          <w:rFonts w:ascii="Times New Roman" w:hAnsi="Times New Roman" w:cs="Times New Roman"/>
        </w:rPr>
        <w:t>µ</w:t>
      </w:r>
      <w:r>
        <w:rPr>
          <w:rFonts w:ascii="Times New Roman" w:hAnsi="Times New Roman" w:cs="Times New Roman"/>
        </w:rPr>
        <w:t>l sterile PBS, serially diluting the culture and plating 100</w:t>
      </w:r>
      <w:r w:rsidRPr="004C6CC0">
        <w:rPr>
          <w:rFonts w:ascii="Times New Roman" w:hAnsi="Times New Roman" w:cs="Times New Roman"/>
        </w:rPr>
        <w:t xml:space="preserve"> </w:t>
      </w:r>
      <w:r w:rsidRPr="0004177D">
        <w:rPr>
          <w:rFonts w:ascii="Times New Roman" w:hAnsi="Times New Roman" w:cs="Times New Roman"/>
        </w:rPr>
        <w:t>µ</w:t>
      </w:r>
      <w:r>
        <w:rPr>
          <w:rFonts w:ascii="Times New Roman" w:hAnsi="Times New Roman" w:cs="Times New Roman"/>
        </w:rPr>
        <w:t>l onto TSA plates.</w:t>
      </w:r>
      <w:r>
        <w:rPr>
          <w:rFonts w:ascii="Times New Roman" w:hAnsi="Times New Roman" w:cs="Times New Roman"/>
          <w:color w:val="000000" w:themeColor="text1"/>
        </w:rPr>
        <w:t xml:space="preserve"> </w:t>
      </w:r>
    </w:p>
    <w:p w14:paraId="2FE5C0D1" w14:textId="5AC4006C" w:rsidR="00D70E9B" w:rsidRDefault="00D70E9B" w:rsidP="00D70E9B">
      <w:pPr>
        <w:pStyle w:val="Heading3"/>
      </w:pPr>
      <w:bookmarkStart w:id="101" w:name="_Toc142043608"/>
      <w:r>
        <w:t>2.</w:t>
      </w:r>
      <w:r w:rsidR="00E315F1">
        <w:t>7</w:t>
      </w:r>
      <w:r>
        <w:t>.2. Macrophage infection assays</w:t>
      </w:r>
      <w:bookmarkEnd w:id="101"/>
    </w:p>
    <w:p w14:paraId="1C22EE2A" w14:textId="77777777" w:rsidR="00D70E9B" w:rsidRPr="00567D0D" w:rsidRDefault="00D70E9B" w:rsidP="00D70E9B"/>
    <w:p w14:paraId="03178BBE" w14:textId="2CB5C4CA" w:rsidR="00D70E9B" w:rsidRPr="00403F18" w:rsidRDefault="00D70E9B" w:rsidP="00D70E9B">
      <w:pPr>
        <w:spacing w:line="360" w:lineRule="auto"/>
        <w:jc w:val="both"/>
        <w:rPr>
          <w:rFonts w:ascii="Times New Roman" w:hAnsi="Times New Roman" w:cs="Times New Roman"/>
        </w:rPr>
      </w:pPr>
      <w:r>
        <w:rPr>
          <w:rFonts w:ascii="Times New Roman" w:hAnsi="Times New Roman" w:cs="Times New Roman"/>
          <w:color w:val="000000" w:themeColor="text1"/>
        </w:rPr>
        <w:t>RAW 264.7 macrophages were seeded at 100,000 cells per well in a 24-well plate and were utilised once the cell density was at 200,000 cells per well. For RAW 264.7 macrophage infection,</w:t>
      </w:r>
      <w:r>
        <w:rPr>
          <w:rFonts w:ascii="Times New Roman" w:hAnsi="Times New Roman" w:cs="Times New Roman"/>
        </w:rPr>
        <w:t xml:space="preserve"> frozen cultures were thawed, resuspended in 750 </w:t>
      </w:r>
      <w:r w:rsidRPr="0004177D">
        <w:rPr>
          <w:rFonts w:ascii="Times New Roman" w:hAnsi="Times New Roman" w:cs="Times New Roman"/>
        </w:rPr>
        <w:t>µ</w:t>
      </w:r>
      <w:r>
        <w:rPr>
          <w:rFonts w:ascii="Times New Roman" w:hAnsi="Times New Roman" w:cs="Times New Roman"/>
        </w:rPr>
        <w:t xml:space="preserve">l of sterile PBS and the cultures were diluted to 1 x </w:t>
      </w:r>
      <w:r w:rsidRPr="00EE52C7">
        <w:rPr>
          <w:rFonts w:ascii="Times New Roman" w:hAnsi="Times New Roman" w:cs="Times New Roman"/>
        </w:rPr>
        <w:t>10</w:t>
      </w:r>
      <w:r w:rsidRPr="00EE52C7">
        <w:rPr>
          <w:rFonts w:ascii="Times New Roman" w:hAnsi="Times New Roman" w:cs="Times New Roman"/>
          <w:vertAlign w:val="superscript"/>
        </w:rPr>
        <w:t>6</w:t>
      </w:r>
      <w:r>
        <w:rPr>
          <w:rFonts w:ascii="Times New Roman" w:hAnsi="Times New Roman" w:cs="Times New Roman"/>
        </w:rPr>
        <w:t xml:space="preserve"> CFU/ml in DMEM supplemented with </w:t>
      </w:r>
      <w:r w:rsidRPr="00EE52C7">
        <w:rPr>
          <w:rFonts w:ascii="Times New Roman" w:hAnsi="Times New Roman" w:cs="Times New Roman"/>
        </w:rPr>
        <w:t>2 mM L-glutamine</w:t>
      </w:r>
      <w:r>
        <w:rPr>
          <w:rFonts w:ascii="Times New Roman" w:hAnsi="Times New Roman" w:cs="Times New Roman"/>
        </w:rPr>
        <w:t xml:space="preserve"> or both </w:t>
      </w:r>
      <w:r w:rsidRPr="00EE52C7">
        <w:rPr>
          <w:rFonts w:ascii="Times New Roman" w:hAnsi="Times New Roman" w:cs="Times New Roman"/>
        </w:rPr>
        <w:t>2 mM L-glutamine</w:t>
      </w:r>
      <w:r>
        <w:rPr>
          <w:rFonts w:ascii="Times New Roman" w:hAnsi="Times New Roman" w:cs="Times New Roman"/>
        </w:rPr>
        <w:t xml:space="preserve"> </w:t>
      </w:r>
      <w:r w:rsidRPr="00EE52C7">
        <w:rPr>
          <w:rFonts w:ascii="Times New Roman" w:hAnsi="Times New Roman" w:cs="Times New Roman"/>
        </w:rPr>
        <w:t xml:space="preserve">and 10% </w:t>
      </w:r>
      <w:r>
        <w:rPr>
          <w:rFonts w:ascii="Times New Roman" w:hAnsi="Times New Roman" w:cs="Times New Roman"/>
        </w:rPr>
        <w:t xml:space="preserve">FBS. These cultures were used to infect </w:t>
      </w:r>
      <w:r w:rsidRPr="00EE52C7">
        <w:rPr>
          <w:rFonts w:ascii="Times New Roman" w:hAnsi="Times New Roman" w:cs="Times New Roman"/>
        </w:rPr>
        <w:t>macrophages</w:t>
      </w:r>
      <w:r>
        <w:rPr>
          <w:rFonts w:ascii="Times New Roman" w:hAnsi="Times New Roman" w:cs="Times New Roman"/>
        </w:rPr>
        <w:t xml:space="preserve"> at an MOI of 5 and tissue culture plates were centrifuged at 277 x g for 2 minutes</w:t>
      </w:r>
      <w:r w:rsidR="0096455D">
        <w:rPr>
          <w:rFonts w:ascii="Times New Roman" w:hAnsi="Times New Roman" w:cs="Times New Roman"/>
        </w:rPr>
        <w:t xml:space="preserve"> to sediment bacteria for synchronisation of infection</w:t>
      </w:r>
      <w:r>
        <w:rPr>
          <w:rFonts w:ascii="Times New Roman" w:hAnsi="Times New Roman" w:cs="Times New Roman"/>
        </w:rPr>
        <w:t xml:space="preserve">. Infected macrophages were then incubated at </w:t>
      </w:r>
      <w:r w:rsidRPr="0004177D">
        <w:rPr>
          <w:rFonts w:ascii="Times New Roman" w:hAnsi="Times New Roman" w:cs="Times New Roman"/>
          <w:color w:val="000000" w:themeColor="text1"/>
        </w:rPr>
        <w:t>37</w:t>
      </w:r>
      <w:r w:rsidRPr="0004177D">
        <w:rPr>
          <w:rFonts w:ascii="Times New Roman" w:eastAsia="Times New Roman" w:hAnsi="Times New Roman" w:cs="Times New Roman"/>
          <w:lang w:eastAsia="en-GB"/>
        </w:rPr>
        <w:t>˚C and</w:t>
      </w:r>
      <w:r>
        <w:rPr>
          <w:rFonts w:ascii="Times New Roman" w:eastAsia="Times New Roman" w:hAnsi="Times New Roman" w:cs="Times New Roman"/>
          <w:lang w:eastAsia="en-GB"/>
        </w:rPr>
        <w:t xml:space="preserve"> </w:t>
      </w:r>
      <w:r w:rsidRPr="0004177D">
        <w:rPr>
          <w:rFonts w:ascii="Times New Roman" w:eastAsia="Times New Roman" w:hAnsi="Times New Roman" w:cs="Times New Roman"/>
          <w:lang w:eastAsia="en-GB"/>
        </w:rPr>
        <w:t>5%</w:t>
      </w:r>
      <w:r>
        <w:rPr>
          <w:rFonts w:ascii="Times New Roman" w:eastAsia="Times New Roman" w:hAnsi="Times New Roman" w:cs="Times New Roman"/>
          <w:lang w:eastAsia="en-GB"/>
        </w:rPr>
        <w:t xml:space="preserve"> </w:t>
      </w:r>
      <w:r w:rsidRPr="0004177D">
        <w:rPr>
          <w:rFonts w:ascii="Times New Roman" w:eastAsia="Times New Roman" w:hAnsi="Times New Roman" w:cs="Times New Roman"/>
          <w:lang w:eastAsia="en-GB"/>
        </w:rPr>
        <w:t>CO</w:t>
      </w:r>
      <w:r w:rsidRPr="0004177D">
        <w:rPr>
          <w:rFonts w:ascii="Times New Roman" w:eastAsia="Times New Roman" w:hAnsi="Times New Roman" w:cs="Times New Roman"/>
          <w:vertAlign w:val="subscript"/>
          <w:lang w:eastAsia="en-GB"/>
        </w:rPr>
        <w:t>2</w:t>
      </w:r>
      <w:r>
        <w:rPr>
          <w:rFonts w:ascii="Times New Roman" w:eastAsia="Times New Roman" w:hAnsi="Times New Roman" w:cs="Times New Roman"/>
          <w:vertAlign w:val="subscript"/>
          <w:lang w:eastAsia="en-GB"/>
        </w:rPr>
        <w:t xml:space="preserve"> </w:t>
      </w:r>
      <w:r>
        <w:rPr>
          <w:rFonts w:ascii="Times New Roman" w:hAnsi="Times New Roman" w:cs="Times New Roman"/>
        </w:rPr>
        <w:t>for 2-3.5 hours depending on the experiment</w:t>
      </w:r>
      <w:r>
        <w:rPr>
          <w:rFonts w:ascii="Times New Roman" w:eastAsia="Times New Roman" w:hAnsi="Times New Roman" w:cs="Times New Roman"/>
          <w:lang w:eastAsia="en-GB"/>
        </w:rPr>
        <w:t>.</w:t>
      </w:r>
      <w:r>
        <w:rPr>
          <w:rFonts w:ascii="Times New Roman" w:hAnsi="Times New Roman" w:cs="Times New Roman"/>
        </w:rPr>
        <w:t xml:space="preserve"> Extracellular bacteria in all wells were eliminated using </w:t>
      </w:r>
      <w:r w:rsidRPr="0004177D">
        <w:rPr>
          <w:rFonts w:ascii="Times New Roman" w:eastAsia="Times New Roman" w:hAnsi="Times New Roman" w:cs="Times New Roman"/>
          <w:lang w:eastAsia="en-GB"/>
        </w:rPr>
        <w:t xml:space="preserve">20 </w:t>
      </w:r>
      <w:r w:rsidRPr="0004177D">
        <w:rPr>
          <w:rFonts w:ascii="Times New Roman" w:hAnsi="Times New Roman" w:cs="Times New Roman"/>
        </w:rPr>
        <w:t>µg/ml</w:t>
      </w:r>
      <w:r w:rsidRPr="0004177D">
        <w:rPr>
          <w:rFonts w:ascii="Times New Roman" w:eastAsia="Times New Roman" w:hAnsi="Times New Roman" w:cs="Times New Roman"/>
          <w:lang w:eastAsia="en-GB"/>
        </w:rPr>
        <w:t xml:space="preserve"> lysostaphin</w:t>
      </w:r>
      <w:r>
        <w:rPr>
          <w:rFonts w:ascii="Times New Roman" w:eastAsia="Times New Roman" w:hAnsi="Times New Roman" w:cs="Times New Roman"/>
          <w:lang w:eastAsia="en-GB"/>
        </w:rPr>
        <w:t xml:space="preserve"> for 30 minutes and later timepoints were maintained in supplemented DMEM containing </w:t>
      </w:r>
      <w:r w:rsidRPr="0004177D">
        <w:rPr>
          <w:rFonts w:ascii="Times New Roman" w:eastAsia="Times New Roman" w:hAnsi="Times New Roman" w:cs="Times New Roman"/>
          <w:lang w:eastAsia="en-GB"/>
        </w:rPr>
        <w:t xml:space="preserve">2 </w:t>
      </w:r>
      <w:r w:rsidRPr="0004177D">
        <w:rPr>
          <w:rFonts w:ascii="Times New Roman" w:hAnsi="Times New Roman" w:cs="Times New Roman"/>
        </w:rPr>
        <w:t>µg/ml</w:t>
      </w:r>
      <w:r>
        <w:rPr>
          <w:rFonts w:ascii="Times New Roman" w:hAnsi="Times New Roman" w:cs="Times New Roman"/>
        </w:rPr>
        <w:t xml:space="preserve"> </w:t>
      </w:r>
      <w:r w:rsidRPr="0004177D">
        <w:rPr>
          <w:rFonts w:ascii="Times New Roman" w:eastAsia="Times New Roman" w:hAnsi="Times New Roman" w:cs="Times New Roman"/>
          <w:lang w:eastAsia="en-GB"/>
        </w:rPr>
        <w:t>lysostaphin</w:t>
      </w:r>
      <w:r>
        <w:rPr>
          <w:rFonts w:ascii="Times New Roman" w:eastAsia="Times New Roman" w:hAnsi="Times New Roman" w:cs="Times New Roman"/>
          <w:lang w:eastAsia="en-GB"/>
        </w:rPr>
        <w:t xml:space="preserve"> until harvest of intracellular bacteria. At each timepoint, wells were washed thrice using sterile PBS to remove lysostaphin and cells were subsequently lysed using 250 </w:t>
      </w:r>
      <w:r w:rsidRPr="0004177D">
        <w:rPr>
          <w:rFonts w:ascii="Times New Roman" w:hAnsi="Times New Roman" w:cs="Times New Roman"/>
        </w:rPr>
        <w:t>µ</w:t>
      </w:r>
      <w:r>
        <w:rPr>
          <w:rFonts w:ascii="Times New Roman" w:hAnsi="Times New Roman" w:cs="Times New Roman"/>
        </w:rPr>
        <w:t>l</w:t>
      </w:r>
      <w:r>
        <w:rPr>
          <w:rFonts w:ascii="Times New Roman" w:eastAsia="Times New Roman" w:hAnsi="Times New Roman" w:cs="Times New Roman"/>
          <w:lang w:eastAsia="en-GB"/>
        </w:rPr>
        <w:t xml:space="preserve"> 2% saponin by scraping with a pipette tip. Lysates were made up to 1 ml with 750 </w:t>
      </w:r>
      <w:r w:rsidRPr="0004177D">
        <w:rPr>
          <w:rFonts w:ascii="Times New Roman" w:hAnsi="Times New Roman" w:cs="Times New Roman"/>
        </w:rPr>
        <w:t>µ</w:t>
      </w:r>
      <w:r>
        <w:rPr>
          <w:rFonts w:ascii="Times New Roman" w:hAnsi="Times New Roman" w:cs="Times New Roman"/>
        </w:rPr>
        <w:t>l sterile PBS</w:t>
      </w:r>
      <w:r>
        <w:rPr>
          <w:rFonts w:ascii="Times New Roman" w:eastAsia="Times New Roman" w:hAnsi="Times New Roman" w:cs="Times New Roman"/>
          <w:lang w:eastAsia="en-GB"/>
        </w:rPr>
        <w:t>, serially diluted and plated onto TSA plates to determine the intracellular CFU/ml.</w:t>
      </w:r>
    </w:p>
    <w:p w14:paraId="39589A44" w14:textId="3C3D6AEB" w:rsidR="00D70E9B" w:rsidRDefault="00D70E9B" w:rsidP="00D70E9B">
      <w:pPr>
        <w:pStyle w:val="Heading3"/>
      </w:pPr>
      <w:bookmarkStart w:id="102" w:name="_Toc142043609"/>
      <w:r>
        <w:t>2.</w:t>
      </w:r>
      <w:r w:rsidR="00E315F1">
        <w:t>7</w:t>
      </w:r>
      <w:r>
        <w:t>.3. Human Tonsillar Epithelial cell infection assay</w:t>
      </w:r>
      <w:bookmarkEnd w:id="102"/>
    </w:p>
    <w:p w14:paraId="1722FCEC" w14:textId="77777777" w:rsidR="00D70E9B" w:rsidRDefault="00D70E9B" w:rsidP="00D70E9B">
      <w:r>
        <w:t xml:space="preserve"> </w:t>
      </w:r>
    </w:p>
    <w:p w14:paraId="344DA886" w14:textId="77777777" w:rsidR="00D70E9B" w:rsidRPr="0004177D" w:rsidRDefault="00D70E9B" w:rsidP="00D70E9B">
      <w:pPr>
        <w:spacing w:line="360" w:lineRule="auto"/>
        <w:jc w:val="both"/>
        <w:rPr>
          <w:rFonts w:ascii="Times New Roman" w:hAnsi="Times New Roman" w:cs="Times New Roman"/>
        </w:rPr>
      </w:pPr>
      <w:r w:rsidRPr="0004177D">
        <w:rPr>
          <w:rFonts w:ascii="Times New Roman" w:hAnsi="Times New Roman" w:cs="Times New Roman"/>
          <w:i/>
          <w:iCs/>
        </w:rPr>
        <w:t xml:space="preserve">S. aureus </w:t>
      </w:r>
      <w:r w:rsidRPr="0004177D">
        <w:rPr>
          <w:rFonts w:ascii="Times New Roman" w:hAnsi="Times New Roman" w:cs="Times New Roman"/>
        </w:rPr>
        <w:t>JE2 and (p)ppGpp</w:t>
      </w:r>
      <w:r w:rsidRPr="0004177D">
        <w:rPr>
          <w:rFonts w:ascii="Times New Roman" w:hAnsi="Times New Roman" w:cs="Times New Roman"/>
          <w:vertAlign w:val="superscript"/>
        </w:rPr>
        <w:t>0</w:t>
      </w:r>
      <w:r w:rsidRPr="0004177D">
        <w:rPr>
          <w:rFonts w:ascii="Times New Roman" w:hAnsi="Times New Roman" w:cs="Times New Roman"/>
        </w:rPr>
        <w:t xml:space="preserve"> were either grown up to exponential phase (</w:t>
      </w:r>
      <w:r w:rsidRPr="0004177D">
        <w:rPr>
          <w:rFonts w:ascii="Times New Roman" w:hAnsi="Times New Roman" w:cs="Times New Roman"/>
          <w:color w:val="000000" w:themeColor="text1"/>
        </w:rPr>
        <w:t>OD</w:t>
      </w:r>
      <w:r w:rsidRPr="0004177D">
        <w:rPr>
          <w:rFonts w:ascii="Times New Roman" w:hAnsi="Times New Roman" w:cs="Times New Roman"/>
          <w:color w:val="000000" w:themeColor="text1"/>
          <w:vertAlign w:val="subscript"/>
        </w:rPr>
        <w:t>600</w:t>
      </w:r>
      <w:r w:rsidRPr="0004177D">
        <w:rPr>
          <w:rFonts w:ascii="Times New Roman" w:hAnsi="Times New Roman" w:cs="Times New Roman"/>
          <w:color w:val="000000" w:themeColor="text1"/>
        </w:rPr>
        <w:t xml:space="preserve"> 0.5) or overnight cultures adjusted to OD</w:t>
      </w:r>
      <w:r w:rsidRPr="0004177D">
        <w:rPr>
          <w:rFonts w:ascii="Times New Roman" w:hAnsi="Times New Roman" w:cs="Times New Roman"/>
          <w:color w:val="000000" w:themeColor="text1"/>
          <w:vertAlign w:val="subscript"/>
        </w:rPr>
        <w:t>600</w:t>
      </w:r>
      <w:r w:rsidRPr="0004177D">
        <w:rPr>
          <w:rFonts w:ascii="Times New Roman" w:hAnsi="Times New Roman" w:cs="Times New Roman"/>
          <w:color w:val="000000" w:themeColor="text1"/>
        </w:rPr>
        <w:t xml:space="preserve"> 1 to achieve a stationary phase culture. Cultures from both growth phases were washed twice in sterile PBS prior to infection. HTE cells were infected at a multiplicity of infection (MOI) of 10 and incubated at 37</w:t>
      </w:r>
      <w:r w:rsidRPr="0004177D">
        <w:rPr>
          <w:rFonts w:ascii="Times New Roman" w:eastAsia="Times New Roman" w:hAnsi="Times New Roman" w:cs="Times New Roman"/>
          <w:lang w:eastAsia="en-GB"/>
        </w:rPr>
        <w:t>˚C and</w:t>
      </w:r>
      <w:r>
        <w:rPr>
          <w:rFonts w:ascii="Times New Roman" w:eastAsia="Times New Roman" w:hAnsi="Times New Roman" w:cs="Times New Roman"/>
          <w:lang w:eastAsia="en-GB"/>
        </w:rPr>
        <w:t xml:space="preserve"> with</w:t>
      </w:r>
      <w:r w:rsidRPr="0004177D">
        <w:rPr>
          <w:rFonts w:ascii="Times New Roman" w:eastAsia="Times New Roman" w:hAnsi="Times New Roman" w:cs="Times New Roman"/>
          <w:lang w:eastAsia="en-GB"/>
        </w:rPr>
        <w:t xml:space="preserve"> 5% CO</w:t>
      </w:r>
      <w:r w:rsidRPr="0004177D">
        <w:rPr>
          <w:rFonts w:ascii="Times New Roman" w:eastAsia="Times New Roman" w:hAnsi="Times New Roman" w:cs="Times New Roman"/>
          <w:vertAlign w:val="subscript"/>
          <w:lang w:eastAsia="en-GB"/>
        </w:rPr>
        <w:t>2</w:t>
      </w:r>
      <w:r w:rsidRPr="0004177D">
        <w:rPr>
          <w:rFonts w:ascii="Times New Roman" w:eastAsia="Times New Roman" w:hAnsi="Times New Roman" w:cs="Times New Roman"/>
          <w:lang w:eastAsia="en-GB"/>
        </w:rPr>
        <w:t xml:space="preserve"> for 1 hour 15 minutes, after which the infected cells were subject to 20 </w:t>
      </w:r>
      <w:r w:rsidRPr="0004177D">
        <w:rPr>
          <w:rFonts w:ascii="Times New Roman" w:hAnsi="Times New Roman" w:cs="Times New Roman"/>
        </w:rPr>
        <w:t>µg/ml</w:t>
      </w:r>
      <w:r w:rsidRPr="0004177D">
        <w:rPr>
          <w:rFonts w:ascii="Times New Roman" w:eastAsia="Times New Roman" w:hAnsi="Times New Roman" w:cs="Times New Roman"/>
          <w:lang w:eastAsia="en-GB"/>
        </w:rPr>
        <w:t xml:space="preserve"> lysostaphin treatment for a further 45 minutes to remove extracellular bacteria</w:t>
      </w:r>
      <w:r>
        <w:rPr>
          <w:rFonts w:ascii="Times New Roman" w:eastAsia="Times New Roman" w:hAnsi="Times New Roman" w:cs="Times New Roman"/>
          <w:lang w:eastAsia="en-GB"/>
        </w:rPr>
        <w:t xml:space="preserve"> in all wells</w:t>
      </w:r>
      <w:r w:rsidRPr="0004177D">
        <w:rPr>
          <w:rFonts w:ascii="Times New Roman" w:eastAsia="Times New Roman" w:hAnsi="Times New Roman" w:cs="Times New Roman"/>
          <w:lang w:eastAsia="en-GB"/>
        </w:rPr>
        <w:t xml:space="preserve">. </w:t>
      </w:r>
      <w:r>
        <w:rPr>
          <w:rFonts w:ascii="Times New Roman" w:hAnsi="Times New Roman" w:cs="Times New Roman"/>
        </w:rPr>
        <w:t>L</w:t>
      </w:r>
      <w:r>
        <w:rPr>
          <w:rFonts w:ascii="Times New Roman" w:eastAsia="Times New Roman" w:hAnsi="Times New Roman" w:cs="Times New Roman"/>
          <w:lang w:eastAsia="en-GB"/>
        </w:rPr>
        <w:t xml:space="preserve">ater timepoints were maintained in supplemented DMEM containing </w:t>
      </w:r>
      <w:r w:rsidRPr="0004177D">
        <w:rPr>
          <w:rFonts w:ascii="Times New Roman" w:eastAsia="Times New Roman" w:hAnsi="Times New Roman" w:cs="Times New Roman"/>
          <w:lang w:eastAsia="en-GB"/>
        </w:rPr>
        <w:t xml:space="preserve">2 </w:t>
      </w:r>
      <w:r w:rsidRPr="0004177D">
        <w:rPr>
          <w:rFonts w:ascii="Times New Roman" w:hAnsi="Times New Roman" w:cs="Times New Roman"/>
        </w:rPr>
        <w:t>µg/ml</w:t>
      </w:r>
      <w:r>
        <w:rPr>
          <w:rFonts w:ascii="Times New Roman" w:hAnsi="Times New Roman" w:cs="Times New Roman"/>
        </w:rPr>
        <w:t xml:space="preserve"> </w:t>
      </w:r>
      <w:r w:rsidRPr="0004177D">
        <w:rPr>
          <w:rFonts w:ascii="Times New Roman" w:eastAsia="Times New Roman" w:hAnsi="Times New Roman" w:cs="Times New Roman"/>
          <w:lang w:eastAsia="en-GB"/>
        </w:rPr>
        <w:t>lysostaphin</w:t>
      </w:r>
      <w:r>
        <w:rPr>
          <w:rFonts w:ascii="Times New Roman" w:eastAsia="Times New Roman" w:hAnsi="Times New Roman" w:cs="Times New Roman"/>
          <w:lang w:eastAsia="en-GB"/>
        </w:rPr>
        <w:t xml:space="preserve"> until harvest of intracellular bacteria. </w:t>
      </w:r>
      <w:r w:rsidRPr="0004177D">
        <w:rPr>
          <w:rFonts w:ascii="Times New Roman" w:eastAsia="Times New Roman" w:hAnsi="Times New Roman" w:cs="Times New Roman"/>
          <w:lang w:eastAsia="en-GB"/>
        </w:rPr>
        <w:t>At the point of intracellular CFU/ml determination, HTE cells were washed six times in sterile PBS</w:t>
      </w:r>
      <w:r>
        <w:rPr>
          <w:rFonts w:ascii="Times New Roman" w:eastAsia="Times New Roman" w:hAnsi="Times New Roman" w:cs="Times New Roman"/>
          <w:lang w:eastAsia="en-GB"/>
        </w:rPr>
        <w:t xml:space="preserve"> to remove lysostaphin</w:t>
      </w:r>
      <w:r w:rsidRPr="0004177D">
        <w:rPr>
          <w:rFonts w:ascii="Times New Roman" w:eastAsia="Times New Roman" w:hAnsi="Times New Roman" w:cs="Times New Roman"/>
          <w:lang w:eastAsia="en-GB"/>
        </w:rPr>
        <w:t xml:space="preserve"> and cells were lysed using 500 µl 0.05% trypsin in </w:t>
      </w:r>
      <w:r>
        <w:rPr>
          <w:rFonts w:ascii="Times New Roman" w:eastAsia="Times New Roman" w:hAnsi="Times New Roman" w:cs="Times New Roman"/>
          <w:lang w:eastAsia="en-GB"/>
        </w:rPr>
        <w:t xml:space="preserve">autoclaved distilled water and scraped using a pipette tip to liberate intracellular bacteria. Lysates were serially diluted and 100 </w:t>
      </w:r>
      <w:r w:rsidRPr="0004177D">
        <w:rPr>
          <w:rFonts w:ascii="Times New Roman" w:eastAsia="Times New Roman" w:hAnsi="Times New Roman" w:cs="Times New Roman"/>
          <w:lang w:eastAsia="en-GB"/>
        </w:rPr>
        <w:t>µl</w:t>
      </w:r>
      <w:r>
        <w:rPr>
          <w:rFonts w:ascii="Times New Roman" w:eastAsia="Times New Roman" w:hAnsi="Times New Roman" w:cs="Times New Roman"/>
          <w:lang w:eastAsia="en-GB"/>
        </w:rPr>
        <w:t xml:space="preserve"> were plated onto TSA plates.</w:t>
      </w:r>
    </w:p>
    <w:p w14:paraId="2246FEC3" w14:textId="583D8845" w:rsidR="00D70E9B" w:rsidRDefault="00D70E9B" w:rsidP="00D70E9B">
      <w:pPr>
        <w:pStyle w:val="Heading2"/>
      </w:pPr>
      <w:bookmarkStart w:id="103" w:name="_Toc142043610"/>
      <w:r>
        <w:t>2.</w:t>
      </w:r>
      <w:r w:rsidR="00E315F1">
        <w:t>8</w:t>
      </w:r>
      <w:r>
        <w:t>. Systemic infection of zebrafish embryos</w:t>
      </w:r>
      <w:bookmarkEnd w:id="103"/>
    </w:p>
    <w:p w14:paraId="18A84FC4" w14:textId="77777777" w:rsidR="00D70E9B" w:rsidRPr="006F1EA2" w:rsidRDefault="00D70E9B" w:rsidP="00D70E9B"/>
    <w:p w14:paraId="0C08CC47" w14:textId="1356B83B" w:rsidR="00D70E9B" w:rsidRDefault="00D70E9B" w:rsidP="00D70E9B">
      <w:pPr>
        <w:pStyle w:val="Heading3"/>
      </w:pPr>
      <w:bookmarkStart w:id="104" w:name="_Hlk38208909"/>
      <w:bookmarkStart w:id="105" w:name="_Toc142043611"/>
      <w:r w:rsidRPr="00D4711A">
        <w:t>2.</w:t>
      </w:r>
      <w:r w:rsidR="00E315F1">
        <w:t>8</w:t>
      </w:r>
      <w:r w:rsidRPr="00D4711A">
        <w:t>.</w:t>
      </w:r>
      <w:r>
        <w:t>1</w:t>
      </w:r>
      <w:r w:rsidRPr="00D4711A">
        <w:t xml:space="preserve">. </w:t>
      </w:r>
      <w:bookmarkEnd w:id="104"/>
      <w:r w:rsidRPr="00D4711A">
        <w:t>Zebrafish embryo microinjections</w:t>
      </w:r>
      <w:bookmarkEnd w:id="105"/>
      <w:r w:rsidRPr="00D4711A">
        <w:t xml:space="preserve"> </w:t>
      </w:r>
    </w:p>
    <w:p w14:paraId="48916A80" w14:textId="77777777" w:rsidR="00D70E9B" w:rsidRPr="00856A23" w:rsidRDefault="00D70E9B" w:rsidP="00D70E9B"/>
    <w:p w14:paraId="0DAF9EDF" w14:textId="3B1F9AD2" w:rsidR="00D70E9B" w:rsidRDefault="00D70E9B" w:rsidP="00D70E9B">
      <w:pPr>
        <w:spacing w:after="0" w:line="360" w:lineRule="auto"/>
        <w:jc w:val="both"/>
        <w:rPr>
          <w:rFonts w:ascii="Times New Roman" w:eastAsia="Times New Roman" w:hAnsi="Times New Roman" w:cs="Times New Roman"/>
          <w:lang w:eastAsia="en-GB"/>
        </w:rPr>
      </w:pPr>
      <w:r w:rsidRPr="002C1D06">
        <w:rPr>
          <w:rFonts w:ascii="Times New Roman" w:eastAsia="Times New Roman" w:hAnsi="Times New Roman" w:cs="Times New Roman"/>
          <w:color w:val="000000" w:themeColor="text1"/>
          <w:lang w:eastAsia="en-GB"/>
        </w:rPr>
        <w:t xml:space="preserve">For injection of exponential phase cultures, </w:t>
      </w:r>
      <w:r w:rsidRPr="002C1D06">
        <w:rPr>
          <w:rFonts w:ascii="Times New Roman" w:eastAsia="Times New Roman" w:hAnsi="Times New Roman" w:cs="Times New Roman"/>
          <w:i/>
          <w:iCs/>
          <w:color w:val="000000" w:themeColor="text1"/>
          <w:lang w:eastAsia="en-GB"/>
        </w:rPr>
        <w:t xml:space="preserve">S. aureus </w:t>
      </w:r>
      <w:r w:rsidRPr="002C1D06">
        <w:rPr>
          <w:rFonts w:ascii="Times New Roman" w:eastAsia="Times New Roman" w:hAnsi="Times New Roman" w:cs="Times New Roman"/>
          <w:color w:val="000000" w:themeColor="text1"/>
          <w:lang w:eastAsia="en-GB"/>
        </w:rPr>
        <w:t>overnight</w:t>
      </w:r>
      <w:r w:rsidRPr="002C1D06">
        <w:rPr>
          <w:rFonts w:ascii="Times New Roman" w:eastAsia="Times New Roman" w:hAnsi="Times New Roman" w:cs="Times New Roman"/>
          <w:i/>
          <w:iCs/>
          <w:color w:val="000000" w:themeColor="text1"/>
          <w:lang w:eastAsia="en-GB"/>
        </w:rPr>
        <w:t xml:space="preserve"> </w:t>
      </w:r>
      <w:r w:rsidRPr="002C1D06">
        <w:rPr>
          <w:rFonts w:ascii="Times New Roman" w:eastAsia="Times New Roman" w:hAnsi="Times New Roman" w:cs="Times New Roman"/>
          <w:color w:val="000000" w:themeColor="text1"/>
          <w:lang w:eastAsia="en-GB"/>
        </w:rPr>
        <w:t xml:space="preserve">cultures were diluted to </w:t>
      </w:r>
      <w:r w:rsidRPr="002C1D06">
        <w:rPr>
          <w:rFonts w:ascii="Times New Roman" w:hAnsi="Times New Roman" w:cs="Times New Roman"/>
          <w:color w:val="000000" w:themeColor="text1"/>
        </w:rPr>
        <w:t>OD</w:t>
      </w:r>
      <w:r w:rsidRPr="002C1D06">
        <w:rPr>
          <w:rFonts w:ascii="Times New Roman" w:hAnsi="Times New Roman" w:cs="Times New Roman"/>
          <w:color w:val="000000" w:themeColor="text1"/>
          <w:vertAlign w:val="subscript"/>
        </w:rPr>
        <w:t>600</w:t>
      </w:r>
      <w:r w:rsidRPr="002C1D06">
        <w:rPr>
          <w:rFonts w:ascii="Times New Roman" w:hAnsi="Times New Roman" w:cs="Times New Roman"/>
          <w:color w:val="000000" w:themeColor="text1"/>
        </w:rPr>
        <w:t xml:space="preserve"> 0.05 and</w:t>
      </w:r>
      <w:r w:rsidRPr="002C1D06">
        <w:rPr>
          <w:rFonts w:ascii="Times New Roman" w:eastAsia="Times New Roman" w:hAnsi="Times New Roman" w:cs="Times New Roman"/>
          <w:color w:val="000000" w:themeColor="text1"/>
          <w:lang w:eastAsia="en-GB"/>
        </w:rPr>
        <w:t xml:space="preserve"> grown to exponential phase (</w:t>
      </w:r>
      <w:r w:rsidRPr="00F24000">
        <w:rPr>
          <w:rFonts w:ascii="Times New Roman" w:hAnsi="Times New Roman" w:cs="Times New Roman"/>
          <w:color w:val="000000" w:themeColor="text1"/>
        </w:rPr>
        <w:t>OD</w:t>
      </w:r>
      <w:r w:rsidRPr="00F24000">
        <w:rPr>
          <w:rFonts w:ascii="Times New Roman" w:hAnsi="Times New Roman" w:cs="Times New Roman"/>
          <w:color w:val="000000" w:themeColor="text1"/>
          <w:vertAlign w:val="subscript"/>
        </w:rPr>
        <w:t>600</w:t>
      </w:r>
      <w:r w:rsidRPr="00F24000">
        <w:rPr>
          <w:rFonts w:ascii="Times New Roman" w:hAnsi="Times New Roman" w:cs="Times New Roman"/>
          <w:color w:val="000000" w:themeColor="text1"/>
        </w:rPr>
        <w:t xml:space="preserve"> 0.5)</w:t>
      </w:r>
      <w:r>
        <w:rPr>
          <w:rFonts w:ascii="Times New Roman" w:hAnsi="Times New Roman" w:cs="Times New Roman"/>
          <w:color w:val="000000" w:themeColor="text1"/>
        </w:rPr>
        <w:t xml:space="preserve"> at 37</w:t>
      </w:r>
      <w:r w:rsidRPr="0085544B">
        <w:rPr>
          <w:rFonts w:ascii="Times New Roman" w:hAnsi="Times New Roman" w:cs="Times New Roman"/>
        </w:rPr>
        <w:t>˚C</w:t>
      </w:r>
      <w:r>
        <w:rPr>
          <w:rFonts w:ascii="Times New Roman" w:hAnsi="Times New Roman" w:cs="Times New Roman"/>
          <w:color w:val="000000" w:themeColor="text1"/>
        </w:rPr>
        <w:t xml:space="preserve"> with aeration at 200 rpm with antibiotics if required. Once the cultures reached the correct </w:t>
      </w:r>
      <w:r w:rsidRPr="00F24000">
        <w:rPr>
          <w:rFonts w:ascii="Times New Roman" w:hAnsi="Times New Roman" w:cs="Times New Roman"/>
          <w:color w:val="000000" w:themeColor="text1"/>
        </w:rPr>
        <w:t>OD</w:t>
      </w:r>
      <w:r w:rsidRPr="00F24000">
        <w:rPr>
          <w:rFonts w:ascii="Times New Roman" w:hAnsi="Times New Roman" w:cs="Times New Roman"/>
          <w:color w:val="000000" w:themeColor="text1"/>
          <w:vertAlign w:val="subscript"/>
        </w:rPr>
        <w:t>600</w:t>
      </w:r>
      <w:r>
        <w:rPr>
          <w:rFonts w:ascii="Times New Roman" w:hAnsi="Times New Roman" w:cs="Times New Roman"/>
          <w:color w:val="000000" w:themeColor="text1"/>
        </w:rPr>
        <w:t>, they were washed twice in sterile and filtered PBS</w:t>
      </w:r>
      <w:r w:rsidRPr="00F2400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resuspended in the appropriate volume of PBS to obtain the necessary dose. For stationary phase cultures, the appropriate overnight cultures were washed twice in sterile PBS and resuspended to </w:t>
      </w:r>
      <w:r w:rsidRPr="002C1D06">
        <w:rPr>
          <w:rFonts w:ascii="Times New Roman" w:hAnsi="Times New Roman" w:cs="Times New Roman"/>
          <w:color w:val="000000" w:themeColor="text1"/>
        </w:rPr>
        <w:t>OD</w:t>
      </w:r>
      <w:r w:rsidRPr="002C1D06">
        <w:rPr>
          <w:rFonts w:ascii="Times New Roman" w:hAnsi="Times New Roman" w:cs="Times New Roman"/>
          <w:color w:val="000000" w:themeColor="text1"/>
          <w:vertAlign w:val="subscript"/>
        </w:rPr>
        <w:t>600</w:t>
      </w:r>
      <w:r>
        <w:rPr>
          <w:rFonts w:ascii="Times New Roman" w:hAnsi="Times New Roman" w:cs="Times New Roman"/>
          <w:color w:val="000000" w:themeColor="text1"/>
        </w:rPr>
        <w:t xml:space="preserve"> 3 which gives a dose of approximately 3000-4000 CFU/nl. </w:t>
      </w:r>
      <w:r w:rsidRPr="0085544B">
        <w:rPr>
          <w:rFonts w:ascii="Times New Roman" w:eastAsia="Times New Roman" w:hAnsi="Times New Roman" w:cs="Times New Roman"/>
          <w:color w:val="000000"/>
          <w:lang w:eastAsia="en-GB"/>
        </w:rPr>
        <w:t>At approximately 30</w:t>
      </w:r>
      <w:r>
        <w:rPr>
          <w:rFonts w:ascii="Times New Roman" w:eastAsia="Times New Roman" w:hAnsi="Times New Roman" w:cs="Times New Roman"/>
          <w:color w:val="000000"/>
          <w:lang w:eastAsia="en-GB"/>
        </w:rPr>
        <w:t xml:space="preserve"> hours post fertilisation</w:t>
      </w:r>
      <w:r w:rsidRPr="0085544B">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w:t>
      </w:r>
      <w:r w:rsidRPr="0085544B">
        <w:rPr>
          <w:rFonts w:ascii="Times New Roman" w:eastAsia="Times New Roman" w:hAnsi="Times New Roman" w:cs="Times New Roman"/>
          <w:color w:val="000000"/>
          <w:lang w:eastAsia="en-GB"/>
        </w:rPr>
        <w:t>hpf</w:t>
      </w:r>
      <w:r>
        <w:rPr>
          <w:rFonts w:ascii="Times New Roman" w:eastAsia="Times New Roman" w:hAnsi="Times New Roman" w:cs="Times New Roman"/>
          <w:color w:val="000000"/>
          <w:lang w:eastAsia="en-GB"/>
        </w:rPr>
        <w:t>)</w:t>
      </w:r>
      <w:r w:rsidRPr="0085544B">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 xml:space="preserve">London Wildtype </w:t>
      </w:r>
      <w:r w:rsidRPr="0085544B">
        <w:rPr>
          <w:rFonts w:ascii="Times New Roman" w:eastAsia="Times New Roman" w:hAnsi="Times New Roman" w:cs="Times New Roman"/>
          <w:color w:val="000000"/>
          <w:lang w:eastAsia="en-GB"/>
        </w:rPr>
        <w:t>zebrafish embryos were dechorionated</w:t>
      </w:r>
      <w:r>
        <w:rPr>
          <w:rFonts w:ascii="Times New Roman" w:eastAsia="Times New Roman" w:hAnsi="Times New Roman" w:cs="Times New Roman"/>
          <w:color w:val="000000"/>
          <w:lang w:eastAsia="en-GB"/>
        </w:rPr>
        <w:t xml:space="preserve"> using watchmaker forceps (Dumont)</w:t>
      </w:r>
      <w:r w:rsidRPr="0085544B">
        <w:rPr>
          <w:rFonts w:ascii="Times New Roman" w:eastAsia="Times New Roman" w:hAnsi="Times New Roman" w:cs="Times New Roman"/>
          <w:color w:val="000000"/>
          <w:lang w:eastAsia="en-GB"/>
        </w:rPr>
        <w:t xml:space="preserve"> and anaesthetised </w:t>
      </w:r>
      <w:r>
        <w:rPr>
          <w:rFonts w:ascii="Times New Roman" w:eastAsia="Times New Roman" w:hAnsi="Times New Roman" w:cs="Times New Roman"/>
          <w:color w:val="000000"/>
          <w:lang w:eastAsia="en-GB"/>
        </w:rPr>
        <w:t>by immersion in</w:t>
      </w:r>
      <w:r w:rsidRPr="0085544B">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0.02 %</w:t>
      </w:r>
      <w:r w:rsidRPr="0085544B">
        <w:rPr>
          <w:rFonts w:ascii="Times New Roman" w:eastAsia="Times New Roman" w:hAnsi="Times New Roman" w:cs="Times New Roman"/>
          <w:color w:val="000000"/>
          <w:lang w:eastAsia="en-GB"/>
        </w:rPr>
        <w:t xml:space="preserve"> </w:t>
      </w:r>
      <w:r w:rsidRPr="00220FDF">
        <w:rPr>
          <w:rFonts w:ascii="Times New Roman" w:eastAsia="Times New Roman" w:hAnsi="Times New Roman" w:cs="Times New Roman"/>
          <w:lang w:eastAsia="en-GB"/>
        </w:rPr>
        <w:t>tricaine (</w:t>
      </w:r>
      <w:r w:rsidRPr="00220FDF">
        <w:rPr>
          <w:rFonts w:ascii="Times New Roman" w:hAnsi="Times New Roman" w:cs="Times New Roman"/>
        </w:rPr>
        <w:t>0.4% (w/v) 3-amino benzoic acid ester (tricaine or MS322) in 20 mM Tris–HCl, adjusted to pH 7 and store at 4°C</w:t>
      </w:r>
      <w:r w:rsidRPr="00220FDF">
        <w:rPr>
          <w:rFonts w:ascii="Times New Roman" w:eastAsia="Times New Roman" w:hAnsi="Times New Roman" w:cs="Times New Roman"/>
          <w:lang w:eastAsia="en-GB"/>
        </w:rPr>
        <w:t xml:space="preserve">) </w:t>
      </w:r>
      <w:r w:rsidRPr="0085544B">
        <w:rPr>
          <w:rFonts w:ascii="Times New Roman" w:eastAsia="Times New Roman" w:hAnsi="Times New Roman" w:cs="Times New Roman"/>
          <w:color w:val="000000"/>
          <w:lang w:eastAsia="en-GB"/>
        </w:rPr>
        <w:t>in E3 (Pharmaq Ltd) to the E3 medium. The embryos were embedded in methylcellulose</w:t>
      </w:r>
      <w:r>
        <w:rPr>
          <w:rFonts w:ascii="Times New Roman" w:eastAsia="Times New Roman" w:hAnsi="Times New Roman" w:cs="Times New Roman"/>
          <w:color w:val="000000"/>
          <w:lang w:eastAsia="en-GB"/>
        </w:rPr>
        <w:t xml:space="preserve"> </w:t>
      </w:r>
      <w:r w:rsidRPr="0085544B">
        <w:rPr>
          <w:rFonts w:ascii="Times New Roman" w:eastAsia="Times New Roman" w:hAnsi="Times New Roman" w:cs="Times New Roman"/>
          <w:color w:val="000000"/>
          <w:lang w:eastAsia="en-GB"/>
        </w:rPr>
        <w:t xml:space="preserve">(Sigma-Aldrich) </w:t>
      </w:r>
      <w:r>
        <w:rPr>
          <w:rFonts w:ascii="Times New Roman" w:eastAsia="Times New Roman" w:hAnsi="Times New Roman" w:cs="Times New Roman"/>
          <w:color w:val="000000"/>
          <w:lang w:eastAsia="en-GB"/>
        </w:rPr>
        <w:t>dissolved in E3 (</w:t>
      </w:r>
      <w:r w:rsidRPr="0085544B">
        <w:rPr>
          <w:rFonts w:ascii="Times New Roman" w:eastAsia="Times New Roman" w:hAnsi="Times New Roman" w:cs="Times New Roman"/>
          <w:color w:val="000000"/>
          <w:lang w:eastAsia="en-GB"/>
        </w:rPr>
        <w:t>3% w/v</w:t>
      </w:r>
      <w:r>
        <w:rPr>
          <w:rFonts w:ascii="Times New Roman" w:eastAsia="Times New Roman" w:hAnsi="Times New Roman" w:cs="Times New Roman"/>
          <w:color w:val="000000"/>
          <w:lang w:eastAsia="en-GB"/>
        </w:rPr>
        <w:t xml:space="preserve">) </w:t>
      </w:r>
      <w:r w:rsidRPr="0085544B">
        <w:rPr>
          <w:rFonts w:ascii="Times New Roman" w:eastAsia="Times New Roman" w:hAnsi="Times New Roman" w:cs="Times New Roman"/>
          <w:color w:val="000000"/>
          <w:lang w:eastAsia="en-GB"/>
        </w:rPr>
        <w:t xml:space="preserve">on a glass slide. 1 nl of </w:t>
      </w:r>
      <w:r>
        <w:rPr>
          <w:rFonts w:ascii="Times New Roman" w:eastAsia="Times New Roman" w:hAnsi="Times New Roman" w:cs="Times New Roman"/>
          <w:color w:val="000000"/>
          <w:lang w:eastAsia="en-GB"/>
        </w:rPr>
        <w:t xml:space="preserve">the appropriate </w:t>
      </w:r>
      <w:r>
        <w:rPr>
          <w:rFonts w:ascii="Times New Roman" w:eastAsia="Times New Roman" w:hAnsi="Times New Roman" w:cs="Times New Roman"/>
          <w:i/>
          <w:iCs/>
          <w:color w:val="000000"/>
          <w:lang w:eastAsia="en-GB"/>
        </w:rPr>
        <w:t>S. aureus</w:t>
      </w:r>
      <w:r>
        <w:rPr>
          <w:rFonts w:ascii="Times New Roman" w:eastAsia="Times New Roman" w:hAnsi="Times New Roman" w:cs="Times New Roman"/>
          <w:color w:val="000000"/>
          <w:lang w:eastAsia="en-GB"/>
        </w:rPr>
        <w:t xml:space="preserve"> culture</w:t>
      </w:r>
      <w:r w:rsidRPr="0085544B">
        <w:rPr>
          <w:rFonts w:ascii="Times New Roman" w:eastAsia="Times New Roman" w:hAnsi="Times New Roman" w:cs="Times New Roman"/>
          <w:color w:val="000000"/>
          <w:lang w:eastAsia="en-GB"/>
        </w:rPr>
        <w:t xml:space="preserve"> </w:t>
      </w:r>
      <w:r w:rsidRPr="0085544B">
        <w:rPr>
          <w:rFonts w:ascii="Times New Roman" w:hAnsi="Times New Roman" w:cs="Times New Roman"/>
        </w:rPr>
        <w:t>was</w:t>
      </w:r>
      <w:r w:rsidRPr="0085544B">
        <w:rPr>
          <w:rFonts w:ascii="Times New Roman" w:hAnsi="Times New Roman" w:cs="Times New Roman"/>
          <w:color w:val="FF0000"/>
        </w:rPr>
        <w:t xml:space="preserve"> </w:t>
      </w:r>
      <w:r w:rsidRPr="0085544B">
        <w:rPr>
          <w:rFonts w:ascii="Times New Roman" w:hAnsi="Times New Roman" w:cs="Times New Roman"/>
        </w:rPr>
        <w:t xml:space="preserve">injected into the circulation valley of the embryos using a pneumatic micropump (World Precision Instruments PV820) and a micromanipulator (WPI). </w:t>
      </w:r>
      <w:r w:rsidRPr="0085544B">
        <w:rPr>
          <w:rFonts w:ascii="Times New Roman" w:eastAsia="Times New Roman" w:hAnsi="Times New Roman" w:cs="Times New Roman"/>
          <w:lang w:eastAsia="en-GB"/>
        </w:rPr>
        <w:t xml:space="preserve">Following injection, embryos were recovered in fresh E3 </w:t>
      </w:r>
      <w:r>
        <w:rPr>
          <w:rFonts w:ascii="Times New Roman" w:eastAsia="Times New Roman" w:hAnsi="Times New Roman" w:cs="Times New Roman"/>
          <w:lang w:eastAsia="en-GB"/>
        </w:rPr>
        <w:t>after 1 hour post infection (hpi),</w:t>
      </w:r>
      <w:r w:rsidRPr="0085544B">
        <w:rPr>
          <w:rFonts w:ascii="Times New Roman" w:eastAsia="Times New Roman" w:hAnsi="Times New Roman" w:cs="Times New Roman"/>
          <w:lang w:eastAsia="en-GB"/>
        </w:rPr>
        <w:t xml:space="preserve"> placed into individual wells of a 96-well plate. </w:t>
      </w:r>
      <w:r>
        <w:rPr>
          <w:rFonts w:ascii="Times New Roman" w:eastAsia="Times New Roman" w:hAnsi="Times New Roman" w:cs="Times New Roman"/>
          <w:lang w:eastAsia="en-GB"/>
        </w:rPr>
        <w:t xml:space="preserve">The inoculation dose was determined by injecting 2 nl of culture into 1 ml sterile PBS and plating 50 </w:t>
      </w:r>
      <w:r w:rsidRPr="000C30BE">
        <w:rPr>
          <w:rFonts w:ascii="Times New Roman" w:hAnsi="Times New Roman" w:cs="Times New Roman"/>
        </w:rPr>
        <w:t>µ</w:t>
      </w:r>
      <w:r>
        <w:rPr>
          <w:rFonts w:ascii="Times New Roman" w:eastAsia="Times New Roman" w:hAnsi="Times New Roman" w:cs="Times New Roman"/>
          <w:lang w:eastAsia="en-GB"/>
        </w:rPr>
        <w:t xml:space="preserve">l onto TSA plates. </w:t>
      </w:r>
      <w:r w:rsidRPr="0085544B">
        <w:rPr>
          <w:rFonts w:ascii="Times New Roman" w:eastAsia="Times New Roman" w:hAnsi="Times New Roman" w:cs="Times New Roman"/>
          <w:lang w:eastAsia="en-GB"/>
        </w:rPr>
        <w:t>Embryos were</w:t>
      </w:r>
      <w:r>
        <w:rPr>
          <w:rFonts w:ascii="Times New Roman" w:eastAsia="Times New Roman" w:hAnsi="Times New Roman" w:cs="Times New Roman"/>
          <w:lang w:eastAsia="en-GB"/>
        </w:rPr>
        <w:t xml:space="preserve"> maintained at 28.5</w:t>
      </w:r>
      <w:r w:rsidRPr="0085544B">
        <w:rPr>
          <w:rFonts w:ascii="Times New Roman" w:hAnsi="Times New Roman" w:cs="Times New Roman"/>
        </w:rPr>
        <w:t>˚C</w:t>
      </w:r>
      <w:r>
        <w:rPr>
          <w:rFonts w:ascii="Times New Roman" w:hAnsi="Times New Roman" w:cs="Times New Roman"/>
        </w:rPr>
        <w:t xml:space="preserve"> and </w:t>
      </w:r>
      <w:r w:rsidRPr="0085544B">
        <w:rPr>
          <w:rFonts w:ascii="Times New Roman" w:eastAsia="Times New Roman" w:hAnsi="Times New Roman" w:cs="Times New Roman"/>
          <w:lang w:eastAsia="en-GB"/>
        </w:rPr>
        <w:t xml:space="preserve">monitored twice a day up to </w:t>
      </w:r>
      <w:r w:rsidR="002373A7">
        <w:rPr>
          <w:rFonts w:ascii="Times New Roman" w:eastAsia="Times New Roman" w:hAnsi="Times New Roman" w:cs="Times New Roman"/>
          <w:lang w:eastAsia="en-GB"/>
        </w:rPr>
        <w:t>93</w:t>
      </w:r>
      <w:r w:rsidRPr="0085544B">
        <w:rPr>
          <w:rFonts w:ascii="Times New Roman" w:eastAsia="Times New Roman" w:hAnsi="Times New Roman" w:cs="Times New Roman"/>
          <w:lang w:eastAsia="en-GB"/>
        </w:rPr>
        <w:t xml:space="preserve"> hp</w:t>
      </w:r>
      <w:r>
        <w:rPr>
          <w:rFonts w:ascii="Times New Roman" w:eastAsia="Times New Roman" w:hAnsi="Times New Roman" w:cs="Times New Roman"/>
          <w:lang w:eastAsia="en-GB"/>
        </w:rPr>
        <w:t>i</w:t>
      </w:r>
      <w:r w:rsidRPr="0085544B">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 xml:space="preserve">(5.2 dpf) </w:t>
      </w:r>
      <w:r w:rsidRPr="0085544B">
        <w:rPr>
          <w:rFonts w:ascii="Times New Roman" w:eastAsia="Times New Roman" w:hAnsi="Times New Roman" w:cs="Times New Roman"/>
          <w:lang w:eastAsia="en-GB"/>
        </w:rPr>
        <w:t xml:space="preserve">and the number of dead embryos at each timepoint was recorded. </w:t>
      </w:r>
    </w:p>
    <w:p w14:paraId="256E99D8" w14:textId="21171A33" w:rsidR="00D70E9B" w:rsidRPr="00CA2D16" w:rsidRDefault="00D70E9B" w:rsidP="00D70E9B">
      <w:pPr>
        <w:pStyle w:val="Heading3"/>
        <w:rPr>
          <w:lang w:eastAsia="en-GB"/>
        </w:rPr>
      </w:pPr>
      <w:bookmarkStart w:id="106" w:name="_Toc142043612"/>
      <w:r w:rsidRPr="00CA2D16">
        <w:rPr>
          <w:lang w:eastAsia="en-GB"/>
        </w:rPr>
        <w:t>2.</w:t>
      </w:r>
      <w:r w:rsidR="00E315F1">
        <w:rPr>
          <w:lang w:eastAsia="en-GB"/>
        </w:rPr>
        <w:t>8</w:t>
      </w:r>
      <w:r w:rsidRPr="00CA2D16">
        <w:rPr>
          <w:lang w:eastAsia="en-GB"/>
        </w:rPr>
        <w:t>.2. Microscopic analysis of zebrafish infection</w:t>
      </w:r>
      <w:bookmarkEnd w:id="106"/>
      <w:r w:rsidRPr="00CA2D16">
        <w:rPr>
          <w:lang w:eastAsia="en-GB"/>
        </w:rPr>
        <w:t xml:space="preserve"> </w:t>
      </w:r>
    </w:p>
    <w:p w14:paraId="1F10BC3A" w14:textId="77777777" w:rsidR="00D70E9B" w:rsidRPr="00CA2D16" w:rsidRDefault="00D70E9B" w:rsidP="00D70E9B">
      <w:pPr>
        <w:spacing w:after="0" w:line="360" w:lineRule="auto"/>
        <w:jc w:val="both"/>
        <w:rPr>
          <w:rFonts w:ascii="Times New Roman" w:eastAsia="Times New Roman" w:hAnsi="Times New Roman" w:cs="Times New Roman"/>
          <w:lang w:eastAsia="en-GB"/>
        </w:rPr>
      </w:pPr>
    </w:p>
    <w:p w14:paraId="6011BEDB" w14:textId="77777777" w:rsidR="00D70E9B" w:rsidRPr="00CA2D16" w:rsidRDefault="00D70E9B" w:rsidP="00D70E9B">
      <w:pPr>
        <w:spacing w:line="360" w:lineRule="auto"/>
        <w:jc w:val="both"/>
      </w:pPr>
      <w:r w:rsidRPr="00CA2D16">
        <w:rPr>
          <w:rFonts w:ascii="Times New Roman" w:eastAsia="Times New Roman" w:hAnsi="Times New Roman" w:cs="Times New Roman"/>
          <w:i/>
          <w:iCs/>
          <w:lang w:eastAsia="en-GB"/>
        </w:rPr>
        <w:t>S. aureus</w:t>
      </w:r>
      <w:r w:rsidRPr="00CA2D16">
        <w:rPr>
          <w:rFonts w:ascii="Times New Roman" w:eastAsia="Times New Roman" w:hAnsi="Times New Roman" w:cs="Times New Roman"/>
          <w:lang w:eastAsia="en-GB"/>
        </w:rPr>
        <w:t>-injected embryos were mounted on a glass-bottom Fluorodish cell culture dish (World Precision Instruments) and immersed in E3 medium. Whole embryo images were taken at 24 hpi using a Leica DMi8 SPE-TCS confocal microscope using a HCX PL APO 2.5x/1, 10x objective.</w:t>
      </w:r>
    </w:p>
    <w:p w14:paraId="23D3C3D5" w14:textId="670CD791" w:rsidR="00D70E9B" w:rsidRPr="00CA2D16" w:rsidRDefault="00D70E9B" w:rsidP="00D70E9B">
      <w:pPr>
        <w:pStyle w:val="Heading3"/>
      </w:pPr>
      <w:bookmarkStart w:id="107" w:name="_Toc142043613"/>
      <w:r w:rsidRPr="00CA2D16">
        <w:rPr>
          <w:rFonts w:eastAsia="Times New Roman"/>
          <w:lang w:eastAsia="en-GB"/>
        </w:rPr>
        <w:t>2.</w:t>
      </w:r>
      <w:r w:rsidR="00E315F1">
        <w:rPr>
          <w:rFonts w:eastAsia="Times New Roman"/>
          <w:lang w:eastAsia="en-GB"/>
        </w:rPr>
        <w:t>8</w:t>
      </w:r>
      <w:r w:rsidRPr="00CA2D16">
        <w:rPr>
          <w:rFonts w:eastAsia="Times New Roman"/>
          <w:lang w:eastAsia="en-GB"/>
        </w:rPr>
        <w:t>.3. Microinjection of</w:t>
      </w:r>
      <w:r w:rsidRPr="00CA2D16">
        <w:t xml:space="preserve"> morpholino-modified antisense oligonucleotides</w:t>
      </w:r>
      <w:bookmarkEnd w:id="107"/>
    </w:p>
    <w:p w14:paraId="0E0C87EA" w14:textId="77777777" w:rsidR="00D70E9B" w:rsidRPr="00CA2D16" w:rsidRDefault="00D70E9B" w:rsidP="00D70E9B"/>
    <w:p w14:paraId="11C6E511" w14:textId="13DC65C3" w:rsidR="00D70E9B" w:rsidRPr="00CA2D16" w:rsidRDefault="00D70E9B" w:rsidP="00D70E9B">
      <w:pPr>
        <w:autoSpaceDE w:val="0"/>
        <w:autoSpaceDN w:val="0"/>
        <w:adjustRightInd w:val="0"/>
        <w:spacing w:after="0" w:line="360" w:lineRule="auto"/>
        <w:jc w:val="both"/>
        <w:rPr>
          <w:rFonts w:ascii="Times New Roman" w:eastAsia="Times New Roman" w:hAnsi="Times New Roman" w:cs="Times New Roman"/>
          <w:lang w:eastAsia="en-GB"/>
        </w:rPr>
      </w:pPr>
      <w:r w:rsidRPr="00CA2D16">
        <w:rPr>
          <w:rFonts w:ascii="Times New Roman" w:hAnsi="Times New Roman" w:cs="Times New Roman"/>
        </w:rPr>
        <w:t>Morpholino-modified antisense oligonucleotides against the P</w:t>
      </w:r>
      <w:r w:rsidR="00CE0121">
        <w:rPr>
          <w:rFonts w:ascii="Times New Roman" w:hAnsi="Times New Roman" w:cs="Times New Roman"/>
        </w:rPr>
        <w:t>u</w:t>
      </w:r>
      <w:r w:rsidRPr="00CA2D16">
        <w:rPr>
          <w:rFonts w:ascii="Times New Roman" w:hAnsi="Times New Roman" w:cs="Times New Roman"/>
        </w:rPr>
        <w:t xml:space="preserve">.1 transcription factor </w:t>
      </w:r>
      <w:r w:rsidRPr="00CA2D16">
        <w:rPr>
          <w:rFonts w:ascii="Times New Roman" w:hAnsi="Times New Roman" w:cs="Times New Roman"/>
          <w:b/>
          <w:bCs/>
        </w:rPr>
        <w:fldChar w:fldCharType="begin"/>
      </w:r>
      <w:r w:rsidRPr="00CA2D16">
        <w:rPr>
          <w:rFonts w:ascii="Times New Roman" w:hAnsi="Times New Roman" w:cs="Times New Roman"/>
          <w:b/>
          <w:bCs/>
        </w:rPr>
        <w:instrText xml:space="preserve"> ADDIN EN.CITE &lt;EndNote&gt;&lt;Cite&gt;&lt;Author&gt;Rhodes&lt;/Author&gt;&lt;Year&gt;2005&lt;/Year&gt;&lt;IDText&gt;Interplay of Pu.1 and gatal determines myelo-erythroid progenitor cell fate in zebrafish&lt;/IDText&gt;&lt;DisplayText&gt;(Rhodes&lt;style face="italic"&gt; et al.&lt;/style&gt;, 2005)&lt;/DisplayText&gt;&lt;record&gt;&lt;dates&gt;&lt;pub-dates&gt;&lt;date&gt;Jan&lt;/date&gt;&lt;/pub-dates&gt;&lt;year&gt;2005&lt;/year&gt;&lt;/dates&gt;&lt;urls&gt;&lt;related-urls&gt;&lt;url&gt;&amp;lt;Go to ISI&amp;gt;://WOS:000226325700013&lt;/url&gt;&lt;/related-urls&gt;&lt;/urls&gt;&lt;isbn&gt;1534-5807&lt;/isbn&gt;&lt;titles&gt;&lt;title&gt;Interplay of Pu.1 and gatal determines myelo-erythroid progenitor cell fate in zebrafish&lt;/title&gt;&lt;secondary-title&gt;Developmental Cell&lt;/secondary-title&gt;&lt;/titles&gt;&lt;pages&gt;97-108&lt;/pages&gt;&lt;number&gt;1&lt;/number&gt;&lt;contributors&gt;&lt;authors&gt;&lt;author&gt;Rhodes, J.&lt;/author&gt;&lt;author&gt;Hagen, A.&lt;/author&gt;&lt;author&gt;Hsu, K.&lt;/author&gt;&lt;author&gt;Deng, M.&lt;/author&gt;&lt;author&gt;Liu, T. X.&lt;/author&gt;&lt;author&gt;Look, A. T.&lt;/author&gt;&lt;author&gt;Kanki, J. P.&lt;/author&gt;&lt;/authors&gt;&lt;/contributors&gt;&lt;added-date format="utc"&gt;1678987024&lt;/added-date&gt;&lt;ref-type name="Journal Article"&gt;17&lt;/ref-type&gt;&lt;rec-number&gt;780&lt;/rec-number&gt;&lt;last-updated-date format="utc"&gt;1678987024&lt;/last-updated-date&gt;&lt;accession-num&gt;WOS:000226325700013&lt;/accession-num&gt;&lt;electronic-resource-num&gt;10.1016/j.devcel.2004.11.014&lt;/electronic-resource-num&gt;&lt;volume&gt;8&lt;/volume&gt;&lt;/record&gt;&lt;/Cite&gt;&lt;/EndNote&gt;</w:instrText>
      </w:r>
      <w:r w:rsidRPr="00CA2D16">
        <w:rPr>
          <w:rFonts w:ascii="Times New Roman" w:hAnsi="Times New Roman" w:cs="Times New Roman"/>
          <w:b/>
          <w:bCs/>
        </w:rPr>
        <w:fldChar w:fldCharType="separate"/>
      </w:r>
      <w:r w:rsidRPr="00CA2D16">
        <w:rPr>
          <w:rFonts w:ascii="Times New Roman" w:hAnsi="Times New Roman" w:cs="Times New Roman"/>
          <w:b/>
          <w:bCs/>
          <w:noProof/>
        </w:rPr>
        <w:t>(Rhodes</w:t>
      </w:r>
      <w:r w:rsidRPr="00CA2D16">
        <w:rPr>
          <w:rFonts w:ascii="Times New Roman" w:hAnsi="Times New Roman" w:cs="Times New Roman"/>
          <w:b/>
          <w:bCs/>
          <w:i/>
          <w:noProof/>
        </w:rPr>
        <w:t xml:space="preserve"> et al.</w:t>
      </w:r>
      <w:r w:rsidRPr="00CA2D16">
        <w:rPr>
          <w:rFonts w:ascii="Times New Roman" w:hAnsi="Times New Roman" w:cs="Times New Roman"/>
          <w:b/>
          <w:bCs/>
          <w:noProof/>
        </w:rPr>
        <w:t>, 2005)</w:t>
      </w:r>
      <w:r w:rsidRPr="00CA2D16">
        <w:rPr>
          <w:rFonts w:ascii="Times New Roman" w:hAnsi="Times New Roman" w:cs="Times New Roman"/>
          <w:b/>
          <w:bCs/>
        </w:rPr>
        <w:fldChar w:fldCharType="end"/>
      </w:r>
      <w:r w:rsidRPr="00CA2D16">
        <w:rPr>
          <w:rFonts w:ascii="Times New Roman" w:hAnsi="Times New Roman" w:cs="Times New Roman"/>
          <w:b/>
          <w:bCs/>
        </w:rPr>
        <w:t xml:space="preserve"> </w:t>
      </w:r>
      <w:r w:rsidRPr="00CA2D16">
        <w:rPr>
          <w:rFonts w:ascii="Times New Roman" w:hAnsi="Times New Roman" w:cs="Times New Roman"/>
        </w:rPr>
        <w:t xml:space="preserve">(Gene Tools) </w:t>
      </w:r>
      <w:r w:rsidRPr="00CA2D16">
        <w:rPr>
          <w:rFonts w:ascii="Times New Roman" w:hAnsi="Times New Roman" w:cs="Times New Roman"/>
          <w:b/>
          <w:bCs/>
        </w:rPr>
        <w:t>(Table 4)</w:t>
      </w:r>
      <w:r w:rsidRPr="00CA2D16">
        <w:rPr>
          <w:rFonts w:ascii="Times New Roman" w:hAnsi="Times New Roman" w:cs="Times New Roman"/>
        </w:rPr>
        <w:t xml:space="preserve">, encoded for by the </w:t>
      </w:r>
      <w:r w:rsidRPr="00CA2D16">
        <w:rPr>
          <w:rFonts w:ascii="Times New Roman" w:hAnsi="Times New Roman" w:cs="Times New Roman"/>
          <w:i/>
          <w:iCs/>
        </w:rPr>
        <w:t>spi1b</w:t>
      </w:r>
      <w:r w:rsidRPr="00CA2D16">
        <w:rPr>
          <w:rFonts w:ascii="Times New Roman" w:hAnsi="Times New Roman" w:cs="Times New Roman"/>
        </w:rPr>
        <w:t xml:space="preserve"> gene, was injected into the yolk of one-cell stage zebrafish embryos at a concentration of </w:t>
      </w:r>
      <w:r w:rsidRPr="00CA2D16">
        <w:rPr>
          <w:rFonts w:ascii="Times New Roman" w:eastAsia="Times New Roman" w:hAnsi="Times New Roman" w:cs="Times New Roman"/>
          <w:lang w:eastAsia="en-GB"/>
        </w:rPr>
        <w:t>1 pmol</w:t>
      </w:r>
      <w:r w:rsidRPr="00CA2D16">
        <w:rPr>
          <w:rFonts w:ascii="Times New Roman" w:hAnsi="Times New Roman" w:cs="Times New Roman"/>
        </w:rPr>
        <w:t xml:space="preserve"> and subsequently incubated at 28.5°C until injection with </w:t>
      </w:r>
      <w:r w:rsidRPr="00CA2D16">
        <w:rPr>
          <w:rFonts w:ascii="Times New Roman" w:hAnsi="Times New Roman" w:cs="Times New Roman"/>
          <w:i/>
          <w:iCs/>
        </w:rPr>
        <w:t>S. aureus</w:t>
      </w:r>
      <w:r w:rsidRPr="00CA2D16">
        <w:rPr>
          <w:rFonts w:ascii="Times New Roman" w:hAnsi="Times New Roman" w:cs="Times New Roman"/>
        </w:rPr>
        <w:t xml:space="preserve">. </w:t>
      </w:r>
      <w:r w:rsidRPr="00CA2D16">
        <w:rPr>
          <w:rFonts w:ascii="Times New Roman" w:hAnsi="Times New Roman" w:cs="Times New Roman"/>
          <w:i/>
          <w:iCs/>
        </w:rPr>
        <w:t xml:space="preserve">S. aureus </w:t>
      </w:r>
      <w:r w:rsidRPr="00CA2D16">
        <w:rPr>
          <w:rFonts w:ascii="Times New Roman" w:hAnsi="Times New Roman" w:cs="Times New Roman"/>
        </w:rPr>
        <w:t>cultures were injected into the circulation valley of zebrafish embryos at 30 hpf as per section 2.</w:t>
      </w:r>
      <w:r w:rsidR="00CE0121">
        <w:rPr>
          <w:rFonts w:ascii="Times New Roman" w:hAnsi="Times New Roman" w:cs="Times New Roman"/>
        </w:rPr>
        <w:t>8</w:t>
      </w:r>
      <w:r w:rsidRPr="00CA2D16">
        <w:rPr>
          <w:rFonts w:ascii="Times New Roman" w:hAnsi="Times New Roman" w:cs="Times New Roman"/>
        </w:rPr>
        <w:t xml:space="preserve">.1. </w:t>
      </w:r>
      <w:r w:rsidRPr="00CA2D16">
        <w:rPr>
          <w:rFonts w:ascii="Times New Roman" w:eastAsia="Times New Roman" w:hAnsi="Times New Roman" w:cs="Times New Roman"/>
          <w:lang w:eastAsia="en-GB"/>
        </w:rPr>
        <w:t>Embryos were maintained at 28.5</w:t>
      </w:r>
      <w:r w:rsidRPr="00CA2D16">
        <w:rPr>
          <w:rFonts w:ascii="Times New Roman" w:hAnsi="Times New Roman" w:cs="Times New Roman"/>
        </w:rPr>
        <w:t xml:space="preserve">˚C and </w:t>
      </w:r>
      <w:r w:rsidRPr="00CA2D16">
        <w:rPr>
          <w:rFonts w:ascii="Times New Roman" w:eastAsia="Times New Roman" w:hAnsi="Times New Roman" w:cs="Times New Roman"/>
          <w:lang w:eastAsia="en-GB"/>
        </w:rPr>
        <w:t>monitored twice a day up to 72 hpi (5.2 dpf) and the number of dead embryos at each timepoint was recorded.</w:t>
      </w:r>
    </w:p>
    <w:p w14:paraId="164E747A" w14:textId="77777777" w:rsidR="00D70E9B" w:rsidRPr="00CA2D16" w:rsidRDefault="00D70E9B" w:rsidP="00D70E9B">
      <w:pPr>
        <w:autoSpaceDE w:val="0"/>
        <w:autoSpaceDN w:val="0"/>
        <w:adjustRightInd w:val="0"/>
        <w:spacing w:after="0" w:line="240" w:lineRule="auto"/>
        <w:rPr>
          <w:rFonts w:ascii="Times New Roman" w:hAnsi="Times New Roman" w:cs="Times New Roman"/>
        </w:rPr>
      </w:pPr>
    </w:p>
    <w:p w14:paraId="5AD721BE" w14:textId="69E349C5" w:rsidR="00D70E9B" w:rsidRPr="00A268F4" w:rsidRDefault="00D70E9B" w:rsidP="00D70E9B">
      <w:pPr>
        <w:pStyle w:val="no4"/>
        <w:rPr>
          <w:i/>
          <w:iCs/>
          <w:lang w:eastAsia="en-GB"/>
        </w:rPr>
      </w:pPr>
      <w:r>
        <w:rPr>
          <w:lang w:eastAsia="en-GB"/>
        </w:rPr>
        <w:t>2.</w:t>
      </w:r>
      <w:r w:rsidR="00E315F1">
        <w:rPr>
          <w:lang w:eastAsia="en-GB"/>
        </w:rPr>
        <w:t>8</w:t>
      </w:r>
      <w:r>
        <w:rPr>
          <w:lang w:eastAsia="en-GB"/>
        </w:rPr>
        <w:t xml:space="preserve">.4. Growth of </w:t>
      </w:r>
      <w:r>
        <w:rPr>
          <w:i/>
          <w:iCs/>
          <w:lang w:eastAsia="en-GB"/>
        </w:rPr>
        <w:t>S. aureus</w:t>
      </w:r>
      <w:r>
        <w:rPr>
          <w:lang w:eastAsia="en-GB"/>
        </w:rPr>
        <w:t xml:space="preserve"> in zebrafish embryos </w:t>
      </w:r>
      <w:r w:rsidRPr="00A268F4">
        <w:rPr>
          <w:i/>
          <w:iCs/>
          <w:lang w:eastAsia="en-GB"/>
        </w:rPr>
        <w:t>in vivo</w:t>
      </w:r>
    </w:p>
    <w:p w14:paraId="0A36636C" w14:textId="77777777" w:rsidR="00D70E9B" w:rsidRDefault="00D70E9B" w:rsidP="00D70E9B"/>
    <w:p w14:paraId="6390E133" w14:textId="7AAA1BF5" w:rsidR="00D70E9B" w:rsidRPr="00D261DD" w:rsidRDefault="00D70E9B" w:rsidP="00D70E9B">
      <w:pPr>
        <w:spacing w:line="360" w:lineRule="auto"/>
        <w:jc w:val="both"/>
        <w:rPr>
          <w:rFonts w:ascii="Times New Roman" w:hAnsi="Times New Roman" w:cs="Times New Roman"/>
          <w:color w:val="000000" w:themeColor="text1"/>
        </w:rPr>
      </w:pPr>
      <w:r w:rsidRPr="00D261DD">
        <w:rPr>
          <w:rFonts w:ascii="Times New Roman" w:hAnsi="Times New Roman" w:cs="Times New Roman"/>
          <w:color w:val="000000" w:themeColor="text1"/>
        </w:rPr>
        <w:t>In order to determine the number of bacteria within zebrafish embryos during infection,</w:t>
      </w:r>
      <w:r w:rsidRPr="00D261DD">
        <w:rPr>
          <w:rFonts w:ascii="Times New Roman" w:hAnsi="Times New Roman" w:cs="Times New Roman"/>
          <w:i/>
          <w:iCs/>
          <w:color w:val="000000" w:themeColor="text1"/>
        </w:rPr>
        <w:t xml:space="preserve"> S. aureus </w:t>
      </w:r>
      <w:r w:rsidRPr="00D261DD">
        <w:rPr>
          <w:rFonts w:ascii="Times New Roman" w:hAnsi="Times New Roman" w:cs="Times New Roman"/>
          <w:color w:val="000000" w:themeColor="text1"/>
        </w:rPr>
        <w:t>cultures were injected into the circulation valley of zebrafish embryos at 30 hpf as per section 2.</w:t>
      </w:r>
      <w:r w:rsidR="00CE0121">
        <w:rPr>
          <w:rFonts w:ascii="Times New Roman" w:hAnsi="Times New Roman" w:cs="Times New Roman"/>
          <w:color w:val="000000" w:themeColor="text1"/>
        </w:rPr>
        <w:t>8</w:t>
      </w:r>
      <w:r w:rsidRPr="00D261DD">
        <w:rPr>
          <w:rFonts w:ascii="Times New Roman" w:hAnsi="Times New Roman" w:cs="Times New Roman"/>
          <w:color w:val="000000" w:themeColor="text1"/>
        </w:rPr>
        <w:t>.1. At each timepoint until 5.2 dpf, five live embryos and any dead embryos</w:t>
      </w:r>
      <w:r>
        <w:rPr>
          <w:rFonts w:ascii="Times New Roman" w:hAnsi="Times New Roman" w:cs="Times New Roman"/>
          <w:color w:val="000000" w:themeColor="text1"/>
        </w:rPr>
        <w:t>,</w:t>
      </w:r>
      <w:r w:rsidRPr="00D261DD">
        <w:rPr>
          <w:rFonts w:ascii="Times New Roman" w:hAnsi="Times New Roman" w:cs="Times New Roman"/>
          <w:color w:val="000000" w:themeColor="text1"/>
        </w:rPr>
        <w:t xml:space="preserve"> as well as 200 µl of E3 medium w</w:t>
      </w:r>
      <w:r>
        <w:rPr>
          <w:rFonts w:ascii="Times New Roman" w:hAnsi="Times New Roman" w:cs="Times New Roman"/>
          <w:color w:val="000000" w:themeColor="text1"/>
        </w:rPr>
        <w:t>ere</w:t>
      </w:r>
      <w:r w:rsidRPr="00D261DD">
        <w:rPr>
          <w:rFonts w:ascii="Times New Roman" w:hAnsi="Times New Roman" w:cs="Times New Roman"/>
          <w:color w:val="000000" w:themeColor="text1"/>
        </w:rPr>
        <w:t xml:space="preserve"> transferred to 0.5 ml screw cap microcentrifuge </w:t>
      </w:r>
      <w:r w:rsidR="00CE0121" w:rsidRPr="00D261DD">
        <w:rPr>
          <w:rFonts w:ascii="Times New Roman" w:hAnsi="Times New Roman" w:cs="Times New Roman"/>
          <w:color w:val="000000" w:themeColor="text1"/>
        </w:rPr>
        <w:t xml:space="preserve">tubes </w:t>
      </w:r>
      <w:r w:rsidRPr="00D261DD">
        <w:rPr>
          <w:rFonts w:ascii="Times New Roman" w:hAnsi="Times New Roman" w:cs="Times New Roman"/>
          <w:color w:val="000000" w:themeColor="text1"/>
        </w:rPr>
        <w:t>(Alpha Lab) containing 1.4 mm ceramic beads (Qiagen). Each embryo was homogenised using a FastPrep-24™ 5G Homogenizer and homogenates were serially diluted and plated to determine the bacterial load of each embryo.</w:t>
      </w:r>
    </w:p>
    <w:p w14:paraId="481C5FDB" w14:textId="2FA005A8" w:rsidR="00D70E9B" w:rsidRDefault="00D70E9B" w:rsidP="00D70E9B">
      <w:pPr>
        <w:pStyle w:val="Heading2"/>
      </w:pPr>
      <w:bookmarkStart w:id="108" w:name="_Toc142043614"/>
      <w:r>
        <w:t>2.</w:t>
      </w:r>
      <w:r w:rsidR="00E315F1">
        <w:t>9</w:t>
      </w:r>
      <w:r>
        <w:t>. Antimicrobial assays</w:t>
      </w:r>
      <w:bookmarkEnd w:id="108"/>
    </w:p>
    <w:p w14:paraId="039637D8" w14:textId="77777777" w:rsidR="00D70E9B" w:rsidRDefault="00D70E9B" w:rsidP="00D70E9B"/>
    <w:p w14:paraId="34E9006F" w14:textId="5C3245FB" w:rsidR="00D70E9B" w:rsidRDefault="00D70E9B" w:rsidP="00D70E9B">
      <w:pPr>
        <w:pStyle w:val="Heading3"/>
      </w:pPr>
      <w:bookmarkStart w:id="109" w:name="_Toc142043615"/>
      <w:r>
        <w:t>2.</w:t>
      </w:r>
      <w:r w:rsidR="00E315F1">
        <w:t>9</w:t>
      </w:r>
      <w:r>
        <w:t>.1. Growth in the presence of antimicrobial peptides</w:t>
      </w:r>
      <w:bookmarkEnd w:id="109"/>
      <w:r>
        <w:t xml:space="preserve"> </w:t>
      </w:r>
    </w:p>
    <w:p w14:paraId="69C2672E" w14:textId="77777777" w:rsidR="00D70E9B" w:rsidRPr="006C70B6" w:rsidRDefault="00D70E9B" w:rsidP="00D70E9B"/>
    <w:p w14:paraId="61FD4D24" w14:textId="77777777" w:rsidR="00D70E9B" w:rsidRDefault="00D70E9B" w:rsidP="00D70E9B">
      <w:pPr>
        <w:spacing w:line="360" w:lineRule="auto"/>
        <w:jc w:val="both"/>
        <w:rPr>
          <w:rFonts w:ascii="Times New Roman" w:hAnsi="Times New Roman" w:cs="Times New Roman"/>
        </w:rPr>
      </w:pPr>
      <w:r w:rsidRPr="003E713C">
        <w:rPr>
          <w:rFonts w:ascii="Times New Roman" w:hAnsi="Times New Roman" w:cs="Times New Roman"/>
        </w:rPr>
        <w:t xml:space="preserve">The appropriate </w:t>
      </w:r>
      <w:r w:rsidRPr="003E713C">
        <w:rPr>
          <w:rFonts w:ascii="Times New Roman" w:hAnsi="Times New Roman" w:cs="Times New Roman"/>
          <w:i/>
          <w:iCs/>
        </w:rPr>
        <w:t>S. aureus</w:t>
      </w:r>
      <w:r w:rsidRPr="003E713C">
        <w:rPr>
          <w:rFonts w:ascii="Times New Roman" w:hAnsi="Times New Roman" w:cs="Times New Roman"/>
        </w:rPr>
        <w:t xml:space="preserve"> </w:t>
      </w:r>
      <w:r w:rsidRPr="003E713C">
        <w:rPr>
          <w:rFonts w:ascii="Times New Roman" w:hAnsi="Times New Roman" w:cs="Times New Roman"/>
          <w:color w:val="000000" w:themeColor="text1"/>
        </w:rPr>
        <w:t>overnight cultures</w:t>
      </w:r>
      <w:r w:rsidRPr="003E713C">
        <w:rPr>
          <w:rFonts w:ascii="Times New Roman" w:hAnsi="Times New Roman" w:cs="Times New Roman"/>
        </w:rPr>
        <w:t xml:space="preserve"> were</w:t>
      </w:r>
      <w:r>
        <w:rPr>
          <w:rFonts w:ascii="Times New Roman" w:hAnsi="Times New Roman" w:cs="Times New Roman"/>
        </w:rPr>
        <w:t xml:space="preserve"> washed once in 0.9% saline and diluted to </w:t>
      </w:r>
      <w:r w:rsidRPr="003E713C">
        <w:rPr>
          <w:rFonts w:ascii="Times New Roman" w:hAnsi="Times New Roman" w:cs="Times New Roman"/>
          <w:color w:val="000000" w:themeColor="text1"/>
        </w:rPr>
        <w:t>OD</w:t>
      </w:r>
      <w:r w:rsidRPr="003E713C">
        <w:rPr>
          <w:rFonts w:ascii="Times New Roman" w:hAnsi="Times New Roman" w:cs="Times New Roman"/>
          <w:color w:val="000000" w:themeColor="text1"/>
          <w:vertAlign w:val="subscript"/>
        </w:rPr>
        <w:t>600</w:t>
      </w:r>
      <w:r w:rsidRPr="003E713C">
        <w:rPr>
          <w:rFonts w:ascii="Times New Roman" w:hAnsi="Times New Roman" w:cs="Times New Roman"/>
          <w:color w:val="000000" w:themeColor="text1"/>
        </w:rPr>
        <w:t xml:space="preserve"> 0.05</w:t>
      </w:r>
      <w:r>
        <w:rPr>
          <w:rFonts w:ascii="Times New Roman" w:hAnsi="Times New Roman" w:cs="Times New Roman"/>
          <w:color w:val="000000" w:themeColor="text1"/>
        </w:rPr>
        <w:t xml:space="preserve"> in </w:t>
      </w:r>
      <w:r w:rsidRPr="006F32C0">
        <w:rPr>
          <w:rFonts w:ascii="Times New Roman" w:hAnsi="Times New Roman" w:cs="Times New Roman"/>
          <w:color w:val="000000" w:themeColor="text1"/>
        </w:rPr>
        <w:t>Roswell Park Memorial Institute (RPMI) </w:t>
      </w:r>
      <w:r>
        <w:rPr>
          <w:rFonts w:ascii="Times New Roman" w:hAnsi="Times New Roman" w:cs="Times New Roman"/>
          <w:color w:val="000000" w:themeColor="text1"/>
        </w:rPr>
        <w:t xml:space="preserve">supplemented with L-Glutamine, 25 mM HEPES and phenol red (Gibco). and were transferred to a 96-well plate at 200 </w:t>
      </w:r>
      <w:r w:rsidRPr="003E713C">
        <w:rPr>
          <w:rFonts w:ascii="Times New Roman" w:hAnsi="Times New Roman" w:cs="Times New Roman"/>
          <w:color w:val="000000" w:themeColor="text1"/>
        </w:rPr>
        <w:t>μ</w:t>
      </w:r>
      <w:r>
        <w:rPr>
          <w:rFonts w:ascii="Times New Roman" w:hAnsi="Times New Roman" w:cs="Times New Roman"/>
          <w:color w:val="000000" w:themeColor="text1"/>
        </w:rPr>
        <w:t xml:space="preserve">l/well. RPMI was buffered to pH 4.5 and 7.5 by adjusting the pH using </w:t>
      </w:r>
      <w:r w:rsidRPr="006F32C0">
        <w:rPr>
          <w:rFonts w:ascii="Times New Roman" w:hAnsi="Times New Roman" w:cs="Times New Roman"/>
          <w:color w:val="000000" w:themeColor="text1"/>
        </w:rPr>
        <w:t>12</w:t>
      </w:r>
      <w:r>
        <w:rPr>
          <w:rFonts w:ascii="Times New Roman" w:hAnsi="Times New Roman" w:cs="Times New Roman"/>
          <w:color w:val="000000" w:themeColor="text1"/>
        </w:rPr>
        <w:t xml:space="preserve"> </w:t>
      </w:r>
      <w:r w:rsidRPr="006F32C0">
        <w:rPr>
          <w:rFonts w:ascii="Times New Roman" w:hAnsi="Times New Roman" w:cs="Times New Roman"/>
          <w:color w:val="000000" w:themeColor="text1"/>
        </w:rPr>
        <w:t>M HCl and 10</w:t>
      </w:r>
      <w:r>
        <w:rPr>
          <w:rFonts w:ascii="Times New Roman" w:hAnsi="Times New Roman" w:cs="Times New Roman"/>
          <w:color w:val="000000" w:themeColor="text1"/>
        </w:rPr>
        <w:t xml:space="preserve"> </w:t>
      </w:r>
      <w:r w:rsidRPr="006F32C0">
        <w:rPr>
          <w:rFonts w:ascii="Times New Roman" w:hAnsi="Times New Roman" w:cs="Times New Roman"/>
          <w:color w:val="000000" w:themeColor="text1"/>
        </w:rPr>
        <w:t xml:space="preserve">M NaOH and then filter sterilising using a </w:t>
      </w:r>
      <w:r w:rsidRPr="0085544B">
        <w:rPr>
          <w:rFonts w:ascii="Times New Roman" w:hAnsi="Times New Roman" w:cs="Times New Roman"/>
        </w:rPr>
        <w:t>0.22 μ</w:t>
      </w:r>
      <w:r>
        <w:rPr>
          <w:rFonts w:ascii="Times New Roman" w:hAnsi="Times New Roman" w:cs="Times New Roman"/>
        </w:rPr>
        <w:t>m</w:t>
      </w:r>
      <w:r w:rsidRPr="006F32C0">
        <w:rPr>
          <w:rFonts w:ascii="Times New Roman" w:hAnsi="Times New Roman" w:cs="Times New Roman"/>
          <w:color w:val="000000" w:themeColor="text1"/>
        </w:rPr>
        <w:t xml:space="preserve"> filter.</w:t>
      </w:r>
      <w:r>
        <w:rPr>
          <w:rFonts w:ascii="Arial" w:eastAsia="Times New Roman" w:hAnsi="Arial" w:cs="Arial"/>
          <w:color w:val="000000"/>
          <w:lang w:eastAsia="en-GB"/>
        </w:rPr>
        <w:t> </w:t>
      </w:r>
      <w:r>
        <w:rPr>
          <w:rFonts w:ascii="Times New Roman" w:hAnsi="Times New Roman" w:cs="Times New Roman"/>
          <w:color w:val="000000" w:themeColor="text1"/>
        </w:rPr>
        <w:t xml:space="preserve"> LL-37 cathelicidin (Apexbio, Stratech), dissolved in 25% acetic acid, was added at a final concentration of 12 </w:t>
      </w:r>
      <w:r w:rsidRPr="003E713C">
        <w:rPr>
          <w:rFonts w:ascii="Times New Roman" w:hAnsi="Times New Roman" w:cs="Times New Roman"/>
          <w:color w:val="000000" w:themeColor="text1"/>
        </w:rPr>
        <w:t>μM</w:t>
      </w:r>
      <w:r>
        <w:rPr>
          <w:rFonts w:ascii="Times New Roman" w:hAnsi="Times New Roman" w:cs="Times New Roman"/>
          <w:color w:val="000000" w:themeColor="text1"/>
        </w:rPr>
        <w:t xml:space="preserve"> and polymyxin B sulfate (Sigma), dissolved in autoclaved distilled water, was added at final concentrations of 32 and 64 </w:t>
      </w:r>
      <w:r w:rsidRPr="003E713C">
        <w:rPr>
          <w:rFonts w:ascii="Times New Roman" w:hAnsi="Times New Roman" w:cs="Times New Roman"/>
          <w:color w:val="000000" w:themeColor="text1"/>
        </w:rPr>
        <w:t>μ</w:t>
      </w:r>
      <w:r>
        <w:rPr>
          <w:rFonts w:ascii="Times New Roman" w:hAnsi="Times New Roman" w:cs="Times New Roman"/>
          <w:color w:val="000000" w:themeColor="text1"/>
        </w:rPr>
        <w:t xml:space="preserve">g/ml. Growth was measured in a Hidex Sense platereader at </w:t>
      </w:r>
      <w:r w:rsidRPr="003E713C">
        <w:rPr>
          <w:rFonts w:ascii="Times New Roman" w:hAnsi="Times New Roman" w:cs="Times New Roman"/>
        </w:rPr>
        <w:t>37˚C with aeration</w:t>
      </w:r>
      <w:r>
        <w:rPr>
          <w:rFonts w:ascii="Times New Roman" w:hAnsi="Times New Roman" w:cs="Times New Roman"/>
        </w:rPr>
        <w:t xml:space="preserve"> at 200 rpm.</w:t>
      </w:r>
    </w:p>
    <w:p w14:paraId="4D853A77" w14:textId="7805825D" w:rsidR="00D70E9B" w:rsidRDefault="00D70E9B" w:rsidP="00D70E9B">
      <w:pPr>
        <w:pStyle w:val="Heading3"/>
      </w:pPr>
      <w:bookmarkStart w:id="110" w:name="_Toc142043616"/>
      <w:r>
        <w:t>2.</w:t>
      </w:r>
      <w:r w:rsidR="00E315F1">
        <w:t>9</w:t>
      </w:r>
      <w:r>
        <w:t>.2. Tolerance assays</w:t>
      </w:r>
      <w:bookmarkEnd w:id="110"/>
      <w:r>
        <w:t xml:space="preserve"> </w:t>
      </w:r>
    </w:p>
    <w:p w14:paraId="0B20BFA6" w14:textId="77777777" w:rsidR="00D70E9B" w:rsidRPr="006C70B6" w:rsidRDefault="00D70E9B" w:rsidP="00D70E9B"/>
    <w:p w14:paraId="026503AC" w14:textId="77777777" w:rsidR="00D70E9B" w:rsidRPr="003E713C" w:rsidRDefault="00D70E9B" w:rsidP="00D70E9B">
      <w:pPr>
        <w:spacing w:line="360" w:lineRule="auto"/>
        <w:jc w:val="both"/>
        <w:rPr>
          <w:rFonts w:ascii="Times New Roman" w:hAnsi="Times New Roman" w:cs="Times New Roman"/>
        </w:rPr>
      </w:pPr>
      <w:r w:rsidRPr="003E713C">
        <w:rPr>
          <w:rFonts w:ascii="Times New Roman" w:hAnsi="Times New Roman" w:cs="Times New Roman"/>
        </w:rPr>
        <w:t xml:space="preserve">The appropriate </w:t>
      </w:r>
      <w:r w:rsidRPr="003E713C">
        <w:rPr>
          <w:rFonts w:ascii="Times New Roman" w:hAnsi="Times New Roman" w:cs="Times New Roman"/>
          <w:i/>
          <w:iCs/>
        </w:rPr>
        <w:t>S. aureus</w:t>
      </w:r>
      <w:r w:rsidRPr="003E713C">
        <w:rPr>
          <w:rFonts w:ascii="Times New Roman" w:hAnsi="Times New Roman" w:cs="Times New Roman"/>
        </w:rPr>
        <w:t xml:space="preserve"> </w:t>
      </w:r>
      <w:r w:rsidRPr="003E713C">
        <w:rPr>
          <w:rFonts w:ascii="Times New Roman" w:hAnsi="Times New Roman" w:cs="Times New Roman"/>
          <w:color w:val="000000" w:themeColor="text1"/>
        </w:rPr>
        <w:t>overnight cultures</w:t>
      </w:r>
      <w:r w:rsidRPr="003E713C">
        <w:rPr>
          <w:rFonts w:ascii="Times New Roman" w:hAnsi="Times New Roman" w:cs="Times New Roman"/>
        </w:rPr>
        <w:t xml:space="preserve"> were diluted to </w:t>
      </w:r>
      <w:r w:rsidRPr="003E713C">
        <w:rPr>
          <w:rFonts w:ascii="Times New Roman" w:hAnsi="Times New Roman" w:cs="Times New Roman"/>
          <w:color w:val="000000" w:themeColor="text1"/>
        </w:rPr>
        <w:t>OD</w:t>
      </w:r>
      <w:r w:rsidRPr="003E713C">
        <w:rPr>
          <w:rFonts w:ascii="Times New Roman" w:hAnsi="Times New Roman" w:cs="Times New Roman"/>
          <w:color w:val="000000" w:themeColor="text1"/>
          <w:vertAlign w:val="subscript"/>
        </w:rPr>
        <w:t>600</w:t>
      </w:r>
      <w:r w:rsidRPr="003E713C">
        <w:rPr>
          <w:rFonts w:ascii="Times New Roman" w:hAnsi="Times New Roman" w:cs="Times New Roman"/>
          <w:color w:val="000000" w:themeColor="text1"/>
        </w:rPr>
        <w:t xml:space="preserve"> 0.05 and were grown to mid-exponential </w:t>
      </w:r>
      <w:r>
        <w:rPr>
          <w:rFonts w:ascii="Times New Roman" w:hAnsi="Times New Roman" w:cs="Times New Roman"/>
          <w:color w:val="000000" w:themeColor="text1"/>
        </w:rPr>
        <w:t>at 37</w:t>
      </w:r>
      <w:r w:rsidRPr="0085544B">
        <w:rPr>
          <w:rFonts w:ascii="Times New Roman" w:hAnsi="Times New Roman" w:cs="Times New Roman"/>
        </w:rPr>
        <w:t>˚C</w:t>
      </w:r>
      <w:r>
        <w:rPr>
          <w:rFonts w:ascii="Times New Roman" w:hAnsi="Times New Roman" w:cs="Times New Roman"/>
          <w:color w:val="000000" w:themeColor="text1"/>
        </w:rPr>
        <w:t xml:space="preserve"> with aeration at 200 rpm and with antibiotics if required</w:t>
      </w:r>
      <w:r w:rsidRPr="003E713C">
        <w:rPr>
          <w:rFonts w:ascii="Times New Roman" w:hAnsi="Times New Roman" w:cs="Times New Roman"/>
          <w:color w:val="000000" w:themeColor="text1"/>
        </w:rPr>
        <w:t>. Once the desired optical density (approximately OD</w:t>
      </w:r>
      <w:r w:rsidRPr="003E713C">
        <w:rPr>
          <w:rFonts w:ascii="Times New Roman" w:hAnsi="Times New Roman" w:cs="Times New Roman"/>
          <w:color w:val="000000" w:themeColor="text1"/>
          <w:vertAlign w:val="subscript"/>
        </w:rPr>
        <w:t xml:space="preserve">600 </w:t>
      </w:r>
      <w:r w:rsidRPr="003E713C">
        <w:rPr>
          <w:rFonts w:ascii="Times New Roman" w:hAnsi="Times New Roman" w:cs="Times New Roman"/>
          <w:color w:val="000000" w:themeColor="text1"/>
        </w:rPr>
        <w:t xml:space="preserve">0.35) was reached, the cultures were centrifuged at 4000 rpm for 10 minutes and subsequently washed twice in sterile PBS. </w:t>
      </w:r>
      <w:r>
        <w:rPr>
          <w:rFonts w:ascii="Times New Roman" w:hAnsi="Times New Roman" w:cs="Times New Roman"/>
          <w:color w:val="000000" w:themeColor="text1"/>
        </w:rPr>
        <w:t xml:space="preserve">Antimicrobial compounds </w:t>
      </w:r>
      <w:r w:rsidRPr="00D261DD">
        <w:rPr>
          <w:rFonts w:ascii="Times New Roman" w:hAnsi="Times New Roman" w:cs="Times New Roman"/>
          <w:color w:val="000000" w:themeColor="text1"/>
        </w:rPr>
        <w:t>(20 mM itaconic acid (Sigma), 100 mM H</w:t>
      </w:r>
      <w:r w:rsidRPr="00D261DD">
        <w:rPr>
          <w:rFonts w:ascii="Times New Roman" w:hAnsi="Times New Roman" w:cs="Times New Roman"/>
          <w:color w:val="000000" w:themeColor="text1"/>
          <w:vertAlign w:val="subscript"/>
        </w:rPr>
        <w:t>2</w:t>
      </w:r>
      <w:r w:rsidRPr="00D261DD">
        <w:rPr>
          <w:rFonts w:ascii="Times New Roman" w:hAnsi="Times New Roman" w:cs="Times New Roman"/>
          <w:color w:val="000000" w:themeColor="text1"/>
        </w:rPr>
        <w:t>O</w:t>
      </w:r>
      <w:r w:rsidRPr="00D261DD">
        <w:rPr>
          <w:rFonts w:ascii="Times New Roman" w:hAnsi="Times New Roman" w:cs="Times New Roman"/>
          <w:color w:val="000000" w:themeColor="text1"/>
          <w:vertAlign w:val="subscript"/>
        </w:rPr>
        <w:t>2</w:t>
      </w:r>
      <w:r w:rsidRPr="00D261DD">
        <w:rPr>
          <w:rFonts w:ascii="Times New Roman" w:hAnsi="Times New Roman" w:cs="Times New Roman"/>
          <w:color w:val="000000" w:themeColor="text1"/>
        </w:rPr>
        <w:t xml:space="preserve"> (Sigma) (from a 30% w/w stock) or 32 μM sodium hypochlorite/HOCl (Sigma) (from a stock containing 10-15% available chlorine)) </w:t>
      </w:r>
      <w:r>
        <w:rPr>
          <w:rFonts w:ascii="Times New Roman" w:hAnsi="Times New Roman" w:cs="Times New Roman"/>
          <w:color w:val="000000" w:themeColor="text1"/>
        </w:rPr>
        <w:t xml:space="preserve">were added to </w:t>
      </w:r>
      <w:r w:rsidRPr="003E713C">
        <w:rPr>
          <w:rFonts w:ascii="Times New Roman" w:hAnsi="Times New Roman" w:cs="Times New Roman"/>
          <w:color w:val="000000" w:themeColor="text1"/>
        </w:rPr>
        <w:t>OD</w:t>
      </w:r>
      <w:r w:rsidRPr="003E713C">
        <w:rPr>
          <w:rFonts w:ascii="Times New Roman" w:hAnsi="Times New Roman" w:cs="Times New Roman"/>
          <w:color w:val="000000" w:themeColor="text1"/>
          <w:vertAlign w:val="subscript"/>
        </w:rPr>
        <w:t xml:space="preserve">600 </w:t>
      </w:r>
      <w:r w:rsidRPr="003E713C">
        <w:rPr>
          <w:rFonts w:ascii="Times New Roman" w:hAnsi="Times New Roman" w:cs="Times New Roman"/>
          <w:color w:val="000000" w:themeColor="text1"/>
        </w:rPr>
        <w:t xml:space="preserve">0.35 </w:t>
      </w:r>
      <w:r>
        <w:rPr>
          <w:rFonts w:ascii="Times New Roman" w:hAnsi="Times New Roman" w:cs="Times New Roman"/>
          <w:color w:val="000000" w:themeColor="text1"/>
        </w:rPr>
        <w:t>cultures and w</w:t>
      </w:r>
      <w:r w:rsidRPr="003E713C">
        <w:rPr>
          <w:rFonts w:ascii="Times New Roman" w:hAnsi="Times New Roman" w:cs="Times New Roman"/>
          <w:color w:val="000000" w:themeColor="text1"/>
        </w:rPr>
        <w:t xml:space="preserve">ere incubated </w:t>
      </w:r>
      <w:r w:rsidRPr="003E713C">
        <w:rPr>
          <w:rFonts w:ascii="Times New Roman" w:hAnsi="Times New Roman" w:cs="Times New Roman"/>
        </w:rPr>
        <w:t>at 37˚C with aeration</w:t>
      </w:r>
      <w:r>
        <w:rPr>
          <w:rFonts w:ascii="Times New Roman" w:hAnsi="Times New Roman" w:cs="Times New Roman"/>
        </w:rPr>
        <w:t xml:space="preserve"> at 200 rpm</w:t>
      </w:r>
      <w:r w:rsidRPr="003E713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antibiotics if required. </w:t>
      </w:r>
      <w:r w:rsidRPr="003E713C">
        <w:rPr>
          <w:rFonts w:ascii="Times New Roman" w:hAnsi="Times New Roman" w:cs="Times New Roman"/>
        </w:rPr>
        <w:t>Samples were taken for CFU/ml determination at 0.5 or 1 hour after addition of each antimicrobial compound.</w:t>
      </w:r>
    </w:p>
    <w:p w14:paraId="784A9215" w14:textId="28A3759A" w:rsidR="00D70E9B" w:rsidRDefault="00D70E9B" w:rsidP="00D70E9B">
      <w:pPr>
        <w:pStyle w:val="Heading2"/>
      </w:pPr>
      <w:bookmarkStart w:id="111" w:name="_Toc142043617"/>
      <w:r>
        <w:t>2.</w:t>
      </w:r>
      <w:r w:rsidR="00E315F1">
        <w:t>10</w:t>
      </w:r>
      <w:r>
        <w:t>. Fluorescence assays</w:t>
      </w:r>
      <w:bookmarkEnd w:id="111"/>
    </w:p>
    <w:p w14:paraId="5FD31D1A" w14:textId="77777777" w:rsidR="00D70E9B" w:rsidRDefault="00D70E9B" w:rsidP="00D70E9B"/>
    <w:p w14:paraId="41104763" w14:textId="643B09BC" w:rsidR="00D70E9B" w:rsidRDefault="00D70E9B" w:rsidP="00D70E9B">
      <w:pPr>
        <w:pStyle w:val="Heading3"/>
      </w:pPr>
      <w:bookmarkStart w:id="112" w:name="_Toc142043618"/>
      <w:r>
        <w:t>2.</w:t>
      </w:r>
      <w:r w:rsidR="00E315F1">
        <w:t>10</w:t>
      </w:r>
      <w:r>
        <w:t>.1. Fluorescence measurements of riboswitch activation on a pCL55-iTET integrative vector</w:t>
      </w:r>
      <w:bookmarkEnd w:id="112"/>
    </w:p>
    <w:p w14:paraId="288F6BBF" w14:textId="77777777" w:rsidR="00D70E9B" w:rsidRPr="004F034A" w:rsidRDefault="00D70E9B" w:rsidP="00D70E9B"/>
    <w:p w14:paraId="21253C81" w14:textId="77777777" w:rsidR="00D70E9B" w:rsidRPr="004F034A" w:rsidRDefault="00D70E9B" w:rsidP="00D70E9B">
      <w:pPr>
        <w:spacing w:line="360" w:lineRule="auto"/>
        <w:jc w:val="both"/>
        <w:rPr>
          <w:rFonts w:ascii="Times New Roman" w:hAnsi="Times New Roman" w:cs="Times New Roman"/>
        </w:rPr>
      </w:pPr>
      <w:r w:rsidRPr="004F034A">
        <w:rPr>
          <w:rFonts w:ascii="Times New Roman" w:hAnsi="Times New Roman" w:cs="Times New Roman"/>
        </w:rPr>
        <w:t xml:space="preserve">Overnight cultures of the appropriate RN4220 </w:t>
      </w:r>
      <w:r w:rsidRPr="004F034A">
        <w:rPr>
          <w:rFonts w:ascii="Times New Roman" w:hAnsi="Times New Roman" w:cs="Times New Roman"/>
          <w:i/>
          <w:iCs/>
        </w:rPr>
        <w:t xml:space="preserve">S. aureus </w:t>
      </w:r>
      <w:r w:rsidRPr="004F034A">
        <w:rPr>
          <w:rFonts w:ascii="Times New Roman" w:hAnsi="Times New Roman" w:cs="Times New Roman"/>
        </w:rPr>
        <w:t>strains containing the riboswitch-based molecular biosensor and the relevant controls were back</w:t>
      </w:r>
      <w:r>
        <w:rPr>
          <w:rFonts w:ascii="Times New Roman" w:hAnsi="Times New Roman" w:cs="Times New Roman"/>
        </w:rPr>
        <w:t>-</w:t>
      </w:r>
      <w:r w:rsidRPr="004F034A">
        <w:rPr>
          <w:rFonts w:ascii="Times New Roman" w:hAnsi="Times New Roman" w:cs="Times New Roman"/>
        </w:rPr>
        <w:t xml:space="preserve">diluted to </w:t>
      </w:r>
      <w:r w:rsidRPr="004F034A">
        <w:rPr>
          <w:rFonts w:ascii="Times New Roman" w:hAnsi="Times New Roman" w:cs="Times New Roman"/>
          <w:color w:val="000000" w:themeColor="text1"/>
        </w:rPr>
        <w:t>OD</w:t>
      </w:r>
      <w:r w:rsidRPr="004F034A">
        <w:rPr>
          <w:rFonts w:ascii="Times New Roman" w:hAnsi="Times New Roman" w:cs="Times New Roman"/>
          <w:color w:val="000000" w:themeColor="text1"/>
          <w:vertAlign w:val="subscript"/>
        </w:rPr>
        <w:t xml:space="preserve">600 </w:t>
      </w:r>
      <w:r w:rsidRPr="004F034A">
        <w:rPr>
          <w:rFonts w:ascii="Times New Roman" w:hAnsi="Times New Roman" w:cs="Times New Roman"/>
          <w:color w:val="000000" w:themeColor="text1"/>
        </w:rPr>
        <w:t>or 0</w:t>
      </w:r>
      <w:r>
        <w:rPr>
          <w:rFonts w:ascii="Times New Roman" w:hAnsi="Times New Roman" w:cs="Times New Roman"/>
          <w:color w:val="000000" w:themeColor="text1"/>
        </w:rPr>
        <w:t>.</w:t>
      </w:r>
      <w:r w:rsidRPr="004F034A">
        <w:rPr>
          <w:rFonts w:ascii="Times New Roman" w:hAnsi="Times New Roman" w:cs="Times New Roman"/>
          <w:color w:val="000000" w:themeColor="text1"/>
        </w:rPr>
        <w:t>1</w:t>
      </w:r>
      <w:r>
        <w:rPr>
          <w:rFonts w:ascii="Times New Roman" w:hAnsi="Times New Roman" w:cs="Times New Roman"/>
          <w:color w:val="000000" w:themeColor="text1"/>
        </w:rPr>
        <w:t xml:space="preserve"> in CDM</w:t>
      </w:r>
      <w:r w:rsidRPr="004F034A">
        <w:rPr>
          <w:rFonts w:ascii="Times New Roman" w:hAnsi="Times New Roman" w:cs="Times New Roman"/>
          <w:color w:val="000000" w:themeColor="text1"/>
        </w:rPr>
        <w:t xml:space="preserve">. </w:t>
      </w:r>
      <w:r w:rsidRPr="004F034A">
        <w:rPr>
          <w:rFonts w:ascii="Times New Roman" w:hAnsi="Times New Roman" w:cs="Times New Roman"/>
          <w:i/>
          <w:iCs/>
          <w:color w:val="000000" w:themeColor="text1"/>
        </w:rPr>
        <w:t xml:space="preserve">S. aureus </w:t>
      </w:r>
      <w:r w:rsidRPr="004F034A">
        <w:rPr>
          <w:rFonts w:ascii="Times New Roman" w:hAnsi="Times New Roman" w:cs="Times New Roman"/>
          <w:color w:val="000000" w:themeColor="text1"/>
        </w:rPr>
        <w:t>cultures were grown to mid-exponential phase (approximately OD</w:t>
      </w:r>
      <w:r w:rsidRPr="004F034A">
        <w:rPr>
          <w:rFonts w:ascii="Times New Roman" w:hAnsi="Times New Roman" w:cs="Times New Roman"/>
          <w:color w:val="000000" w:themeColor="text1"/>
          <w:vertAlign w:val="subscript"/>
        </w:rPr>
        <w:t xml:space="preserve">600 </w:t>
      </w:r>
      <w:r w:rsidRPr="004F034A">
        <w:rPr>
          <w:rFonts w:ascii="Times New Roman" w:hAnsi="Times New Roman" w:cs="Times New Roman"/>
          <w:color w:val="000000" w:themeColor="text1"/>
        </w:rPr>
        <w:t>0.3-0.4). The cultures were split into 2 separate cultures and were subsequently washed twice in CDM with leucine and valine (+L/V) or CDM without L/V (-L/V)</w:t>
      </w:r>
      <w:r>
        <w:rPr>
          <w:rFonts w:ascii="Times New Roman" w:hAnsi="Times New Roman" w:cs="Times New Roman"/>
          <w:color w:val="000000" w:themeColor="text1"/>
        </w:rPr>
        <w:t xml:space="preserve"> to mimic amino acid starvation</w:t>
      </w:r>
      <w:r w:rsidRPr="004F034A">
        <w:rPr>
          <w:rFonts w:ascii="Times New Roman" w:hAnsi="Times New Roman" w:cs="Times New Roman"/>
          <w:color w:val="000000" w:themeColor="text1"/>
        </w:rPr>
        <w:t xml:space="preserve">. Atc was added to all cultures at 100 ng/ml and were allowed to grow for one hour to induce expression </w:t>
      </w:r>
      <w:r>
        <w:rPr>
          <w:rFonts w:ascii="Times New Roman" w:hAnsi="Times New Roman" w:cs="Times New Roman"/>
          <w:color w:val="000000" w:themeColor="text1"/>
        </w:rPr>
        <w:t>from</w:t>
      </w:r>
      <w:r w:rsidRPr="004F034A">
        <w:rPr>
          <w:rFonts w:ascii="Times New Roman" w:hAnsi="Times New Roman" w:cs="Times New Roman"/>
          <w:color w:val="000000" w:themeColor="text1"/>
        </w:rPr>
        <w:t xml:space="preserve"> the plasmid or was added prior to fluorescence measurement. </w:t>
      </w:r>
      <w:bookmarkStart w:id="113" w:name="_Hlk129888709"/>
      <w:r w:rsidRPr="004F034A">
        <w:rPr>
          <w:rFonts w:ascii="Times New Roman" w:hAnsi="Times New Roman" w:cs="Times New Roman"/>
        </w:rPr>
        <w:t>(5</w:t>
      </w:r>
      <w:r w:rsidRPr="004F034A">
        <w:rPr>
          <w:rFonts w:ascii="Times New Roman" w:hAnsi="Times New Roman" w:cs="Times New Roman"/>
          <w:i/>
          <w:iCs/>
        </w:rPr>
        <w:t>Z</w:t>
      </w:r>
      <w:r w:rsidRPr="004F034A">
        <w:rPr>
          <w:rFonts w:ascii="Times New Roman" w:hAnsi="Times New Roman" w:cs="Times New Roman"/>
        </w:rPr>
        <w:t>)-5-[(3,5-Difluoro-4-hydroxyphenyl)methylene]-3,5-dihydro-2-methyl-3-(2,2,2-trifluoroethyl)-4</w:t>
      </w:r>
      <w:r w:rsidRPr="004F034A">
        <w:rPr>
          <w:rFonts w:ascii="Times New Roman" w:hAnsi="Times New Roman" w:cs="Times New Roman"/>
          <w:i/>
          <w:iCs/>
        </w:rPr>
        <w:t>H</w:t>
      </w:r>
      <w:r w:rsidRPr="004F034A">
        <w:rPr>
          <w:rFonts w:ascii="Times New Roman" w:hAnsi="Times New Roman" w:cs="Times New Roman"/>
        </w:rPr>
        <w:t xml:space="preserve">-imidazol-4-one </w:t>
      </w:r>
      <w:bookmarkEnd w:id="113"/>
      <w:r w:rsidRPr="004F034A">
        <w:rPr>
          <w:rFonts w:ascii="Times New Roman" w:hAnsi="Times New Roman" w:cs="Times New Roman"/>
        </w:rPr>
        <w:t>(DFHBI-1T</w:t>
      </w:r>
      <w:r w:rsidRPr="00D261DD">
        <w:rPr>
          <w:rFonts w:ascii="Times New Roman" w:hAnsi="Times New Roman" w:cs="Times New Roman"/>
          <w:color w:val="000000" w:themeColor="text1"/>
        </w:rPr>
        <w:t>) (Bio-Techne), the fluorogen that binds to Broccoli, was also added to cultures at a final concentration of 200 μM. Green fluorescence was measured at excitation and emission values of 485/520 nm every 30 minutes for 20 hours at 37˚C with aeration at 200 rpm using a Hidex Sense platereader.</w:t>
      </w:r>
    </w:p>
    <w:p w14:paraId="2C8EEA98" w14:textId="79BEB99E" w:rsidR="00D70E9B" w:rsidRDefault="00D70E9B" w:rsidP="00D70E9B">
      <w:pPr>
        <w:pStyle w:val="Heading3"/>
      </w:pPr>
      <w:bookmarkStart w:id="114" w:name="_Toc142043619"/>
      <w:r>
        <w:t>2.</w:t>
      </w:r>
      <w:r w:rsidR="00E315F1">
        <w:t>10</w:t>
      </w:r>
      <w:r>
        <w:t>.2. Fluorescence measurements of riboswitch activation on the pRN12 multicopy vector</w:t>
      </w:r>
      <w:bookmarkEnd w:id="114"/>
    </w:p>
    <w:p w14:paraId="01CA98DF" w14:textId="77777777" w:rsidR="00D70E9B" w:rsidRPr="004F034A" w:rsidRDefault="00D70E9B" w:rsidP="00D70E9B"/>
    <w:p w14:paraId="545759B5" w14:textId="77777777" w:rsidR="00D70E9B" w:rsidRPr="004F034A" w:rsidRDefault="00D70E9B" w:rsidP="00D70E9B">
      <w:pPr>
        <w:spacing w:line="360" w:lineRule="auto"/>
        <w:jc w:val="both"/>
        <w:rPr>
          <w:rFonts w:ascii="Times New Roman" w:hAnsi="Times New Roman" w:cs="Times New Roman"/>
        </w:rPr>
      </w:pPr>
      <w:r w:rsidRPr="004F034A">
        <w:rPr>
          <w:rFonts w:ascii="Times New Roman" w:hAnsi="Times New Roman" w:cs="Times New Roman"/>
        </w:rPr>
        <w:t xml:space="preserve">Overnight cultures of the appropriate RN4220 </w:t>
      </w:r>
      <w:r w:rsidRPr="004F034A">
        <w:rPr>
          <w:rFonts w:ascii="Times New Roman" w:hAnsi="Times New Roman" w:cs="Times New Roman"/>
          <w:i/>
          <w:iCs/>
        </w:rPr>
        <w:t xml:space="preserve">S. aureus </w:t>
      </w:r>
      <w:r w:rsidRPr="004F034A">
        <w:rPr>
          <w:rFonts w:ascii="Times New Roman" w:hAnsi="Times New Roman" w:cs="Times New Roman"/>
        </w:rPr>
        <w:t>strains containing the riboswitch-based molecular biosensor and the relevant controls were back</w:t>
      </w:r>
      <w:r>
        <w:rPr>
          <w:rFonts w:ascii="Times New Roman" w:hAnsi="Times New Roman" w:cs="Times New Roman"/>
        </w:rPr>
        <w:t>-</w:t>
      </w:r>
      <w:r w:rsidRPr="004F034A">
        <w:rPr>
          <w:rFonts w:ascii="Times New Roman" w:hAnsi="Times New Roman" w:cs="Times New Roman"/>
        </w:rPr>
        <w:t xml:space="preserve">diluted to </w:t>
      </w:r>
      <w:r w:rsidRPr="004F034A">
        <w:rPr>
          <w:rFonts w:ascii="Times New Roman" w:hAnsi="Times New Roman" w:cs="Times New Roman"/>
          <w:color w:val="000000" w:themeColor="text1"/>
        </w:rPr>
        <w:t>OD</w:t>
      </w:r>
      <w:r w:rsidRPr="004F034A">
        <w:rPr>
          <w:rFonts w:ascii="Times New Roman" w:hAnsi="Times New Roman" w:cs="Times New Roman"/>
          <w:color w:val="000000" w:themeColor="text1"/>
          <w:vertAlign w:val="subscript"/>
        </w:rPr>
        <w:t>600</w:t>
      </w:r>
      <w:r w:rsidRPr="004F034A">
        <w:rPr>
          <w:rFonts w:ascii="Times New Roman" w:hAnsi="Times New Roman" w:cs="Times New Roman"/>
          <w:color w:val="000000" w:themeColor="text1"/>
        </w:rPr>
        <w:t xml:space="preserve"> 0.1</w:t>
      </w:r>
      <w:r>
        <w:rPr>
          <w:rFonts w:ascii="Times New Roman" w:hAnsi="Times New Roman" w:cs="Times New Roman"/>
          <w:color w:val="000000" w:themeColor="text1"/>
        </w:rPr>
        <w:t xml:space="preserve"> in CDM</w:t>
      </w:r>
      <w:r w:rsidRPr="004F034A">
        <w:rPr>
          <w:rFonts w:ascii="Times New Roman" w:hAnsi="Times New Roman" w:cs="Times New Roman"/>
          <w:color w:val="000000" w:themeColor="text1"/>
        </w:rPr>
        <w:t xml:space="preserve">. </w:t>
      </w:r>
      <w:r w:rsidRPr="004F034A">
        <w:rPr>
          <w:rFonts w:ascii="Times New Roman" w:hAnsi="Times New Roman" w:cs="Times New Roman"/>
          <w:i/>
          <w:iCs/>
          <w:color w:val="000000" w:themeColor="text1"/>
        </w:rPr>
        <w:t xml:space="preserve">S. aureus </w:t>
      </w:r>
      <w:r w:rsidRPr="004F034A">
        <w:rPr>
          <w:rFonts w:ascii="Times New Roman" w:hAnsi="Times New Roman" w:cs="Times New Roman"/>
          <w:color w:val="000000" w:themeColor="text1"/>
        </w:rPr>
        <w:t>cultures were grown to mid-exponential phase (approximately OD</w:t>
      </w:r>
      <w:r w:rsidRPr="004F034A">
        <w:rPr>
          <w:rFonts w:ascii="Times New Roman" w:hAnsi="Times New Roman" w:cs="Times New Roman"/>
          <w:color w:val="000000" w:themeColor="text1"/>
          <w:vertAlign w:val="subscript"/>
        </w:rPr>
        <w:t xml:space="preserve">600 </w:t>
      </w:r>
      <w:r w:rsidRPr="004F034A">
        <w:rPr>
          <w:rFonts w:ascii="Times New Roman" w:hAnsi="Times New Roman" w:cs="Times New Roman"/>
          <w:color w:val="000000" w:themeColor="text1"/>
        </w:rPr>
        <w:t>0.5) after which, a 200 μl sample was taken. The cultures were split into 2 separate cultures, washed three times in CDM +L/V or CDM -L/V</w:t>
      </w:r>
      <w:r>
        <w:rPr>
          <w:rFonts w:ascii="Times New Roman" w:hAnsi="Times New Roman" w:cs="Times New Roman"/>
          <w:color w:val="000000" w:themeColor="text1"/>
        </w:rPr>
        <w:t xml:space="preserve"> to mimic amino acid starvation</w:t>
      </w:r>
      <w:r w:rsidRPr="004F034A">
        <w:rPr>
          <w:rFonts w:ascii="Times New Roman" w:hAnsi="Times New Roman" w:cs="Times New Roman"/>
          <w:color w:val="000000" w:themeColor="text1"/>
        </w:rPr>
        <w:t xml:space="preserve"> and another 200 μl sample was taken. After the addition of DFHBI-1T at a final concentration of 200 μM, </w:t>
      </w:r>
      <w:r>
        <w:rPr>
          <w:rFonts w:ascii="Times New Roman" w:hAnsi="Times New Roman" w:cs="Times New Roman"/>
          <w:color w:val="000000" w:themeColor="text1"/>
        </w:rPr>
        <w:t xml:space="preserve">all 200 </w:t>
      </w:r>
      <w:r w:rsidRPr="004F034A">
        <w:rPr>
          <w:rFonts w:ascii="Times New Roman" w:hAnsi="Times New Roman" w:cs="Times New Roman"/>
          <w:color w:val="000000" w:themeColor="text1"/>
        </w:rPr>
        <w:t>μl culture</w:t>
      </w:r>
      <w:r>
        <w:rPr>
          <w:rFonts w:ascii="Times New Roman" w:hAnsi="Times New Roman" w:cs="Times New Roman"/>
          <w:color w:val="000000" w:themeColor="text1"/>
        </w:rPr>
        <w:t xml:space="preserve"> samples</w:t>
      </w:r>
      <w:r w:rsidRPr="004F034A">
        <w:rPr>
          <w:rFonts w:ascii="Times New Roman" w:hAnsi="Times New Roman" w:cs="Times New Roman"/>
          <w:color w:val="000000" w:themeColor="text1"/>
        </w:rPr>
        <w:t xml:space="preserve"> were incubated in the dark for 30 minutes at room temperature</w:t>
      </w:r>
      <w:r>
        <w:rPr>
          <w:rFonts w:ascii="Times New Roman" w:hAnsi="Times New Roman" w:cs="Times New Roman"/>
          <w:color w:val="000000" w:themeColor="text1"/>
        </w:rPr>
        <w:t>.</w:t>
      </w:r>
      <w:r w:rsidRPr="004F034A">
        <w:rPr>
          <w:rFonts w:ascii="Times New Roman" w:hAnsi="Times New Roman" w:cs="Times New Roman"/>
          <w:color w:val="000000" w:themeColor="text1"/>
        </w:rPr>
        <w:t xml:space="preserve"> </w:t>
      </w:r>
      <w:r>
        <w:rPr>
          <w:rFonts w:ascii="Times New Roman" w:hAnsi="Times New Roman" w:cs="Times New Roman"/>
          <w:color w:val="000000" w:themeColor="text1"/>
        </w:rPr>
        <w:t>G</w:t>
      </w:r>
      <w:r w:rsidRPr="004F034A">
        <w:rPr>
          <w:rFonts w:ascii="Times New Roman" w:hAnsi="Times New Roman" w:cs="Times New Roman"/>
          <w:color w:val="000000" w:themeColor="text1"/>
        </w:rPr>
        <w:t xml:space="preserve">reen fluorescence was subsequently measured at 485/520 nm </w:t>
      </w:r>
      <w:r>
        <w:rPr>
          <w:rFonts w:ascii="Times New Roman" w:hAnsi="Times New Roman" w:cs="Times New Roman"/>
          <w:color w:val="000000" w:themeColor="text1"/>
        </w:rPr>
        <w:t xml:space="preserve">at 15, 30 and 60 minutes at </w:t>
      </w:r>
      <w:r w:rsidRPr="003E713C">
        <w:rPr>
          <w:rFonts w:ascii="Times New Roman" w:hAnsi="Times New Roman" w:cs="Times New Roman"/>
        </w:rPr>
        <w:t>37˚C with aeration</w:t>
      </w:r>
      <w:r>
        <w:rPr>
          <w:rFonts w:ascii="Times New Roman" w:hAnsi="Times New Roman" w:cs="Times New Roman"/>
        </w:rPr>
        <w:t xml:space="preserve"> at 200 rpm</w:t>
      </w:r>
      <w:r>
        <w:rPr>
          <w:rFonts w:ascii="Times New Roman" w:hAnsi="Times New Roman" w:cs="Times New Roman"/>
          <w:color w:val="000000" w:themeColor="text1"/>
        </w:rPr>
        <w:t xml:space="preserve"> after the 30-minute incubation</w:t>
      </w:r>
      <w:r w:rsidRPr="004F034A">
        <w:rPr>
          <w:rFonts w:ascii="Times New Roman" w:hAnsi="Times New Roman" w:cs="Times New Roman"/>
          <w:color w:val="000000" w:themeColor="text1"/>
        </w:rPr>
        <w:t xml:space="preserve"> using a Hidex Sense platereader.</w:t>
      </w:r>
    </w:p>
    <w:p w14:paraId="36196586" w14:textId="31B5A0F1" w:rsidR="00D70E9B" w:rsidRDefault="00D70E9B" w:rsidP="00D70E9B">
      <w:pPr>
        <w:pStyle w:val="Heading3"/>
      </w:pPr>
      <w:bookmarkStart w:id="115" w:name="_Toc142043620"/>
      <w:r>
        <w:t>2.</w:t>
      </w:r>
      <w:r w:rsidR="00E315F1">
        <w:t>10</w:t>
      </w:r>
      <w:r>
        <w:t>.3. Fluorescence measurements of transcriptional activity of the dual promoter-reporter fusion</w:t>
      </w:r>
      <w:bookmarkEnd w:id="115"/>
    </w:p>
    <w:p w14:paraId="07589E53" w14:textId="77777777" w:rsidR="00D70E9B" w:rsidRPr="007468D0" w:rsidRDefault="00D70E9B" w:rsidP="00D70E9B"/>
    <w:p w14:paraId="6DBE850E" w14:textId="77777777" w:rsidR="00D70E9B" w:rsidRPr="007468D0" w:rsidRDefault="00D70E9B" w:rsidP="00D70E9B">
      <w:pPr>
        <w:spacing w:line="360" w:lineRule="auto"/>
        <w:jc w:val="both"/>
        <w:rPr>
          <w:rFonts w:ascii="Times New Roman" w:hAnsi="Times New Roman" w:cs="Times New Roman"/>
        </w:rPr>
      </w:pPr>
      <w:r w:rsidRPr="004F034A">
        <w:rPr>
          <w:rFonts w:ascii="Times New Roman" w:hAnsi="Times New Roman" w:cs="Times New Roman"/>
        </w:rPr>
        <w:t xml:space="preserve">Overnight cultures of the appropriate RN4220 </w:t>
      </w:r>
      <w:r w:rsidRPr="004F034A">
        <w:rPr>
          <w:rFonts w:ascii="Times New Roman" w:hAnsi="Times New Roman" w:cs="Times New Roman"/>
          <w:i/>
          <w:iCs/>
        </w:rPr>
        <w:t xml:space="preserve">S. aureus </w:t>
      </w:r>
      <w:r w:rsidRPr="004F034A">
        <w:rPr>
          <w:rFonts w:ascii="Times New Roman" w:hAnsi="Times New Roman" w:cs="Times New Roman"/>
        </w:rPr>
        <w:t xml:space="preserve">strains containing the </w:t>
      </w:r>
      <w:r>
        <w:rPr>
          <w:rFonts w:ascii="Times New Roman" w:hAnsi="Times New Roman" w:cs="Times New Roman"/>
        </w:rPr>
        <w:t>transcriptional dual promoter-reporter fusions</w:t>
      </w:r>
      <w:r w:rsidRPr="004F034A">
        <w:rPr>
          <w:rFonts w:ascii="Times New Roman" w:hAnsi="Times New Roman" w:cs="Times New Roman"/>
        </w:rPr>
        <w:t xml:space="preserve"> and the relevant controls were back</w:t>
      </w:r>
      <w:r>
        <w:rPr>
          <w:rFonts w:ascii="Times New Roman" w:hAnsi="Times New Roman" w:cs="Times New Roman"/>
        </w:rPr>
        <w:t>-</w:t>
      </w:r>
      <w:r w:rsidRPr="004F034A">
        <w:rPr>
          <w:rFonts w:ascii="Times New Roman" w:hAnsi="Times New Roman" w:cs="Times New Roman"/>
        </w:rPr>
        <w:t xml:space="preserve">diluted to </w:t>
      </w:r>
      <w:r w:rsidRPr="004F034A">
        <w:rPr>
          <w:rFonts w:ascii="Times New Roman" w:hAnsi="Times New Roman" w:cs="Times New Roman"/>
          <w:color w:val="000000" w:themeColor="text1"/>
        </w:rPr>
        <w:t>OD</w:t>
      </w:r>
      <w:r w:rsidRPr="004F034A">
        <w:rPr>
          <w:rFonts w:ascii="Times New Roman" w:hAnsi="Times New Roman" w:cs="Times New Roman"/>
          <w:color w:val="000000" w:themeColor="text1"/>
          <w:vertAlign w:val="subscript"/>
        </w:rPr>
        <w:t xml:space="preserve">600 </w:t>
      </w:r>
      <w:r w:rsidRPr="004F034A">
        <w:rPr>
          <w:rFonts w:ascii="Times New Roman" w:hAnsi="Times New Roman" w:cs="Times New Roman"/>
          <w:color w:val="000000" w:themeColor="text1"/>
        </w:rPr>
        <w:t>or 0.1</w:t>
      </w:r>
      <w:r>
        <w:rPr>
          <w:rFonts w:ascii="Times New Roman" w:hAnsi="Times New Roman" w:cs="Times New Roman"/>
          <w:color w:val="000000" w:themeColor="text1"/>
        </w:rPr>
        <w:t xml:space="preserve"> in CDM</w:t>
      </w:r>
      <w:r w:rsidRPr="004F034A">
        <w:rPr>
          <w:rFonts w:ascii="Times New Roman" w:hAnsi="Times New Roman" w:cs="Times New Roman"/>
          <w:color w:val="000000" w:themeColor="text1"/>
        </w:rPr>
        <w:t xml:space="preserve">. </w:t>
      </w:r>
      <w:r w:rsidRPr="004F034A">
        <w:rPr>
          <w:rFonts w:ascii="Times New Roman" w:hAnsi="Times New Roman" w:cs="Times New Roman"/>
          <w:i/>
          <w:iCs/>
          <w:color w:val="000000" w:themeColor="text1"/>
        </w:rPr>
        <w:t xml:space="preserve">S. aureus </w:t>
      </w:r>
      <w:r w:rsidRPr="004F034A">
        <w:rPr>
          <w:rFonts w:ascii="Times New Roman" w:hAnsi="Times New Roman" w:cs="Times New Roman"/>
          <w:color w:val="000000" w:themeColor="text1"/>
        </w:rPr>
        <w:t>cultures were grown to mid-exponential phase (approximately OD</w:t>
      </w:r>
      <w:r w:rsidRPr="004F034A">
        <w:rPr>
          <w:rFonts w:ascii="Times New Roman" w:hAnsi="Times New Roman" w:cs="Times New Roman"/>
          <w:color w:val="000000" w:themeColor="text1"/>
          <w:vertAlign w:val="subscript"/>
        </w:rPr>
        <w:t xml:space="preserve">600 </w:t>
      </w:r>
      <w:r w:rsidRPr="004F034A">
        <w:rPr>
          <w:rFonts w:ascii="Times New Roman" w:hAnsi="Times New Roman" w:cs="Times New Roman"/>
          <w:color w:val="000000" w:themeColor="text1"/>
        </w:rPr>
        <w:t>0.</w:t>
      </w:r>
      <w:r>
        <w:rPr>
          <w:rFonts w:ascii="Times New Roman" w:hAnsi="Times New Roman" w:cs="Times New Roman"/>
          <w:color w:val="000000" w:themeColor="text1"/>
        </w:rPr>
        <w:t>3-0.4</w:t>
      </w:r>
      <w:r w:rsidRPr="004F034A">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Pr="004F034A">
        <w:rPr>
          <w:rFonts w:ascii="Times New Roman" w:hAnsi="Times New Roman" w:cs="Times New Roman"/>
          <w:color w:val="000000" w:themeColor="text1"/>
        </w:rPr>
        <w:t>he cultures were split into 2 separate cultures</w:t>
      </w:r>
      <w:r>
        <w:rPr>
          <w:rFonts w:ascii="Times New Roman" w:hAnsi="Times New Roman" w:cs="Times New Roman"/>
          <w:color w:val="000000" w:themeColor="text1"/>
        </w:rPr>
        <w:t xml:space="preserve"> and </w:t>
      </w:r>
      <w:r w:rsidRPr="004F034A">
        <w:rPr>
          <w:rFonts w:ascii="Times New Roman" w:hAnsi="Times New Roman" w:cs="Times New Roman"/>
          <w:color w:val="000000" w:themeColor="text1"/>
        </w:rPr>
        <w:t xml:space="preserve">washed </w:t>
      </w:r>
      <w:r>
        <w:rPr>
          <w:rFonts w:ascii="Times New Roman" w:hAnsi="Times New Roman" w:cs="Times New Roman"/>
          <w:color w:val="000000" w:themeColor="text1"/>
        </w:rPr>
        <w:t>twice</w:t>
      </w:r>
      <w:r w:rsidRPr="004F034A">
        <w:rPr>
          <w:rFonts w:ascii="Times New Roman" w:hAnsi="Times New Roman" w:cs="Times New Roman"/>
          <w:color w:val="000000" w:themeColor="text1"/>
        </w:rPr>
        <w:t xml:space="preserve"> CDM +L/V or CDM -L/V</w:t>
      </w:r>
      <w:r>
        <w:rPr>
          <w:rFonts w:ascii="Times New Roman" w:hAnsi="Times New Roman" w:cs="Times New Roman"/>
          <w:color w:val="000000" w:themeColor="text1"/>
        </w:rPr>
        <w:t xml:space="preserve"> or cultures were incubated with 0, 0.05 or 60 </w:t>
      </w:r>
      <w:r w:rsidRPr="004F034A">
        <w:rPr>
          <w:rFonts w:ascii="Times New Roman" w:hAnsi="Times New Roman" w:cs="Times New Roman"/>
          <w:color w:val="000000" w:themeColor="text1"/>
        </w:rPr>
        <w:t>μ</w:t>
      </w:r>
      <w:r>
        <w:rPr>
          <w:rFonts w:ascii="Times New Roman" w:hAnsi="Times New Roman" w:cs="Times New Roman"/>
          <w:color w:val="000000" w:themeColor="text1"/>
        </w:rPr>
        <w:t>g/ml mupirocin depending on the experiment to mimic amino acid starvation.</w:t>
      </w:r>
      <w:r w:rsidRPr="004F034A">
        <w:rPr>
          <w:rFonts w:ascii="Times New Roman" w:hAnsi="Times New Roman" w:cs="Times New Roman"/>
          <w:color w:val="000000" w:themeColor="text1"/>
        </w:rPr>
        <w:t xml:space="preserve"> </w:t>
      </w:r>
      <w:r>
        <w:rPr>
          <w:rFonts w:ascii="Times New Roman" w:hAnsi="Times New Roman" w:cs="Times New Roman"/>
          <w:color w:val="000000" w:themeColor="text1"/>
        </w:rPr>
        <w:t>G</w:t>
      </w:r>
      <w:r w:rsidRPr="004F034A">
        <w:rPr>
          <w:rFonts w:ascii="Times New Roman" w:hAnsi="Times New Roman" w:cs="Times New Roman"/>
          <w:color w:val="000000" w:themeColor="text1"/>
        </w:rPr>
        <w:t xml:space="preserve">reen fluorescence was subsequently measured at 485/520 nm </w:t>
      </w:r>
      <w:r>
        <w:rPr>
          <w:rFonts w:ascii="Times New Roman" w:hAnsi="Times New Roman" w:cs="Times New Roman"/>
          <w:color w:val="000000" w:themeColor="text1"/>
        </w:rPr>
        <w:t>and red fluorescence at 575/610 nm every 30 minutes for 20 hours</w:t>
      </w:r>
      <w:r w:rsidRPr="004F034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at </w:t>
      </w:r>
      <w:r w:rsidRPr="003E713C">
        <w:rPr>
          <w:rFonts w:ascii="Times New Roman" w:hAnsi="Times New Roman" w:cs="Times New Roman"/>
        </w:rPr>
        <w:t>37˚C with aeration</w:t>
      </w:r>
      <w:r>
        <w:rPr>
          <w:rFonts w:ascii="Times New Roman" w:hAnsi="Times New Roman" w:cs="Times New Roman"/>
        </w:rPr>
        <w:t xml:space="preserve"> at 200 rpm</w:t>
      </w:r>
      <w:r w:rsidRPr="004F034A">
        <w:rPr>
          <w:rFonts w:ascii="Times New Roman" w:hAnsi="Times New Roman" w:cs="Times New Roman"/>
          <w:color w:val="000000" w:themeColor="text1"/>
        </w:rPr>
        <w:t xml:space="preserve"> using a Hidex Sense platereader.</w:t>
      </w:r>
    </w:p>
    <w:p w14:paraId="41035F0D" w14:textId="080ED5C1" w:rsidR="00D70E9B" w:rsidRDefault="00D70E9B" w:rsidP="00D70E9B">
      <w:pPr>
        <w:pStyle w:val="Heading3"/>
      </w:pPr>
      <w:bookmarkStart w:id="116" w:name="_Toc142043621"/>
      <w:r>
        <w:t>2.</w:t>
      </w:r>
      <w:r w:rsidR="00E315F1">
        <w:t>10</w:t>
      </w:r>
      <w:r>
        <w:t>.4. Fluorescence measurements of synthetase expression</w:t>
      </w:r>
      <w:bookmarkEnd w:id="116"/>
      <w:r>
        <w:t xml:space="preserve"> </w:t>
      </w:r>
    </w:p>
    <w:p w14:paraId="39623E07" w14:textId="77777777" w:rsidR="00D70E9B" w:rsidRPr="005A0A50" w:rsidRDefault="00D70E9B" w:rsidP="00D70E9B"/>
    <w:p w14:paraId="08F27740" w14:textId="77777777" w:rsidR="00D70E9B" w:rsidRPr="006858B7" w:rsidRDefault="00D70E9B" w:rsidP="00D70E9B">
      <w:pPr>
        <w:spacing w:line="360" w:lineRule="auto"/>
        <w:jc w:val="both"/>
        <w:rPr>
          <w:rFonts w:ascii="Times New Roman" w:hAnsi="Times New Roman" w:cs="Times New Roman"/>
        </w:rPr>
      </w:pPr>
      <w:r w:rsidRPr="004F034A">
        <w:rPr>
          <w:rFonts w:ascii="Times New Roman" w:hAnsi="Times New Roman" w:cs="Times New Roman"/>
        </w:rPr>
        <w:t xml:space="preserve">Overnight cultures of the appropriate RN4220 </w:t>
      </w:r>
      <w:r w:rsidRPr="004F034A">
        <w:rPr>
          <w:rFonts w:ascii="Times New Roman" w:hAnsi="Times New Roman" w:cs="Times New Roman"/>
          <w:i/>
          <w:iCs/>
        </w:rPr>
        <w:t xml:space="preserve">S. aureus </w:t>
      </w:r>
      <w:r w:rsidRPr="004F034A">
        <w:rPr>
          <w:rFonts w:ascii="Times New Roman" w:hAnsi="Times New Roman" w:cs="Times New Roman"/>
        </w:rPr>
        <w:t xml:space="preserve">strains containing the </w:t>
      </w:r>
      <w:r>
        <w:rPr>
          <w:rFonts w:ascii="Times New Roman" w:hAnsi="Times New Roman" w:cs="Times New Roman"/>
        </w:rPr>
        <w:t>translational synthetase-GFP fusions</w:t>
      </w:r>
      <w:r w:rsidRPr="004F034A">
        <w:rPr>
          <w:rFonts w:ascii="Times New Roman" w:hAnsi="Times New Roman" w:cs="Times New Roman"/>
        </w:rPr>
        <w:t xml:space="preserve"> and the relevant controls were back</w:t>
      </w:r>
      <w:r>
        <w:rPr>
          <w:rFonts w:ascii="Times New Roman" w:hAnsi="Times New Roman" w:cs="Times New Roman"/>
        </w:rPr>
        <w:t>-</w:t>
      </w:r>
      <w:r w:rsidRPr="004F034A">
        <w:rPr>
          <w:rFonts w:ascii="Times New Roman" w:hAnsi="Times New Roman" w:cs="Times New Roman"/>
        </w:rPr>
        <w:t xml:space="preserve">diluted to </w:t>
      </w:r>
      <w:r w:rsidRPr="004F034A">
        <w:rPr>
          <w:rFonts w:ascii="Times New Roman" w:hAnsi="Times New Roman" w:cs="Times New Roman"/>
          <w:color w:val="000000" w:themeColor="text1"/>
        </w:rPr>
        <w:t>OD</w:t>
      </w:r>
      <w:r w:rsidRPr="004F034A">
        <w:rPr>
          <w:rFonts w:ascii="Times New Roman" w:hAnsi="Times New Roman" w:cs="Times New Roman"/>
          <w:color w:val="000000" w:themeColor="text1"/>
          <w:vertAlign w:val="subscript"/>
        </w:rPr>
        <w:t xml:space="preserve">600 </w:t>
      </w:r>
      <w:r w:rsidRPr="004F034A">
        <w:rPr>
          <w:rFonts w:ascii="Times New Roman" w:hAnsi="Times New Roman" w:cs="Times New Roman"/>
          <w:color w:val="000000" w:themeColor="text1"/>
        </w:rPr>
        <w:t>or 0.1</w:t>
      </w:r>
      <w:r>
        <w:rPr>
          <w:rFonts w:ascii="Times New Roman" w:hAnsi="Times New Roman" w:cs="Times New Roman"/>
          <w:color w:val="000000" w:themeColor="text1"/>
        </w:rPr>
        <w:t xml:space="preserve"> in CDM</w:t>
      </w:r>
      <w:r w:rsidRPr="004F034A">
        <w:rPr>
          <w:rFonts w:ascii="Times New Roman" w:hAnsi="Times New Roman" w:cs="Times New Roman"/>
          <w:color w:val="000000" w:themeColor="text1"/>
        </w:rPr>
        <w:t xml:space="preserve">. </w:t>
      </w:r>
      <w:r w:rsidRPr="004F034A">
        <w:rPr>
          <w:rFonts w:ascii="Times New Roman" w:hAnsi="Times New Roman" w:cs="Times New Roman"/>
          <w:i/>
          <w:iCs/>
          <w:color w:val="000000" w:themeColor="text1"/>
        </w:rPr>
        <w:t xml:space="preserve">S. aureus </w:t>
      </w:r>
      <w:r w:rsidRPr="004F034A">
        <w:rPr>
          <w:rFonts w:ascii="Times New Roman" w:hAnsi="Times New Roman" w:cs="Times New Roman"/>
          <w:color w:val="000000" w:themeColor="text1"/>
        </w:rPr>
        <w:t>cultures were grown to mid-exponential phase (approximately OD</w:t>
      </w:r>
      <w:r w:rsidRPr="004F034A">
        <w:rPr>
          <w:rFonts w:ascii="Times New Roman" w:hAnsi="Times New Roman" w:cs="Times New Roman"/>
          <w:color w:val="000000" w:themeColor="text1"/>
          <w:vertAlign w:val="subscript"/>
        </w:rPr>
        <w:t xml:space="preserve">600 </w:t>
      </w:r>
      <w:r w:rsidRPr="004F034A">
        <w:rPr>
          <w:rFonts w:ascii="Times New Roman" w:hAnsi="Times New Roman" w:cs="Times New Roman"/>
          <w:color w:val="000000" w:themeColor="text1"/>
        </w:rPr>
        <w:t>0.</w:t>
      </w:r>
      <w:r>
        <w:rPr>
          <w:rFonts w:ascii="Times New Roman" w:hAnsi="Times New Roman" w:cs="Times New Roman"/>
          <w:color w:val="000000" w:themeColor="text1"/>
        </w:rPr>
        <w:t>3-0.4</w:t>
      </w:r>
      <w:r w:rsidRPr="004F034A">
        <w:rPr>
          <w:rFonts w:ascii="Times New Roman" w:hAnsi="Times New Roman" w:cs="Times New Roman"/>
          <w:color w:val="000000" w:themeColor="text1"/>
        </w:rPr>
        <w:t>)</w:t>
      </w:r>
      <w:r>
        <w:rPr>
          <w:rFonts w:ascii="Times New Roman" w:hAnsi="Times New Roman" w:cs="Times New Roman"/>
          <w:color w:val="000000" w:themeColor="text1"/>
        </w:rPr>
        <w:t xml:space="preserve">. Once exponential phase was reached, 60 </w:t>
      </w:r>
      <w:r w:rsidRPr="004F034A">
        <w:rPr>
          <w:rFonts w:ascii="Times New Roman" w:hAnsi="Times New Roman" w:cs="Times New Roman"/>
          <w:color w:val="000000" w:themeColor="text1"/>
        </w:rPr>
        <w:t>μ</w:t>
      </w:r>
      <w:r>
        <w:rPr>
          <w:rFonts w:ascii="Times New Roman" w:hAnsi="Times New Roman" w:cs="Times New Roman"/>
          <w:color w:val="000000" w:themeColor="text1"/>
        </w:rPr>
        <w:t xml:space="preserve">g/ml mupirocin, 5X MIC vancomycin (10 </w:t>
      </w:r>
      <w:r w:rsidRPr="004F034A">
        <w:rPr>
          <w:rFonts w:ascii="Times New Roman" w:hAnsi="Times New Roman" w:cs="Times New Roman"/>
          <w:color w:val="000000" w:themeColor="text1"/>
        </w:rPr>
        <w:t>μ</w:t>
      </w:r>
      <w:r>
        <w:rPr>
          <w:rFonts w:ascii="Times New Roman" w:hAnsi="Times New Roman" w:cs="Times New Roman"/>
          <w:color w:val="000000" w:themeColor="text1"/>
        </w:rPr>
        <w:t xml:space="preserve">g/ml) or 5X MIC ampicillin (640 </w:t>
      </w:r>
      <w:r w:rsidRPr="004F034A">
        <w:rPr>
          <w:rFonts w:ascii="Times New Roman" w:hAnsi="Times New Roman" w:cs="Times New Roman"/>
          <w:color w:val="000000" w:themeColor="text1"/>
        </w:rPr>
        <w:t>μ</w:t>
      </w:r>
      <w:r>
        <w:rPr>
          <w:rFonts w:ascii="Times New Roman" w:hAnsi="Times New Roman" w:cs="Times New Roman"/>
          <w:color w:val="000000" w:themeColor="text1"/>
        </w:rPr>
        <w:t>g/ml) was added to the synthetase-GFP cultures (mupirocin for Rel-GFP and vancomycin and ampicillin for RelP-GFP and RelQ-GFP). G</w:t>
      </w:r>
      <w:r w:rsidRPr="004F034A">
        <w:rPr>
          <w:rFonts w:ascii="Times New Roman" w:hAnsi="Times New Roman" w:cs="Times New Roman"/>
          <w:color w:val="000000" w:themeColor="text1"/>
        </w:rPr>
        <w:t xml:space="preserve">reen fluorescence was subsequently measured at 485/520 nm </w:t>
      </w:r>
      <w:r>
        <w:rPr>
          <w:rFonts w:ascii="Times New Roman" w:hAnsi="Times New Roman" w:cs="Times New Roman"/>
          <w:color w:val="000000" w:themeColor="text1"/>
        </w:rPr>
        <w:t xml:space="preserve">every 30 minutes for 15 hours at </w:t>
      </w:r>
      <w:r w:rsidRPr="003E713C">
        <w:rPr>
          <w:rFonts w:ascii="Times New Roman" w:hAnsi="Times New Roman" w:cs="Times New Roman"/>
        </w:rPr>
        <w:t>37˚C with aeration</w:t>
      </w:r>
      <w:r>
        <w:rPr>
          <w:rFonts w:ascii="Times New Roman" w:hAnsi="Times New Roman" w:cs="Times New Roman"/>
        </w:rPr>
        <w:t xml:space="preserve"> at 200 rpm</w:t>
      </w:r>
      <w:r w:rsidRPr="004F034A">
        <w:rPr>
          <w:rFonts w:ascii="Times New Roman" w:hAnsi="Times New Roman" w:cs="Times New Roman"/>
          <w:color w:val="000000" w:themeColor="text1"/>
        </w:rPr>
        <w:t xml:space="preserve"> using a Hidex Sense platereader.</w:t>
      </w:r>
    </w:p>
    <w:p w14:paraId="58D58A85" w14:textId="59CDC680" w:rsidR="00D70E9B" w:rsidRPr="00A268F4" w:rsidRDefault="00D70E9B" w:rsidP="00D70E9B">
      <w:pPr>
        <w:pStyle w:val="Heading2"/>
      </w:pPr>
      <w:bookmarkStart w:id="117" w:name="_Toc142043622"/>
      <w:r>
        <w:t>2.1</w:t>
      </w:r>
      <w:r w:rsidR="00E315F1">
        <w:t>1</w:t>
      </w:r>
      <w:r>
        <w:t>. Statistical analyses</w:t>
      </w:r>
      <w:bookmarkEnd w:id="117"/>
    </w:p>
    <w:p w14:paraId="132FF9F8" w14:textId="77777777" w:rsidR="00D70E9B" w:rsidRDefault="00D70E9B" w:rsidP="00D70E9B">
      <w:pPr>
        <w:spacing w:line="360" w:lineRule="auto"/>
        <w:jc w:val="both"/>
        <w:rPr>
          <w:rFonts w:ascii="Times New Roman" w:hAnsi="Times New Roman" w:cs="Times New Roman"/>
        </w:rPr>
      </w:pPr>
    </w:p>
    <w:p w14:paraId="329556EB" w14:textId="492C09DD" w:rsidR="00D70E9B" w:rsidRDefault="00D70E9B" w:rsidP="00D70E9B">
      <w:pPr>
        <w:spacing w:line="360" w:lineRule="auto"/>
        <w:jc w:val="both"/>
        <w:rPr>
          <w:rFonts w:ascii="Times New Roman" w:hAnsi="Times New Roman" w:cs="Times New Roman"/>
        </w:rPr>
      </w:pPr>
      <w:r>
        <w:rPr>
          <w:rFonts w:ascii="Times New Roman" w:hAnsi="Times New Roman" w:cs="Times New Roman"/>
        </w:rPr>
        <w:t>S</w:t>
      </w:r>
      <w:r w:rsidRPr="005B40AE">
        <w:rPr>
          <w:rFonts w:ascii="Times New Roman" w:hAnsi="Times New Roman" w:cs="Times New Roman"/>
        </w:rPr>
        <w:t>tatistical analyses were performed using Graph</w:t>
      </w:r>
      <w:r>
        <w:rPr>
          <w:rFonts w:ascii="Times New Roman" w:hAnsi="Times New Roman" w:cs="Times New Roman"/>
        </w:rPr>
        <w:t>P</w:t>
      </w:r>
      <w:r w:rsidRPr="005B40AE">
        <w:rPr>
          <w:rFonts w:ascii="Times New Roman" w:hAnsi="Times New Roman" w:cs="Times New Roman"/>
        </w:rPr>
        <w:t xml:space="preserve">ad Prism </w:t>
      </w:r>
      <w:r>
        <w:rPr>
          <w:rFonts w:ascii="Times New Roman" w:hAnsi="Times New Roman" w:cs="Times New Roman"/>
        </w:rPr>
        <w:t>9.5.0</w:t>
      </w:r>
      <w:r w:rsidRPr="005B40AE">
        <w:rPr>
          <w:rFonts w:ascii="Times New Roman" w:hAnsi="Times New Roman" w:cs="Times New Roman"/>
        </w:rPr>
        <w:t xml:space="preserve"> software. </w:t>
      </w:r>
      <w:r>
        <w:rPr>
          <w:rFonts w:ascii="Times New Roman" w:hAnsi="Times New Roman" w:cs="Times New Roman"/>
        </w:rPr>
        <w:t xml:space="preserve">Normality of data was tested using the Shapiro-Wilk normality test in order to determine whether data was parametric or non-parametric. </w:t>
      </w:r>
      <w:r w:rsidRPr="005B40AE">
        <w:rPr>
          <w:rFonts w:ascii="Times New Roman" w:hAnsi="Times New Roman" w:cs="Times New Roman"/>
        </w:rPr>
        <w:t xml:space="preserve">Statistical differences between </w:t>
      </w:r>
      <w:r>
        <w:rPr>
          <w:rFonts w:ascii="Times New Roman" w:hAnsi="Times New Roman" w:cs="Times New Roman"/>
        </w:rPr>
        <w:t>conditions</w:t>
      </w:r>
      <w:r w:rsidRPr="005B40AE">
        <w:rPr>
          <w:rFonts w:ascii="Times New Roman" w:hAnsi="Times New Roman" w:cs="Times New Roman"/>
        </w:rPr>
        <w:t xml:space="preserve"> were assessed using Student’s t-tests</w:t>
      </w:r>
      <w:r>
        <w:rPr>
          <w:rFonts w:ascii="Times New Roman" w:hAnsi="Times New Roman" w:cs="Times New Roman"/>
        </w:rPr>
        <w:t>, Mann-Whitney test,</w:t>
      </w:r>
      <w:r w:rsidRPr="005B40AE">
        <w:rPr>
          <w:rFonts w:ascii="Times New Roman" w:hAnsi="Times New Roman" w:cs="Times New Roman"/>
        </w:rPr>
        <w:t xml:space="preserve"> one-way analysis of variance (ANOVA) followed by Tukey’s multiple comparisons </w:t>
      </w:r>
      <w:r>
        <w:rPr>
          <w:rFonts w:ascii="Times New Roman" w:hAnsi="Times New Roman" w:cs="Times New Roman"/>
        </w:rPr>
        <w:t>post-</w:t>
      </w:r>
      <w:r w:rsidRPr="005B40AE">
        <w:rPr>
          <w:rFonts w:ascii="Times New Roman" w:hAnsi="Times New Roman" w:cs="Times New Roman"/>
        </w:rPr>
        <w:t>test</w:t>
      </w:r>
      <w:r>
        <w:rPr>
          <w:rFonts w:ascii="Times New Roman" w:hAnsi="Times New Roman" w:cs="Times New Roman"/>
        </w:rPr>
        <w:t xml:space="preserve"> or two-way ANOVA followed by </w:t>
      </w:r>
      <w:r w:rsidRPr="00291A63">
        <w:rPr>
          <w:rFonts w:ascii="Times New Roman" w:eastAsia="Times New Roman" w:hAnsi="Times New Roman" w:cs="Times New Roman"/>
          <w:lang w:eastAsia="en-GB"/>
        </w:rPr>
        <w:t>Šídák's</w:t>
      </w:r>
      <w:r w:rsidRPr="00B84297">
        <w:rPr>
          <w:rFonts w:ascii="Times New Roman" w:hAnsi="Times New Roman" w:cs="Times New Roman"/>
        </w:rPr>
        <w:t xml:space="preserve"> multiple comparisons post-tes</w:t>
      </w:r>
      <w:r>
        <w:rPr>
          <w:rFonts w:ascii="Times New Roman" w:hAnsi="Times New Roman" w:cs="Times New Roman"/>
        </w:rPr>
        <w:t>t</w:t>
      </w:r>
      <w:r w:rsidRPr="005B40AE">
        <w:rPr>
          <w:rFonts w:ascii="Times New Roman" w:hAnsi="Times New Roman" w:cs="Times New Roman"/>
        </w:rPr>
        <w:t xml:space="preserve">. </w:t>
      </w:r>
      <w:r>
        <w:rPr>
          <w:rFonts w:ascii="Times New Roman" w:hAnsi="Times New Roman" w:cs="Times New Roman"/>
        </w:rPr>
        <w:t xml:space="preserve">Survival experiments were analysed using the Kaplan-Meier method and survival curves were compared using the </w:t>
      </w:r>
      <w:r w:rsidRPr="00B84297">
        <w:rPr>
          <w:rFonts w:ascii="Times New Roman" w:hAnsi="Times New Roman" w:cs="Times New Roman"/>
          <w:lang w:val="en-US"/>
        </w:rPr>
        <w:t>log-rank (Mantel-Cox) test</w:t>
      </w:r>
      <w:r>
        <w:rPr>
          <w:rFonts w:ascii="Times New Roman" w:hAnsi="Times New Roman" w:cs="Times New Roman"/>
        </w:rPr>
        <w:t xml:space="preserve">. </w:t>
      </w:r>
      <w:r w:rsidRPr="00B84297">
        <w:rPr>
          <w:rFonts w:ascii="Times New Roman" w:hAnsi="Times New Roman" w:cs="Times New Roman"/>
          <w:i/>
          <w:iCs/>
        </w:rPr>
        <w:t>P</w:t>
      </w:r>
      <w:r w:rsidRPr="005B40AE">
        <w:rPr>
          <w:rFonts w:ascii="Times New Roman" w:hAnsi="Times New Roman" w:cs="Times New Roman"/>
        </w:rPr>
        <w:t xml:space="preserve"> values are represented as follows, or as described in the figure legends</w:t>
      </w:r>
      <w:r>
        <w:rPr>
          <w:rFonts w:ascii="Times New Roman" w:hAnsi="Times New Roman" w:cs="Times New Roman"/>
        </w:rPr>
        <w:t>;</w:t>
      </w:r>
      <w:r w:rsidRPr="005B40AE">
        <w:rPr>
          <w:rFonts w:ascii="Times New Roman" w:hAnsi="Times New Roman" w:cs="Times New Roman"/>
        </w:rPr>
        <w:t xml:space="preserve"> * </w:t>
      </w:r>
      <w:r>
        <w:rPr>
          <w:rFonts w:ascii="Times New Roman" w:hAnsi="Times New Roman" w:cs="Times New Roman"/>
          <w:i/>
          <w:iCs/>
        </w:rPr>
        <w:t>P</w:t>
      </w:r>
      <w:r w:rsidRPr="005B40AE">
        <w:rPr>
          <w:rFonts w:ascii="Times New Roman" w:hAnsi="Times New Roman" w:cs="Times New Roman"/>
        </w:rPr>
        <w:t xml:space="preserve"> &lt; 0.05; **</w:t>
      </w:r>
      <w:r>
        <w:rPr>
          <w:rFonts w:ascii="Times New Roman" w:hAnsi="Times New Roman" w:cs="Times New Roman"/>
        </w:rPr>
        <w:t xml:space="preserve"> </w:t>
      </w:r>
      <w:r>
        <w:rPr>
          <w:rFonts w:ascii="Times New Roman" w:hAnsi="Times New Roman" w:cs="Times New Roman"/>
          <w:i/>
          <w:iCs/>
        </w:rPr>
        <w:t xml:space="preserve">P </w:t>
      </w:r>
      <w:r w:rsidRPr="005B40AE">
        <w:rPr>
          <w:rFonts w:ascii="Times New Roman" w:hAnsi="Times New Roman" w:cs="Times New Roman"/>
        </w:rPr>
        <w:t xml:space="preserve">&lt; 0.01; *** </w:t>
      </w:r>
      <w:r>
        <w:rPr>
          <w:rFonts w:ascii="Times New Roman" w:hAnsi="Times New Roman" w:cs="Times New Roman"/>
          <w:i/>
          <w:iCs/>
        </w:rPr>
        <w:t>P</w:t>
      </w:r>
      <w:r w:rsidRPr="005B40AE">
        <w:rPr>
          <w:rFonts w:ascii="Times New Roman" w:hAnsi="Times New Roman" w:cs="Times New Roman"/>
        </w:rPr>
        <w:t xml:space="preserve"> &lt; 0.001; **** </w:t>
      </w:r>
      <w:r>
        <w:rPr>
          <w:rFonts w:ascii="Times New Roman" w:hAnsi="Times New Roman" w:cs="Times New Roman"/>
          <w:i/>
          <w:iCs/>
        </w:rPr>
        <w:t>P</w:t>
      </w:r>
      <w:r w:rsidRPr="005B40AE">
        <w:rPr>
          <w:rFonts w:ascii="Times New Roman" w:hAnsi="Times New Roman" w:cs="Times New Roman"/>
        </w:rPr>
        <w:t xml:space="preserve"> &lt; 0.0001.</w:t>
      </w:r>
    </w:p>
    <w:p w14:paraId="39834AE9" w14:textId="7CDDAE7F" w:rsidR="00187693" w:rsidRDefault="00187693" w:rsidP="00D70E9B">
      <w:pPr>
        <w:spacing w:line="360" w:lineRule="auto"/>
        <w:jc w:val="both"/>
        <w:rPr>
          <w:rFonts w:ascii="Times New Roman" w:hAnsi="Times New Roman" w:cs="Times New Roman"/>
        </w:rPr>
      </w:pPr>
    </w:p>
    <w:p w14:paraId="4326E0B2" w14:textId="4586EA1A" w:rsidR="00187693" w:rsidRDefault="00187693" w:rsidP="00D70E9B">
      <w:pPr>
        <w:spacing w:line="360" w:lineRule="auto"/>
        <w:jc w:val="both"/>
        <w:rPr>
          <w:rFonts w:ascii="Times New Roman" w:hAnsi="Times New Roman" w:cs="Times New Roman"/>
        </w:rPr>
      </w:pPr>
    </w:p>
    <w:p w14:paraId="5DD8536B" w14:textId="77777777" w:rsidR="00187693" w:rsidRPr="008D708F" w:rsidRDefault="00187693" w:rsidP="00187693">
      <w:pPr>
        <w:pStyle w:val="Heading1"/>
      </w:pPr>
      <w:bookmarkStart w:id="118" w:name="_Toc142043623"/>
      <w:r w:rsidRPr="008D708F">
        <w:t xml:space="preserve">Chapter 3: Construction of a toolbox to investigate the importance of the staphylococcal stringent response </w:t>
      </w:r>
      <w:r w:rsidRPr="0010756E">
        <w:rPr>
          <w:i/>
          <w:iCs/>
        </w:rPr>
        <w:t>in vivo</w:t>
      </w:r>
      <w:bookmarkEnd w:id="118"/>
    </w:p>
    <w:p w14:paraId="4F050B5C" w14:textId="77777777" w:rsidR="00187693" w:rsidRDefault="00187693" w:rsidP="00187693">
      <w:pPr>
        <w:pStyle w:val="no"/>
      </w:pPr>
    </w:p>
    <w:p w14:paraId="0F9199F2" w14:textId="77777777" w:rsidR="00187693" w:rsidRPr="00014FFF" w:rsidRDefault="00187693" w:rsidP="00187693">
      <w:pPr>
        <w:pStyle w:val="Heading2"/>
      </w:pPr>
      <w:bookmarkStart w:id="119" w:name="_Toc142043624"/>
      <w:r w:rsidRPr="00014FFF">
        <w:t>3.1 Introduction</w:t>
      </w:r>
      <w:bookmarkEnd w:id="119"/>
      <w:r w:rsidRPr="00014FFF">
        <w:t xml:space="preserve"> </w:t>
      </w:r>
    </w:p>
    <w:p w14:paraId="5FCBA45E" w14:textId="77777777" w:rsidR="00187693" w:rsidRDefault="00187693" w:rsidP="00187693">
      <w:pPr>
        <w:spacing w:line="240" w:lineRule="auto"/>
      </w:pPr>
    </w:p>
    <w:p w14:paraId="226D809E" w14:textId="6479924B" w:rsidR="00187693" w:rsidRDefault="00187693" w:rsidP="00187693">
      <w:pPr>
        <w:spacing w:line="360" w:lineRule="auto"/>
        <w:jc w:val="both"/>
        <w:rPr>
          <w:rFonts w:ascii="Times New Roman" w:hAnsi="Times New Roman" w:cs="Times New Roman"/>
        </w:rPr>
      </w:pPr>
      <w:r w:rsidRPr="00164B29">
        <w:rPr>
          <w:rFonts w:ascii="Times New Roman" w:hAnsi="Times New Roman" w:cs="Times New Roman"/>
        </w:rPr>
        <w:t xml:space="preserve">During nutrient limitation the aim of the SR is to downregulate </w:t>
      </w:r>
      <w:r w:rsidRPr="00164B29">
        <w:rPr>
          <w:rFonts w:ascii="Times New Roman" w:hAnsi="Times New Roman" w:cs="Times New Roman"/>
          <w:shd w:val="clear" w:color="auto" w:fill="FFFFFF"/>
        </w:rPr>
        <w:t>macromolecular processes to promote bacterial survival.</w:t>
      </w:r>
      <w:r w:rsidRPr="00164B29">
        <w:rPr>
          <w:rFonts w:ascii="Times New Roman" w:hAnsi="Times New Roman" w:cs="Times New Roman"/>
        </w:rPr>
        <w:t xml:space="preserve"> In the process of promoting survival, the SR can have many effects </w:t>
      </w:r>
      <w:r>
        <w:rPr>
          <w:rFonts w:ascii="Times New Roman" w:hAnsi="Times New Roman" w:cs="Times New Roman"/>
        </w:rPr>
        <w:t>including</w:t>
      </w:r>
      <w:r w:rsidRPr="00164B29">
        <w:rPr>
          <w:rFonts w:ascii="Times New Roman" w:hAnsi="Times New Roman" w:cs="Times New Roman"/>
        </w:rPr>
        <w:t xml:space="preserve"> contributing to virulence, immune evasion and phagosomal escape </w:t>
      </w:r>
      <w:r w:rsidRPr="002F32C9">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&lt;EndNote&gt;&lt;Cite&gt;&lt;Author&gt;Ronneau&lt;/Author&gt;&lt;Year&gt;2019&lt;/Year&gt;&lt;IDText&gt;Make and break the alarmone: regulation of (p)ppGpp synthetase/hydrolase enzymes in bacteria&lt;/IDText&gt;&lt;DisplayText&gt;(Ronneau and Hallez, 2019)&lt;/DisplayText&gt;&lt;record&gt;&lt;dates&gt;&lt;pub-dates&gt;&lt;date&gt;Jul&lt;/date&gt;&lt;/pub-dates&gt;&lt;year&gt;2019&lt;/year&gt;&lt;/dates&gt;&lt;urls&gt;&lt;related-urls&gt;&lt;url&gt;&amp;lt;Go to ISI&amp;gt;://WOS:000493063800004&lt;/url&gt;&lt;/related-urls&gt;&lt;/urls&gt;&lt;isbn&gt;0168-6445&lt;/isbn&gt;&lt;titles&gt;&lt;title&gt;Make and break the alarmone: regulation of (p)ppGpp synthetase/hydrolase enzymes in bacteria&lt;/title&gt;&lt;secondary-title&gt;Fems Microbiology Reviews&lt;/secondary-title&gt;&lt;/titles&gt;&lt;pages&gt;389-400&lt;/pages&gt;&lt;number&gt;4&lt;/number&gt;&lt;contributors&gt;&lt;authors&gt;&lt;author&gt;Ronneau, Severin&lt;/author&gt;&lt;author&gt;Hallez, Regis&lt;/author&gt;&lt;/authors&gt;&lt;/contributors&gt;&lt;added-date format="utc"&gt;1663613714&lt;/added-date&gt;&lt;ref-type name="Journal Article"&gt;17&lt;/ref-type&gt;&lt;rec-number&gt;78&lt;/rec-number&gt;&lt;last-updated-date format="utc"&gt;1663624413&lt;/last-updated-date&gt;&lt;accession-num&gt;WOS:000493063800004&lt;/accession-num&gt;&lt;electronic-resource-num&gt;10.1093/femsre/fuz009&lt;/electronic-resource-num&gt;&lt;volume&gt;43&lt;/volume&gt;&lt;/record&gt;&lt;/Cite&gt;&lt;/EndNote&gt;</w:instrText>
      </w:r>
      <w:r w:rsidRPr="002F32C9">
        <w:rPr>
          <w:rFonts w:ascii="Times New Roman" w:hAnsi="Times New Roman" w:cs="Times New Roman"/>
          <w:b/>
          <w:bCs/>
        </w:rPr>
        <w:fldChar w:fldCharType="separate"/>
      </w:r>
      <w:r>
        <w:rPr>
          <w:rFonts w:ascii="Times New Roman" w:hAnsi="Times New Roman" w:cs="Times New Roman"/>
          <w:b/>
          <w:bCs/>
          <w:noProof/>
        </w:rPr>
        <w:t>(Ronneau and Hallez, 2019)</w:t>
      </w:r>
      <w:r w:rsidRPr="002F32C9">
        <w:rPr>
          <w:rFonts w:ascii="Times New Roman" w:hAnsi="Times New Roman" w:cs="Times New Roman"/>
          <w:b/>
          <w:bCs/>
        </w:rPr>
        <w:fldChar w:fldCharType="end"/>
      </w:r>
      <w:r w:rsidRPr="00164B29">
        <w:rPr>
          <w:rFonts w:ascii="Times New Roman" w:hAnsi="Times New Roman" w:cs="Times New Roman"/>
        </w:rPr>
        <w:t xml:space="preserve">. In </w:t>
      </w:r>
      <w:r w:rsidRPr="00164B29">
        <w:rPr>
          <w:rFonts w:ascii="Times New Roman" w:hAnsi="Times New Roman" w:cs="Times New Roman"/>
          <w:i/>
          <w:iCs/>
        </w:rPr>
        <w:t>S. aureus</w:t>
      </w:r>
      <w:r w:rsidRPr="00164B29">
        <w:rPr>
          <w:rFonts w:ascii="Times New Roman" w:hAnsi="Times New Roman" w:cs="Times New Roman"/>
        </w:rPr>
        <w:t xml:space="preserve">, virulence mechanisms that the SR has been </w:t>
      </w:r>
      <w:r>
        <w:rPr>
          <w:rFonts w:ascii="Times New Roman" w:hAnsi="Times New Roman" w:cs="Times New Roman"/>
        </w:rPr>
        <w:t>associated with</w:t>
      </w:r>
      <w:r w:rsidRPr="00164B29">
        <w:rPr>
          <w:rFonts w:ascii="Times New Roman" w:hAnsi="Times New Roman" w:cs="Times New Roman"/>
        </w:rPr>
        <w:t xml:space="preserve"> include the upregulation of cytolytic toxins such as the phenol-soluble modulins </w:t>
      </w:r>
      <w:r w:rsidRPr="002F32C9">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2012)&lt;/DisplayText&gt;&lt;record&gt;&lt;dates&gt;&lt;pub-dates&gt;&lt;date&gt;2013-06-04&lt;/date&gt;&lt;/pub-dates&gt;&lt;year&gt;2012&lt;/year&gt;&lt;/dates&gt;&lt;urls&gt;&lt;related-urls&gt;&lt;url&gt;&amp;lt;Go to ISI&amp;gt;://DRCI:DATA2013076003393588&lt;/url&gt;&lt;/related-urls&gt;&lt;/urls&gt;&lt;titles&gt;&lt;title&gt;The Stringent Response of Staphylococcus aureus and Its Impact on Survival after Phagocytosis through the Induction of Intracellular PSMs Expression&lt;/title&gt;&lt;secondary-title&gt;Figshare&lt;/secondary-title&gt;&lt;/titles&gt;&lt;contributors&gt;&lt;authors&gt;&lt;author&gt;Geiger,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format="utc"&gt;1663624413&lt;/last-updated-</w:instrText>
      </w:r>
      <w:r w:rsidRPr="00F25C2B">
        <w:rPr>
          <w:rFonts w:ascii="Times New Roman" w:hAnsi="Times New Roman" w:cs="Times New Roman"/>
          <w:b/>
          <w:bCs/>
          <w:lang w:val="fr-FR"/>
        </w:rPr>
        <w:instrText>date&gt;&lt;accession-num&gt;DRCI:DATA2013076003393588&lt;/accession-num&gt;&lt;volume&gt;1&lt;/volume&gt;&lt;/record&gt;&lt;/Cite&gt;&lt;/EndNote&gt;</w:instrText>
      </w:r>
      <w:r w:rsidRPr="002F32C9">
        <w:rPr>
          <w:rFonts w:ascii="Times New Roman" w:hAnsi="Times New Roman" w:cs="Times New Roman"/>
          <w:b/>
          <w:bCs/>
        </w:rPr>
        <w:fldChar w:fldCharType="separate"/>
      </w:r>
      <w:r w:rsidRPr="00F25C2B">
        <w:rPr>
          <w:rFonts w:ascii="Times New Roman" w:hAnsi="Times New Roman" w:cs="Times New Roman"/>
          <w:b/>
          <w:bCs/>
          <w:noProof/>
          <w:lang w:val="fr-FR"/>
        </w:rPr>
        <w:t>(Geiger</w:t>
      </w:r>
      <w:r w:rsidRPr="00F25C2B">
        <w:rPr>
          <w:rFonts w:ascii="Times New Roman" w:hAnsi="Times New Roman" w:cs="Times New Roman"/>
          <w:b/>
          <w:bCs/>
          <w:i/>
          <w:noProof/>
          <w:lang w:val="fr-FR"/>
        </w:rPr>
        <w:t xml:space="preserve"> et al.</w:t>
      </w:r>
      <w:r w:rsidRPr="00F25C2B">
        <w:rPr>
          <w:rFonts w:ascii="Times New Roman" w:hAnsi="Times New Roman" w:cs="Times New Roman"/>
          <w:b/>
          <w:bCs/>
          <w:noProof/>
          <w:lang w:val="fr-FR"/>
        </w:rPr>
        <w:t>, 2012)</w:t>
      </w:r>
      <w:r w:rsidRPr="002F32C9">
        <w:rPr>
          <w:rFonts w:ascii="Times New Roman" w:hAnsi="Times New Roman" w:cs="Times New Roman"/>
          <w:b/>
          <w:bCs/>
        </w:rPr>
        <w:fldChar w:fldCharType="end"/>
      </w:r>
      <w:r w:rsidRPr="00F25C2B">
        <w:rPr>
          <w:rFonts w:ascii="Times New Roman" w:hAnsi="Times New Roman" w:cs="Times New Roman"/>
          <w:lang w:val="fr-FR"/>
        </w:rPr>
        <w:t xml:space="preserve"> and persistence in macrophages </w:t>
      </w:r>
      <w:r w:rsidRPr="002F32C9">
        <w:rPr>
          <w:rFonts w:ascii="Times New Roman" w:hAnsi="Times New Roman" w:cs="Times New Roman"/>
          <w:b/>
          <w:bCs/>
        </w:rPr>
        <w:fldChar w:fldCharType="begin"/>
      </w:r>
      <w:r w:rsidRPr="00F25C2B">
        <w:rPr>
          <w:rFonts w:ascii="Times New Roman" w:hAnsi="Times New Roman" w:cs="Times New Roman"/>
          <w:b/>
          <w:bCs/>
          <w:lang w:val="fr-FR"/>
        </w:rPr>
        <w:instrText xml:space="preserve"> ADDIN EN.CITE &lt;EndNote&gt;&lt;Cite&gt;&lt;Author&gt;Peyrusson&lt;/Author&gt;&lt;Year&gt;2020&lt;/Year&gt;&lt;IDText&gt;Intracellular Staphylococcus aureus persisters upon antibiotic exposure&lt;/IDText&gt;&lt;DisplayText&gt;(Peyrusson&lt;style face="italic"&gt; et al.&lt;/style&gt;, 2020)&lt;/DisplayText&gt;&lt;record&gt;&lt;dates&gt;&lt;pub-dates&gt;&lt;date&gt;May 4&lt;/date&gt;&lt;/pub-dates&gt;&lt;year&gt;2020&lt;/year&gt;&lt;/dates&gt;&lt;urls&gt;&lt;related-urls&gt;&lt;url&gt;&amp;lt;Go to ISI&amp;gt;://WOS:000533952200018&lt;/url&gt;&lt;/related-urls&gt;&lt;/urls&gt;&lt;isbn&gt;2041-1723&lt;/isbn&gt;&lt;titles&gt;&lt;title&gt;Intracellular Staphylococcus aureus persisters upon antibiotic exposure&lt;/title&gt;&lt;secondary-title&gt;Nature Communications&lt;/secondary-title&gt;&lt;/titles&gt;&lt;number&gt;1&lt;/number&gt;&lt;contributors&gt;&lt;authors&gt;&lt;author&gt;Peyrusson, Frederic&lt;/author&gt;&lt;author&gt;Varet, Hugo&lt;/author&gt;&lt;author&gt;Tiep Khac, Nguyen&lt;/author&gt;&lt;author&gt;Legendre, Rachel&lt;/author&gt;&lt;author&gt;Sismeiro, Odile&lt;/author&gt;&lt;author&gt;Coppee, Jean-Yves&lt;/author&gt;&lt;author&gt;Wolz, Christiane&lt;/author&gt;&lt;author&gt;Tenson, Tanel&lt;/author&gt;&lt;author&gt;Van Bambeke, Francoise&lt;/author&gt;&lt;/authors&gt;&lt;/contributors&gt;&lt;custom7&gt;2200&lt;/custom7&gt;&lt;added-date format="utc"&gt;1663614022&lt;/added-date&gt;&lt;ref-type name="Journal Article"&gt;17&lt;/ref-type&gt;&lt;rec-number&gt;80&lt;/rec-number&gt;&lt;last-updated-date format="utc"&gt;1663624413&lt;/last-updated-date&gt;&lt;accession-num&gt;WOS:000533952200018&lt;/accession-num&gt;&lt;electronic-resource-num&gt;10.1038/s41467-020-15966-7&lt;/electronic-resource-num&gt;&lt;volume&gt;11&lt;/volume&gt;&lt;/record&gt;&lt;/Cite&gt;&lt;/EndNote&gt;</w:instrText>
      </w:r>
      <w:r w:rsidRPr="002F32C9">
        <w:rPr>
          <w:rFonts w:ascii="Times New Roman" w:hAnsi="Times New Roman" w:cs="Times New Roman"/>
          <w:b/>
          <w:bCs/>
        </w:rPr>
        <w:fldChar w:fldCharType="separate"/>
      </w:r>
      <w:r w:rsidRPr="00F25C2B">
        <w:rPr>
          <w:rFonts w:ascii="Times New Roman" w:hAnsi="Times New Roman" w:cs="Times New Roman"/>
          <w:b/>
          <w:bCs/>
          <w:noProof/>
          <w:lang w:val="fr-FR"/>
        </w:rPr>
        <w:t>(Peyrusson</w:t>
      </w:r>
      <w:r w:rsidRPr="00F25C2B">
        <w:rPr>
          <w:rFonts w:ascii="Times New Roman" w:hAnsi="Times New Roman" w:cs="Times New Roman"/>
          <w:b/>
          <w:bCs/>
          <w:i/>
          <w:noProof/>
          <w:lang w:val="fr-FR"/>
        </w:rPr>
        <w:t xml:space="preserve"> et al.</w:t>
      </w:r>
      <w:r w:rsidRPr="00F25C2B">
        <w:rPr>
          <w:rFonts w:ascii="Times New Roman" w:hAnsi="Times New Roman" w:cs="Times New Roman"/>
          <w:b/>
          <w:bCs/>
          <w:noProof/>
          <w:lang w:val="fr-FR"/>
        </w:rPr>
        <w:t>, 2020)</w:t>
      </w:r>
      <w:r w:rsidRPr="002F32C9">
        <w:rPr>
          <w:rFonts w:ascii="Times New Roman" w:hAnsi="Times New Roman" w:cs="Times New Roman"/>
          <w:b/>
          <w:bCs/>
        </w:rPr>
        <w:fldChar w:fldCharType="end"/>
      </w:r>
      <w:r w:rsidRPr="00F25C2B">
        <w:rPr>
          <w:rFonts w:ascii="Times New Roman" w:hAnsi="Times New Roman" w:cs="Times New Roman"/>
          <w:b/>
          <w:bCs/>
          <w:lang w:val="fr-FR"/>
        </w:rPr>
        <w:t>.</w:t>
      </w:r>
      <w:r w:rsidRPr="00F25C2B">
        <w:rPr>
          <w:rFonts w:ascii="Times New Roman" w:hAnsi="Times New Roman" w:cs="Times New Roman"/>
          <w:lang w:val="fr-FR"/>
        </w:rPr>
        <w:t xml:space="preserve"> </w:t>
      </w:r>
      <w:r w:rsidRPr="00164B29">
        <w:rPr>
          <w:rFonts w:ascii="Times New Roman" w:hAnsi="Times New Roman" w:cs="Times New Roman"/>
        </w:rPr>
        <w:t xml:space="preserve">These </w:t>
      </w:r>
      <w:r>
        <w:rPr>
          <w:rFonts w:ascii="Times New Roman" w:hAnsi="Times New Roman" w:cs="Times New Roman"/>
        </w:rPr>
        <w:t xml:space="preserve">findings </w:t>
      </w:r>
      <w:r w:rsidRPr="00164B29">
        <w:rPr>
          <w:rFonts w:ascii="Times New Roman" w:hAnsi="Times New Roman" w:cs="Times New Roman"/>
        </w:rPr>
        <w:t xml:space="preserve">suggest that the SR has a role in promoting survival of </w:t>
      </w:r>
      <w:r w:rsidRPr="00164B29">
        <w:rPr>
          <w:rFonts w:ascii="Times New Roman" w:hAnsi="Times New Roman" w:cs="Times New Roman"/>
          <w:i/>
          <w:iCs/>
        </w:rPr>
        <w:t xml:space="preserve">S. aureus </w:t>
      </w:r>
      <w:r w:rsidRPr="00164B29">
        <w:rPr>
          <w:rFonts w:ascii="Times New Roman" w:hAnsi="Times New Roman" w:cs="Times New Roman"/>
        </w:rPr>
        <w:t xml:space="preserve">within the host. Furthermore, excess (p)ppGpp produced by </w:t>
      </w:r>
      <w:r>
        <w:rPr>
          <w:rFonts w:ascii="Times New Roman" w:hAnsi="Times New Roman" w:cs="Times New Roman"/>
        </w:rPr>
        <w:t xml:space="preserve">an </w:t>
      </w:r>
      <w:r w:rsidRPr="00164B29">
        <w:rPr>
          <w:rFonts w:ascii="Times New Roman" w:hAnsi="Times New Roman" w:cs="Times New Roman"/>
        </w:rPr>
        <w:t>MRSA clinical isolate due to mutations within</w:t>
      </w:r>
      <w:r>
        <w:rPr>
          <w:rFonts w:ascii="Times New Roman" w:hAnsi="Times New Roman" w:cs="Times New Roman"/>
        </w:rPr>
        <w:t xml:space="preserve"> the</w:t>
      </w:r>
      <w:r w:rsidRPr="00164B29">
        <w:rPr>
          <w:rFonts w:ascii="Times New Roman" w:hAnsi="Times New Roman" w:cs="Times New Roman"/>
        </w:rPr>
        <w:t xml:space="preserve"> </w:t>
      </w:r>
      <w:r>
        <w:rPr>
          <w:rFonts w:ascii="Times New Roman" w:hAnsi="Times New Roman" w:cs="Times New Roman"/>
        </w:rPr>
        <w:t>hydrolase domain</w:t>
      </w:r>
      <w:r w:rsidR="00CE0121">
        <w:rPr>
          <w:rFonts w:ascii="Times New Roman" w:hAnsi="Times New Roman" w:cs="Times New Roman"/>
        </w:rPr>
        <w:t xml:space="preserve"> of the Rel synthetase</w:t>
      </w:r>
      <w:r>
        <w:rPr>
          <w:rFonts w:ascii="Times New Roman" w:hAnsi="Times New Roman" w:cs="Times New Roman"/>
        </w:rPr>
        <w:t xml:space="preserve"> </w:t>
      </w:r>
      <w:r w:rsidRPr="00164B29">
        <w:rPr>
          <w:rFonts w:ascii="Times New Roman" w:hAnsi="Times New Roman" w:cs="Times New Roman"/>
        </w:rPr>
        <w:t xml:space="preserve">has </w:t>
      </w:r>
      <w:r>
        <w:rPr>
          <w:rFonts w:ascii="Times New Roman" w:hAnsi="Times New Roman" w:cs="Times New Roman"/>
        </w:rPr>
        <w:t>contributed</w:t>
      </w:r>
      <w:r w:rsidRPr="00164B29">
        <w:rPr>
          <w:rFonts w:ascii="Times New Roman" w:hAnsi="Times New Roman" w:cs="Times New Roman"/>
        </w:rPr>
        <w:t xml:space="preserve"> </w:t>
      </w:r>
      <w:r>
        <w:rPr>
          <w:rFonts w:ascii="Times New Roman" w:hAnsi="Times New Roman" w:cs="Times New Roman"/>
        </w:rPr>
        <w:t>to</w:t>
      </w:r>
      <w:r w:rsidRPr="00164B29">
        <w:rPr>
          <w:rFonts w:ascii="Times New Roman" w:hAnsi="Times New Roman" w:cs="Times New Roman"/>
        </w:rPr>
        <w:t xml:space="preserve"> antibiotic tolerance and resistance, leading to recurrent infections</w:t>
      </w:r>
      <w:r>
        <w:rPr>
          <w:rFonts w:ascii="Times New Roman" w:hAnsi="Times New Roman" w:cs="Times New Roman"/>
        </w:rPr>
        <w:t xml:space="preserve"> </w:t>
      </w:r>
      <w:r w:rsidRPr="00E110AB">
        <w:rPr>
          <w:rFonts w:ascii="Times New Roman" w:hAnsi="Times New Roman" w:cs="Times New Roman"/>
          <w:b/>
          <w:bCs/>
        </w:rPr>
        <w:fldChar w:fldCharType="begin"/>
      </w:r>
      <w:r w:rsidRPr="00E110AB">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2010)&lt;/DisplayText&gt;&lt;record&gt;&lt;dates&gt;&lt;pub-dates&gt;&lt;date&gt;Jun&lt;/date&gt;&lt;/pub-dates&gt;&lt;year&gt;2010&lt;/year&gt;&lt;/dates&gt;&lt;urls&gt;&lt;related-urls&gt;&lt;url&gt;&amp;lt;Go to ISI&amp;gt;://WOS:000279806300018&lt;/url&gt;&lt;/related-urls&gt;&lt;/urls&gt;&lt;isbn&gt;1553-7366&lt;/isbn&gt;&lt;titles&gt;&lt;title&gt;Two Novel Point Mutations in Clinical Staphylococcus aureus Reduce Linezolid Susceptibility and Switch on the Stringent Response to Promote Persistent Infection&lt;/title&gt;&lt;secondary-title&gt;Plos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format="utc"&gt;1663624413&lt;/last-updated-date&gt;&lt;accession-num&gt;WOS:000279806300018&lt;/accession-num&gt;&lt;electronic-resource-num&gt;10.1371/journal.ppat.1000944&lt;/electronic-resource-num&gt;&lt;volume&gt;6&lt;/volume&gt;&lt;/record&gt;&lt;/Cite&gt;&lt;/EndNote&gt;</w:instrText>
      </w:r>
      <w:r w:rsidRPr="00E110AB">
        <w:rPr>
          <w:rFonts w:ascii="Times New Roman" w:hAnsi="Times New Roman" w:cs="Times New Roman"/>
          <w:b/>
          <w:bCs/>
        </w:rPr>
        <w:fldChar w:fldCharType="separate"/>
      </w:r>
      <w:r w:rsidRPr="00E110AB">
        <w:rPr>
          <w:rFonts w:ascii="Times New Roman" w:hAnsi="Times New Roman" w:cs="Times New Roman"/>
          <w:b/>
          <w:bCs/>
          <w:noProof/>
        </w:rPr>
        <w:t>(Gao</w:t>
      </w:r>
      <w:r w:rsidRPr="00E110AB">
        <w:rPr>
          <w:rFonts w:ascii="Times New Roman" w:hAnsi="Times New Roman" w:cs="Times New Roman"/>
          <w:b/>
          <w:bCs/>
          <w:i/>
          <w:noProof/>
        </w:rPr>
        <w:t xml:space="preserve"> et al.</w:t>
      </w:r>
      <w:r w:rsidRPr="00E110AB">
        <w:rPr>
          <w:rFonts w:ascii="Times New Roman" w:hAnsi="Times New Roman" w:cs="Times New Roman"/>
          <w:b/>
          <w:bCs/>
          <w:noProof/>
        </w:rPr>
        <w:t>, 2010)</w:t>
      </w:r>
      <w:r w:rsidRPr="00E110AB">
        <w:rPr>
          <w:rFonts w:ascii="Times New Roman" w:hAnsi="Times New Roman" w:cs="Times New Roman"/>
          <w:b/>
          <w:bCs/>
        </w:rPr>
        <w:fldChar w:fldCharType="end"/>
      </w:r>
      <w:r>
        <w:rPr>
          <w:rFonts w:ascii="Times New Roman" w:hAnsi="Times New Roman" w:cs="Times New Roman"/>
        </w:rPr>
        <w:t xml:space="preserve">. Upregulation of purine biosynthesis also led to the overproduction of (p)ppGpp, favouring persistent bacteraemia over resolving bacteraemia in an endovascular infection model </w:t>
      </w:r>
      <w:r w:rsidRPr="00E462DE">
        <w:rPr>
          <w:rFonts w:ascii="Times New Roman" w:hAnsi="Times New Roman" w:cs="Times New Roman"/>
          <w:b/>
          <w:bCs/>
        </w:rPr>
        <w:fldChar w:fldCharType="begin"/>
      </w:r>
      <w:r w:rsidRPr="00E462DE">
        <w:rPr>
          <w:rFonts w:ascii="Times New Roman" w:hAnsi="Times New Roman" w:cs="Times New Roman"/>
          <w:b/>
          <w:bCs/>
        </w:rPr>
        <w:instrText xml:space="preserve"> ADDIN EN.CITE &lt;EndNote&gt;&lt;Cite&gt;&lt;Author&gt;Li&lt;/Author&gt;&lt;Year&gt;2020&lt;/Year&gt;&lt;IDText&gt;The Stringent Response Contributes to Persistent Methicillin-Resistant Staphylococcus aureus Endovascular Infection Through the Purine Biosynthetic Pathway&lt;/IDText&gt;&lt;DisplayText&gt;(Li&lt;style face="italic"&gt; et al.&lt;/style&gt;, 2020)&lt;/DisplayText&gt;&lt;record&gt;&lt;dates&gt;&lt;pub-dates&gt;&lt;date&gt;Oct 1&lt;/date&gt;&lt;/pub-dates&gt;&lt;year&gt;2020&lt;/year&gt;&lt;/dates&gt;&lt;urls&gt;&lt;related-urls&gt;&lt;url&gt;&amp;lt;Go to ISI&amp;gt;://WOS:000577175500019&lt;/url&gt;&lt;/related-urls&gt;&lt;/urls&gt;&lt;isbn&gt;0022-1899&lt;/isbn&gt;&lt;titles&gt;&lt;title&gt;The Stringent Response Contributes to Persistent Methicillin-Resistant Staphylococcus aureus Endovascular Infection Through the Purine Biosynthetic Pathway&lt;/title&gt;&lt;secondary-title&gt;Journal of Infectious Diseases&lt;/secondary-title&gt;&lt;/titles&gt;&lt;pages&gt;1188-1198&lt;/pages&gt;&lt;number&gt;7&lt;/number&gt;&lt;contributors&gt;&lt;authors&gt;&lt;author&gt;Li, Liang&lt;/author&gt;&lt;author&gt;Bayer, Arnold S.&lt;/author&gt;&lt;author&gt;Cheung, Ambrose&lt;/author&gt;&lt;author&gt;Lu, Lou&lt;/author&gt;&lt;author&gt;Abdelhady, Wessam&lt;/author&gt;&lt;author&gt;Donegan, Niles P.&lt;/author&gt;&lt;author&gt;Hong, Jong-In&lt;/author&gt;&lt;author&gt;Yeaman, Michael R.&lt;/author&gt;&lt;author&gt;Xiong, Yan Q.&lt;/author&gt;&lt;/authors&gt;&lt;/contributors&gt;&lt;added-date format="utc"&gt;1668280828&lt;/added-date&gt;&lt;ref-type name="Journal Article"&gt;17&lt;/ref-type&gt;&lt;rec-number&gt;175&lt;/rec-number&gt;&lt;last-updated-date format="utc"&gt;1668280828&lt;/last-updated-date&gt;&lt;accession-num&gt;WOS:000577175500019&lt;/accession-num&gt;&lt;electronic-resource-num&gt;10.1093/infdis/jiaa202&lt;/electronic-resource-num&gt;&lt;volume&gt;222&lt;/volume&gt;&lt;/record&gt;&lt;/Cite&gt;&lt;/EndNote&gt;</w:instrText>
      </w:r>
      <w:r w:rsidRPr="00E462DE">
        <w:rPr>
          <w:rFonts w:ascii="Times New Roman" w:hAnsi="Times New Roman" w:cs="Times New Roman"/>
          <w:b/>
          <w:bCs/>
        </w:rPr>
        <w:fldChar w:fldCharType="separate"/>
      </w:r>
      <w:r w:rsidRPr="00E462DE">
        <w:rPr>
          <w:rFonts w:ascii="Times New Roman" w:hAnsi="Times New Roman" w:cs="Times New Roman"/>
          <w:b/>
          <w:bCs/>
          <w:noProof/>
        </w:rPr>
        <w:t>(Li</w:t>
      </w:r>
      <w:r w:rsidRPr="00E462DE">
        <w:rPr>
          <w:rFonts w:ascii="Times New Roman" w:hAnsi="Times New Roman" w:cs="Times New Roman"/>
          <w:b/>
          <w:bCs/>
          <w:i/>
          <w:noProof/>
        </w:rPr>
        <w:t xml:space="preserve"> et al.</w:t>
      </w:r>
      <w:r w:rsidRPr="00E462DE">
        <w:rPr>
          <w:rFonts w:ascii="Times New Roman" w:hAnsi="Times New Roman" w:cs="Times New Roman"/>
          <w:b/>
          <w:bCs/>
          <w:noProof/>
        </w:rPr>
        <w:t>, 2020)</w:t>
      </w:r>
      <w:r w:rsidRPr="00E462DE">
        <w:rPr>
          <w:rFonts w:ascii="Times New Roman" w:hAnsi="Times New Roman" w:cs="Times New Roman"/>
          <w:b/>
          <w:bCs/>
        </w:rPr>
        <w:fldChar w:fldCharType="end"/>
      </w:r>
      <w:r>
        <w:rPr>
          <w:rFonts w:ascii="Times New Roman" w:hAnsi="Times New Roman" w:cs="Times New Roman"/>
        </w:rPr>
        <w:t>.</w:t>
      </w:r>
      <w:r>
        <w:rPr>
          <w:rFonts w:ascii="Times New Roman" w:hAnsi="Times New Roman" w:cs="Times New Roman"/>
          <w:color w:val="FF0000"/>
        </w:rPr>
        <w:t xml:space="preserve"> </w:t>
      </w:r>
      <w:r>
        <w:rPr>
          <w:rFonts w:ascii="Times New Roman" w:hAnsi="Times New Roman" w:cs="Times New Roman"/>
        </w:rPr>
        <w:t>Both of these studies s</w:t>
      </w:r>
      <w:r w:rsidRPr="00164B29">
        <w:rPr>
          <w:rFonts w:ascii="Times New Roman" w:hAnsi="Times New Roman" w:cs="Times New Roman"/>
        </w:rPr>
        <w:t>uggest that higher levels of (p)ppGpp provides a survival advantage.</w:t>
      </w:r>
      <w:r>
        <w:rPr>
          <w:rFonts w:ascii="Times New Roman" w:hAnsi="Times New Roman" w:cs="Times New Roman"/>
        </w:rPr>
        <w:t xml:space="preserve"> Additionally, the SR has been implicated in resistance to β-lactam antibiotics </w:t>
      </w:r>
      <w:r w:rsidRPr="00E462DE">
        <w:rPr>
          <w:rFonts w:ascii="Times New Roman" w:hAnsi="Times New Roman" w:cs="Times New Roman"/>
          <w:b/>
          <w:bCs/>
        </w:rPr>
        <w:fldChar w:fldCharType="begin">
          <w:fldData xml:space="preserve">PEVuZE5vdGU+PENpdGU+PEF1dGhvcj5LaW08L0F1dGhvcj48WWVhcj4yMDEzPC9ZZWFyPjxJRFRl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</w:fldData>
        </w:fldChar>
      </w:r>
      <w:r w:rsidRPr="00E462DE">
        <w:rPr>
          <w:rFonts w:ascii="Times New Roman" w:hAnsi="Times New Roman" w:cs="Times New Roman"/>
          <w:b/>
          <w:bCs/>
        </w:rPr>
        <w:instrText xml:space="preserve"> ADDIN EN.CITE </w:instrText>
      </w:r>
      <w:r w:rsidRPr="00E462DE">
        <w:rPr>
          <w:rFonts w:ascii="Times New Roman" w:hAnsi="Times New Roman" w:cs="Times New Roman"/>
          <w:b/>
          <w:bCs/>
        </w:rPr>
        <w:fldChar w:fldCharType="begin">
          <w:fldData xml:space="preserve">PEVuZE5vdGU+PENpdGU+PEF1dGhvcj5LaW08L0F1dGhvcj48WWVhcj4yMDEzPC9ZZWFyPjxJRFRl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</w:fldData>
        </w:fldChar>
      </w:r>
      <w:r w:rsidRPr="00E462DE">
        <w:rPr>
          <w:rFonts w:ascii="Times New Roman" w:hAnsi="Times New Roman" w:cs="Times New Roman"/>
          <w:b/>
          <w:bCs/>
        </w:rPr>
        <w:instrText xml:space="preserve"> ADDIN EN.CITE.DATA </w:instrText>
      </w:r>
      <w:r w:rsidRPr="00E462DE">
        <w:rPr>
          <w:rFonts w:ascii="Times New Roman" w:hAnsi="Times New Roman" w:cs="Times New Roman"/>
          <w:b/>
          <w:bCs/>
        </w:rPr>
      </w:r>
      <w:r w:rsidRPr="00E462DE">
        <w:rPr>
          <w:rFonts w:ascii="Times New Roman" w:hAnsi="Times New Roman" w:cs="Times New Roman"/>
          <w:b/>
          <w:bCs/>
        </w:rPr>
        <w:fldChar w:fldCharType="end"/>
      </w:r>
      <w:r w:rsidRPr="00E462DE">
        <w:rPr>
          <w:rFonts w:ascii="Times New Roman" w:hAnsi="Times New Roman" w:cs="Times New Roman"/>
          <w:b/>
          <w:bCs/>
        </w:rPr>
      </w:r>
      <w:r w:rsidRPr="00E462DE">
        <w:rPr>
          <w:rFonts w:ascii="Times New Roman" w:hAnsi="Times New Roman" w:cs="Times New Roman"/>
          <w:b/>
          <w:bCs/>
        </w:rPr>
        <w:fldChar w:fldCharType="separate"/>
      </w:r>
      <w:r w:rsidRPr="00E462DE">
        <w:rPr>
          <w:rFonts w:ascii="Times New Roman" w:hAnsi="Times New Roman" w:cs="Times New Roman"/>
          <w:b/>
          <w:bCs/>
          <w:noProof/>
        </w:rPr>
        <w:t>(Kim</w:t>
      </w:r>
      <w:r w:rsidRPr="00E462DE">
        <w:rPr>
          <w:rFonts w:ascii="Times New Roman" w:hAnsi="Times New Roman" w:cs="Times New Roman"/>
          <w:b/>
          <w:bCs/>
          <w:i/>
          <w:noProof/>
        </w:rPr>
        <w:t xml:space="preserve"> et al.</w:t>
      </w:r>
      <w:r w:rsidRPr="00E462DE">
        <w:rPr>
          <w:rFonts w:ascii="Times New Roman" w:hAnsi="Times New Roman" w:cs="Times New Roman"/>
          <w:b/>
          <w:bCs/>
          <w:noProof/>
        </w:rPr>
        <w:t>, 2013; Mwangi</w:t>
      </w:r>
      <w:r w:rsidRPr="00E462DE">
        <w:rPr>
          <w:rFonts w:ascii="Times New Roman" w:hAnsi="Times New Roman" w:cs="Times New Roman"/>
          <w:b/>
          <w:bCs/>
          <w:i/>
          <w:noProof/>
        </w:rPr>
        <w:t xml:space="preserve"> et al.</w:t>
      </w:r>
      <w:r w:rsidRPr="00E462DE">
        <w:rPr>
          <w:rFonts w:ascii="Times New Roman" w:hAnsi="Times New Roman" w:cs="Times New Roman"/>
          <w:b/>
          <w:bCs/>
          <w:noProof/>
        </w:rPr>
        <w:t>, 2013)</w:t>
      </w:r>
      <w:r w:rsidRPr="00E462DE">
        <w:rPr>
          <w:rFonts w:ascii="Times New Roman" w:hAnsi="Times New Roman" w:cs="Times New Roman"/>
          <w:b/>
          <w:bCs/>
        </w:rPr>
        <w:fldChar w:fldCharType="end"/>
      </w:r>
      <w:r>
        <w:rPr>
          <w:rFonts w:ascii="Times New Roman" w:hAnsi="Times New Roman" w:cs="Times New Roman"/>
        </w:rPr>
        <w:t xml:space="preserve"> and specifically, the absence of the RelQ synthetase sensitises CA-MRSA to these antibiotics </w:t>
      </w:r>
      <w:r w:rsidRPr="00E462DE">
        <w:rPr>
          <w:rFonts w:ascii="Times New Roman" w:hAnsi="Times New Roman" w:cs="Times New Roman"/>
          <w:b/>
          <w:bCs/>
        </w:rPr>
        <w:fldChar w:fldCharType="begin"/>
      </w:r>
      <w:r w:rsidRPr="00E462DE">
        <w:rPr>
          <w:rFonts w:ascii="Times New Roman" w:hAnsi="Times New Roman" w:cs="Times New Roman"/>
          <w:b/>
          <w:bCs/>
        </w:rPr>
        <w:instrText xml:space="preserve"> ADDIN EN.CITE &lt;EndNote&gt;&lt;Cite&gt;&lt;Author&gt;Bhawini&lt;/Author&gt;&lt;Year&gt;2019&lt;/Year&gt;&lt;IDText&gt;RelQ Mediates the Expression of beta-Lactam Resistance in Methicillin-Resistant Staphylococcus aureus&lt;/IDText&gt;&lt;DisplayText&gt;(Bhawini&lt;style face="italic"&gt; et al.&lt;/style&gt;, 2019)&lt;/DisplayText&gt;&lt;record&gt;&lt;dates&gt;&lt;pub-dates&gt;&lt;date&gt;Mar 11&lt;/date&gt;&lt;/pub-dates&gt;&lt;year&gt;2019&lt;/year&gt;&lt;/dates&gt;&lt;urls&gt;&lt;related-urls&gt;&lt;url&gt;&amp;lt;Go to ISI&amp;gt;://WOS:000460773400001&lt;/url&gt;&lt;/related-urls&gt;&lt;/urls&gt;&lt;isbn&gt;1664-302X&lt;/isbn&gt;&lt;titles&gt;&lt;title&gt;RelQ Mediates the Expression of beta-Lactam Resistance in Methicillin-Resistant Staphylococcus aureus&lt;/title&gt;&lt;secondary-title&gt;Frontiers in Microbiology&lt;/secondary-title&gt;&lt;/titles&gt;&lt;contributors&gt;&lt;authors&gt;&lt;author&gt;Bhawini, Ajita&lt;/author&gt;&lt;author&gt;Pandey, Parul&lt;/author&gt;&lt;author&gt;Dubey, Ashutosh Prakash&lt;/author&gt;&lt;author&gt;Zehra, Aafreen&lt;/author&gt;&lt;author&gt;Nath, Gopal&lt;/author&gt;&lt;author&gt;Mishra, Mukti Nath&lt;/author&gt;&lt;/authors&gt;&lt;/contributors&gt;&lt;custom7&gt;339&lt;/custom7&gt;&lt;added-date format="utc"&gt;1668279916&lt;/added-date&gt;&lt;ref-type name="Journal Article"&gt;17&lt;/ref-type&gt;&lt;rec-number&gt;174&lt;/rec-number&gt;&lt;last-updated-date format="utc"&gt;1668279916&lt;/last-updated-date&gt;&lt;accession-num&gt;WOS:000460773400001&lt;/accession-num&gt;&lt;electronic-resource-num&gt;10.3389/fmicb.2019.00339&lt;/electronic-resource-num&gt;&lt;volume&gt;10&lt;/volume&gt;&lt;/record&gt;&lt;/Cite&gt;&lt;/EndNote&gt;</w:instrText>
      </w:r>
      <w:r w:rsidRPr="00E462DE">
        <w:rPr>
          <w:rFonts w:ascii="Times New Roman" w:hAnsi="Times New Roman" w:cs="Times New Roman"/>
          <w:b/>
          <w:bCs/>
        </w:rPr>
        <w:fldChar w:fldCharType="separate"/>
      </w:r>
      <w:r w:rsidRPr="00E462DE">
        <w:rPr>
          <w:rFonts w:ascii="Times New Roman" w:hAnsi="Times New Roman" w:cs="Times New Roman"/>
          <w:b/>
          <w:bCs/>
          <w:noProof/>
        </w:rPr>
        <w:t>(Bhawini</w:t>
      </w:r>
      <w:r w:rsidRPr="00E462DE">
        <w:rPr>
          <w:rFonts w:ascii="Times New Roman" w:hAnsi="Times New Roman" w:cs="Times New Roman"/>
          <w:b/>
          <w:bCs/>
          <w:i/>
          <w:noProof/>
        </w:rPr>
        <w:t xml:space="preserve"> et al.</w:t>
      </w:r>
      <w:r w:rsidRPr="00E462DE">
        <w:rPr>
          <w:rFonts w:ascii="Times New Roman" w:hAnsi="Times New Roman" w:cs="Times New Roman"/>
          <w:b/>
          <w:bCs/>
          <w:noProof/>
        </w:rPr>
        <w:t>, 2019)</w:t>
      </w:r>
      <w:r w:rsidRPr="00E462DE">
        <w:rPr>
          <w:rFonts w:ascii="Times New Roman" w:hAnsi="Times New Roman" w:cs="Times New Roman"/>
          <w:b/>
          <w:bCs/>
        </w:rPr>
        <w:fldChar w:fldCharType="end"/>
      </w:r>
      <w:r>
        <w:rPr>
          <w:rFonts w:ascii="Times New Roman" w:hAnsi="Times New Roman" w:cs="Times New Roman"/>
        </w:rPr>
        <w:t xml:space="preserve">. </w:t>
      </w:r>
      <w:r w:rsidRPr="00164B29">
        <w:rPr>
          <w:rFonts w:ascii="Times New Roman" w:hAnsi="Times New Roman" w:cs="Times New Roman"/>
        </w:rPr>
        <w:t xml:space="preserve">These examples </w:t>
      </w:r>
      <w:r>
        <w:rPr>
          <w:rFonts w:ascii="Times New Roman" w:hAnsi="Times New Roman" w:cs="Times New Roman"/>
        </w:rPr>
        <w:t>highlight</w:t>
      </w:r>
      <w:r w:rsidRPr="00164B29">
        <w:rPr>
          <w:rFonts w:ascii="Times New Roman" w:hAnsi="Times New Roman" w:cs="Times New Roman"/>
        </w:rPr>
        <w:t xml:space="preserve"> the importance of the SR in </w:t>
      </w:r>
      <w:r w:rsidRPr="00164B29">
        <w:rPr>
          <w:rFonts w:ascii="Times New Roman" w:hAnsi="Times New Roman" w:cs="Times New Roman"/>
          <w:i/>
          <w:iCs/>
        </w:rPr>
        <w:t>S. aureus</w:t>
      </w:r>
      <w:r w:rsidRPr="00164B29">
        <w:rPr>
          <w:rFonts w:ascii="Times New Roman" w:hAnsi="Times New Roman" w:cs="Times New Roman"/>
        </w:rPr>
        <w:t xml:space="preserve"> infection </w:t>
      </w:r>
      <w:r>
        <w:rPr>
          <w:rFonts w:ascii="Times New Roman" w:hAnsi="Times New Roman" w:cs="Times New Roman"/>
        </w:rPr>
        <w:t>through the regulation of</w:t>
      </w:r>
      <w:r w:rsidRPr="00164B29">
        <w:rPr>
          <w:rFonts w:ascii="Times New Roman" w:hAnsi="Times New Roman" w:cs="Times New Roman"/>
        </w:rPr>
        <w:t xml:space="preserve"> many different cellular processes. </w:t>
      </w:r>
    </w:p>
    <w:p w14:paraId="5DEBF866" w14:textId="77777777" w:rsidR="00187693" w:rsidRPr="00E462DE" w:rsidRDefault="00187693" w:rsidP="00187693">
      <w:pPr>
        <w:spacing w:line="360" w:lineRule="auto"/>
        <w:jc w:val="both"/>
        <w:rPr>
          <w:rFonts w:ascii="Times New Roman" w:hAnsi="Times New Roman" w:cs="Times New Roman"/>
        </w:rPr>
      </w:pPr>
      <w:r>
        <w:rPr>
          <w:rFonts w:ascii="Times New Roman" w:hAnsi="Times New Roman" w:cs="Times New Roman"/>
        </w:rPr>
        <w:tab/>
        <w:t>L</w:t>
      </w:r>
      <w:r w:rsidRPr="000C0A05">
        <w:rPr>
          <w:rFonts w:ascii="Times New Roman" w:hAnsi="Times New Roman" w:cs="Times New Roman"/>
        </w:rPr>
        <w:t>ittle is known about how and when (p)pp</w:t>
      </w:r>
      <w:r>
        <w:rPr>
          <w:rFonts w:ascii="Times New Roman" w:hAnsi="Times New Roman" w:cs="Times New Roman"/>
        </w:rPr>
        <w:t>G</w:t>
      </w:r>
      <w:r w:rsidRPr="000C0A05">
        <w:rPr>
          <w:rFonts w:ascii="Times New Roman" w:hAnsi="Times New Roman" w:cs="Times New Roman"/>
        </w:rPr>
        <w:t xml:space="preserve">pp is produced </w:t>
      </w:r>
      <w:r w:rsidRPr="000C0A05">
        <w:rPr>
          <w:rFonts w:ascii="Times New Roman" w:hAnsi="Times New Roman" w:cs="Times New Roman"/>
          <w:i/>
          <w:iCs/>
        </w:rPr>
        <w:t>in vivo</w:t>
      </w:r>
      <w:r>
        <w:rPr>
          <w:rFonts w:ascii="Times New Roman" w:hAnsi="Times New Roman" w:cs="Times New Roman"/>
        </w:rPr>
        <w:t xml:space="preserve">, as </w:t>
      </w:r>
      <w:r w:rsidRPr="000C0A05">
        <w:rPr>
          <w:rFonts w:ascii="Times New Roman" w:hAnsi="Times New Roman" w:cs="Times New Roman"/>
        </w:rPr>
        <w:t>(p)ppGpp measurements are usually taken</w:t>
      </w:r>
      <w:r>
        <w:rPr>
          <w:rFonts w:ascii="Times New Roman" w:hAnsi="Times New Roman" w:cs="Times New Roman"/>
        </w:rPr>
        <w:t xml:space="preserve"> from cells grown</w:t>
      </w:r>
      <w:r w:rsidRPr="000C0A05">
        <w:rPr>
          <w:rFonts w:ascii="Times New Roman" w:hAnsi="Times New Roman" w:cs="Times New Roman"/>
        </w:rPr>
        <w:t xml:space="preserve"> </w:t>
      </w:r>
      <w:r w:rsidRPr="000C0A05">
        <w:rPr>
          <w:rFonts w:ascii="Times New Roman" w:hAnsi="Times New Roman" w:cs="Times New Roman"/>
          <w:i/>
          <w:iCs/>
        </w:rPr>
        <w:t>in vitro</w:t>
      </w:r>
      <w:r w:rsidRPr="000C0A05">
        <w:rPr>
          <w:rFonts w:ascii="Times New Roman" w:hAnsi="Times New Roman" w:cs="Times New Roman"/>
        </w:rPr>
        <w:t xml:space="preserve">. </w:t>
      </w:r>
      <w:r>
        <w:rPr>
          <w:rFonts w:ascii="Times New Roman" w:hAnsi="Times New Roman" w:cs="Times New Roman"/>
        </w:rPr>
        <w:t>A</w:t>
      </w:r>
      <w:r w:rsidRPr="000C0A05">
        <w:rPr>
          <w:rFonts w:ascii="Times New Roman" w:hAnsi="Times New Roman" w:cs="Times New Roman"/>
        </w:rPr>
        <w:t xml:space="preserve"> stud</w:t>
      </w:r>
      <w:r>
        <w:rPr>
          <w:rFonts w:ascii="Times New Roman" w:hAnsi="Times New Roman" w:cs="Times New Roman"/>
        </w:rPr>
        <w:t xml:space="preserve">y </w:t>
      </w:r>
      <w:r w:rsidRPr="000C0A05">
        <w:rPr>
          <w:rFonts w:ascii="Times New Roman" w:hAnsi="Times New Roman" w:cs="Times New Roman"/>
        </w:rPr>
        <w:t>developed methods to detect (p)ppGpp levels</w:t>
      </w:r>
      <w:r>
        <w:rPr>
          <w:rFonts w:ascii="Times New Roman" w:hAnsi="Times New Roman" w:cs="Times New Roman"/>
        </w:rPr>
        <w:t xml:space="preserve"> </w:t>
      </w:r>
      <w:r w:rsidRPr="000C0A05">
        <w:rPr>
          <w:rFonts w:ascii="Times New Roman" w:hAnsi="Times New Roman" w:cs="Times New Roman"/>
        </w:rPr>
        <w:t xml:space="preserve">using live-cell imaging in </w:t>
      </w:r>
      <w:r w:rsidRPr="000C0A05">
        <w:rPr>
          <w:rFonts w:ascii="Times New Roman" w:hAnsi="Times New Roman" w:cs="Times New Roman"/>
          <w:i/>
          <w:iCs/>
        </w:rPr>
        <w:t>E. coli</w:t>
      </w:r>
      <w:r>
        <w:rPr>
          <w:rFonts w:ascii="Times New Roman" w:hAnsi="Times New Roman" w:cs="Times New Roman"/>
          <w:i/>
          <w:iCs/>
        </w:rPr>
        <w:t xml:space="preserve"> </w:t>
      </w:r>
      <w:r w:rsidRPr="008A5B3B">
        <w:rPr>
          <w:rFonts w:ascii="Times New Roman" w:hAnsi="Times New Roman" w:cs="Times New Roman"/>
          <w:b/>
          <w:bCs/>
        </w:rPr>
        <w:fldChar w:fldCharType="begin"/>
      </w:r>
      <w:r w:rsidRPr="008A5B3B">
        <w:rPr>
          <w:rFonts w:ascii="Times New Roman" w:hAnsi="Times New Roman" w:cs="Times New Roman"/>
          <w:b/>
          <w:bCs/>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format="utc"&gt;1663624413&lt;/last-updated-date&gt;&lt;accession-num&gt;WOS:000703547600001&lt;/accession-num&gt;&lt;electronic-resource-num&gt;10.1002/anie.202111170&lt;/electronic-resource-num&gt;&lt;volume&gt;60&lt;/volume&gt;&lt;/record&gt;&lt;/Cite&gt;&lt;/EndNote&gt;</w:instrText>
      </w:r>
      <w:r w:rsidRPr="008A5B3B">
        <w:rPr>
          <w:rFonts w:ascii="Times New Roman" w:hAnsi="Times New Roman" w:cs="Times New Roman"/>
          <w:b/>
          <w:bCs/>
        </w:rPr>
        <w:fldChar w:fldCharType="separate"/>
      </w:r>
      <w:r w:rsidRPr="008A5B3B">
        <w:rPr>
          <w:rFonts w:ascii="Times New Roman" w:hAnsi="Times New Roman" w:cs="Times New Roman"/>
          <w:b/>
          <w:bCs/>
          <w:noProof/>
        </w:rPr>
        <w:t>(Sun et al., 2021)</w:t>
      </w:r>
      <w:r w:rsidRPr="008A5B3B">
        <w:rPr>
          <w:rFonts w:ascii="Times New Roman" w:hAnsi="Times New Roman" w:cs="Times New Roman"/>
          <w:b/>
          <w:bCs/>
        </w:rPr>
        <w:fldChar w:fldCharType="end"/>
      </w:r>
      <w:r w:rsidRPr="000C0A05">
        <w:rPr>
          <w:rFonts w:ascii="Times New Roman" w:hAnsi="Times New Roman" w:cs="Times New Roman"/>
        </w:rPr>
        <w:t xml:space="preserve">, </w:t>
      </w:r>
      <w:r>
        <w:rPr>
          <w:rFonts w:ascii="Times New Roman" w:hAnsi="Times New Roman" w:cs="Times New Roman"/>
        </w:rPr>
        <w:t xml:space="preserve">however as yet </w:t>
      </w:r>
      <w:r w:rsidRPr="000C0A05">
        <w:rPr>
          <w:rFonts w:ascii="Times New Roman" w:hAnsi="Times New Roman" w:cs="Times New Roman"/>
        </w:rPr>
        <w:t xml:space="preserve">there is no method for studying this in </w:t>
      </w:r>
      <w:r w:rsidRPr="000C0A05">
        <w:rPr>
          <w:rFonts w:ascii="Times New Roman" w:hAnsi="Times New Roman" w:cs="Times New Roman"/>
          <w:i/>
          <w:iCs/>
        </w:rPr>
        <w:t>S. aureus</w:t>
      </w:r>
      <w:r w:rsidRPr="000C0A05">
        <w:rPr>
          <w:rFonts w:ascii="Times New Roman" w:hAnsi="Times New Roman" w:cs="Times New Roman"/>
        </w:rPr>
        <w:t>.</w:t>
      </w:r>
      <w:r>
        <w:rPr>
          <w:rFonts w:ascii="Times New Roman" w:hAnsi="Times New Roman" w:cs="Times New Roman"/>
        </w:rPr>
        <w:t xml:space="preserve"> </w:t>
      </w:r>
      <w:r w:rsidRPr="00164B29">
        <w:rPr>
          <w:rFonts w:ascii="Times New Roman" w:hAnsi="Times New Roman" w:cs="Times New Roman"/>
        </w:rPr>
        <w:t xml:space="preserve">As such, in order to understand how the </w:t>
      </w:r>
      <w:r>
        <w:rPr>
          <w:rFonts w:ascii="Times New Roman" w:hAnsi="Times New Roman" w:cs="Times New Roman"/>
        </w:rPr>
        <w:t>SR</w:t>
      </w:r>
      <w:r w:rsidRPr="00164B29">
        <w:rPr>
          <w:rFonts w:ascii="Times New Roman" w:hAnsi="Times New Roman" w:cs="Times New Roman"/>
        </w:rPr>
        <w:t xml:space="preserve"> affects </w:t>
      </w:r>
      <w:r w:rsidRPr="00164B29">
        <w:rPr>
          <w:rFonts w:ascii="Times New Roman" w:hAnsi="Times New Roman" w:cs="Times New Roman"/>
          <w:i/>
          <w:iCs/>
        </w:rPr>
        <w:t>S. aureus</w:t>
      </w:r>
      <w:r w:rsidRPr="00164B29">
        <w:rPr>
          <w:rFonts w:ascii="Times New Roman" w:hAnsi="Times New Roman" w:cs="Times New Roman"/>
        </w:rPr>
        <w:t xml:space="preserve"> pathogenicity, a toolbox </w:t>
      </w:r>
      <w:r>
        <w:rPr>
          <w:rFonts w:ascii="Times New Roman" w:hAnsi="Times New Roman" w:cs="Times New Roman"/>
        </w:rPr>
        <w:t xml:space="preserve">was designed </w:t>
      </w:r>
      <w:r w:rsidRPr="00164B29">
        <w:rPr>
          <w:rFonts w:ascii="Times New Roman" w:hAnsi="Times New Roman" w:cs="Times New Roman"/>
        </w:rPr>
        <w:t xml:space="preserve">to examine </w:t>
      </w:r>
      <w:r>
        <w:rPr>
          <w:rFonts w:ascii="Times New Roman" w:hAnsi="Times New Roman" w:cs="Times New Roman"/>
        </w:rPr>
        <w:t>its importance</w:t>
      </w:r>
      <w:r w:rsidRPr="00164B29">
        <w:rPr>
          <w:rFonts w:ascii="Times New Roman" w:hAnsi="Times New Roman" w:cs="Times New Roman"/>
        </w:rPr>
        <w:t xml:space="preserve"> within </w:t>
      </w:r>
      <w:r w:rsidRPr="005D445E">
        <w:rPr>
          <w:rFonts w:ascii="Times New Roman" w:hAnsi="Times New Roman" w:cs="Times New Roman"/>
          <w:i/>
          <w:iCs/>
        </w:rPr>
        <w:t>in vivo</w:t>
      </w:r>
      <w:r w:rsidRPr="005D445E">
        <w:rPr>
          <w:rFonts w:ascii="Times New Roman" w:hAnsi="Times New Roman" w:cs="Times New Roman"/>
        </w:rPr>
        <w:t xml:space="preserve"> models. </w:t>
      </w:r>
      <w:r w:rsidRPr="00164B29">
        <w:rPr>
          <w:rFonts w:ascii="Times New Roman" w:hAnsi="Times New Roman" w:cs="Times New Roman"/>
        </w:rPr>
        <w:t xml:space="preserve">These tools include: (p)ppGpp synthetase deletion mutants that will allow </w:t>
      </w:r>
      <w:r>
        <w:rPr>
          <w:rFonts w:ascii="Times New Roman" w:hAnsi="Times New Roman" w:cs="Times New Roman"/>
        </w:rPr>
        <w:t>the investigation</w:t>
      </w:r>
      <w:r w:rsidRPr="00164B29">
        <w:rPr>
          <w:rFonts w:ascii="Times New Roman" w:hAnsi="Times New Roman" w:cs="Times New Roman"/>
        </w:rPr>
        <w:t xml:space="preserve"> of each synthetase during infection; a (p)ppGpp overproduction strain that will be used to examine whether surplus (p)ppGpp </w:t>
      </w:r>
      <w:r>
        <w:rPr>
          <w:rFonts w:ascii="Times New Roman" w:hAnsi="Times New Roman" w:cs="Times New Roman"/>
        </w:rPr>
        <w:t>alters</w:t>
      </w:r>
      <w:r w:rsidRPr="00164B29">
        <w:rPr>
          <w:rFonts w:ascii="Times New Roman" w:hAnsi="Times New Roman" w:cs="Times New Roman"/>
        </w:rPr>
        <w:t xml:space="preserve"> survival of</w:t>
      </w:r>
      <w:r w:rsidRPr="00164B29">
        <w:rPr>
          <w:rFonts w:ascii="Times New Roman" w:hAnsi="Times New Roman" w:cs="Times New Roman"/>
          <w:i/>
          <w:iCs/>
        </w:rPr>
        <w:t xml:space="preserve"> S. aureus</w:t>
      </w:r>
      <w:r w:rsidRPr="00164B29">
        <w:rPr>
          <w:rFonts w:ascii="Times New Roman" w:hAnsi="Times New Roman" w:cs="Times New Roman"/>
        </w:rPr>
        <w:t xml:space="preserve">; fluorescent (p)ppGpp </w:t>
      </w:r>
      <w:r>
        <w:rPr>
          <w:rFonts w:ascii="Times New Roman" w:hAnsi="Times New Roman" w:cs="Times New Roman"/>
        </w:rPr>
        <w:t>probes</w:t>
      </w:r>
      <w:r w:rsidRPr="00164B29">
        <w:rPr>
          <w:rFonts w:ascii="Times New Roman" w:hAnsi="Times New Roman" w:cs="Times New Roman"/>
        </w:rPr>
        <w:t xml:space="preserve"> to detect (p)ppGpp production and synthetase-GFP fusions to examine the </w:t>
      </w:r>
      <w:r>
        <w:rPr>
          <w:rFonts w:ascii="Times New Roman" w:hAnsi="Times New Roman" w:cs="Times New Roman"/>
        </w:rPr>
        <w:t>expression</w:t>
      </w:r>
      <w:r w:rsidRPr="00164B29">
        <w:rPr>
          <w:rFonts w:ascii="Times New Roman" w:hAnsi="Times New Roman" w:cs="Times New Roman"/>
        </w:rPr>
        <w:t xml:space="preserve"> of the individual (p)ppGpp synthetases. </w:t>
      </w:r>
      <w:r>
        <w:rPr>
          <w:rFonts w:ascii="Times New Roman" w:hAnsi="Times New Roman" w:cs="Times New Roman"/>
        </w:rPr>
        <w:t xml:space="preserve">These tools were used to study the SR </w:t>
      </w:r>
      <w:r w:rsidRPr="00164B29">
        <w:rPr>
          <w:rFonts w:ascii="Times New Roman" w:hAnsi="Times New Roman" w:cs="Times New Roman"/>
        </w:rPr>
        <w:t xml:space="preserve">within </w:t>
      </w:r>
      <w:r w:rsidRPr="00CA3468">
        <w:rPr>
          <w:rFonts w:ascii="Times New Roman" w:hAnsi="Times New Roman" w:cs="Times New Roman"/>
        </w:rPr>
        <w:t xml:space="preserve">macrophage, tonsillar epithelial and zebrafish </w:t>
      </w:r>
      <w:r w:rsidRPr="00164B29">
        <w:rPr>
          <w:rFonts w:ascii="Times New Roman" w:hAnsi="Times New Roman" w:cs="Times New Roman"/>
        </w:rPr>
        <w:t>embryo infection models.</w:t>
      </w:r>
      <w:r>
        <w:rPr>
          <w:rFonts w:ascii="Times New Roman" w:hAnsi="Times New Roman" w:cs="Times New Roman"/>
        </w:rPr>
        <w:t xml:space="preserve"> </w:t>
      </w:r>
      <w:r w:rsidRPr="00164B29">
        <w:rPr>
          <w:rFonts w:ascii="Times New Roman" w:hAnsi="Times New Roman" w:cs="Times New Roman"/>
        </w:rPr>
        <w:t>This chapter explain</w:t>
      </w:r>
      <w:r>
        <w:rPr>
          <w:rFonts w:ascii="Times New Roman" w:hAnsi="Times New Roman" w:cs="Times New Roman"/>
        </w:rPr>
        <w:t>s</w:t>
      </w:r>
      <w:r w:rsidRPr="00164B29">
        <w:rPr>
          <w:rFonts w:ascii="Times New Roman" w:hAnsi="Times New Roman" w:cs="Times New Roman"/>
        </w:rPr>
        <w:t xml:space="preserve"> the rationale behind the design of the toolbox and how with these tools, the impact of the SR</w:t>
      </w:r>
      <w:r>
        <w:rPr>
          <w:rFonts w:ascii="Times New Roman" w:hAnsi="Times New Roman" w:cs="Times New Roman"/>
        </w:rPr>
        <w:t xml:space="preserve"> and (p)ppGpp</w:t>
      </w:r>
      <w:r w:rsidRPr="00164B29">
        <w:rPr>
          <w:rFonts w:ascii="Times New Roman" w:hAnsi="Times New Roman" w:cs="Times New Roman"/>
        </w:rPr>
        <w:t xml:space="preserve"> </w:t>
      </w:r>
      <w:r w:rsidRPr="00164B29">
        <w:rPr>
          <w:rFonts w:ascii="Times New Roman" w:hAnsi="Times New Roman" w:cs="Times New Roman"/>
          <w:i/>
          <w:iCs/>
        </w:rPr>
        <w:t>in vivo</w:t>
      </w:r>
      <w:r w:rsidRPr="00164B29">
        <w:rPr>
          <w:rFonts w:ascii="Times New Roman" w:hAnsi="Times New Roman" w:cs="Times New Roman"/>
        </w:rPr>
        <w:t xml:space="preserve"> </w:t>
      </w:r>
      <w:r>
        <w:rPr>
          <w:rFonts w:ascii="Times New Roman" w:hAnsi="Times New Roman" w:cs="Times New Roman"/>
        </w:rPr>
        <w:t>can be examined</w:t>
      </w:r>
      <w:r>
        <w:rPr>
          <w:rFonts w:ascii="Times New Roman" w:hAnsi="Times New Roman" w:cs="Times New Roman"/>
          <w:i/>
          <w:iCs/>
        </w:rPr>
        <w:t>.</w:t>
      </w:r>
    </w:p>
    <w:p w14:paraId="40A55A70" w14:textId="77777777" w:rsidR="00187693" w:rsidRPr="00834FE6" w:rsidRDefault="00187693" w:rsidP="00187693">
      <w:pPr>
        <w:pStyle w:val="Heading2"/>
      </w:pPr>
      <w:bookmarkStart w:id="120" w:name="_Toc142043625"/>
      <w:r w:rsidRPr="00834FE6">
        <w:t>3.2. Characterisation of (p)ppGpp-synthetase mutants</w:t>
      </w:r>
      <w:bookmarkEnd w:id="120"/>
      <w:r w:rsidRPr="00834FE6">
        <w:t xml:space="preserve"> </w:t>
      </w:r>
    </w:p>
    <w:p w14:paraId="228B5E6B" w14:textId="77777777" w:rsidR="00187693" w:rsidRPr="003128F2" w:rsidRDefault="00187693" w:rsidP="00187693">
      <w:pPr>
        <w:pStyle w:val="no"/>
        <w:rPr>
          <w:rFonts w:ascii="Arial" w:hAnsi="Arial"/>
        </w:rPr>
      </w:pPr>
    </w:p>
    <w:p w14:paraId="57B1FFA5" w14:textId="7C457E76" w:rsidR="00187693" w:rsidRDefault="00187693" w:rsidP="00187693">
      <w:pPr>
        <w:spacing w:line="360" w:lineRule="auto"/>
        <w:jc w:val="both"/>
        <w:rPr>
          <w:rFonts w:ascii="Times New Roman" w:hAnsi="Times New Roman" w:cs="Times New Roman"/>
        </w:rPr>
      </w:pPr>
      <w:r w:rsidRPr="00EA1FFF">
        <w:rPr>
          <w:rFonts w:ascii="Times New Roman" w:hAnsi="Times New Roman" w:cs="Times New Roman"/>
          <w:i/>
          <w:iCs/>
        </w:rPr>
        <w:t>S. aureus</w:t>
      </w:r>
      <w:r w:rsidRPr="00EA1FFF">
        <w:rPr>
          <w:rFonts w:ascii="Times New Roman" w:hAnsi="Times New Roman" w:cs="Times New Roman"/>
        </w:rPr>
        <w:t xml:space="preserve"> possesses three (p)ppGpp synthetases: the long </w:t>
      </w:r>
      <w:r>
        <w:rPr>
          <w:rFonts w:ascii="Times New Roman" w:hAnsi="Times New Roman" w:cs="Times New Roman"/>
        </w:rPr>
        <w:t>RSH</w:t>
      </w:r>
      <w:r w:rsidRPr="00EA1FFF">
        <w:rPr>
          <w:rFonts w:ascii="Times New Roman" w:hAnsi="Times New Roman" w:cs="Times New Roman"/>
        </w:rPr>
        <w:t xml:space="preserve"> Rel, and two short </w:t>
      </w:r>
      <w:r>
        <w:rPr>
          <w:rFonts w:ascii="Times New Roman" w:hAnsi="Times New Roman" w:cs="Times New Roman"/>
        </w:rPr>
        <w:t>RSH</w:t>
      </w:r>
      <w:r w:rsidRPr="00EA1FFF">
        <w:rPr>
          <w:rFonts w:ascii="Times New Roman" w:hAnsi="Times New Roman" w:cs="Times New Roman"/>
        </w:rPr>
        <w:t xml:space="preserve"> RelP and RelQ. In order to examine the importance of </w:t>
      </w:r>
      <w:r>
        <w:rPr>
          <w:rFonts w:ascii="Times New Roman" w:hAnsi="Times New Roman" w:cs="Times New Roman"/>
        </w:rPr>
        <w:t>(</w:t>
      </w:r>
      <w:r w:rsidRPr="00EA1FFF">
        <w:rPr>
          <w:rFonts w:ascii="Times New Roman" w:hAnsi="Times New Roman" w:cs="Times New Roman"/>
        </w:rPr>
        <w:t xml:space="preserve">p)ppGpp in </w:t>
      </w:r>
      <w:r w:rsidRPr="00EA1FFF">
        <w:rPr>
          <w:rFonts w:ascii="Times New Roman" w:hAnsi="Times New Roman" w:cs="Times New Roman"/>
          <w:i/>
          <w:iCs/>
        </w:rPr>
        <w:t xml:space="preserve">S. aureus </w:t>
      </w:r>
      <w:r w:rsidRPr="00EA1FFF">
        <w:rPr>
          <w:rFonts w:ascii="Times New Roman" w:hAnsi="Times New Roman" w:cs="Times New Roman"/>
        </w:rPr>
        <w:t xml:space="preserve">pathogenicity, </w:t>
      </w:r>
      <w:r>
        <w:rPr>
          <w:rFonts w:ascii="Times New Roman" w:hAnsi="Times New Roman" w:cs="Times New Roman"/>
        </w:rPr>
        <w:t xml:space="preserve">we investigated a panel of synthetase-deletion mutants in a JE2 USA300 MRSA background. </w:t>
      </w:r>
      <w:r w:rsidRPr="00EA1FFF">
        <w:rPr>
          <w:rFonts w:ascii="Times New Roman" w:hAnsi="Times New Roman" w:cs="Times New Roman"/>
        </w:rPr>
        <w:t>(p)ppGpp-synthetase single, double and triple mutants</w:t>
      </w:r>
      <w:r>
        <w:rPr>
          <w:rFonts w:ascii="Times New Roman" w:hAnsi="Times New Roman" w:cs="Times New Roman"/>
        </w:rPr>
        <w:t xml:space="preserve"> </w:t>
      </w:r>
      <w:r w:rsidRPr="00EA1FFF">
        <w:rPr>
          <w:rFonts w:ascii="Times New Roman" w:hAnsi="Times New Roman" w:cs="Times New Roman"/>
        </w:rPr>
        <w:t>were obtained from</w:t>
      </w:r>
      <w:r>
        <w:rPr>
          <w:rFonts w:ascii="Times New Roman" w:hAnsi="Times New Roman" w:cs="Times New Roman"/>
        </w:rPr>
        <w:t xml:space="preserve"> Dr</w:t>
      </w:r>
      <w:r w:rsidRPr="00EA1FFF">
        <w:rPr>
          <w:rFonts w:ascii="Times New Roman" w:hAnsi="Times New Roman" w:cs="Times New Roman"/>
        </w:rPr>
        <w:t xml:space="preserve"> Ian Monk</w:t>
      </w:r>
      <w:r w:rsidRPr="009D31F4">
        <w:rPr>
          <w:rFonts w:ascii="Times New Roman" w:hAnsi="Times New Roman" w:cs="Times New Roman"/>
          <w:color w:val="FF0000"/>
        </w:rPr>
        <w:t xml:space="preserve"> </w:t>
      </w:r>
      <w:r>
        <w:rPr>
          <w:rFonts w:ascii="Times New Roman" w:hAnsi="Times New Roman" w:cs="Times New Roman"/>
        </w:rPr>
        <w:t xml:space="preserve">and are represented by the schematic in </w:t>
      </w:r>
      <w:r>
        <w:rPr>
          <w:rFonts w:ascii="Times New Roman" w:hAnsi="Times New Roman" w:cs="Times New Roman"/>
          <w:b/>
          <w:bCs/>
        </w:rPr>
        <w:t>F</w:t>
      </w:r>
      <w:r w:rsidRPr="002C1011">
        <w:rPr>
          <w:rFonts w:ascii="Times New Roman" w:hAnsi="Times New Roman" w:cs="Times New Roman"/>
          <w:b/>
          <w:bCs/>
        </w:rPr>
        <w:t>igure 3.2.1</w:t>
      </w:r>
      <w:r>
        <w:rPr>
          <w:rFonts w:ascii="Times New Roman" w:hAnsi="Times New Roman" w:cs="Times New Roman"/>
          <w:b/>
          <w:bCs/>
        </w:rPr>
        <w:t>a</w:t>
      </w:r>
      <w:r w:rsidRPr="00EA1FFF">
        <w:rPr>
          <w:rFonts w:ascii="Times New Roman" w:hAnsi="Times New Roman" w:cs="Times New Roman"/>
        </w:rPr>
        <w:t>.</w:t>
      </w:r>
      <w:r>
        <w:rPr>
          <w:rFonts w:ascii="Times New Roman" w:hAnsi="Times New Roman" w:cs="Times New Roman"/>
        </w:rPr>
        <w:t xml:space="preserve"> Although it was known that these were </w:t>
      </w:r>
      <w:r w:rsidR="005C546F">
        <w:rPr>
          <w:rFonts w:ascii="Times New Roman" w:hAnsi="Times New Roman" w:cs="Times New Roman"/>
        </w:rPr>
        <w:t>markerless</w:t>
      </w:r>
      <w:r>
        <w:rPr>
          <w:rFonts w:ascii="Times New Roman" w:hAnsi="Times New Roman" w:cs="Times New Roman"/>
        </w:rPr>
        <w:t xml:space="preserve">, in-frame mutations, the precise location of the deletion within each gene was unknown. Two isogenic versions of the double and triple mutants were constructed, however the order in which the synthetases were mutated highlights their difference and this is made apparent in the name of the strain. </w:t>
      </w:r>
      <w:r w:rsidRPr="00EA1FFF">
        <w:rPr>
          <w:rFonts w:ascii="Times New Roman" w:hAnsi="Times New Roman" w:cs="Times New Roman"/>
        </w:rPr>
        <w:t xml:space="preserve">Previous research has </w:t>
      </w:r>
      <w:r>
        <w:rPr>
          <w:rFonts w:ascii="Times New Roman" w:hAnsi="Times New Roman" w:cs="Times New Roman"/>
        </w:rPr>
        <w:t>indicate</w:t>
      </w:r>
      <w:r w:rsidR="000E0FA5">
        <w:rPr>
          <w:rFonts w:ascii="Times New Roman" w:hAnsi="Times New Roman" w:cs="Times New Roman"/>
        </w:rPr>
        <w:t>d</w:t>
      </w:r>
      <w:r w:rsidRPr="00EA1FFF">
        <w:rPr>
          <w:rFonts w:ascii="Times New Roman" w:hAnsi="Times New Roman" w:cs="Times New Roman"/>
        </w:rPr>
        <w:t xml:space="preserve"> that (p)ppGpp-synthetase mutants </w:t>
      </w:r>
      <w:r>
        <w:rPr>
          <w:rFonts w:ascii="Times New Roman" w:hAnsi="Times New Roman" w:cs="Times New Roman"/>
        </w:rPr>
        <w:t>should have</w:t>
      </w:r>
      <w:r w:rsidRPr="00EA1FFF">
        <w:rPr>
          <w:rFonts w:ascii="Times New Roman" w:hAnsi="Times New Roman" w:cs="Times New Roman"/>
        </w:rPr>
        <w:t xml:space="preserve"> the same growth pattern as wildtype strains under unstressed conditions</w:t>
      </w:r>
      <w:r>
        <w:rPr>
          <w:rFonts w:ascii="Times New Roman" w:hAnsi="Times New Roman" w:cs="Times New Roman"/>
        </w:rPr>
        <w:t xml:space="preserve"> </w:t>
      </w:r>
      <w:r w:rsidRPr="00BF39CF">
        <w:rPr>
          <w:rFonts w:ascii="Times New Roman" w:hAnsi="Times New Roman" w:cs="Times New Roman"/>
          <w:b/>
          <w:bCs/>
        </w:rPr>
        <w:fldChar w:fldCharType="begin">
          <w:fldData xml:space="preserve">PEVuZE5vdGU+PENpdGU+PEF1dGhvcj5HZWlnZXI8L0F1dGhvcj48WWVhcj4yMDE0PC9ZZWFyPjxJ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PEVuZE5vdGU+PENpdGU+PEF1dGhvcj5HZWlnZXI8L0F1dGhvcj48WWVhcj4yMDE0PC9ZZWFyPjxJ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BF39CF">
        <w:rPr>
          <w:rFonts w:ascii="Times New Roman" w:hAnsi="Times New Roman" w:cs="Times New Roman"/>
          <w:b/>
          <w:bCs/>
        </w:rPr>
      </w:r>
      <w:r w:rsidRPr="00BF39CF">
        <w:rPr>
          <w:rFonts w:ascii="Times New Roman" w:hAnsi="Times New Roman" w:cs="Times New Roman"/>
          <w:b/>
          <w:bCs/>
        </w:rPr>
        <w:fldChar w:fldCharType="separate"/>
      </w:r>
      <w:r>
        <w:rPr>
          <w:rFonts w:ascii="Times New Roman" w:hAnsi="Times New Roman" w:cs="Times New Roman"/>
          <w:b/>
          <w:bCs/>
          <w:noProof/>
        </w:rPr>
        <w:t>(Geiger</w:t>
      </w:r>
      <w:r w:rsidRPr="00BF39CF">
        <w:rPr>
          <w:rFonts w:ascii="Times New Roman" w:hAnsi="Times New Roman" w:cs="Times New Roman"/>
          <w:b/>
          <w:bCs/>
          <w:i/>
          <w:noProof/>
        </w:rPr>
        <w:t xml:space="preserve"> et al.</w:t>
      </w:r>
      <w:r>
        <w:rPr>
          <w:rFonts w:ascii="Times New Roman" w:hAnsi="Times New Roman" w:cs="Times New Roman"/>
          <w:b/>
          <w:bCs/>
          <w:noProof/>
        </w:rPr>
        <w:t>, 2014; Gratani</w:t>
      </w:r>
      <w:r w:rsidRPr="00BF39CF">
        <w:rPr>
          <w:rFonts w:ascii="Times New Roman" w:hAnsi="Times New Roman" w:cs="Times New Roman"/>
          <w:b/>
          <w:bCs/>
          <w:i/>
          <w:noProof/>
        </w:rPr>
        <w:t xml:space="preserve"> et al.</w:t>
      </w:r>
      <w:r>
        <w:rPr>
          <w:rFonts w:ascii="Times New Roman" w:hAnsi="Times New Roman" w:cs="Times New Roman"/>
          <w:b/>
          <w:bCs/>
          <w:noProof/>
        </w:rPr>
        <w:t>, 2018)</w:t>
      </w:r>
      <w:r w:rsidRPr="00BF39CF">
        <w:rPr>
          <w:rFonts w:ascii="Times New Roman" w:hAnsi="Times New Roman" w:cs="Times New Roman"/>
          <w:b/>
          <w:bCs/>
        </w:rPr>
        <w:fldChar w:fldCharType="end"/>
      </w:r>
      <w:r w:rsidRPr="00EA1FFF">
        <w:rPr>
          <w:rFonts w:ascii="Times New Roman" w:hAnsi="Times New Roman" w:cs="Times New Roman"/>
        </w:rPr>
        <w:t xml:space="preserve">. Thus, growth curves were performed to ensure that the strains </w:t>
      </w:r>
      <w:r>
        <w:rPr>
          <w:rFonts w:ascii="Times New Roman" w:hAnsi="Times New Roman" w:cs="Times New Roman"/>
        </w:rPr>
        <w:t>behaved as expected</w:t>
      </w:r>
      <w:r w:rsidRPr="00EA1FFF">
        <w:rPr>
          <w:rFonts w:ascii="Times New Roman" w:hAnsi="Times New Roman" w:cs="Times New Roman"/>
        </w:rPr>
        <w:t>. In keeping with previous re</w:t>
      </w:r>
      <w:r>
        <w:rPr>
          <w:rFonts w:ascii="Times New Roman" w:hAnsi="Times New Roman" w:cs="Times New Roman"/>
        </w:rPr>
        <w:t>ports</w:t>
      </w:r>
      <w:r w:rsidRPr="00EA1FFF">
        <w:rPr>
          <w:rFonts w:ascii="Times New Roman" w:hAnsi="Times New Roman" w:cs="Times New Roman"/>
        </w:rPr>
        <w:t xml:space="preserve">, growth curves of the mutants showed no phenotypic differences in comparison to wildtype JE2 in TSB </w:t>
      </w:r>
      <w:r w:rsidRPr="002C1011">
        <w:rPr>
          <w:rFonts w:ascii="Times New Roman" w:hAnsi="Times New Roman" w:cs="Times New Roman"/>
          <w:b/>
          <w:bCs/>
        </w:rPr>
        <w:t>(Fig. 3.2.1b)</w:t>
      </w:r>
      <w:r w:rsidRPr="00EA1FFF">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0F8DB501" w14:textId="77777777" w:rsidTr="00A74445">
        <w:tc>
          <w:tcPr>
            <w:tcW w:w="9016" w:type="dxa"/>
          </w:tcPr>
          <w:p w14:paraId="62A92F70"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6D551B4" wp14:editId="30AC3D75">
                  <wp:extent cx="5723532" cy="1682750"/>
                  <wp:effectExtent l="0" t="0" r="0" b="0"/>
                  <wp:docPr id="44" name="Picture 4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9595" cy="1687473"/>
                          </a:xfrm>
                          <a:prstGeom prst="rect">
                            <a:avLst/>
                          </a:prstGeom>
                          <a:noFill/>
                        </pic:spPr>
                      </pic:pic>
                    </a:graphicData>
                  </a:graphic>
                </wp:inline>
              </w:drawing>
            </w:r>
          </w:p>
        </w:tc>
      </w:tr>
      <w:tr w:rsidR="00187693" w14:paraId="39E8D9A3" w14:textId="77777777" w:rsidTr="00A74445">
        <w:tc>
          <w:tcPr>
            <w:tcW w:w="9016" w:type="dxa"/>
          </w:tcPr>
          <w:p w14:paraId="4A65AE9F" w14:textId="77777777" w:rsidR="00187693" w:rsidRDefault="00187693" w:rsidP="00A74445">
            <w:pPr>
              <w:jc w:val="both"/>
              <w:rPr>
                <w:rFonts w:ascii="Times New Roman" w:hAnsi="Times New Roman" w:cs="Times New Roman"/>
              </w:rPr>
            </w:pPr>
            <w:r w:rsidRPr="002B53C5">
              <w:rPr>
                <w:rFonts w:ascii="Times New Roman" w:hAnsi="Times New Roman" w:cs="Times New Roman"/>
                <w:b/>
                <w:bCs/>
                <w:sz w:val="18"/>
                <w:szCs w:val="18"/>
              </w:rPr>
              <w:t xml:space="preserve">Figure 3.2.1. </w:t>
            </w:r>
            <w:r w:rsidRPr="002B53C5">
              <w:rPr>
                <w:rFonts w:ascii="Times New Roman" w:hAnsi="Times New Roman" w:cs="Times New Roman"/>
                <w:b/>
                <w:bCs/>
                <w:i/>
                <w:iCs/>
                <w:sz w:val="18"/>
                <w:szCs w:val="18"/>
              </w:rPr>
              <w:t>S. aureus</w:t>
            </w:r>
            <w:r w:rsidRPr="002B53C5">
              <w:rPr>
                <w:rFonts w:ascii="Times New Roman" w:hAnsi="Times New Roman" w:cs="Times New Roman"/>
                <w:b/>
                <w:bCs/>
                <w:sz w:val="18"/>
                <w:szCs w:val="18"/>
              </w:rPr>
              <w:t xml:space="preserve"> (p)ppGpp-synthetase mutant strains grow similarly in rich media. a) </w:t>
            </w:r>
            <w:r w:rsidRPr="002B53C5">
              <w:rPr>
                <w:rFonts w:ascii="Times New Roman" w:hAnsi="Times New Roman" w:cs="Times New Roman"/>
                <w:sz w:val="18"/>
                <w:szCs w:val="18"/>
              </w:rPr>
              <w:t xml:space="preserve">Schematic representing the different synthetase deletions in comparison to JE2 WT. </w:t>
            </w:r>
            <w:r w:rsidRPr="002B53C5">
              <w:rPr>
                <w:rFonts w:ascii="Times New Roman" w:hAnsi="Times New Roman" w:cs="Times New Roman"/>
                <w:b/>
                <w:bCs/>
                <w:sz w:val="18"/>
                <w:szCs w:val="18"/>
              </w:rPr>
              <w:t xml:space="preserve">b) </w:t>
            </w:r>
            <w:r w:rsidRPr="002B53C5">
              <w:rPr>
                <w:rFonts w:ascii="Times New Roman" w:hAnsi="Times New Roman" w:cs="Times New Roman"/>
                <w:sz w:val="18"/>
                <w:szCs w:val="18"/>
              </w:rPr>
              <w:t xml:space="preserve">Growth of the </w:t>
            </w:r>
            <w:r w:rsidRPr="002B53C5">
              <w:rPr>
                <w:rFonts w:ascii="Times New Roman" w:hAnsi="Times New Roman" w:cs="Times New Roman"/>
                <w:i/>
                <w:iCs/>
                <w:sz w:val="18"/>
                <w:szCs w:val="18"/>
              </w:rPr>
              <w:t>S. aureus</w:t>
            </w:r>
            <w:r w:rsidRPr="002B53C5">
              <w:rPr>
                <w:rFonts w:ascii="Times New Roman" w:hAnsi="Times New Roman" w:cs="Times New Roman"/>
                <w:sz w:val="18"/>
                <w:szCs w:val="18"/>
              </w:rPr>
              <w:t xml:space="preserve"> wildtype strain JE2, the single mutants Δ</w:t>
            </w:r>
            <w:r w:rsidRPr="002B53C5">
              <w:rPr>
                <w:rFonts w:ascii="Times New Roman" w:hAnsi="Times New Roman" w:cs="Times New Roman"/>
                <w:i/>
                <w:iCs/>
                <w:sz w:val="18"/>
                <w:szCs w:val="18"/>
              </w:rPr>
              <w:t xml:space="preserve">relP </w:t>
            </w:r>
            <w:r w:rsidRPr="002B53C5">
              <w:rPr>
                <w:rFonts w:ascii="Times New Roman" w:hAnsi="Times New Roman" w:cs="Times New Roman"/>
                <w:sz w:val="18"/>
                <w:szCs w:val="18"/>
              </w:rPr>
              <w:t>and Δ</w:t>
            </w:r>
            <w:r w:rsidRPr="002B53C5">
              <w:rPr>
                <w:rFonts w:ascii="Times New Roman" w:hAnsi="Times New Roman" w:cs="Times New Roman"/>
                <w:i/>
                <w:iCs/>
                <w:sz w:val="18"/>
                <w:szCs w:val="18"/>
              </w:rPr>
              <w:t>relQ,</w:t>
            </w:r>
            <w:r w:rsidRPr="002B53C5">
              <w:rPr>
                <w:rFonts w:ascii="Times New Roman" w:hAnsi="Times New Roman" w:cs="Times New Roman"/>
                <w:sz w:val="18"/>
                <w:szCs w:val="18"/>
              </w:rPr>
              <w:t xml:space="preserve"> double mutants Δ</w:t>
            </w:r>
            <w:r w:rsidRPr="002B53C5">
              <w:rPr>
                <w:rFonts w:ascii="Times New Roman" w:hAnsi="Times New Roman" w:cs="Times New Roman"/>
                <w:i/>
                <w:iCs/>
                <w:sz w:val="18"/>
                <w:szCs w:val="18"/>
              </w:rPr>
              <w:t xml:space="preserve">relPQ </w:t>
            </w:r>
            <w:r w:rsidRPr="002B53C5">
              <w:rPr>
                <w:rFonts w:ascii="Times New Roman" w:hAnsi="Times New Roman" w:cs="Times New Roman"/>
                <w:sz w:val="18"/>
                <w:szCs w:val="18"/>
              </w:rPr>
              <w:t>and</w:t>
            </w:r>
            <w:r w:rsidRPr="002B53C5">
              <w:rPr>
                <w:rFonts w:ascii="Times New Roman" w:hAnsi="Times New Roman" w:cs="Times New Roman"/>
                <w:i/>
                <w:iCs/>
                <w:sz w:val="18"/>
                <w:szCs w:val="18"/>
              </w:rPr>
              <w:t xml:space="preserve"> </w:t>
            </w:r>
            <w:r w:rsidRPr="002B53C5">
              <w:rPr>
                <w:rFonts w:ascii="Times New Roman" w:hAnsi="Times New Roman" w:cs="Times New Roman"/>
                <w:sz w:val="18"/>
                <w:szCs w:val="18"/>
              </w:rPr>
              <w:t>Δ</w:t>
            </w:r>
            <w:r w:rsidRPr="002B53C5">
              <w:rPr>
                <w:rFonts w:ascii="Times New Roman" w:hAnsi="Times New Roman" w:cs="Times New Roman"/>
                <w:i/>
                <w:iCs/>
                <w:sz w:val="18"/>
                <w:szCs w:val="18"/>
              </w:rPr>
              <w:t>relQP</w:t>
            </w:r>
            <w:r w:rsidRPr="002B53C5">
              <w:rPr>
                <w:rFonts w:ascii="Times New Roman" w:hAnsi="Times New Roman" w:cs="Times New Roman"/>
                <w:sz w:val="18"/>
                <w:szCs w:val="18"/>
              </w:rPr>
              <w:t xml:space="preserve"> and triple mutants Δ</w:t>
            </w:r>
            <w:r w:rsidRPr="002B53C5">
              <w:rPr>
                <w:rFonts w:ascii="Times New Roman" w:hAnsi="Times New Roman" w:cs="Times New Roman"/>
                <w:i/>
                <w:iCs/>
                <w:sz w:val="18"/>
                <w:szCs w:val="18"/>
              </w:rPr>
              <w:t xml:space="preserve">relPQA </w:t>
            </w:r>
            <w:r w:rsidRPr="002B53C5">
              <w:rPr>
                <w:rFonts w:ascii="Times New Roman" w:hAnsi="Times New Roman" w:cs="Times New Roman"/>
                <w:sz w:val="18"/>
                <w:szCs w:val="18"/>
              </w:rPr>
              <w:t>and</w:t>
            </w:r>
            <w:r w:rsidRPr="002B53C5">
              <w:rPr>
                <w:rFonts w:ascii="Times New Roman" w:hAnsi="Times New Roman" w:cs="Times New Roman"/>
                <w:i/>
                <w:iCs/>
                <w:sz w:val="18"/>
                <w:szCs w:val="18"/>
              </w:rPr>
              <w:t xml:space="preserve"> </w:t>
            </w:r>
            <w:r w:rsidRPr="002B53C5">
              <w:rPr>
                <w:rFonts w:ascii="Times New Roman" w:hAnsi="Times New Roman" w:cs="Times New Roman"/>
                <w:sz w:val="18"/>
                <w:szCs w:val="18"/>
              </w:rPr>
              <w:t>Δ</w:t>
            </w:r>
            <w:r w:rsidRPr="002B53C5">
              <w:rPr>
                <w:rFonts w:ascii="Times New Roman" w:hAnsi="Times New Roman" w:cs="Times New Roman"/>
                <w:i/>
                <w:iCs/>
                <w:sz w:val="18"/>
                <w:szCs w:val="18"/>
              </w:rPr>
              <w:t>relQPA</w:t>
            </w:r>
            <w:r w:rsidRPr="002B53C5">
              <w:rPr>
                <w:rFonts w:ascii="Times New Roman" w:hAnsi="Times New Roman" w:cs="Times New Roman"/>
                <w:sz w:val="18"/>
                <w:szCs w:val="18"/>
              </w:rPr>
              <w:t xml:space="preserve"> in TSB medium (nutrient rich conditions) from a starting OD</w:t>
            </w:r>
            <w:r w:rsidRPr="002B53C5">
              <w:rPr>
                <w:rFonts w:ascii="Times New Roman" w:hAnsi="Times New Roman" w:cs="Times New Roman"/>
                <w:sz w:val="18"/>
                <w:szCs w:val="18"/>
                <w:vertAlign w:val="subscript"/>
              </w:rPr>
              <w:t>600</w:t>
            </w:r>
            <w:r w:rsidRPr="002B53C5">
              <w:rPr>
                <w:rFonts w:ascii="Times New Roman" w:hAnsi="Times New Roman" w:cs="Times New Roman"/>
                <w:sz w:val="18"/>
                <w:szCs w:val="18"/>
              </w:rPr>
              <w:t xml:space="preserve"> of 0.05. The growth curve was performed in triplicate from which mean values ± standard deviations were plotted. </w:t>
            </w:r>
          </w:p>
        </w:tc>
      </w:tr>
    </w:tbl>
    <w:p w14:paraId="34F20DD2" w14:textId="77777777" w:rsidR="00187693" w:rsidRPr="00EA1FFF" w:rsidRDefault="00187693" w:rsidP="00187693">
      <w:pPr>
        <w:spacing w:line="360" w:lineRule="auto"/>
        <w:jc w:val="both"/>
        <w:rPr>
          <w:rFonts w:ascii="Times New Roman" w:hAnsi="Times New Roman" w:cs="Times New Roman"/>
        </w:rPr>
      </w:pPr>
    </w:p>
    <w:p w14:paraId="4508EF54" w14:textId="77777777" w:rsidR="00187693" w:rsidRDefault="00187693" w:rsidP="00187693">
      <w:pPr>
        <w:spacing w:line="360" w:lineRule="auto"/>
        <w:ind w:firstLine="720"/>
        <w:jc w:val="both"/>
        <w:rPr>
          <w:rFonts w:ascii="Times New Roman" w:hAnsi="Times New Roman" w:cs="Times New Roman"/>
        </w:rPr>
      </w:pPr>
      <w:r w:rsidRPr="00EA1FFF">
        <w:rPr>
          <w:rFonts w:ascii="Times New Roman" w:hAnsi="Times New Roman" w:cs="Times New Roman"/>
        </w:rPr>
        <w:t xml:space="preserve">Providing the strains have been constructed correctly, the triple synthetase mutants </w:t>
      </w:r>
      <w:r>
        <w:rPr>
          <w:rFonts w:ascii="Times New Roman" w:hAnsi="Times New Roman" w:cs="Times New Roman"/>
        </w:rPr>
        <w:t>should</w:t>
      </w:r>
      <w:r w:rsidRPr="00EA1FFF">
        <w:rPr>
          <w:rFonts w:ascii="Times New Roman" w:hAnsi="Times New Roman" w:cs="Times New Roman"/>
        </w:rPr>
        <w:t xml:space="preserve"> be susceptible to amino acid stress</w:t>
      </w:r>
      <w:r>
        <w:rPr>
          <w:rFonts w:ascii="Times New Roman" w:hAnsi="Times New Roman" w:cs="Times New Roman"/>
        </w:rPr>
        <w:t>,</w:t>
      </w:r>
      <w:r w:rsidRPr="00EA1FFF">
        <w:rPr>
          <w:rFonts w:ascii="Times New Roman" w:hAnsi="Times New Roman" w:cs="Times New Roman"/>
        </w:rPr>
        <w:t xml:space="preserve"> which can be induced </w:t>
      </w:r>
      <w:r>
        <w:rPr>
          <w:rFonts w:ascii="Times New Roman" w:hAnsi="Times New Roman" w:cs="Times New Roman"/>
        </w:rPr>
        <w:t>using</w:t>
      </w:r>
      <w:r w:rsidRPr="00EA1FFF">
        <w:rPr>
          <w:rFonts w:ascii="Times New Roman" w:hAnsi="Times New Roman" w:cs="Times New Roman"/>
        </w:rPr>
        <w:t xml:space="preserve"> the isoleucyl-tRNA synthetase inhibitor, mupirocin</w:t>
      </w:r>
      <w:r>
        <w:rPr>
          <w:rFonts w:ascii="Times New Roman" w:hAnsi="Times New Roman" w:cs="Times New Roman"/>
          <w:b/>
          <w:bCs/>
        </w:rPr>
        <w:t xml:space="preserve"> </w:t>
      </w:r>
      <w:r>
        <w:rPr>
          <w:rFonts w:ascii="Times New Roman" w:hAnsi="Times New Roman" w:cs="Times New Roman"/>
          <w:b/>
          <w:bCs/>
        </w:rPr>
        <w:fldChar w:fldCharType="begin">
          <w:fldData xml:space="preserve">PEVuZE5vdGU+PENpdGU+PEF1dGhvcj5DYXNzZWxzPC9BdXRob3I+PFllYXI+MTk5NTwvWWVhcj48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==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PEVuZE5vdGU+PENpdGU+PEF1dGhvcj5DYXNzZWxzPC9BdXRob3I+PFllYXI+MTk5NTwvWWVhcj48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==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Pr>
          <w:rFonts w:ascii="Times New Roman" w:hAnsi="Times New Roman" w:cs="Times New Roman"/>
          <w:b/>
          <w:bCs/>
        </w:rPr>
      </w:r>
      <w:r>
        <w:rPr>
          <w:rFonts w:ascii="Times New Roman" w:hAnsi="Times New Roman" w:cs="Times New Roman"/>
          <w:b/>
          <w:bCs/>
        </w:rPr>
        <w:fldChar w:fldCharType="separate"/>
      </w:r>
      <w:r>
        <w:rPr>
          <w:rFonts w:ascii="Times New Roman" w:hAnsi="Times New Roman" w:cs="Times New Roman"/>
          <w:b/>
          <w:bCs/>
          <w:noProof/>
        </w:rPr>
        <w:t>(Cassels, Oliva and Knowles, 1995; Geiger</w:t>
      </w:r>
      <w:r w:rsidRPr="00BF39CF">
        <w:rPr>
          <w:rFonts w:ascii="Times New Roman" w:hAnsi="Times New Roman" w:cs="Times New Roman"/>
          <w:b/>
          <w:bCs/>
          <w:i/>
          <w:noProof/>
        </w:rPr>
        <w:t xml:space="preserve"> et al.</w:t>
      </w:r>
      <w:r>
        <w:rPr>
          <w:rFonts w:ascii="Times New Roman" w:hAnsi="Times New Roman" w:cs="Times New Roman"/>
          <w:b/>
          <w:bCs/>
          <w:noProof/>
        </w:rPr>
        <w:t>, 2010; Gratani</w:t>
      </w:r>
      <w:r w:rsidRPr="00BF39CF">
        <w:rPr>
          <w:rFonts w:ascii="Times New Roman" w:hAnsi="Times New Roman" w:cs="Times New Roman"/>
          <w:b/>
          <w:bCs/>
          <w:i/>
          <w:noProof/>
        </w:rPr>
        <w:t xml:space="preserve"> et al.</w:t>
      </w:r>
      <w:r>
        <w:rPr>
          <w:rFonts w:ascii="Times New Roman" w:hAnsi="Times New Roman" w:cs="Times New Roman"/>
          <w:b/>
          <w:bCs/>
          <w:noProof/>
        </w:rPr>
        <w:t>, 2018)</w:t>
      </w:r>
      <w:r>
        <w:rPr>
          <w:rFonts w:ascii="Times New Roman" w:hAnsi="Times New Roman" w:cs="Times New Roman"/>
          <w:b/>
          <w:bCs/>
        </w:rPr>
        <w:fldChar w:fldCharType="end"/>
      </w:r>
      <w:r w:rsidRPr="00EA1FFF">
        <w:rPr>
          <w:rFonts w:ascii="Times New Roman" w:hAnsi="Times New Roman" w:cs="Times New Roman"/>
        </w:rPr>
        <w:t xml:space="preserve">. To identify a concentration of mupirocin that would allow us to differentiate between wildtype and mutant strains, the (p)ppGpp-synthetase mutants were streaked on TSA plates containing increasing concentrations of mupirocin </w:t>
      </w:r>
      <w:r w:rsidRPr="00180F16">
        <w:rPr>
          <w:rFonts w:ascii="Times New Roman" w:hAnsi="Times New Roman" w:cs="Times New Roman"/>
          <w:b/>
          <w:bCs/>
        </w:rPr>
        <w:t>(Fig. 3.2.</w:t>
      </w:r>
      <w:r>
        <w:rPr>
          <w:rFonts w:ascii="Times New Roman" w:hAnsi="Times New Roman" w:cs="Times New Roman"/>
          <w:b/>
          <w:bCs/>
        </w:rPr>
        <w:t>2a</w:t>
      </w:r>
      <w:r w:rsidRPr="00180F16">
        <w:rPr>
          <w:rFonts w:ascii="Times New Roman" w:hAnsi="Times New Roman" w:cs="Times New Roman"/>
          <w:b/>
          <w:bCs/>
        </w:rPr>
        <w:t>)</w:t>
      </w:r>
      <w:r w:rsidRPr="00EA1FFF">
        <w:rPr>
          <w:rFonts w:ascii="Times New Roman" w:hAnsi="Times New Roman" w:cs="Times New Roman"/>
        </w:rPr>
        <w:t xml:space="preserve">. </w:t>
      </w:r>
      <w:r>
        <w:rPr>
          <w:rFonts w:ascii="Times New Roman" w:hAnsi="Times New Roman" w:cs="Times New Roman"/>
        </w:rPr>
        <w:t>T</w:t>
      </w:r>
      <w:r w:rsidRPr="00EA1FFF">
        <w:rPr>
          <w:rFonts w:ascii="Times New Roman" w:hAnsi="Times New Roman" w:cs="Times New Roman"/>
        </w:rPr>
        <w:t>here was no growth</w:t>
      </w:r>
      <w:r>
        <w:rPr>
          <w:rFonts w:ascii="Times New Roman" w:hAnsi="Times New Roman" w:cs="Times New Roman"/>
        </w:rPr>
        <w:t xml:space="preserve"> of any strains</w:t>
      </w:r>
      <w:r w:rsidRPr="00EA1FFF">
        <w:rPr>
          <w:rFonts w:ascii="Times New Roman" w:hAnsi="Times New Roman" w:cs="Times New Roman"/>
        </w:rPr>
        <w:t xml:space="preserve"> on plates containing 0.5 μg/ml mupirocin </w:t>
      </w:r>
      <w:r>
        <w:rPr>
          <w:rFonts w:ascii="Times New Roman" w:hAnsi="Times New Roman" w:cs="Times New Roman"/>
        </w:rPr>
        <w:t xml:space="preserve">indicating </w:t>
      </w:r>
      <w:r w:rsidRPr="00EA1FFF">
        <w:rPr>
          <w:rFonts w:ascii="Times New Roman" w:hAnsi="Times New Roman" w:cs="Times New Roman"/>
        </w:rPr>
        <w:t>that this concentration is too high</w:t>
      </w:r>
      <w:r>
        <w:rPr>
          <w:rFonts w:ascii="Times New Roman" w:hAnsi="Times New Roman" w:cs="Times New Roman"/>
        </w:rPr>
        <w:t xml:space="preserve">. </w:t>
      </w:r>
      <w:r w:rsidRPr="00EA1FFF">
        <w:rPr>
          <w:rFonts w:ascii="Times New Roman" w:hAnsi="Times New Roman" w:cs="Times New Roman"/>
        </w:rPr>
        <w:t xml:space="preserve">However, all strains except </w:t>
      </w:r>
      <w:bookmarkStart w:id="121" w:name="OLE_LINK2"/>
      <w:r w:rsidRPr="00EA1FFF">
        <w:rPr>
          <w:rFonts w:ascii="Times New Roman" w:hAnsi="Times New Roman" w:cs="Times New Roman"/>
        </w:rPr>
        <w:t>Δ</w:t>
      </w:r>
      <w:r w:rsidRPr="00EA1FFF">
        <w:rPr>
          <w:rFonts w:ascii="Times New Roman" w:hAnsi="Times New Roman" w:cs="Times New Roman"/>
          <w:i/>
          <w:iCs/>
        </w:rPr>
        <w:t>relQPA</w:t>
      </w:r>
      <w:bookmarkEnd w:id="121"/>
      <w:r w:rsidRPr="00EA1FFF">
        <w:rPr>
          <w:rFonts w:ascii="Times New Roman" w:hAnsi="Times New Roman" w:cs="Times New Roman"/>
        </w:rPr>
        <w:t xml:space="preserve"> grew </w:t>
      </w:r>
      <w:r>
        <w:rPr>
          <w:rFonts w:ascii="Times New Roman" w:hAnsi="Times New Roman" w:cs="Times New Roman"/>
        </w:rPr>
        <w:t xml:space="preserve">on </w:t>
      </w:r>
      <w:r w:rsidRPr="00EA1FFF">
        <w:rPr>
          <w:rFonts w:ascii="Times New Roman" w:hAnsi="Times New Roman" w:cs="Times New Roman"/>
        </w:rPr>
        <w:t>the plate</w:t>
      </w:r>
      <w:r>
        <w:rPr>
          <w:rFonts w:ascii="Times New Roman" w:hAnsi="Times New Roman" w:cs="Times New Roman"/>
        </w:rPr>
        <w:t xml:space="preserve"> containing </w:t>
      </w:r>
      <w:r w:rsidRPr="00EA1FFF">
        <w:rPr>
          <w:rFonts w:ascii="Times New Roman" w:hAnsi="Times New Roman" w:cs="Times New Roman"/>
        </w:rPr>
        <w:t>0.05 μg/ml</w:t>
      </w:r>
      <w:r>
        <w:rPr>
          <w:rFonts w:ascii="Times New Roman" w:hAnsi="Times New Roman" w:cs="Times New Roman"/>
        </w:rPr>
        <w:t xml:space="preserve"> mupirocin</w:t>
      </w:r>
      <w:r w:rsidRPr="00EA1FFF">
        <w:rPr>
          <w:rFonts w:ascii="Times New Roman" w:hAnsi="Times New Roman" w:cs="Times New Roman"/>
        </w:rPr>
        <w:t>. As the Δ</w:t>
      </w:r>
      <w:r w:rsidRPr="00EA1FFF">
        <w:rPr>
          <w:rFonts w:ascii="Times New Roman" w:hAnsi="Times New Roman" w:cs="Times New Roman"/>
          <w:i/>
          <w:iCs/>
        </w:rPr>
        <w:t xml:space="preserve">relPQA </w:t>
      </w:r>
      <w:r w:rsidRPr="00EA1FFF">
        <w:rPr>
          <w:rFonts w:ascii="Times New Roman" w:hAnsi="Times New Roman" w:cs="Times New Roman"/>
        </w:rPr>
        <w:t>strain is theoretically isogenic to Δ</w:t>
      </w:r>
      <w:r w:rsidRPr="00EA1FFF">
        <w:rPr>
          <w:rFonts w:ascii="Times New Roman" w:hAnsi="Times New Roman" w:cs="Times New Roman"/>
          <w:i/>
          <w:iCs/>
        </w:rPr>
        <w:t>relQPA</w:t>
      </w:r>
      <w:r w:rsidRPr="00EA1FFF">
        <w:rPr>
          <w:rFonts w:ascii="Times New Roman" w:hAnsi="Times New Roman" w:cs="Times New Roman"/>
        </w:rPr>
        <w:t xml:space="preserve"> with the only difference being the order with which the synthetases were mutated, there should not have been a phenotypic difference</w:t>
      </w:r>
      <w:r>
        <w:rPr>
          <w:rFonts w:ascii="Times New Roman" w:hAnsi="Times New Roman" w:cs="Times New Roman"/>
        </w:rPr>
        <w:t xml:space="preserve"> between them</w:t>
      </w:r>
      <w:r w:rsidRPr="00EA1FFF">
        <w:rPr>
          <w:rFonts w:ascii="Times New Roman" w:hAnsi="Times New Roman" w:cs="Times New Roman"/>
        </w:rPr>
        <w:t>. Therefore, it was suspected that the Δ</w:t>
      </w:r>
      <w:r w:rsidRPr="00EA1FFF">
        <w:rPr>
          <w:rFonts w:ascii="Times New Roman" w:hAnsi="Times New Roman" w:cs="Times New Roman"/>
          <w:i/>
          <w:iCs/>
        </w:rPr>
        <w:t>relPQA</w:t>
      </w:r>
      <w:r w:rsidRPr="00EA1FFF">
        <w:rPr>
          <w:rFonts w:ascii="Times New Roman" w:hAnsi="Times New Roman" w:cs="Times New Roman"/>
        </w:rPr>
        <w:t xml:space="preserve"> strain was not a triple mutant, allowing its growth on the 0.05 μg/ml plate.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59B93159" w14:textId="77777777" w:rsidTr="00A74445">
        <w:tc>
          <w:tcPr>
            <w:tcW w:w="9016" w:type="dxa"/>
          </w:tcPr>
          <w:p w14:paraId="02D252A5" w14:textId="209BF001" w:rsidR="00187693" w:rsidRDefault="00CD6A3E"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17BBC04" wp14:editId="78532CCC">
                  <wp:extent cx="5742579" cy="7048305"/>
                  <wp:effectExtent l="0" t="0" r="0" b="635"/>
                  <wp:docPr id="1579094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533" cy="7072796"/>
                          </a:xfrm>
                          <a:prstGeom prst="rect">
                            <a:avLst/>
                          </a:prstGeom>
                          <a:noFill/>
                        </pic:spPr>
                      </pic:pic>
                    </a:graphicData>
                  </a:graphic>
                </wp:inline>
              </w:drawing>
            </w:r>
          </w:p>
        </w:tc>
      </w:tr>
      <w:tr w:rsidR="00187693" w14:paraId="7395008F" w14:textId="77777777" w:rsidTr="00A74445">
        <w:tc>
          <w:tcPr>
            <w:tcW w:w="9016" w:type="dxa"/>
          </w:tcPr>
          <w:p w14:paraId="30A70006" w14:textId="77777777" w:rsidR="00187693" w:rsidRPr="00DC6AA7" w:rsidRDefault="00187693" w:rsidP="00A74445">
            <w:pPr>
              <w:jc w:val="both"/>
              <w:rPr>
                <w:rFonts w:ascii="Times New Roman" w:hAnsi="Times New Roman" w:cs="Times New Roman"/>
                <w:sz w:val="18"/>
                <w:szCs w:val="18"/>
              </w:rPr>
            </w:pPr>
            <w:r w:rsidRPr="00A00192">
              <w:rPr>
                <w:rFonts w:ascii="Times New Roman" w:hAnsi="Times New Roman" w:cs="Times New Roman"/>
                <w:b/>
                <w:bCs/>
                <w:sz w:val="18"/>
                <w:szCs w:val="18"/>
              </w:rPr>
              <w:t>Figure 3.2.2. Characterisation of the (p)ppGpp-synthetase deletion mutants.</w:t>
            </w:r>
            <w:r w:rsidRPr="00DC6AA7">
              <w:rPr>
                <w:rFonts w:ascii="Times New Roman" w:hAnsi="Times New Roman" w:cs="Times New Roman"/>
                <w:sz w:val="18"/>
                <w:szCs w:val="18"/>
              </w:rPr>
              <w:t xml:space="preserve"> </w:t>
            </w:r>
            <w:r w:rsidRPr="00815D22">
              <w:rPr>
                <w:rFonts w:ascii="Times New Roman" w:hAnsi="Times New Roman" w:cs="Times New Roman"/>
                <w:b/>
                <w:bCs/>
                <w:sz w:val="18"/>
                <w:szCs w:val="18"/>
              </w:rPr>
              <w:t>a)</w:t>
            </w:r>
            <w:r w:rsidRPr="00DC6AA7">
              <w:rPr>
                <w:rFonts w:ascii="Times New Roman" w:hAnsi="Times New Roman" w:cs="Times New Roman"/>
                <w:sz w:val="18"/>
                <w:szCs w:val="18"/>
              </w:rPr>
              <w:t xml:space="preserve"> (p)ppGpp synthetase deletion mutants were streaked on TSA plates containing mupirocin at concentrations 0 μg/ml, 0.05 μg/ml and 0.5 μg/ml. The experiment was repeated twice, with one representative shown. </w:t>
            </w:r>
            <w:r w:rsidRPr="00815D22">
              <w:rPr>
                <w:rFonts w:ascii="Times New Roman" w:hAnsi="Times New Roman" w:cs="Times New Roman"/>
                <w:b/>
                <w:bCs/>
                <w:sz w:val="18"/>
                <w:szCs w:val="18"/>
              </w:rPr>
              <w:t>b, c, d)</w:t>
            </w:r>
            <w:r w:rsidRPr="00DC6AA7">
              <w:rPr>
                <w:rFonts w:ascii="Times New Roman" w:hAnsi="Times New Roman" w:cs="Times New Roman"/>
                <w:sz w:val="18"/>
                <w:szCs w:val="18"/>
              </w:rPr>
              <w:t xml:space="preserve"> Primers flanking each synthetase, </w:t>
            </w:r>
            <w:r w:rsidRPr="00DC6AA7">
              <w:rPr>
                <w:rFonts w:ascii="Times New Roman" w:hAnsi="Times New Roman" w:cs="Times New Roman"/>
                <w:i/>
                <w:iCs/>
                <w:sz w:val="18"/>
                <w:szCs w:val="18"/>
              </w:rPr>
              <w:t>rel</w:t>
            </w:r>
            <w:r w:rsidRPr="00DC6AA7">
              <w:rPr>
                <w:rFonts w:ascii="Times New Roman" w:hAnsi="Times New Roman" w:cs="Times New Roman"/>
                <w:i/>
                <w:iCs/>
                <w:sz w:val="18"/>
                <w:szCs w:val="18"/>
                <w:vertAlign w:val="subscript"/>
              </w:rPr>
              <w:t xml:space="preserve"> </w:t>
            </w:r>
            <w:r w:rsidRPr="00815D22">
              <w:rPr>
                <w:rFonts w:ascii="Times New Roman" w:hAnsi="Times New Roman" w:cs="Times New Roman"/>
                <w:b/>
                <w:bCs/>
                <w:sz w:val="18"/>
                <w:szCs w:val="18"/>
              </w:rPr>
              <w:t>(b)</w:t>
            </w:r>
            <w:r w:rsidRPr="00DC6AA7">
              <w:rPr>
                <w:rFonts w:ascii="Times New Roman" w:hAnsi="Times New Roman" w:cs="Times New Roman"/>
                <w:sz w:val="18"/>
                <w:szCs w:val="18"/>
              </w:rPr>
              <w:t xml:space="preserve">, </w:t>
            </w:r>
            <w:r w:rsidRPr="00DC6AA7">
              <w:rPr>
                <w:rFonts w:ascii="Times New Roman" w:hAnsi="Times New Roman" w:cs="Times New Roman"/>
                <w:i/>
                <w:iCs/>
                <w:sz w:val="18"/>
                <w:szCs w:val="18"/>
              </w:rPr>
              <w:t xml:space="preserve">relP </w:t>
            </w:r>
            <w:r w:rsidRPr="00815D22">
              <w:rPr>
                <w:rFonts w:ascii="Times New Roman" w:hAnsi="Times New Roman" w:cs="Times New Roman"/>
                <w:b/>
                <w:bCs/>
                <w:sz w:val="18"/>
                <w:szCs w:val="18"/>
              </w:rPr>
              <w:t>(c)</w:t>
            </w:r>
            <w:r w:rsidRPr="00DC6AA7">
              <w:rPr>
                <w:rFonts w:ascii="Times New Roman" w:hAnsi="Times New Roman" w:cs="Times New Roman"/>
                <w:sz w:val="18"/>
                <w:szCs w:val="18"/>
              </w:rPr>
              <w:t xml:space="preserve"> and</w:t>
            </w:r>
            <w:r w:rsidRPr="00DC6AA7">
              <w:rPr>
                <w:rFonts w:ascii="Times New Roman" w:hAnsi="Times New Roman" w:cs="Times New Roman"/>
                <w:i/>
                <w:iCs/>
                <w:sz w:val="18"/>
                <w:szCs w:val="18"/>
              </w:rPr>
              <w:t xml:space="preserve"> relQ </w:t>
            </w:r>
            <w:r w:rsidRPr="00815D22">
              <w:rPr>
                <w:rFonts w:ascii="Times New Roman" w:hAnsi="Times New Roman" w:cs="Times New Roman"/>
                <w:b/>
                <w:bCs/>
                <w:sz w:val="18"/>
                <w:szCs w:val="18"/>
              </w:rPr>
              <w:t>(d)</w:t>
            </w:r>
            <w:r w:rsidRPr="00DC6AA7">
              <w:rPr>
                <w:rFonts w:ascii="Times New Roman" w:hAnsi="Times New Roman" w:cs="Times New Roman"/>
                <w:sz w:val="18"/>
                <w:szCs w:val="18"/>
              </w:rPr>
              <w:t xml:space="preserve"> were used to amplify each of the synthetase genes from genomic DNA. </w:t>
            </w:r>
            <w:r w:rsidRPr="00815D22">
              <w:rPr>
                <w:rFonts w:ascii="Times New Roman" w:hAnsi="Times New Roman" w:cs="Times New Roman"/>
                <w:b/>
                <w:bCs/>
                <w:sz w:val="18"/>
                <w:szCs w:val="18"/>
              </w:rPr>
              <w:t>e)</w:t>
            </w:r>
            <w:r w:rsidRPr="00DC6AA7">
              <w:rPr>
                <w:rFonts w:ascii="Times New Roman" w:hAnsi="Times New Roman" w:cs="Times New Roman"/>
                <w:sz w:val="18"/>
                <w:szCs w:val="18"/>
              </w:rPr>
              <w:t xml:space="preserve"> Domain architecture of </w:t>
            </w:r>
            <w:r w:rsidRPr="00DC6AA7">
              <w:rPr>
                <w:rFonts w:ascii="Times New Roman" w:hAnsi="Times New Roman" w:cs="Times New Roman"/>
                <w:i/>
                <w:iCs/>
                <w:sz w:val="18"/>
                <w:szCs w:val="18"/>
              </w:rPr>
              <w:t>rel</w:t>
            </w:r>
            <w:r w:rsidRPr="00DC6AA7">
              <w:rPr>
                <w:rFonts w:ascii="Times New Roman" w:hAnsi="Times New Roman" w:cs="Times New Roman"/>
                <w:sz w:val="18"/>
                <w:szCs w:val="18"/>
              </w:rPr>
              <w:t xml:space="preserve"> with the HD (hydrolase domain) (blue), SYNTH (synthetase domain) (teal), ThrRS, GTPase and SpoT (TGS) (green), </w:t>
            </w:r>
            <w:r w:rsidRPr="00DC6AA7">
              <w:rPr>
                <w:rFonts w:ascii="Times New Roman" w:hAnsi="Times New Roman" w:cs="Times New Roman"/>
                <w:sz w:val="18"/>
                <w:szCs w:val="18"/>
                <w:lang w:val="el-GR"/>
              </w:rPr>
              <w:t>α</w:t>
            </w:r>
            <w:r w:rsidRPr="00DC6AA7">
              <w:rPr>
                <w:rFonts w:ascii="Times New Roman" w:hAnsi="Times New Roman" w:cs="Times New Roman"/>
                <w:sz w:val="18"/>
                <w:szCs w:val="18"/>
              </w:rPr>
              <w:t xml:space="preserve"> (</w:t>
            </w:r>
            <w:r w:rsidRPr="00DC6AA7">
              <w:rPr>
                <w:rFonts w:ascii="Times New Roman" w:hAnsi="Times New Roman" w:cs="Times New Roman"/>
                <w:sz w:val="18"/>
                <w:szCs w:val="18"/>
                <w:lang w:val="el-GR"/>
              </w:rPr>
              <w:t>α-</w:t>
            </w:r>
            <w:r w:rsidRPr="00DC6AA7">
              <w:rPr>
                <w:rFonts w:ascii="Times New Roman" w:hAnsi="Times New Roman" w:cs="Times New Roman"/>
                <w:sz w:val="18"/>
                <w:szCs w:val="18"/>
              </w:rPr>
              <w:t xml:space="preserve">helical domain) (yellow), ZFD/CC (zinc finger domain/conserved cysteine) (peach) and ACT/RRM (aspartate kinase, chorismite and TyrA/RNA recognition motif) (pink). The red-outlined bar shows the 234 amino acid in-frame deletion which covers the HD and SYNTH domains, including two important catalytic motifs: DxxxxR and YxxxH. Primers RMC165 and RMC739/740 were used to amplify the N-terminal enzymatic domain and primers RMC084/259 were used to amplify </w:t>
            </w:r>
            <w:r w:rsidRPr="00DC6AA7">
              <w:rPr>
                <w:rFonts w:ascii="Times New Roman" w:hAnsi="Times New Roman" w:cs="Times New Roman"/>
                <w:i/>
                <w:iCs/>
                <w:sz w:val="18"/>
                <w:szCs w:val="18"/>
              </w:rPr>
              <w:t>rel</w:t>
            </w:r>
            <w:r w:rsidRPr="00DC6AA7">
              <w:rPr>
                <w:rFonts w:ascii="Times New Roman" w:hAnsi="Times New Roman" w:cs="Times New Roman"/>
                <w:sz w:val="18"/>
                <w:szCs w:val="18"/>
              </w:rPr>
              <w:t xml:space="preserve"> for sequencing and PCR. PCR products were run on 1% agarose gels. Ladder sizes are shown. </w:t>
            </w:r>
            <w:r w:rsidRPr="00815D22">
              <w:rPr>
                <w:rFonts w:ascii="Times New Roman" w:hAnsi="Times New Roman" w:cs="Times New Roman"/>
                <w:b/>
                <w:bCs/>
                <w:sz w:val="18"/>
                <w:szCs w:val="18"/>
              </w:rPr>
              <w:t xml:space="preserve">f) </w:t>
            </w:r>
            <w:r w:rsidRPr="00DC6AA7">
              <w:rPr>
                <w:rFonts w:ascii="Times New Roman" w:hAnsi="Times New Roman" w:cs="Times New Roman"/>
                <w:sz w:val="18"/>
                <w:szCs w:val="18"/>
              </w:rPr>
              <w:t xml:space="preserve">Schematic of </w:t>
            </w:r>
            <w:r w:rsidRPr="00DC6AA7">
              <w:rPr>
                <w:rFonts w:ascii="Times New Roman" w:hAnsi="Times New Roman" w:cs="Times New Roman"/>
                <w:i/>
                <w:iCs/>
                <w:sz w:val="18"/>
                <w:szCs w:val="18"/>
              </w:rPr>
              <w:t>relP</w:t>
            </w:r>
            <w:r w:rsidRPr="00DC6AA7">
              <w:rPr>
                <w:rFonts w:ascii="Times New Roman" w:hAnsi="Times New Roman" w:cs="Times New Roman"/>
                <w:sz w:val="18"/>
                <w:szCs w:val="18"/>
              </w:rPr>
              <w:t xml:space="preserve"> showing the position of the SYNTH domain and the red-outlined bar shows the 29 amino acid in-frame deletion which includes the ExQIRT catalytic motif. Primers RMC081/94 were used to amplify </w:t>
            </w:r>
            <w:r w:rsidRPr="00DC6AA7">
              <w:rPr>
                <w:rFonts w:ascii="Times New Roman" w:hAnsi="Times New Roman" w:cs="Times New Roman"/>
                <w:i/>
                <w:iCs/>
                <w:sz w:val="18"/>
                <w:szCs w:val="18"/>
              </w:rPr>
              <w:t xml:space="preserve">relP </w:t>
            </w:r>
            <w:r w:rsidRPr="00DC6AA7">
              <w:rPr>
                <w:rFonts w:ascii="Times New Roman" w:hAnsi="Times New Roman" w:cs="Times New Roman"/>
                <w:sz w:val="18"/>
                <w:szCs w:val="18"/>
              </w:rPr>
              <w:t xml:space="preserve">for sequencing and PCR. </w:t>
            </w:r>
            <w:r w:rsidRPr="00815D22">
              <w:rPr>
                <w:rFonts w:ascii="Times New Roman" w:hAnsi="Times New Roman" w:cs="Times New Roman"/>
                <w:b/>
                <w:bCs/>
                <w:sz w:val="18"/>
                <w:szCs w:val="18"/>
              </w:rPr>
              <w:t xml:space="preserve">g) </w:t>
            </w:r>
            <w:r w:rsidRPr="00DC6AA7">
              <w:rPr>
                <w:rFonts w:ascii="Times New Roman" w:hAnsi="Times New Roman" w:cs="Times New Roman"/>
                <w:sz w:val="18"/>
                <w:szCs w:val="18"/>
              </w:rPr>
              <w:t xml:space="preserve">Schematic of </w:t>
            </w:r>
            <w:r w:rsidRPr="00DC6AA7">
              <w:rPr>
                <w:rFonts w:ascii="Times New Roman" w:hAnsi="Times New Roman" w:cs="Times New Roman"/>
                <w:i/>
                <w:iCs/>
                <w:sz w:val="18"/>
                <w:szCs w:val="18"/>
              </w:rPr>
              <w:t>relQ</w:t>
            </w:r>
            <w:r w:rsidRPr="00DC6AA7">
              <w:rPr>
                <w:rFonts w:ascii="Times New Roman" w:hAnsi="Times New Roman" w:cs="Times New Roman"/>
                <w:sz w:val="18"/>
                <w:szCs w:val="18"/>
              </w:rPr>
              <w:t xml:space="preserve"> showing the position of the SYNTH domain and the red-outlined bar shows the 29 amino acid in-frame deletion which includes the ExQIRT catalytic motif. Primers RMC078/122 were used to amplify </w:t>
            </w:r>
            <w:r w:rsidRPr="00DC6AA7">
              <w:rPr>
                <w:rFonts w:ascii="Times New Roman" w:hAnsi="Times New Roman" w:cs="Times New Roman"/>
                <w:i/>
                <w:iCs/>
                <w:sz w:val="18"/>
                <w:szCs w:val="18"/>
              </w:rPr>
              <w:t xml:space="preserve">relQ </w:t>
            </w:r>
            <w:r w:rsidRPr="00DC6AA7">
              <w:rPr>
                <w:rFonts w:ascii="Times New Roman" w:hAnsi="Times New Roman" w:cs="Times New Roman"/>
                <w:sz w:val="18"/>
                <w:szCs w:val="18"/>
              </w:rPr>
              <w:t xml:space="preserve">for sequencing and primers RMC95/96 were used to amplify </w:t>
            </w:r>
            <w:r w:rsidRPr="00DC6AA7">
              <w:rPr>
                <w:rFonts w:ascii="Times New Roman" w:hAnsi="Times New Roman" w:cs="Times New Roman"/>
                <w:i/>
                <w:iCs/>
                <w:sz w:val="18"/>
                <w:szCs w:val="18"/>
              </w:rPr>
              <w:t xml:space="preserve">relQ </w:t>
            </w:r>
            <w:r w:rsidRPr="00DC6AA7">
              <w:rPr>
                <w:rFonts w:ascii="Times New Roman" w:hAnsi="Times New Roman" w:cs="Times New Roman"/>
                <w:sz w:val="18"/>
                <w:szCs w:val="18"/>
              </w:rPr>
              <w:t xml:space="preserve">for PCR. </w:t>
            </w:r>
            <w:r w:rsidRPr="00815D22">
              <w:rPr>
                <w:rFonts w:ascii="Times New Roman" w:hAnsi="Times New Roman" w:cs="Times New Roman"/>
                <w:b/>
                <w:bCs/>
                <w:sz w:val="18"/>
                <w:szCs w:val="18"/>
              </w:rPr>
              <w:t>(h)</w:t>
            </w:r>
            <w:r w:rsidRPr="00DC6AA7">
              <w:rPr>
                <w:rFonts w:ascii="Times New Roman" w:hAnsi="Times New Roman" w:cs="Times New Roman"/>
                <w:sz w:val="18"/>
                <w:szCs w:val="18"/>
              </w:rPr>
              <w:t xml:space="preserve"> and </w:t>
            </w:r>
            <w:r w:rsidRPr="00815D22">
              <w:rPr>
                <w:rFonts w:ascii="Times New Roman" w:hAnsi="Times New Roman" w:cs="Times New Roman"/>
                <w:b/>
                <w:bCs/>
                <w:sz w:val="18"/>
                <w:szCs w:val="18"/>
              </w:rPr>
              <w:t>(i)</w:t>
            </w:r>
            <w:r w:rsidRPr="00DC6AA7">
              <w:rPr>
                <w:rFonts w:ascii="Times New Roman" w:hAnsi="Times New Roman" w:cs="Times New Roman"/>
                <w:sz w:val="18"/>
                <w:szCs w:val="18"/>
              </w:rPr>
              <w:t xml:space="preserve">: Mutant strains were grown with </w:t>
            </w:r>
            <w:r w:rsidRPr="00DC6AA7">
              <w:rPr>
                <w:rFonts w:ascii="Times New Roman" w:hAnsi="Times New Roman" w:cs="Times New Roman"/>
                <w:sz w:val="18"/>
                <w:szCs w:val="18"/>
                <w:vertAlign w:val="superscript"/>
                <w:lang w:val="en-US"/>
              </w:rPr>
              <w:t>32</w:t>
            </w:r>
            <w:r w:rsidRPr="00DC6AA7">
              <w:rPr>
                <w:rFonts w:ascii="Times New Roman" w:hAnsi="Times New Roman" w:cs="Times New Roman"/>
                <w:sz w:val="18"/>
                <w:szCs w:val="18"/>
                <w:lang w:val="en-US"/>
              </w:rPr>
              <w:t>P-labelled H</w:t>
            </w:r>
            <w:r w:rsidRPr="00DC6AA7">
              <w:rPr>
                <w:rFonts w:ascii="Times New Roman" w:hAnsi="Times New Roman" w:cs="Times New Roman"/>
                <w:sz w:val="18"/>
                <w:szCs w:val="18"/>
                <w:vertAlign w:val="subscript"/>
                <w:lang w:val="en-US"/>
              </w:rPr>
              <w:t>3</w:t>
            </w:r>
            <w:r w:rsidRPr="00DC6AA7">
              <w:rPr>
                <w:rFonts w:ascii="Times New Roman" w:hAnsi="Times New Roman" w:cs="Times New Roman"/>
                <w:sz w:val="18"/>
                <w:szCs w:val="18"/>
                <w:lang w:val="en-US"/>
              </w:rPr>
              <w:t>PO</w:t>
            </w:r>
            <w:r w:rsidRPr="00DC6AA7">
              <w:rPr>
                <w:rFonts w:ascii="Times New Roman" w:hAnsi="Times New Roman" w:cs="Times New Roman"/>
                <w:sz w:val="18"/>
                <w:szCs w:val="18"/>
                <w:vertAlign w:val="subscript"/>
                <w:lang w:val="en-US"/>
              </w:rPr>
              <w:t xml:space="preserve">4 </w:t>
            </w:r>
            <w:r w:rsidRPr="00DC6AA7">
              <w:rPr>
                <w:rFonts w:ascii="Times New Roman" w:hAnsi="Times New Roman" w:cs="Times New Roman"/>
                <w:sz w:val="18"/>
                <w:szCs w:val="18"/>
              </w:rPr>
              <w:t xml:space="preserve">and the stringent response was induced with mupirocin administration (60 μg/ml). </w:t>
            </w:r>
            <w:r w:rsidRPr="00815D22">
              <w:rPr>
                <w:rFonts w:ascii="Times New Roman" w:hAnsi="Times New Roman" w:cs="Times New Roman"/>
                <w:b/>
                <w:bCs/>
                <w:sz w:val="18"/>
                <w:szCs w:val="18"/>
              </w:rPr>
              <w:t>(h)</w:t>
            </w:r>
            <w:r w:rsidRPr="00DC6AA7">
              <w:rPr>
                <w:rFonts w:ascii="Times New Roman" w:hAnsi="Times New Roman" w:cs="Times New Roman"/>
                <w:sz w:val="18"/>
                <w:szCs w:val="18"/>
              </w:rPr>
              <w:t xml:space="preserve"> shows the nucleotide extracts for JE2 WT, and the single mutants </w:t>
            </w:r>
            <w:r w:rsidRPr="00DC6AA7">
              <w:rPr>
                <w:rFonts w:ascii="Times New Roman" w:hAnsi="Times New Roman" w:cs="Times New Roman"/>
                <w:sz w:val="18"/>
                <w:szCs w:val="18"/>
                <w:lang w:val="el-GR"/>
              </w:rPr>
              <w:t>Δ</w:t>
            </w:r>
            <w:r w:rsidRPr="00DC6AA7">
              <w:rPr>
                <w:rFonts w:ascii="Times New Roman" w:hAnsi="Times New Roman" w:cs="Times New Roman"/>
                <w:i/>
                <w:iCs/>
                <w:sz w:val="18"/>
                <w:szCs w:val="18"/>
              </w:rPr>
              <w:t xml:space="preserve">relP </w:t>
            </w:r>
            <w:r w:rsidRPr="00DC6AA7">
              <w:rPr>
                <w:rFonts w:ascii="Times New Roman" w:hAnsi="Times New Roman" w:cs="Times New Roman"/>
                <w:sz w:val="18"/>
                <w:szCs w:val="18"/>
              </w:rPr>
              <w:t>and</w:t>
            </w:r>
            <w:r w:rsidRPr="00DC6AA7">
              <w:rPr>
                <w:rFonts w:ascii="Times New Roman" w:hAnsi="Times New Roman" w:cs="Times New Roman"/>
                <w:i/>
                <w:iCs/>
                <w:sz w:val="18"/>
                <w:szCs w:val="18"/>
              </w:rPr>
              <w:t xml:space="preserve"> </w:t>
            </w:r>
            <w:r w:rsidRPr="00DC6AA7">
              <w:rPr>
                <w:rFonts w:ascii="Times New Roman" w:hAnsi="Times New Roman" w:cs="Times New Roman"/>
                <w:sz w:val="18"/>
                <w:szCs w:val="18"/>
                <w:lang w:val="el-GR"/>
              </w:rPr>
              <w:t>Δ</w:t>
            </w:r>
            <w:r w:rsidRPr="00DC6AA7">
              <w:rPr>
                <w:rFonts w:ascii="Times New Roman" w:hAnsi="Times New Roman" w:cs="Times New Roman"/>
                <w:i/>
                <w:iCs/>
                <w:sz w:val="18"/>
                <w:szCs w:val="18"/>
              </w:rPr>
              <w:t>relQ</w:t>
            </w:r>
            <w:r w:rsidRPr="00DC6AA7">
              <w:rPr>
                <w:rFonts w:ascii="Times New Roman" w:hAnsi="Times New Roman" w:cs="Times New Roman"/>
                <w:sz w:val="18"/>
                <w:szCs w:val="18"/>
              </w:rPr>
              <w:t xml:space="preserve"> and </w:t>
            </w:r>
            <w:r w:rsidRPr="00815D22">
              <w:rPr>
                <w:rFonts w:ascii="Times New Roman" w:hAnsi="Times New Roman" w:cs="Times New Roman"/>
                <w:b/>
                <w:bCs/>
                <w:sz w:val="18"/>
                <w:szCs w:val="18"/>
              </w:rPr>
              <w:t>(i)</w:t>
            </w:r>
            <w:r w:rsidRPr="00DC6AA7">
              <w:rPr>
                <w:rFonts w:ascii="Times New Roman" w:hAnsi="Times New Roman" w:cs="Times New Roman"/>
                <w:sz w:val="18"/>
                <w:szCs w:val="18"/>
              </w:rPr>
              <w:t xml:space="preserve"> shows nucleotide extracts for JE2 WT, the double mutants </w:t>
            </w:r>
            <w:r w:rsidRPr="00DC6AA7">
              <w:rPr>
                <w:rFonts w:ascii="Times New Roman" w:hAnsi="Times New Roman" w:cs="Times New Roman"/>
                <w:sz w:val="18"/>
                <w:szCs w:val="18"/>
                <w:lang w:val="el-GR"/>
              </w:rPr>
              <w:t>Δ</w:t>
            </w:r>
            <w:r w:rsidRPr="00DC6AA7">
              <w:rPr>
                <w:rFonts w:ascii="Times New Roman" w:hAnsi="Times New Roman" w:cs="Times New Roman"/>
                <w:i/>
                <w:iCs/>
                <w:sz w:val="18"/>
                <w:szCs w:val="18"/>
              </w:rPr>
              <w:t xml:space="preserve">relPQ </w:t>
            </w:r>
            <w:r w:rsidRPr="00DC6AA7">
              <w:rPr>
                <w:rFonts w:ascii="Times New Roman" w:hAnsi="Times New Roman" w:cs="Times New Roman"/>
                <w:sz w:val="18"/>
                <w:szCs w:val="18"/>
              </w:rPr>
              <w:t>and</w:t>
            </w:r>
            <w:r w:rsidRPr="00DC6AA7">
              <w:rPr>
                <w:rFonts w:ascii="Times New Roman" w:hAnsi="Times New Roman" w:cs="Times New Roman"/>
                <w:i/>
                <w:iCs/>
                <w:sz w:val="18"/>
                <w:szCs w:val="18"/>
              </w:rPr>
              <w:t xml:space="preserve"> </w:t>
            </w:r>
            <w:r w:rsidRPr="00DC6AA7">
              <w:rPr>
                <w:rFonts w:ascii="Times New Roman" w:hAnsi="Times New Roman" w:cs="Times New Roman"/>
                <w:sz w:val="18"/>
                <w:szCs w:val="18"/>
                <w:lang w:val="el-GR"/>
              </w:rPr>
              <w:t>Δ</w:t>
            </w:r>
            <w:r w:rsidRPr="00DC6AA7">
              <w:rPr>
                <w:rFonts w:ascii="Times New Roman" w:hAnsi="Times New Roman" w:cs="Times New Roman"/>
                <w:i/>
                <w:iCs/>
                <w:sz w:val="18"/>
                <w:szCs w:val="18"/>
              </w:rPr>
              <w:t>relQP</w:t>
            </w:r>
            <w:r w:rsidRPr="00DC6AA7">
              <w:rPr>
                <w:rFonts w:ascii="Times New Roman" w:hAnsi="Times New Roman" w:cs="Times New Roman"/>
                <w:sz w:val="18"/>
                <w:szCs w:val="18"/>
              </w:rPr>
              <w:t xml:space="preserve"> and the triple mutants </w:t>
            </w:r>
            <w:r w:rsidRPr="00DC6AA7">
              <w:rPr>
                <w:rFonts w:ascii="Times New Roman" w:hAnsi="Times New Roman" w:cs="Times New Roman"/>
                <w:sz w:val="18"/>
                <w:szCs w:val="18"/>
                <w:lang w:val="el-GR"/>
              </w:rPr>
              <w:t>Δ</w:t>
            </w:r>
            <w:r w:rsidRPr="00DC6AA7">
              <w:rPr>
                <w:rFonts w:ascii="Times New Roman" w:hAnsi="Times New Roman" w:cs="Times New Roman"/>
                <w:i/>
                <w:iCs/>
                <w:sz w:val="18"/>
                <w:szCs w:val="18"/>
              </w:rPr>
              <w:t xml:space="preserve">relPQA </w:t>
            </w:r>
            <w:r w:rsidRPr="00DC6AA7">
              <w:rPr>
                <w:rFonts w:ascii="Times New Roman" w:hAnsi="Times New Roman" w:cs="Times New Roman"/>
                <w:sz w:val="18"/>
                <w:szCs w:val="18"/>
              </w:rPr>
              <w:t>and</w:t>
            </w:r>
            <w:r w:rsidRPr="00DC6AA7">
              <w:rPr>
                <w:rFonts w:ascii="Times New Roman" w:hAnsi="Times New Roman" w:cs="Times New Roman"/>
                <w:i/>
                <w:iCs/>
                <w:sz w:val="18"/>
                <w:szCs w:val="18"/>
              </w:rPr>
              <w:t xml:space="preserve"> </w:t>
            </w:r>
            <w:r w:rsidRPr="00DC6AA7">
              <w:rPr>
                <w:rFonts w:ascii="Times New Roman" w:hAnsi="Times New Roman" w:cs="Times New Roman"/>
                <w:sz w:val="18"/>
                <w:szCs w:val="18"/>
                <w:lang w:val="el-GR"/>
              </w:rPr>
              <w:t>Δ</w:t>
            </w:r>
            <w:r w:rsidRPr="00DC6AA7">
              <w:rPr>
                <w:rFonts w:ascii="Times New Roman" w:hAnsi="Times New Roman" w:cs="Times New Roman"/>
                <w:i/>
                <w:iCs/>
                <w:sz w:val="18"/>
                <w:szCs w:val="18"/>
              </w:rPr>
              <w:t xml:space="preserve">relQPA. </w:t>
            </w:r>
            <w:r w:rsidRPr="00DC6AA7">
              <w:rPr>
                <w:rFonts w:ascii="Times New Roman" w:hAnsi="Times New Roman" w:cs="Times New Roman"/>
                <w:sz w:val="18"/>
                <w:szCs w:val="18"/>
              </w:rPr>
              <w:t xml:space="preserve">Nucleotide extracts were separated by spotting on PEI-cellulose TLC plate. Smaller nucleotides such as GTP travel further than larger nucleotides such as pppGpp. Nucleotide standards were run in parallel to aid in the identification of each spot (performed by RMC). </w:t>
            </w:r>
          </w:p>
          <w:p w14:paraId="11B8A4BF" w14:textId="77777777" w:rsidR="00187693" w:rsidRPr="00DC6AA7" w:rsidRDefault="00187693" w:rsidP="00A74445">
            <w:pPr>
              <w:jc w:val="both"/>
              <w:rPr>
                <w:rFonts w:ascii="Times New Roman" w:hAnsi="Times New Roman" w:cs="Times New Roman"/>
                <w:sz w:val="18"/>
                <w:szCs w:val="18"/>
              </w:rPr>
            </w:pPr>
          </w:p>
        </w:tc>
      </w:tr>
    </w:tbl>
    <w:p w14:paraId="36437199" w14:textId="77777777" w:rsidR="00187693" w:rsidRPr="00153969" w:rsidRDefault="00187693" w:rsidP="00187693">
      <w:pPr>
        <w:spacing w:line="360" w:lineRule="auto"/>
        <w:ind w:firstLine="720"/>
        <w:jc w:val="both"/>
        <w:rPr>
          <w:rFonts w:ascii="Times New Roman" w:hAnsi="Times New Roman" w:cs="Times New Roman"/>
        </w:rPr>
      </w:pPr>
      <w:r w:rsidRPr="006241D7">
        <w:rPr>
          <w:rFonts w:ascii="Times New Roman" w:hAnsi="Times New Roman" w:cs="Times New Roman"/>
        </w:rPr>
        <w:t>To confirm whether the panel of strains contained the desired deletions</w:t>
      </w:r>
      <w:r>
        <w:rPr>
          <w:rFonts w:ascii="Times New Roman" w:hAnsi="Times New Roman" w:cs="Times New Roman"/>
        </w:rPr>
        <w:t xml:space="preserve">, in particular </w:t>
      </w:r>
      <w:r w:rsidRPr="00EA1FFF">
        <w:rPr>
          <w:rFonts w:ascii="Times New Roman" w:hAnsi="Times New Roman" w:cs="Times New Roman"/>
        </w:rPr>
        <w:t>Δ</w:t>
      </w:r>
      <w:r w:rsidRPr="00EA1FFF">
        <w:rPr>
          <w:rFonts w:ascii="Times New Roman" w:hAnsi="Times New Roman" w:cs="Times New Roman"/>
          <w:i/>
          <w:iCs/>
        </w:rPr>
        <w:t>relPQA</w:t>
      </w:r>
      <w:r>
        <w:rPr>
          <w:rFonts w:ascii="Times New Roman" w:hAnsi="Times New Roman" w:cs="Times New Roman"/>
          <w:i/>
          <w:iCs/>
        </w:rPr>
        <w:t>,</w:t>
      </w:r>
      <w:r>
        <w:rPr>
          <w:rFonts w:ascii="Times New Roman" w:hAnsi="Times New Roman" w:cs="Times New Roman"/>
        </w:rPr>
        <w:t xml:space="preserve"> </w:t>
      </w:r>
      <w:r w:rsidRPr="006241D7">
        <w:rPr>
          <w:rFonts w:ascii="Times New Roman" w:hAnsi="Times New Roman" w:cs="Times New Roman"/>
        </w:rPr>
        <w:t xml:space="preserve">each synthetase gene was examined by PCR from genomic DNA of all JE2 strains </w:t>
      </w:r>
      <w:r w:rsidRPr="00D27E16">
        <w:rPr>
          <w:rFonts w:ascii="Times New Roman" w:hAnsi="Times New Roman" w:cs="Times New Roman"/>
          <w:b/>
          <w:bCs/>
        </w:rPr>
        <w:t>(Fig. 3.2.2</w:t>
      </w:r>
      <w:r>
        <w:rPr>
          <w:rFonts w:ascii="Times New Roman" w:hAnsi="Times New Roman" w:cs="Times New Roman"/>
          <w:b/>
          <w:bCs/>
        </w:rPr>
        <w:t>b, c and d</w:t>
      </w:r>
      <w:r w:rsidRPr="00D27E16">
        <w:rPr>
          <w:rFonts w:ascii="Times New Roman" w:hAnsi="Times New Roman" w:cs="Times New Roman"/>
          <w:b/>
          <w:bCs/>
        </w:rPr>
        <w:t xml:space="preserve">). </w:t>
      </w:r>
      <w:r w:rsidRPr="006241D7">
        <w:rPr>
          <w:rFonts w:ascii="Times New Roman" w:hAnsi="Times New Roman" w:cs="Times New Roman"/>
        </w:rPr>
        <w:t xml:space="preserve">Expected band sizes for wildtype genes were 1229 bp for </w:t>
      </w:r>
      <w:r w:rsidRPr="006241D7">
        <w:rPr>
          <w:rFonts w:ascii="Times New Roman" w:hAnsi="Times New Roman" w:cs="Times New Roman"/>
          <w:i/>
          <w:iCs/>
        </w:rPr>
        <w:t>rel</w:t>
      </w:r>
      <w:r w:rsidRPr="006241D7">
        <w:rPr>
          <w:rFonts w:ascii="Times New Roman" w:hAnsi="Times New Roman" w:cs="Times New Roman"/>
        </w:rPr>
        <w:t xml:space="preserve">, 920 bp for </w:t>
      </w:r>
      <w:r w:rsidRPr="006241D7">
        <w:rPr>
          <w:rFonts w:ascii="Times New Roman" w:hAnsi="Times New Roman" w:cs="Times New Roman"/>
          <w:i/>
          <w:iCs/>
        </w:rPr>
        <w:t>relP</w:t>
      </w:r>
      <w:r w:rsidRPr="006241D7">
        <w:rPr>
          <w:rFonts w:ascii="Times New Roman" w:hAnsi="Times New Roman" w:cs="Times New Roman"/>
        </w:rPr>
        <w:t xml:space="preserve"> and 633 bp for </w:t>
      </w:r>
      <w:r w:rsidRPr="006241D7">
        <w:rPr>
          <w:rFonts w:ascii="Times New Roman" w:hAnsi="Times New Roman" w:cs="Times New Roman"/>
          <w:i/>
          <w:iCs/>
        </w:rPr>
        <w:t>relQ</w:t>
      </w:r>
      <w:r w:rsidRPr="006241D7">
        <w:rPr>
          <w:rFonts w:ascii="Times New Roman" w:hAnsi="Times New Roman" w:cs="Times New Roman"/>
        </w:rPr>
        <w:t>. However, PCR revealed that the Δ</w:t>
      </w:r>
      <w:r w:rsidRPr="006241D7">
        <w:rPr>
          <w:rFonts w:ascii="Times New Roman" w:hAnsi="Times New Roman" w:cs="Times New Roman"/>
          <w:i/>
          <w:iCs/>
        </w:rPr>
        <w:t xml:space="preserve">relPQA </w:t>
      </w:r>
      <w:r w:rsidRPr="006241D7">
        <w:rPr>
          <w:rFonts w:ascii="Times New Roman" w:hAnsi="Times New Roman" w:cs="Times New Roman"/>
        </w:rPr>
        <w:t xml:space="preserve">strain possessed a band corresponding to the wildtype </w:t>
      </w:r>
      <w:r w:rsidRPr="006241D7">
        <w:rPr>
          <w:rFonts w:ascii="Times New Roman" w:hAnsi="Times New Roman" w:cs="Times New Roman"/>
          <w:i/>
          <w:iCs/>
        </w:rPr>
        <w:t>rel</w:t>
      </w:r>
      <w:r w:rsidRPr="006241D7">
        <w:rPr>
          <w:rFonts w:ascii="Times New Roman" w:hAnsi="Times New Roman" w:cs="Times New Roman"/>
        </w:rPr>
        <w:t xml:space="preserve"> gene in comparison to Δ</w:t>
      </w:r>
      <w:r w:rsidRPr="006241D7">
        <w:rPr>
          <w:rFonts w:ascii="Times New Roman" w:hAnsi="Times New Roman" w:cs="Times New Roman"/>
          <w:i/>
          <w:iCs/>
        </w:rPr>
        <w:t>relQPA</w:t>
      </w:r>
      <w:r>
        <w:rPr>
          <w:rFonts w:ascii="Times New Roman" w:hAnsi="Times New Roman" w:cs="Times New Roman"/>
          <w:i/>
          <w:iCs/>
        </w:rPr>
        <w:t xml:space="preserve">, </w:t>
      </w:r>
      <w:r>
        <w:rPr>
          <w:rFonts w:ascii="Times New Roman" w:hAnsi="Times New Roman" w:cs="Times New Roman"/>
        </w:rPr>
        <w:t xml:space="preserve">which had the expected mutant band size </w:t>
      </w:r>
      <w:r w:rsidRPr="00754856">
        <w:rPr>
          <w:rFonts w:ascii="Times New Roman" w:hAnsi="Times New Roman" w:cs="Times New Roman"/>
        </w:rPr>
        <w:t>of 527 bp</w:t>
      </w:r>
      <w:r>
        <w:rPr>
          <w:rFonts w:ascii="Times New Roman" w:hAnsi="Times New Roman" w:cs="Times New Roman"/>
        </w:rPr>
        <w:t xml:space="preserve"> </w:t>
      </w:r>
      <w:r w:rsidRPr="00754856">
        <w:rPr>
          <w:rFonts w:ascii="Times New Roman" w:hAnsi="Times New Roman" w:cs="Times New Roman"/>
          <w:b/>
          <w:bCs/>
        </w:rPr>
        <w:t>(Fig</w:t>
      </w:r>
      <w:r>
        <w:rPr>
          <w:rFonts w:ascii="Times New Roman" w:hAnsi="Times New Roman" w:cs="Times New Roman"/>
          <w:b/>
          <w:bCs/>
        </w:rPr>
        <w:t>.</w:t>
      </w:r>
      <w:r w:rsidRPr="00754856">
        <w:rPr>
          <w:rFonts w:ascii="Times New Roman" w:hAnsi="Times New Roman" w:cs="Times New Roman"/>
          <w:b/>
          <w:bCs/>
        </w:rPr>
        <w:t xml:space="preserve"> 3.2.2</w:t>
      </w:r>
      <w:r>
        <w:rPr>
          <w:rFonts w:ascii="Times New Roman" w:hAnsi="Times New Roman" w:cs="Times New Roman"/>
          <w:b/>
          <w:bCs/>
        </w:rPr>
        <w:t>b</w:t>
      </w:r>
      <w:r w:rsidRPr="00754856">
        <w:rPr>
          <w:rFonts w:ascii="Times New Roman" w:hAnsi="Times New Roman" w:cs="Times New Roman"/>
          <w:b/>
          <w:bCs/>
        </w:rPr>
        <w:t>)</w:t>
      </w:r>
      <w:r w:rsidRPr="006241D7">
        <w:rPr>
          <w:rFonts w:ascii="Times New Roman" w:hAnsi="Times New Roman" w:cs="Times New Roman"/>
        </w:rPr>
        <w:t xml:space="preserve">. This suggests that </w:t>
      </w:r>
      <w:r w:rsidRPr="006241D7">
        <w:rPr>
          <w:rFonts w:ascii="Times New Roman" w:hAnsi="Times New Roman" w:cs="Times New Roman"/>
          <w:i/>
          <w:iCs/>
        </w:rPr>
        <w:t>rel</w:t>
      </w:r>
      <w:r w:rsidRPr="006241D7">
        <w:rPr>
          <w:rFonts w:ascii="Times New Roman" w:hAnsi="Times New Roman" w:cs="Times New Roman"/>
        </w:rPr>
        <w:t xml:space="preserve"> is intact in Δ</w:t>
      </w:r>
      <w:r w:rsidRPr="006241D7">
        <w:rPr>
          <w:rFonts w:ascii="Times New Roman" w:hAnsi="Times New Roman" w:cs="Times New Roman"/>
          <w:i/>
          <w:iCs/>
        </w:rPr>
        <w:t>relPQA</w:t>
      </w:r>
      <w:r w:rsidRPr="006241D7">
        <w:rPr>
          <w:rFonts w:ascii="Times New Roman" w:hAnsi="Times New Roman" w:cs="Times New Roman"/>
        </w:rPr>
        <w:t xml:space="preserve"> explaining why </w:t>
      </w:r>
      <w:r>
        <w:rPr>
          <w:rFonts w:ascii="Times New Roman" w:hAnsi="Times New Roman" w:cs="Times New Roman"/>
        </w:rPr>
        <w:t xml:space="preserve">it </w:t>
      </w:r>
      <w:r w:rsidRPr="006241D7">
        <w:rPr>
          <w:rFonts w:ascii="Times New Roman" w:hAnsi="Times New Roman" w:cs="Times New Roman"/>
        </w:rPr>
        <w:t>was able to grow on 0.05 μg/ml plates in comparison to the correct triple mutant, Δ</w:t>
      </w:r>
      <w:r w:rsidRPr="006241D7">
        <w:rPr>
          <w:rFonts w:ascii="Times New Roman" w:hAnsi="Times New Roman" w:cs="Times New Roman"/>
          <w:i/>
          <w:iCs/>
        </w:rPr>
        <w:t xml:space="preserve">relQPA </w:t>
      </w:r>
      <w:r w:rsidRPr="006241D7">
        <w:rPr>
          <w:rFonts w:ascii="Times New Roman" w:hAnsi="Times New Roman" w:cs="Times New Roman"/>
          <w:b/>
          <w:bCs/>
        </w:rPr>
        <w:t>(Fig 3.2.1</w:t>
      </w:r>
      <w:r>
        <w:rPr>
          <w:rFonts w:ascii="Times New Roman" w:hAnsi="Times New Roman" w:cs="Times New Roman"/>
          <w:b/>
          <w:bCs/>
        </w:rPr>
        <w:t>d</w:t>
      </w:r>
      <w:r w:rsidRPr="006241D7">
        <w:rPr>
          <w:rFonts w:ascii="Times New Roman" w:hAnsi="Times New Roman" w:cs="Times New Roman"/>
          <w:b/>
          <w:bCs/>
        </w:rPr>
        <w:t>)</w:t>
      </w:r>
      <w:r w:rsidRPr="006241D7">
        <w:rPr>
          <w:rFonts w:ascii="Times New Roman" w:hAnsi="Times New Roman" w:cs="Times New Roman"/>
        </w:rPr>
        <w:t xml:space="preserve">. Sequencing the synthetase genes </w:t>
      </w:r>
      <w:r>
        <w:rPr>
          <w:rFonts w:ascii="Times New Roman" w:hAnsi="Times New Roman" w:cs="Times New Roman"/>
        </w:rPr>
        <w:t xml:space="preserve">using gene-flanking primers </w:t>
      </w:r>
      <w:r w:rsidRPr="006241D7">
        <w:rPr>
          <w:rFonts w:ascii="Times New Roman" w:hAnsi="Times New Roman" w:cs="Times New Roman"/>
        </w:rPr>
        <w:t xml:space="preserve">revealed that the (p)ppGpp-synthetase mutants were constructed by introducing in-frame deletions in each of the synthetases: </w:t>
      </w:r>
      <w:r w:rsidRPr="006241D7">
        <w:rPr>
          <w:rFonts w:ascii="Times New Roman" w:hAnsi="Times New Roman" w:cs="Times New Roman"/>
          <w:i/>
          <w:iCs/>
        </w:rPr>
        <w:t xml:space="preserve">rel </w:t>
      </w:r>
      <w:r w:rsidRPr="006241D7">
        <w:rPr>
          <w:rFonts w:ascii="Times New Roman" w:hAnsi="Times New Roman" w:cs="Times New Roman"/>
        </w:rPr>
        <w:t xml:space="preserve">(234 amino acids), </w:t>
      </w:r>
      <w:r w:rsidRPr="006241D7">
        <w:rPr>
          <w:rFonts w:ascii="Times New Roman" w:hAnsi="Times New Roman" w:cs="Times New Roman"/>
          <w:i/>
          <w:iCs/>
        </w:rPr>
        <w:t xml:space="preserve">relP </w:t>
      </w:r>
      <w:r w:rsidRPr="006241D7">
        <w:rPr>
          <w:rFonts w:ascii="Times New Roman" w:hAnsi="Times New Roman" w:cs="Times New Roman"/>
        </w:rPr>
        <w:t xml:space="preserve">(29 aa) and </w:t>
      </w:r>
      <w:r w:rsidRPr="006241D7">
        <w:rPr>
          <w:rFonts w:ascii="Times New Roman" w:hAnsi="Times New Roman" w:cs="Times New Roman"/>
          <w:i/>
          <w:iCs/>
        </w:rPr>
        <w:t>relQ</w:t>
      </w:r>
      <w:r w:rsidRPr="006241D7">
        <w:rPr>
          <w:rFonts w:ascii="Times New Roman" w:hAnsi="Times New Roman" w:cs="Times New Roman"/>
        </w:rPr>
        <w:t xml:space="preserve"> (29 aa)</w:t>
      </w:r>
      <w:r>
        <w:rPr>
          <w:rFonts w:ascii="Times New Roman" w:hAnsi="Times New Roman" w:cs="Times New Roman"/>
        </w:rPr>
        <w:t xml:space="preserve"> </w:t>
      </w:r>
      <w:r w:rsidRPr="0076436E">
        <w:rPr>
          <w:rFonts w:ascii="Times New Roman" w:hAnsi="Times New Roman" w:cs="Times New Roman"/>
          <w:b/>
          <w:bCs/>
        </w:rPr>
        <w:t>(Fig. 3.2.</w:t>
      </w:r>
      <w:r>
        <w:rPr>
          <w:rFonts w:ascii="Times New Roman" w:hAnsi="Times New Roman" w:cs="Times New Roman"/>
          <w:b/>
          <w:bCs/>
        </w:rPr>
        <w:t>2e, f, g</w:t>
      </w:r>
      <w:r w:rsidRPr="00153969">
        <w:rPr>
          <w:rFonts w:ascii="Times New Roman" w:hAnsi="Times New Roman" w:cs="Times New Roman"/>
          <w:b/>
          <w:bCs/>
        </w:rPr>
        <w:t>)</w:t>
      </w:r>
      <w:r w:rsidRPr="00153969">
        <w:rPr>
          <w:rFonts w:ascii="Times New Roman" w:hAnsi="Times New Roman" w:cs="Times New Roman"/>
        </w:rPr>
        <w:t>. The panel of synthetase mutants were designed to delete key residues in the synthetase domain that are involved in its catalytic activity</w:t>
      </w:r>
      <w:r>
        <w:rPr>
          <w:rFonts w:ascii="Times New Roman" w:hAnsi="Times New Roman" w:cs="Times New Roman"/>
        </w:rPr>
        <w:t xml:space="preserve">, including DxxxxR, YxxxH and ExQIRT </w:t>
      </w:r>
      <w:r w:rsidRPr="00B0129F">
        <w:rPr>
          <w:rFonts w:ascii="Times New Roman" w:hAnsi="Times New Roman" w:cs="Times New Roman"/>
          <w:b/>
          <w:bCs/>
        </w:rPr>
        <w:fldChar w:fldCharType="begin"/>
      </w:r>
      <w:r w:rsidRPr="00B0129F">
        <w:rPr>
          <w:rFonts w:ascii="Times New Roman" w:hAnsi="Times New Roman" w:cs="Times New Roman"/>
          <w:b/>
          <w:bCs/>
        </w:rPr>
        <w:instrText xml:space="preserve"> ADDIN EN.CITE &lt;EndNote&gt;&lt;Cite&gt;&lt;Author&gt;Steinchen&lt;/Author&gt;&lt;Year&gt;2016&lt;/Year&gt;&lt;IDText&gt;The magic dance of the alarmones (p)ppGpp&lt;/IDText&gt;&lt;DisplayText&gt;(Steinchen and Bange, 2016)&lt;/DisplayText&gt;&lt;record&gt;&lt;dates&gt;&lt;pub-dates&gt;&lt;date&gt;Aug&lt;/date&gt;&lt;/pub-dates&gt;&lt;year&gt;2016&lt;/year&gt;&lt;/dates&gt;&lt;urls&gt;&lt;related-urls&gt;&lt;url&gt;&amp;lt;Go to ISI&amp;gt;://WOS:000382541900001&lt;/url&gt;&lt;/related-urls&gt;&lt;/urls&gt;&lt;isbn&gt;0950-382X&lt;/isbn&gt;&lt;titles&gt;&lt;title&gt;The magic dance of the alarmones (p)ppGpp&lt;/title&gt;&lt;secondary-title&gt;Molecular Microbiology&lt;/secondary-title&gt;&lt;/titles&gt;&lt;pages&gt;531-544&lt;/pages&gt;&lt;number&gt;4&lt;/number&gt;&lt;contributors&gt;&lt;authors&gt;&lt;author&gt;Steinchen, Wieland&lt;/author&gt;&lt;author&gt;Bange, Gert&lt;/author&gt;&lt;/authors&gt;&lt;/contributors&gt;&lt;added-date format="utc"&gt;1665355225&lt;/added-date&gt;&lt;ref-type name="Journal Article"&gt;17&lt;/ref-type&gt;&lt;rec-number&gt;171&lt;/rec-number&gt;&lt;last-updated-date format="utc"&gt;1665355282&lt;/last-updated-date&gt;&lt;accession-num&gt;WOS:000382541900001&lt;/accession-num&gt;&lt;electronic-resource-num&gt;10.1111/mmi.13412&lt;/electronic-resource-num&gt;&lt;volume&gt;101&lt;/volume&gt;&lt;/record&gt;&lt;/Cite&gt;&lt;/EndNote&gt;</w:instrText>
      </w:r>
      <w:r w:rsidRPr="00B0129F">
        <w:rPr>
          <w:rFonts w:ascii="Times New Roman" w:hAnsi="Times New Roman" w:cs="Times New Roman"/>
          <w:b/>
          <w:bCs/>
        </w:rPr>
        <w:fldChar w:fldCharType="separate"/>
      </w:r>
      <w:r w:rsidRPr="00B0129F">
        <w:rPr>
          <w:rFonts w:ascii="Times New Roman" w:hAnsi="Times New Roman" w:cs="Times New Roman"/>
          <w:b/>
          <w:bCs/>
          <w:noProof/>
        </w:rPr>
        <w:t>(Steinchen and Bange, 2016)</w:t>
      </w:r>
      <w:r w:rsidRPr="00B0129F">
        <w:rPr>
          <w:rFonts w:ascii="Times New Roman" w:hAnsi="Times New Roman" w:cs="Times New Roman"/>
          <w:b/>
          <w:bCs/>
        </w:rPr>
        <w:fldChar w:fldCharType="end"/>
      </w:r>
    </w:p>
    <w:p w14:paraId="5469D9F7" w14:textId="77777777" w:rsidR="00187693" w:rsidRPr="00625AD6" w:rsidRDefault="00187693" w:rsidP="00187693">
      <w:pPr>
        <w:spacing w:line="360" w:lineRule="auto"/>
        <w:ind w:firstLine="720"/>
        <w:jc w:val="both"/>
        <w:rPr>
          <w:rFonts w:ascii="Times New Roman" w:hAnsi="Times New Roman" w:cs="Times New Roman"/>
          <w:b/>
          <w:bCs/>
        </w:rPr>
      </w:pPr>
      <w:r w:rsidRPr="00EA1FFF">
        <w:rPr>
          <w:rFonts w:ascii="Times New Roman" w:hAnsi="Times New Roman" w:cs="Times New Roman"/>
        </w:rPr>
        <w:t xml:space="preserve">To confirm that these deletions led to a loss of (p)ppGpp production, (p)ppGpp levels were analysed by thin layer chromatography (TLC) where cellular nucleotide extracts from </w:t>
      </w:r>
      <w:r w:rsidRPr="005D445E">
        <w:rPr>
          <w:rFonts w:ascii="Times New Roman" w:hAnsi="Times New Roman" w:cs="Times New Roman"/>
        </w:rPr>
        <w:t>single, double and triple mutants</w:t>
      </w:r>
      <w:r w:rsidRPr="00EA1FFF">
        <w:rPr>
          <w:rFonts w:ascii="Times New Roman" w:hAnsi="Times New Roman" w:cs="Times New Roman"/>
        </w:rPr>
        <w:t xml:space="preserve"> treated with</w:t>
      </w:r>
      <w:r>
        <w:rPr>
          <w:rFonts w:ascii="Times New Roman" w:hAnsi="Times New Roman" w:cs="Times New Roman"/>
        </w:rPr>
        <w:t xml:space="preserve"> </w:t>
      </w:r>
      <w:r w:rsidRPr="00460EDB">
        <w:rPr>
          <w:rFonts w:ascii="Times New Roman" w:hAnsi="Times New Roman" w:cs="Times New Roman"/>
        </w:rPr>
        <w:t xml:space="preserve">60 μg/ml </w:t>
      </w:r>
      <w:r w:rsidRPr="00EA1FFF">
        <w:rPr>
          <w:rFonts w:ascii="Times New Roman" w:hAnsi="Times New Roman" w:cs="Times New Roman"/>
        </w:rPr>
        <w:t>mupirocin</w:t>
      </w:r>
      <w:r>
        <w:rPr>
          <w:rFonts w:ascii="Times New Roman" w:hAnsi="Times New Roman" w:cs="Times New Roman"/>
        </w:rPr>
        <w:t xml:space="preserve"> </w:t>
      </w:r>
      <w:r w:rsidRPr="00EA1FFF">
        <w:rPr>
          <w:rFonts w:ascii="Times New Roman" w:hAnsi="Times New Roman" w:cs="Times New Roman"/>
        </w:rPr>
        <w:t>were spotted and run on a TLC</w:t>
      </w:r>
      <w:r>
        <w:rPr>
          <w:rFonts w:ascii="Times New Roman" w:hAnsi="Times New Roman" w:cs="Times New Roman"/>
        </w:rPr>
        <w:t xml:space="preserve"> plate</w:t>
      </w:r>
      <w:r w:rsidRPr="00EA1FFF">
        <w:rPr>
          <w:rFonts w:ascii="Times New Roman" w:hAnsi="Times New Roman" w:cs="Times New Roman"/>
        </w:rPr>
        <w:t xml:space="preserve"> to separate nucleotides. This demonstrated that as expected, Δ</w:t>
      </w:r>
      <w:r w:rsidRPr="00EA1FFF">
        <w:rPr>
          <w:rFonts w:ascii="Times New Roman" w:hAnsi="Times New Roman" w:cs="Times New Roman"/>
          <w:i/>
          <w:iCs/>
        </w:rPr>
        <w:t xml:space="preserve">relQPA </w:t>
      </w:r>
      <w:r w:rsidRPr="00EA1FFF">
        <w:rPr>
          <w:rFonts w:ascii="Times New Roman" w:hAnsi="Times New Roman" w:cs="Times New Roman"/>
        </w:rPr>
        <w:t>did not produce (p)ppGpp but Δ</w:t>
      </w:r>
      <w:r w:rsidRPr="00EA1FFF">
        <w:rPr>
          <w:rFonts w:ascii="Times New Roman" w:hAnsi="Times New Roman" w:cs="Times New Roman"/>
          <w:i/>
          <w:iCs/>
        </w:rPr>
        <w:t>relPQA</w:t>
      </w:r>
      <w:r w:rsidRPr="00EA1FFF">
        <w:rPr>
          <w:rFonts w:ascii="Times New Roman" w:hAnsi="Times New Roman" w:cs="Times New Roman"/>
        </w:rPr>
        <w:t xml:space="preserve"> did </w:t>
      </w:r>
      <w:r w:rsidRPr="00E13A83">
        <w:rPr>
          <w:rFonts w:ascii="Times New Roman" w:hAnsi="Times New Roman" w:cs="Times New Roman"/>
          <w:b/>
          <w:bCs/>
        </w:rPr>
        <w:t>(Fig. 3.2.</w:t>
      </w:r>
      <w:r>
        <w:rPr>
          <w:rFonts w:ascii="Times New Roman" w:hAnsi="Times New Roman" w:cs="Times New Roman"/>
          <w:b/>
          <w:bCs/>
        </w:rPr>
        <w:t>2h and i</w:t>
      </w:r>
      <w:r w:rsidRPr="00E13A83">
        <w:rPr>
          <w:rFonts w:ascii="Times New Roman" w:hAnsi="Times New Roman" w:cs="Times New Roman"/>
          <w:b/>
          <w:bCs/>
        </w:rPr>
        <w:t>)</w:t>
      </w:r>
      <w:r w:rsidRPr="00EA1FFF">
        <w:rPr>
          <w:rFonts w:ascii="Times New Roman" w:hAnsi="Times New Roman" w:cs="Times New Roman"/>
        </w:rPr>
        <w:t>. Thus, going forward, the Δ</w:t>
      </w:r>
      <w:r w:rsidRPr="00EA1FFF">
        <w:rPr>
          <w:rFonts w:ascii="Times New Roman" w:hAnsi="Times New Roman" w:cs="Times New Roman"/>
          <w:i/>
          <w:iCs/>
        </w:rPr>
        <w:t>relQPA</w:t>
      </w:r>
      <w:r w:rsidRPr="00EA1FFF">
        <w:rPr>
          <w:rFonts w:ascii="Times New Roman" w:hAnsi="Times New Roman" w:cs="Times New Roman"/>
        </w:rPr>
        <w:t xml:space="preserve"> strain would be used for all future experiments</w:t>
      </w:r>
      <w:r>
        <w:rPr>
          <w:rFonts w:ascii="Times New Roman" w:hAnsi="Times New Roman" w:cs="Times New Roman"/>
        </w:rPr>
        <w:t xml:space="preserve"> and will be referred to as (p)ppGpp</w:t>
      </w:r>
      <w:r>
        <w:rPr>
          <w:rFonts w:ascii="Times New Roman" w:hAnsi="Times New Roman" w:cs="Times New Roman"/>
          <w:vertAlign w:val="superscript"/>
        </w:rPr>
        <w:t>0</w:t>
      </w:r>
      <w:r>
        <w:rPr>
          <w:rFonts w:ascii="Times New Roman" w:hAnsi="Times New Roman" w:cs="Times New Roman"/>
        </w:rPr>
        <w:t xml:space="preserve"> hereafter.</w:t>
      </w:r>
    </w:p>
    <w:p w14:paraId="7BDBBB55" w14:textId="77777777" w:rsidR="00187693" w:rsidRDefault="00187693" w:rsidP="00187693">
      <w:pPr>
        <w:pStyle w:val="Heading2"/>
      </w:pPr>
      <w:bookmarkStart w:id="122" w:name="_Toc142043626"/>
      <w:r w:rsidRPr="008138DC">
        <w:t>3.</w:t>
      </w:r>
      <w:r>
        <w:t>3</w:t>
      </w:r>
      <w:r w:rsidRPr="008138DC">
        <w:t xml:space="preserve">. Construction </w:t>
      </w:r>
      <w:r>
        <w:t xml:space="preserve">and characterisation </w:t>
      </w:r>
      <w:r w:rsidRPr="008138DC">
        <w:t>of a (p)ppGpp over</w:t>
      </w:r>
      <w:r>
        <w:t>production</w:t>
      </w:r>
      <w:r w:rsidRPr="008138DC">
        <w:t xml:space="preserve"> strain</w:t>
      </w:r>
      <w:bookmarkEnd w:id="122"/>
      <w:r w:rsidRPr="008138DC">
        <w:t xml:space="preserve"> </w:t>
      </w:r>
    </w:p>
    <w:p w14:paraId="37AEAD95" w14:textId="77777777" w:rsidR="00187693" w:rsidRPr="008138DC" w:rsidRDefault="00187693" w:rsidP="00187693">
      <w:pPr>
        <w:pStyle w:val="no1"/>
      </w:pPr>
    </w:p>
    <w:p w14:paraId="4345F0CA" w14:textId="77777777" w:rsidR="00187693" w:rsidRPr="00147303" w:rsidRDefault="00187693" w:rsidP="00187693">
      <w:pPr>
        <w:spacing w:line="360" w:lineRule="auto"/>
        <w:jc w:val="both"/>
        <w:rPr>
          <w:rFonts w:ascii="Times New Roman" w:hAnsi="Times New Roman" w:cs="Times New Roman"/>
          <w:color w:val="000000" w:themeColor="text1"/>
        </w:rPr>
      </w:pPr>
      <w:r w:rsidRPr="00EA1FFF">
        <w:rPr>
          <w:rFonts w:ascii="Times New Roman" w:hAnsi="Times New Roman" w:cs="Times New Roman"/>
          <w:color w:val="000000" w:themeColor="text1"/>
        </w:rPr>
        <w:t xml:space="preserve">To investigate the importance of (p)ppGpp in </w:t>
      </w:r>
      <w:r w:rsidRPr="00EA1FFF">
        <w:rPr>
          <w:rFonts w:ascii="Times New Roman" w:hAnsi="Times New Roman" w:cs="Times New Roman"/>
          <w:i/>
          <w:iCs/>
          <w:color w:val="000000" w:themeColor="text1"/>
        </w:rPr>
        <w:t xml:space="preserve">S. aureus </w:t>
      </w:r>
      <w:r w:rsidRPr="00EA1FFF">
        <w:rPr>
          <w:rFonts w:ascii="Times New Roman" w:hAnsi="Times New Roman" w:cs="Times New Roman"/>
          <w:color w:val="000000" w:themeColor="text1"/>
        </w:rPr>
        <w:t>pathogenicity, (p)ppGpp</w:t>
      </w:r>
      <w:r>
        <w:rPr>
          <w:rFonts w:ascii="Times New Roman" w:hAnsi="Times New Roman" w:cs="Times New Roman"/>
          <w:color w:val="000000" w:themeColor="text1"/>
        </w:rPr>
        <w:t xml:space="preserve"> synthetase</w:t>
      </w:r>
      <w:r w:rsidRPr="00EA1FFF">
        <w:rPr>
          <w:rFonts w:ascii="Times New Roman" w:hAnsi="Times New Roman" w:cs="Times New Roman"/>
          <w:color w:val="000000" w:themeColor="text1"/>
        </w:rPr>
        <w:t xml:space="preserve"> mutants and (p)ppGpp over</w:t>
      </w:r>
      <w:r>
        <w:rPr>
          <w:rFonts w:ascii="Times New Roman" w:hAnsi="Times New Roman" w:cs="Times New Roman"/>
          <w:color w:val="000000" w:themeColor="text1"/>
        </w:rPr>
        <w:t>production</w:t>
      </w:r>
      <w:r w:rsidRPr="00EA1FFF">
        <w:rPr>
          <w:rFonts w:ascii="Times New Roman" w:hAnsi="Times New Roman" w:cs="Times New Roman"/>
          <w:color w:val="000000" w:themeColor="text1"/>
        </w:rPr>
        <w:t xml:space="preserve"> strains will be studied and compared</w:t>
      </w:r>
      <w:r>
        <w:rPr>
          <w:rFonts w:ascii="Times New Roman" w:hAnsi="Times New Roman" w:cs="Times New Roman"/>
          <w:color w:val="000000" w:themeColor="text1"/>
        </w:rPr>
        <w:t xml:space="preserve"> within </w:t>
      </w:r>
      <w:r w:rsidRPr="005D445E">
        <w:rPr>
          <w:rFonts w:ascii="Times New Roman" w:hAnsi="Times New Roman" w:cs="Times New Roman"/>
          <w:i/>
          <w:iCs/>
        </w:rPr>
        <w:t xml:space="preserve">in vivo </w:t>
      </w:r>
      <w:r w:rsidRPr="005D445E">
        <w:rPr>
          <w:rFonts w:ascii="Times New Roman" w:hAnsi="Times New Roman" w:cs="Times New Roman"/>
        </w:rPr>
        <w:t>models</w:t>
      </w:r>
      <w:r>
        <w:rPr>
          <w:rFonts w:ascii="Times New Roman" w:hAnsi="Times New Roman" w:cs="Times New Roman"/>
          <w:color w:val="000000" w:themeColor="text1"/>
        </w:rPr>
        <w:t xml:space="preserve">. As (p)ppGpp overproduction has been implicated in antibiotic resistance in the hospital setting </w:t>
      </w:r>
      <w:r w:rsidRPr="00983193">
        <w:rPr>
          <w:rFonts w:ascii="Times New Roman" w:hAnsi="Times New Roman" w:cs="Times New Roman"/>
          <w:b/>
          <w:bCs/>
          <w:color w:val="000000" w:themeColor="text1"/>
        </w:rPr>
        <w:fldChar w:fldCharType="begin"/>
      </w:r>
      <w:r w:rsidRPr="00983193">
        <w:rPr>
          <w:rFonts w:ascii="Times New Roman" w:hAnsi="Times New Roman" w:cs="Times New Roman"/>
          <w:b/>
          <w:bCs/>
          <w:color w:val="000000" w:themeColor="text1"/>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2010)&lt;/DisplayText&gt;&lt;record&gt;&lt;dates&gt;&lt;pub-dates&gt;&lt;date&gt;Jun&lt;/date&gt;&lt;/pub-dates&gt;&lt;year&gt;2010&lt;/year&gt;&lt;/dates&gt;&lt;urls&gt;&lt;related-urls&gt;&lt;url&gt;&amp;lt;Go to ISI&amp;gt;://WOS:000279806300018&lt;/url&gt;&lt;/related-urls&gt;&lt;/urls&gt;&lt;isbn&gt;1553-7366&lt;/isbn&gt;&lt;titles&gt;&lt;title&gt;Two Novel Point Mutations in Clinical Staphylococcus aureus Reduce Linezolid Susceptibility and Switch on the Stringent Response to Promote Persistent Infection&lt;/title&gt;&lt;secondary-title&gt;Plos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format="utc"&gt;1663624413&lt;/last-updated-date&gt;&lt;accession-num&gt;WOS:000279806300018&lt;/accession-num&gt;&lt;electronic-resource-num&gt;10.1371/journal.ppat.1000944&lt;/electronic-resource-num&gt;&lt;volume&gt;6&lt;/volume&gt;&lt;/record&gt;&lt;/Cite&gt;&lt;/EndNote&gt;</w:instrText>
      </w:r>
      <w:r w:rsidRPr="00983193">
        <w:rPr>
          <w:rFonts w:ascii="Times New Roman" w:hAnsi="Times New Roman" w:cs="Times New Roman"/>
          <w:b/>
          <w:bCs/>
          <w:color w:val="000000" w:themeColor="text1"/>
        </w:rPr>
        <w:fldChar w:fldCharType="separate"/>
      </w:r>
      <w:r w:rsidRPr="00983193">
        <w:rPr>
          <w:rFonts w:ascii="Times New Roman" w:hAnsi="Times New Roman" w:cs="Times New Roman"/>
          <w:b/>
          <w:bCs/>
          <w:noProof/>
          <w:color w:val="000000" w:themeColor="text1"/>
        </w:rPr>
        <w:t>(Gao</w:t>
      </w:r>
      <w:r w:rsidRPr="00983193">
        <w:rPr>
          <w:rFonts w:ascii="Times New Roman" w:hAnsi="Times New Roman" w:cs="Times New Roman"/>
          <w:b/>
          <w:bCs/>
          <w:i/>
          <w:noProof/>
          <w:color w:val="000000" w:themeColor="text1"/>
        </w:rPr>
        <w:t xml:space="preserve"> et al.</w:t>
      </w:r>
      <w:r w:rsidRPr="00983193">
        <w:rPr>
          <w:rFonts w:ascii="Times New Roman" w:hAnsi="Times New Roman" w:cs="Times New Roman"/>
          <w:b/>
          <w:bCs/>
          <w:noProof/>
          <w:color w:val="000000" w:themeColor="text1"/>
        </w:rPr>
        <w:t>, 2010)</w:t>
      </w:r>
      <w:r w:rsidRPr="00983193">
        <w:rPr>
          <w:rFonts w:ascii="Times New Roman" w:hAnsi="Times New Roman" w:cs="Times New Roman"/>
          <w:b/>
          <w:bCs/>
          <w:color w:val="000000" w:themeColor="text1"/>
        </w:rPr>
        <w:fldChar w:fldCharType="end"/>
      </w:r>
      <w:r>
        <w:rPr>
          <w:rFonts w:ascii="Times New Roman" w:hAnsi="Times New Roman" w:cs="Times New Roman"/>
          <w:b/>
          <w:bCs/>
          <w:color w:val="000000" w:themeColor="text1"/>
        </w:rPr>
        <w:t>,</w:t>
      </w:r>
      <w:r>
        <w:rPr>
          <w:rFonts w:ascii="Times New Roman" w:hAnsi="Times New Roman" w:cs="Times New Roman"/>
          <w:color w:val="000000" w:themeColor="text1"/>
        </w:rPr>
        <w:t xml:space="preserve"> here, the construction and characterisation of a (p)ppGpp overproduction strain is described to understand the effect of this phenotype </w:t>
      </w:r>
      <w:r>
        <w:rPr>
          <w:rFonts w:ascii="Times New Roman" w:hAnsi="Times New Roman" w:cs="Times New Roman"/>
          <w:i/>
          <w:iCs/>
          <w:color w:val="000000" w:themeColor="text1"/>
        </w:rPr>
        <w:t>in vivo</w:t>
      </w:r>
      <w:r>
        <w:rPr>
          <w:rFonts w:ascii="Times New Roman" w:hAnsi="Times New Roman" w:cs="Times New Roman"/>
          <w:color w:val="000000" w:themeColor="text1"/>
        </w:rPr>
        <w:t xml:space="preserve">. </w:t>
      </w:r>
    </w:p>
    <w:p w14:paraId="6D33500B" w14:textId="77777777" w:rsidR="00187693" w:rsidRDefault="00187693" w:rsidP="00187693">
      <w:pPr>
        <w:pStyle w:val="Heading3"/>
      </w:pPr>
      <w:bookmarkStart w:id="123" w:name="_Toc142043627"/>
      <w:r w:rsidRPr="008138DC">
        <w:t>3.</w:t>
      </w:r>
      <w:r>
        <w:t>3</w:t>
      </w:r>
      <w:r w:rsidRPr="008138DC">
        <w:t xml:space="preserve">.1. Cloning the (p)ppGpp enzymatic domain with and without a </w:t>
      </w:r>
      <w:r>
        <w:t>h</w:t>
      </w:r>
      <w:r w:rsidRPr="008138DC">
        <w:t>is-tag</w:t>
      </w:r>
      <w:bookmarkEnd w:id="123"/>
    </w:p>
    <w:p w14:paraId="6492ADF4" w14:textId="77777777" w:rsidR="00187693" w:rsidRPr="008138DC" w:rsidRDefault="00187693" w:rsidP="00187693">
      <w:pPr>
        <w:pStyle w:val="no3"/>
      </w:pPr>
    </w:p>
    <w:p w14:paraId="6A28627F" w14:textId="246452F9" w:rsidR="00187693" w:rsidRDefault="00187693" w:rsidP="0018769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 previous report described the construction of a </w:t>
      </w:r>
      <w:r w:rsidRPr="004A7617">
        <w:rPr>
          <w:rFonts w:ascii="Times New Roman" w:hAnsi="Times New Roman" w:cs="Times New Roman"/>
          <w:color w:val="000000" w:themeColor="text1"/>
        </w:rPr>
        <w:t xml:space="preserve">(p)ppGpp overproduction strain achieved by plasmid-based expression of the NTD of Rel from </w:t>
      </w:r>
      <w:r w:rsidRPr="00DC6AA7">
        <w:rPr>
          <w:rFonts w:ascii="Times New Roman" w:hAnsi="Times New Roman" w:cs="Times New Roman"/>
          <w:i/>
          <w:iCs/>
          <w:color w:val="000000" w:themeColor="text1"/>
        </w:rPr>
        <w:t>S. aureus</w:t>
      </w:r>
      <w:r>
        <w:rPr>
          <w:rFonts w:ascii="Times New Roman" w:hAnsi="Times New Roman" w:cs="Times New Roman"/>
          <w:color w:val="000000" w:themeColor="text1"/>
        </w:rPr>
        <w:t>. This construct had</w:t>
      </w:r>
      <w:r w:rsidRPr="004A7617">
        <w:rPr>
          <w:rFonts w:ascii="Times New Roman" w:hAnsi="Times New Roman" w:cs="Times New Roman"/>
          <w:color w:val="000000" w:themeColor="text1"/>
        </w:rPr>
        <w:t xml:space="preserve"> a HD domain mutation that renders it non-functional and therefore unable to hydrolyse (p)ppGpp</w:t>
      </w:r>
      <w:r>
        <w:rPr>
          <w:rFonts w:ascii="Times New Roman" w:hAnsi="Times New Roman" w:cs="Times New Roman"/>
          <w:color w:val="000000" w:themeColor="text1"/>
        </w:rPr>
        <w:t>, and the lack of the CTD relieves the negative regulation that the CTD has on the NTD</w:t>
      </w:r>
      <w:r w:rsidRPr="004A7617">
        <w:rPr>
          <w:rFonts w:ascii="Times New Roman" w:hAnsi="Times New Roman" w:cs="Times New Roman"/>
          <w:color w:val="000000" w:themeColor="text1"/>
        </w:rPr>
        <w:t xml:space="preserve"> </w:t>
      </w:r>
      <w:r w:rsidRPr="00BF39CF">
        <w:rPr>
          <w:rFonts w:ascii="Times New Roman" w:hAnsi="Times New Roman" w:cs="Times New Roman"/>
          <w:b/>
          <w:bCs/>
          <w:color w:val="000000" w:themeColor="text1"/>
        </w:rPr>
        <w:fldChar w:fldCharType="begin"/>
      </w:r>
      <w:r w:rsidRPr="00BF39CF">
        <w:rPr>
          <w:rFonts w:ascii="Times New Roman" w:hAnsi="Times New Roman" w:cs="Times New Roman"/>
          <w:b/>
          <w:bCs/>
          <w:color w:val="000000" w:themeColor="text1"/>
        </w:rPr>
        <w:instrText xml:space="preserve"> ADDIN EN.CITE &lt;EndNote&gt;&lt;Cite&gt;&lt;Author&gt;Gratani&lt;/Author&gt;&lt;Year&gt;2018&lt;/Year&gt;&lt;IDText&gt;Regulation of the opposing (p)ppGpp synthetase and hydrolase activities in a bifunctional RelA/SpoT homologue from Staphylococcus aureus&lt;/IDText&gt;&lt;DisplayText&gt;(Gratani&lt;style face="italic"&gt; et al.&lt;/style&gt;, 2018)&lt;/DisplayText&gt;&lt;record&gt;&lt;dates&gt;&lt;pub-dates&gt;&lt;date&gt;Jul&lt;/date&gt;&lt;/pub-dates&gt;&lt;year&gt;2018&lt;/year&gt;&lt;/dates&gt;&lt;urls&gt;&lt;related-urls&gt;&lt;url&gt;&amp;lt;Go to ISI&amp;gt;://WOS:000440556300027&lt;/url&gt;&lt;/related-urls&gt;&lt;/urls&gt;&lt;isbn&gt;1553-7404&lt;/isbn&gt;&lt;titles&gt;&lt;title&gt;Regulation of the opposing (p)ppGpp synthetase and hydrolase activities in a bifunctional RelA/SpoT homologue from Staphylococcus aureus&lt;/title&gt;&lt;secondary-title&gt;Plos Genetics&lt;/secondary-title&gt;&lt;/titles&gt;&lt;number&gt;7&lt;/number&gt;&lt;contributors&gt;&lt;authors&gt;&lt;author&gt;Gratani, F. L.&lt;/author&gt;&lt;author&gt;Horvatek, P.&lt;/author&gt;&lt;author&gt;Geiger, T.&lt;/author&gt;&lt;author&gt;Borisova, M.&lt;/author&gt;&lt;author&gt;Mayer, C.&lt;/author&gt;&lt;author&gt;Grin, I.&lt;/author&gt;&lt;author&gt;Wagner, S.&lt;/author&gt;&lt;author&gt;Steinchen, W.&lt;/author&gt;&lt;author&gt;Bange, G.&lt;/author&gt;&lt;author&gt;Velic, A.&lt;/author&gt;&lt;author&gt;Macek, B.&lt;/author&gt;&lt;author&gt;Wolz, C.&lt;/author&gt;&lt;/authors&gt;&lt;/contributors&gt;&lt;custom7&gt;e1007514&lt;/custom7&gt;&lt;added-date format="utc"&gt;1677470615&lt;/added-date&gt;&lt;ref-type name="Journal Article"&gt;17&lt;/ref-type&gt;&lt;rec-number&gt;565&lt;/rec-number&gt;&lt;last-updated-date format="utc"&gt;1677470615&lt;/last-updated-date&gt;&lt;accession-num&gt;WOS:000440556300027&lt;/accession-num&gt;&lt;electronic-resource-num&gt;10.1371/journal.pgen.1007514&lt;/electronic-resource-num&gt;&lt;volume&gt;14&lt;/volume&gt;&lt;/record&gt;&lt;/Cite&gt;&lt;/EndNote&gt;</w:instrText>
      </w:r>
      <w:r w:rsidRPr="00BF39CF">
        <w:rPr>
          <w:rFonts w:ascii="Times New Roman" w:hAnsi="Times New Roman" w:cs="Times New Roman"/>
          <w:b/>
          <w:bCs/>
          <w:color w:val="000000" w:themeColor="text1"/>
        </w:rPr>
        <w:fldChar w:fldCharType="separate"/>
      </w:r>
      <w:r w:rsidRPr="00BF39CF">
        <w:rPr>
          <w:rFonts w:ascii="Times New Roman" w:hAnsi="Times New Roman" w:cs="Times New Roman"/>
          <w:b/>
          <w:bCs/>
          <w:noProof/>
          <w:color w:val="000000" w:themeColor="text1"/>
        </w:rPr>
        <w:t>(Gratani</w:t>
      </w:r>
      <w:r w:rsidRPr="00BF39CF">
        <w:rPr>
          <w:rFonts w:ascii="Times New Roman" w:hAnsi="Times New Roman" w:cs="Times New Roman"/>
          <w:b/>
          <w:bCs/>
          <w:i/>
          <w:noProof/>
          <w:color w:val="000000" w:themeColor="text1"/>
        </w:rPr>
        <w:t xml:space="preserve"> et al.</w:t>
      </w:r>
      <w:r w:rsidRPr="00BF39CF">
        <w:rPr>
          <w:rFonts w:ascii="Times New Roman" w:hAnsi="Times New Roman" w:cs="Times New Roman"/>
          <w:b/>
          <w:bCs/>
          <w:noProof/>
          <w:color w:val="000000" w:themeColor="text1"/>
        </w:rPr>
        <w:t>, 2018)</w:t>
      </w:r>
      <w:r w:rsidRPr="00BF39CF">
        <w:rPr>
          <w:rFonts w:ascii="Times New Roman" w:hAnsi="Times New Roman" w:cs="Times New Roman"/>
          <w:b/>
          <w:bCs/>
          <w:color w:val="000000" w:themeColor="text1"/>
        </w:rPr>
        <w:fldChar w:fldCharType="end"/>
      </w:r>
      <w:r>
        <w:rPr>
          <w:rFonts w:ascii="Times New Roman" w:hAnsi="Times New Roman" w:cs="Times New Roman"/>
          <w:b/>
          <w:bCs/>
          <w:color w:val="000000" w:themeColor="text1"/>
        </w:rPr>
        <w:t xml:space="preserve">. </w:t>
      </w:r>
      <w:r w:rsidRPr="00EA1FFF">
        <w:rPr>
          <w:rFonts w:ascii="Times New Roman" w:hAnsi="Times New Roman" w:cs="Times New Roman"/>
        </w:rPr>
        <w:t xml:space="preserve">Under stringent conditions, </w:t>
      </w:r>
      <w:r w:rsidRPr="00EA1FFF">
        <w:rPr>
          <w:rFonts w:ascii="Times New Roman" w:hAnsi="Times New Roman" w:cs="Times New Roman"/>
          <w:i/>
          <w:iCs/>
        </w:rPr>
        <w:t xml:space="preserve">S. aureus </w:t>
      </w:r>
      <w:r w:rsidRPr="00EA1FFF">
        <w:rPr>
          <w:rFonts w:ascii="Times New Roman" w:hAnsi="Times New Roman" w:cs="Times New Roman"/>
        </w:rPr>
        <w:t>mutants that lack the CTD of Rel</w:t>
      </w:r>
      <w:r>
        <w:rPr>
          <w:rFonts w:ascii="Times New Roman" w:hAnsi="Times New Roman" w:cs="Times New Roman"/>
          <w:i/>
          <w:iCs/>
          <w:vertAlign w:val="subscript"/>
        </w:rPr>
        <w:t xml:space="preserve"> </w:t>
      </w:r>
      <w:r w:rsidRPr="00EA1FFF">
        <w:rPr>
          <w:rFonts w:ascii="Times New Roman" w:hAnsi="Times New Roman" w:cs="Times New Roman"/>
        </w:rPr>
        <w:t>are found to be in a synthetase-OFF/</w:t>
      </w:r>
      <w:r w:rsidRPr="008F0E6E">
        <w:rPr>
          <w:rFonts w:ascii="Times New Roman" w:hAnsi="Times New Roman" w:cs="Times New Roman"/>
        </w:rPr>
        <w:t xml:space="preserve">hydrolase-ON state </w:t>
      </w:r>
      <w:r w:rsidRPr="00BF39CF">
        <w:rPr>
          <w:rFonts w:ascii="Times New Roman" w:hAnsi="Times New Roman" w:cs="Times New Roman"/>
          <w:b/>
          <w:bCs/>
        </w:rPr>
        <w:fldChar w:fldCharType="begin"/>
      </w:r>
      <w:r w:rsidRPr="00BF39CF">
        <w:rPr>
          <w:rFonts w:ascii="Times New Roman" w:hAnsi="Times New Roman" w:cs="Times New Roman"/>
          <w:b/>
          <w:bCs/>
        </w:rPr>
        <w:instrText xml:space="preserve"> ADDIN EN.CITE &lt;EndNote&gt;&lt;Cite&gt;&lt;Author&gt;Gratani&lt;/Author&gt;&lt;Year&gt;2018&lt;/Year&gt;&lt;IDText&gt;Regulation of the opposing (p)ppGpp synthetase and hydrolase activities in a bifunctional RelA/SpoT homologue from Staphylococcus aureus&lt;/IDText&gt;&lt;DisplayText&gt;(Gratani&lt;style face="italic"&gt; et al.&lt;/style&gt;, 2018)&lt;/DisplayText&gt;&lt;record&gt;&lt;dates&gt;&lt;pub-dates&gt;&lt;date&gt;Jul&lt;/date&gt;&lt;/pub-dates&gt;&lt;year&gt;2018&lt;/year&gt;&lt;/dates&gt;&lt;urls&gt;&lt;related-urls&gt;&lt;url&gt;&amp;lt;Go to ISI&amp;gt;://WOS:000440556300027&lt;/url&gt;&lt;/related-urls&gt;&lt;/urls&gt;&lt;isbn&gt;1553-7404&lt;/isbn&gt;&lt;titles&gt;&lt;title&gt;Regulation of the opposing (p)ppGpp synthetase and hydrolase activities in a bifunctional RelA/SpoT homologue from Staphylococcus aureus&lt;/title&gt;&lt;secondary-title&gt;Plos Genetics&lt;/secondary-title&gt;&lt;/titles&gt;&lt;number&gt;7&lt;/number&gt;&lt;contributors&gt;&lt;authors&gt;&lt;author&gt;Gratani, F. L.&lt;/author&gt;&lt;author&gt;Horvatek, P.&lt;/author&gt;&lt;author&gt;Geiger, T.&lt;/author&gt;&lt;author&gt;Borisova, M.&lt;/author&gt;&lt;author&gt;Mayer, C.&lt;/author&gt;&lt;author&gt;Grin, I.&lt;/author&gt;&lt;author&gt;Wagner, S.&lt;/author&gt;&lt;author&gt;Steinchen, W.&lt;/author&gt;&lt;author&gt;Bange, G.&lt;/author&gt;&lt;author&gt;Velic, A.&lt;/author&gt;&lt;author&gt;Macek, B.&lt;/author&gt;&lt;author&gt;Wolz, C.&lt;/author&gt;&lt;/authors&gt;&lt;/contributors&gt;&lt;custom7&gt;e1007514&lt;/custom7&gt;&lt;added-date format="utc"&gt;1677470615&lt;/added-date&gt;&lt;ref-type name="Journal Article"&gt;17&lt;/ref-type&gt;&lt;rec-number&gt;565&lt;/rec-number&gt;&lt;last-updated-date format="utc"&gt;1677470615&lt;/last-updated-date&gt;&lt;accession-num&gt;WOS:000440556300027&lt;/accession-num&gt;&lt;electronic-resource-num&gt;10.1371/journal.pgen.1007514&lt;/electronic-resource-num&gt;&lt;volume&gt;14&lt;/volume&gt;&lt;/record&gt;&lt;/Cite&gt;&lt;/EndNote&gt;</w:instrText>
      </w:r>
      <w:r w:rsidRPr="00BF39CF">
        <w:rPr>
          <w:rFonts w:ascii="Times New Roman" w:hAnsi="Times New Roman" w:cs="Times New Roman"/>
          <w:b/>
          <w:bCs/>
        </w:rPr>
        <w:fldChar w:fldCharType="separate"/>
      </w:r>
      <w:r w:rsidRPr="00BF39CF">
        <w:rPr>
          <w:rFonts w:ascii="Times New Roman" w:hAnsi="Times New Roman" w:cs="Times New Roman"/>
          <w:b/>
          <w:bCs/>
          <w:noProof/>
        </w:rPr>
        <w:t>(Gratani</w:t>
      </w:r>
      <w:r w:rsidRPr="00BF39CF">
        <w:rPr>
          <w:rFonts w:ascii="Times New Roman" w:hAnsi="Times New Roman" w:cs="Times New Roman"/>
          <w:b/>
          <w:bCs/>
          <w:i/>
          <w:noProof/>
        </w:rPr>
        <w:t xml:space="preserve"> et al.</w:t>
      </w:r>
      <w:r w:rsidRPr="00BF39CF">
        <w:rPr>
          <w:rFonts w:ascii="Times New Roman" w:hAnsi="Times New Roman" w:cs="Times New Roman"/>
          <w:b/>
          <w:bCs/>
          <w:noProof/>
        </w:rPr>
        <w:t>, 2018)</w:t>
      </w:r>
      <w:r w:rsidRPr="00BF39CF">
        <w:rPr>
          <w:rFonts w:ascii="Times New Roman" w:hAnsi="Times New Roman" w:cs="Times New Roman"/>
          <w:b/>
          <w:bCs/>
        </w:rPr>
        <w:fldChar w:fldCharType="end"/>
      </w:r>
      <w:r w:rsidRPr="00EA1FFF">
        <w:rPr>
          <w:rFonts w:ascii="Times New Roman" w:hAnsi="Times New Roman" w:cs="Times New Roman"/>
        </w:rPr>
        <w:t>, therefore, relieving the negative regulation of the CTD on the synthetase domain</w:t>
      </w:r>
      <w:r w:rsidR="00F94DE1">
        <w:rPr>
          <w:rFonts w:ascii="Times New Roman" w:hAnsi="Times New Roman" w:cs="Times New Roman"/>
        </w:rPr>
        <w:t xml:space="preserve"> alone</w:t>
      </w:r>
      <w:r w:rsidRPr="00EA1FFF">
        <w:rPr>
          <w:rFonts w:ascii="Times New Roman" w:hAnsi="Times New Roman" w:cs="Times New Roman"/>
        </w:rPr>
        <w:t xml:space="preserve"> is not enough for (p)ppGpp over</w:t>
      </w:r>
      <w:r>
        <w:rPr>
          <w:rFonts w:ascii="Times New Roman" w:hAnsi="Times New Roman" w:cs="Times New Roman"/>
        </w:rPr>
        <w:t>production</w:t>
      </w:r>
      <w:r w:rsidRPr="00EA1FF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themeColor="text1"/>
        </w:rPr>
        <w:t>In</w:t>
      </w:r>
      <w:r w:rsidRPr="00EA1FFF">
        <w:rPr>
          <w:rFonts w:ascii="Times New Roman" w:hAnsi="Times New Roman" w:cs="Times New Roman"/>
          <w:color w:val="000000" w:themeColor="text1"/>
        </w:rPr>
        <w:t xml:space="preserve"> order to construct a</w:t>
      </w:r>
      <w:r>
        <w:rPr>
          <w:rFonts w:ascii="Times New Roman" w:hAnsi="Times New Roman" w:cs="Times New Roman"/>
          <w:color w:val="000000" w:themeColor="text1"/>
        </w:rPr>
        <w:t xml:space="preserve"> similar</w:t>
      </w:r>
      <w:r w:rsidRPr="00EA1FFF">
        <w:rPr>
          <w:rFonts w:ascii="Times New Roman" w:hAnsi="Times New Roman" w:cs="Times New Roman"/>
          <w:color w:val="000000" w:themeColor="text1"/>
        </w:rPr>
        <w:t xml:space="preserve"> (p)ppGpp over</w:t>
      </w:r>
      <w:r>
        <w:rPr>
          <w:rFonts w:ascii="Times New Roman" w:hAnsi="Times New Roman" w:cs="Times New Roman"/>
          <w:color w:val="000000" w:themeColor="text1"/>
        </w:rPr>
        <w:t>productio</w:t>
      </w:r>
      <w:r w:rsidRPr="00EA1FFF">
        <w:rPr>
          <w:rFonts w:ascii="Times New Roman" w:hAnsi="Times New Roman" w:cs="Times New Roman"/>
          <w:color w:val="000000" w:themeColor="text1"/>
        </w:rPr>
        <w:t xml:space="preserve">n strain, </w:t>
      </w:r>
      <w:r>
        <w:rPr>
          <w:rFonts w:ascii="Times New Roman" w:hAnsi="Times New Roman" w:cs="Times New Roman"/>
          <w:color w:val="000000" w:themeColor="text1"/>
        </w:rPr>
        <w:t xml:space="preserve">the NTD of </w:t>
      </w:r>
      <w:r>
        <w:rPr>
          <w:rFonts w:ascii="Times New Roman" w:hAnsi="Times New Roman" w:cs="Times New Roman"/>
          <w:i/>
          <w:iCs/>
          <w:color w:val="000000" w:themeColor="text1"/>
        </w:rPr>
        <w:t xml:space="preserve">rel </w:t>
      </w:r>
      <w:r>
        <w:rPr>
          <w:rFonts w:ascii="Times New Roman" w:hAnsi="Times New Roman" w:cs="Times New Roman"/>
          <w:color w:val="000000" w:themeColor="text1"/>
        </w:rPr>
        <w:t xml:space="preserve">was amplified from LAC* genomic DNA. </w:t>
      </w:r>
      <w:r w:rsidRPr="00EA1FFF">
        <w:rPr>
          <w:rFonts w:ascii="Times New Roman" w:hAnsi="Times New Roman" w:cs="Times New Roman"/>
          <w:color w:val="000000" w:themeColor="text1"/>
        </w:rPr>
        <w:t xml:space="preserve">The expected plasmid maps from cloning are summarised in </w:t>
      </w:r>
      <w:r w:rsidRPr="004B6AFB">
        <w:rPr>
          <w:rFonts w:ascii="Times New Roman" w:hAnsi="Times New Roman" w:cs="Times New Roman"/>
          <w:b/>
          <w:bCs/>
          <w:color w:val="000000" w:themeColor="text1"/>
        </w:rPr>
        <w:t>Figures 3.3.1a and 3.3.1b</w:t>
      </w:r>
      <w:r w:rsidRPr="00EA1FF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A1FFF">
        <w:rPr>
          <w:rFonts w:ascii="Times New Roman" w:hAnsi="Times New Roman" w:cs="Times New Roman"/>
          <w:color w:val="000000" w:themeColor="text1"/>
        </w:rPr>
        <w:t xml:space="preserve">Two </w:t>
      </w:r>
      <w:r>
        <w:rPr>
          <w:rFonts w:ascii="Times New Roman" w:hAnsi="Times New Roman" w:cs="Times New Roman"/>
          <w:color w:val="000000" w:themeColor="text1"/>
        </w:rPr>
        <w:t xml:space="preserve">different </w:t>
      </w:r>
      <w:r w:rsidRPr="00EA1FFF">
        <w:rPr>
          <w:rFonts w:ascii="Times New Roman" w:hAnsi="Times New Roman" w:cs="Times New Roman"/>
          <w:color w:val="000000" w:themeColor="text1"/>
        </w:rPr>
        <w:t>reverse primers were used, with</w:t>
      </w:r>
      <w:r>
        <w:rPr>
          <w:rFonts w:ascii="Times New Roman" w:hAnsi="Times New Roman" w:cs="Times New Roman"/>
          <w:color w:val="000000" w:themeColor="text1"/>
        </w:rPr>
        <w:t>out</w:t>
      </w:r>
      <w:r w:rsidRPr="00EA1FFF">
        <w:rPr>
          <w:rFonts w:ascii="Times New Roman" w:hAnsi="Times New Roman" w:cs="Times New Roman"/>
          <w:color w:val="000000" w:themeColor="text1"/>
        </w:rPr>
        <w:t xml:space="preserve"> and with a </w:t>
      </w:r>
      <w:r>
        <w:rPr>
          <w:rFonts w:ascii="Times New Roman" w:hAnsi="Times New Roman" w:cs="Times New Roman"/>
          <w:color w:val="000000" w:themeColor="text1"/>
        </w:rPr>
        <w:t>hexa-h</w:t>
      </w:r>
      <w:r w:rsidRPr="00EA1FFF">
        <w:rPr>
          <w:rFonts w:ascii="Times New Roman" w:hAnsi="Times New Roman" w:cs="Times New Roman"/>
          <w:color w:val="000000" w:themeColor="text1"/>
        </w:rPr>
        <w:t>is</w:t>
      </w:r>
      <w:r>
        <w:rPr>
          <w:rFonts w:ascii="Times New Roman" w:hAnsi="Times New Roman" w:cs="Times New Roman"/>
          <w:color w:val="000000" w:themeColor="text1"/>
        </w:rPr>
        <w:t xml:space="preserve">tidine </w:t>
      </w:r>
      <w:r w:rsidRPr="00EA1FFF">
        <w:rPr>
          <w:rFonts w:ascii="Times New Roman" w:hAnsi="Times New Roman" w:cs="Times New Roman"/>
          <w:color w:val="000000" w:themeColor="text1"/>
        </w:rPr>
        <w:t xml:space="preserve">tag (RMC739 and 740 respectively) </w:t>
      </w:r>
      <w:r w:rsidRPr="004B6AFB">
        <w:rPr>
          <w:rFonts w:ascii="Times New Roman" w:hAnsi="Times New Roman" w:cs="Times New Roman"/>
          <w:b/>
          <w:bCs/>
          <w:color w:val="000000" w:themeColor="text1"/>
        </w:rPr>
        <w:t>(Fig. 3.3.1</w:t>
      </w:r>
      <w:r>
        <w:rPr>
          <w:rFonts w:ascii="Times New Roman" w:hAnsi="Times New Roman" w:cs="Times New Roman"/>
          <w:b/>
          <w:bCs/>
          <w:color w:val="000000" w:themeColor="text1"/>
        </w:rPr>
        <w:t>a</w:t>
      </w:r>
      <w:r w:rsidRPr="004B6AFB">
        <w:rPr>
          <w:rFonts w:ascii="Times New Roman" w:hAnsi="Times New Roman" w:cs="Times New Roman"/>
          <w:b/>
          <w:bCs/>
          <w:color w:val="000000" w:themeColor="text1"/>
        </w:rPr>
        <w:t>)</w:t>
      </w:r>
      <w:r>
        <w:rPr>
          <w:rFonts w:ascii="Times New Roman" w:hAnsi="Times New Roman" w:cs="Times New Roman"/>
          <w:color w:val="000000" w:themeColor="text1"/>
        </w:rPr>
        <w:t xml:space="preserve"> and </w:t>
      </w:r>
      <w:r w:rsidRPr="00EA1FFF">
        <w:rPr>
          <w:rFonts w:ascii="Times New Roman" w:hAnsi="Times New Roman" w:cs="Times New Roman"/>
          <w:color w:val="000000" w:themeColor="text1"/>
        </w:rPr>
        <w:t>both</w:t>
      </w:r>
      <w:r>
        <w:rPr>
          <w:rFonts w:ascii="Times New Roman" w:hAnsi="Times New Roman" w:cs="Times New Roman"/>
          <w:color w:val="000000" w:themeColor="text1"/>
        </w:rPr>
        <w:t xml:space="preserve"> reverse primers contained</w:t>
      </w:r>
      <w:r w:rsidRPr="00EA1FFF">
        <w:rPr>
          <w:rFonts w:ascii="Times New Roman" w:hAnsi="Times New Roman" w:cs="Times New Roman"/>
          <w:color w:val="000000" w:themeColor="text1"/>
        </w:rPr>
        <w:t xml:space="preserve"> a SacII restriction site while the forward primer (RMC165) </w:t>
      </w:r>
      <w:r>
        <w:rPr>
          <w:rFonts w:ascii="Times New Roman" w:hAnsi="Times New Roman" w:cs="Times New Roman"/>
          <w:color w:val="000000" w:themeColor="text1"/>
        </w:rPr>
        <w:t xml:space="preserve">contained an </w:t>
      </w:r>
      <w:r w:rsidRPr="00EA1FFF">
        <w:rPr>
          <w:rFonts w:ascii="Times New Roman" w:hAnsi="Times New Roman" w:cs="Times New Roman"/>
          <w:color w:val="000000" w:themeColor="text1"/>
        </w:rPr>
        <w:t xml:space="preserve">AvrII restriction site. The </w:t>
      </w:r>
      <w:r>
        <w:rPr>
          <w:rFonts w:ascii="Times New Roman" w:hAnsi="Times New Roman" w:cs="Times New Roman"/>
          <w:color w:val="000000" w:themeColor="text1"/>
        </w:rPr>
        <w:t xml:space="preserve">expression </w:t>
      </w:r>
      <w:r w:rsidRPr="00EA1FFF">
        <w:rPr>
          <w:rFonts w:ascii="Times New Roman" w:hAnsi="Times New Roman" w:cs="Times New Roman"/>
          <w:color w:val="000000" w:themeColor="text1"/>
        </w:rPr>
        <w:t>vectors</w:t>
      </w:r>
      <w:r>
        <w:rPr>
          <w:rFonts w:ascii="Times New Roman" w:hAnsi="Times New Roman" w:cs="Times New Roman"/>
          <w:color w:val="000000" w:themeColor="text1"/>
        </w:rPr>
        <w:t xml:space="preserve"> used</w:t>
      </w:r>
      <w:r w:rsidRPr="00EA1FFF">
        <w:rPr>
          <w:rFonts w:ascii="Times New Roman" w:hAnsi="Times New Roman" w:cs="Times New Roman"/>
          <w:color w:val="000000" w:themeColor="text1"/>
        </w:rPr>
        <w:t xml:space="preserve">, </w:t>
      </w:r>
      <w:bookmarkStart w:id="124" w:name="OLE_LINK1"/>
      <w:r w:rsidRPr="00EA1FFF">
        <w:rPr>
          <w:rFonts w:ascii="Times New Roman" w:hAnsi="Times New Roman" w:cs="Times New Roman"/>
          <w:color w:val="000000" w:themeColor="text1"/>
        </w:rPr>
        <w:t>pCL55-iTET and pCL55-iTET</w:t>
      </w:r>
      <w:r w:rsidRPr="00EA1FFF">
        <w:rPr>
          <w:rFonts w:ascii="Times New Roman" w:hAnsi="Times New Roman" w:cs="Times New Roman"/>
          <w:color w:val="000000" w:themeColor="text1"/>
          <w:vertAlign w:val="subscript"/>
        </w:rPr>
        <w:t>r862</w:t>
      </w:r>
      <w:bookmarkEnd w:id="124"/>
      <w:r>
        <w:rPr>
          <w:rFonts w:ascii="Times New Roman" w:hAnsi="Times New Roman" w:cs="Times New Roman"/>
          <w:color w:val="000000" w:themeColor="text1"/>
        </w:rPr>
        <w:t xml:space="preserve"> </w:t>
      </w:r>
      <w:r w:rsidRPr="00687F93">
        <w:rPr>
          <w:rFonts w:ascii="Times New Roman" w:hAnsi="Times New Roman" w:cs="Times New Roman"/>
          <w:b/>
          <w:bCs/>
          <w:color w:val="000000" w:themeColor="text1"/>
        </w:rPr>
        <w:fldChar w:fldCharType="begin"/>
      </w:r>
      <w:r w:rsidRPr="00687F93">
        <w:rPr>
          <w:rFonts w:ascii="Times New Roman" w:hAnsi="Times New Roman" w:cs="Times New Roman"/>
          <w:b/>
          <w:bCs/>
          <w:color w:val="000000" w:themeColor="text1"/>
        </w:rPr>
        <w:instrText xml:space="preserve"> ADDIN EN.CITE &lt;EndNote&gt;&lt;Cite&gt;&lt;Author&gt;Corrigan&lt;/Author&gt;&lt;Year&gt;2015&lt;/Year&gt;&lt;IDText&gt;Cross-talk between Two Nucleotide-signaling Pathways in Staphylococcus aureus&lt;/IDText&gt;&lt;DisplayText&gt;(Corrigan&lt;style face="italic"&gt; et al.&lt;/style&gt;, 2015)&lt;/DisplayText&gt;&lt;record&gt;&lt;dates&gt;&lt;pub-dates&gt;&lt;date&gt;Feb 27&lt;/date&gt;&lt;/pub-dates&gt;&lt;year&gt;2015&lt;/year&gt;&lt;/dates&gt;&lt;urls&gt;&lt;related-urls&gt;&lt;url&gt;&amp;lt;Go to ISI&amp;gt;://WOS:000350044200048&lt;/url&gt;&lt;/related-urls&gt;&lt;/urls&gt;&lt;titles&gt;&lt;title&gt;Cross-talk between Two Nucleotide-signaling Pathways in Staphylococcus aureus&lt;/title&gt;&lt;secondary-title&gt;Journal of Biological Chemistry&lt;/secondary-title&gt;&lt;/titles&gt;&lt;pages&gt;5826-5839&lt;/pages&gt;&lt;number&gt;9&lt;/number&gt;&lt;contributors&gt;&lt;authors&gt;&lt;author&gt;Corrigan, Rebecca M.&lt;/author&gt;&lt;author&gt;Bowman, Lisa&lt;/author&gt;&lt;author&gt;Willis, Alexandra R.&lt;/author&gt;&lt;author&gt;Kaever, Volkhard&lt;/author&gt;&lt;author&gt;Gruendling, Angelika&lt;/author&gt;&lt;/authors&gt;&lt;/contributors&gt;&lt;added-date format="utc"&gt;1664715254&lt;/added-date&gt;&lt;ref-type name="Journal Article"&gt;17&lt;/ref-type&gt;&lt;rec-number&gt;169&lt;/rec-number&gt;&lt;last-updated-date format="utc"&gt;1664715263&lt;/last-updated-date&gt;&lt;accession-num&gt;WOS:000350044200048&lt;/accession-num&gt;&lt;electronic-resource-num&gt;10.1074/jbc.M114.598300&lt;/electronic-resource-num&gt;&lt;volume&gt;290&lt;/volume&gt;&lt;/record&gt;&lt;/Cite&gt;&lt;/EndNote&gt;</w:instrText>
      </w:r>
      <w:r w:rsidRPr="00687F93">
        <w:rPr>
          <w:rFonts w:ascii="Times New Roman" w:hAnsi="Times New Roman" w:cs="Times New Roman"/>
          <w:b/>
          <w:bCs/>
          <w:color w:val="000000" w:themeColor="text1"/>
        </w:rPr>
        <w:fldChar w:fldCharType="separate"/>
      </w:r>
      <w:r w:rsidRPr="00687F93">
        <w:rPr>
          <w:rFonts w:ascii="Times New Roman" w:hAnsi="Times New Roman" w:cs="Times New Roman"/>
          <w:b/>
          <w:bCs/>
          <w:noProof/>
          <w:color w:val="000000" w:themeColor="text1"/>
        </w:rPr>
        <w:t>(Corrigan</w:t>
      </w:r>
      <w:r w:rsidRPr="00687F93">
        <w:rPr>
          <w:rFonts w:ascii="Times New Roman" w:hAnsi="Times New Roman" w:cs="Times New Roman"/>
          <w:b/>
          <w:bCs/>
          <w:i/>
          <w:noProof/>
          <w:color w:val="000000" w:themeColor="text1"/>
        </w:rPr>
        <w:t xml:space="preserve"> et al.</w:t>
      </w:r>
      <w:r w:rsidRPr="00687F93">
        <w:rPr>
          <w:rFonts w:ascii="Times New Roman" w:hAnsi="Times New Roman" w:cs="Times New Roman"/>
          <w:b/>
          <w:bCs/>
          <w:noProof/>
          <w:color w:val="000000" w:themeColor="text1"/>
        </w:rPr>
        <w:t>, 2015)</w:t>
      </w:r>
      <w:r w:rsidRPr="00687F93">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derived from pCL55 </w:t>
      </w:r>
      <w:r w:rsidRPr="008337A3">
        <w:rPr>
          <w:rFonts w:ascii="Times New Roman" w:hAnsi="Times New Roman" w:cs="Times New Roman"/>
          <w:b/>
          <w:bCs/>
          <w:color w:val="000000" w:themeColor="text1"/>
        </w:rPr>
        <w:fldChar w:fldCharType="begin"/>
      </w:r>
      <w:r w:rsidRPr="008337A3">
        <w:rPr>
          <w:rFonts w:ascii="Times New Roman" w:hAnsi="Times New Roman" w:cs="Times New Roman"/>
          <w:b/>
          <w:bCs/>
          <w:color w:val="000000" w:themeColor="text1"/>
        </w:rPr>
        <w:instrText xml:space="preserve"> ADDIN EN.CITE &lt;EndNote&gt;&lt;Cite&gt;&lt;Author&gt;Lee&lt;/Author&gt;&lt;Year&gt;1991&lt;/Year&gt;&lt;IDText&gt;CONSTRUCTION OF SINGLE-COPY INTEGRATION VECTORS FOR STAPHYLOCOCCUS-AUREUS&lt;/IDText&gt;&lt;DisplayText&gt;(Lee, Buranen and Ye, 1991)&lt;/DisplayText&gt;&lt;record&gt;&lt;dates&gt;&lt;pub-dates&gt;&lt;date&gt;Jul 15&lt;/date&gt;&lt;/pub-dates&gt;&lt;year&gt;1991&lt;/year&gt;&lt;/dates&gt;&lt;urls&gt;&lt;related-urls&gt;&lt;url&gt;&amp;lt;Go to ISI&amp;gt;://WOS:A1991GD83200017&lt;/url&gt;&lt;/related-urls&gt;&lt;/urls&gt;&lt;isbn&gt;0378-1119&lt;/isbn&gt;&lt;titles&gt;&lt;title&gt;CONSTRUCTION OF SINGLE-COPY INTEGRATION VECTORS FOR STAPHYLOCOCCUS-AUREUS&lt;/title&gt;&lt;secondary-title&gt;Gene&lt;/secondary-title&gt;&lt;/titles&gt;&lt;pages&gt;101-105&lt;/pages&gt;&lt;number&gt;1&lt;/number&gt;&lt;contributors&gt;&lt;authors&gt;&lt;author&gt;Lee, C. Y.&lt;/author&gt;&lt;author&gt;Buranen, S. L.&lt;/author&gt;&lt;author&gt;Ye, Z. H.&lt;/author&gt;&lt;/authors&gt;&lt;/contributors&gt;&lt;added-date format="utc"&gt;1664032109&lt;/added-date&gt;&lt;ref-type name="Journal Article"&gt;17&lt;/ref-type&gt;&lt;rec-number&gt;164&lt;/rec-number&gt;&lt;last-updated-date format="utc"&gt;1664032138&lt;/last-updated-date&gt;&lt;accession-num&gt;WOS:A1991GD83200017&lt;/accession-num&gt;&lt;electronic-resource-num&gt;10.1016/0378-1119(91)90399-v&lt;/electronic-resource-num&gt;&lt;volume&gt;103&lt;/volume&gt;&lt;/record&gt;&lt;/Cite&gt;&lt;/EndNote&gt;</w:instrText>
      </w:r>
      <w:r w:rsidRPr="008337A3">
        <w:rPr>
          <w:rFonts w:ascii="Times New Roman" w:hAnsi="Times New Roman" w:cs="Times New Roman"/>
          <w:b/>
          <w:bCs/>
          <w:color w:val="000000" w:themeColor="text1"/>
        </w:rPr>
        <w:fldChar w:fldCharType="separate"/>
      </w:r>
      <w:r w:rsidRPr="008337A3">
        <w:rPr>
          <w:rFonts w:ascii="Times New Roman" w:hAnsi="Times New Roman" w:cs="Times New Roman"/>
          <w:b/>
          <w:bCs/>
          <w:noProof/>
          <w:color w:val="000000" w:themeColor="text1"/>
        </w:rPr>
        <w:t>(Lee, Buranen and Ye, 1991)</w:t>
      </w:r>
      <w:r w:rsidRPr="008337A3">
        <w:rPr>
          <w:rFonts w:ascii="Times New Roman" w:hAnsi="Times New Roman" w:cs="Times New Roman"/>
          <w:b/>
          <w:bCs/>
          <w:color w:val="000000" w:themeColor="text1"/>
        </w:rPr>
        <w:fldChar w:fldCharType="end"/>
      </w:r>
      <w:r w:rsidRPr="00EA1FFF">
        <w:rPr>
          <w:rFonts w:ascii="Times New Roman" w:hAnsi="Times New Roman" w:cs="Times New Roman"/>
          <w:color w:val="000000" w:themeColor="text1"/>
        </w:rPr>
        <w:t>,</w:t>
      </w:r>
      <w:r w:rsidRPr="00EA1FFF">
        <w:rPr>
          <w:rFonts w:ascii="Times New Roman" w:hAnsi="Times New Roman" w:cs="Times New Roman"/>
          <w:color w:val="000000" w:themeColor="text1"/>
          <w:vertAlign w:val="subscript"/>
        </w:rPr>
        <w:t xml:space="preserve"> </w:t>
      </w:r>
      <w:r w:rsidRPr="00EA1FFF">
        <w:rPr>
          <w:rFonts w:ascii="Times New Roman" w:hAnsi="Times New Roman" w:cs="Times New Roman"/>
          <w:color w:val="000000" w:themeColor="text1"/>
        </w:rPr>
        <w:t>integrate into the</w:t>
      </w:r>
      <w:r>
        <w:rPr>
          <w:rFonts w:ascii="Times New Roman" w:hAnsi="Times New Roman" w:cs="Times New Roman"/>
          <w:color w:val="000000" w:themeColor="text1"/>
        </w:rPr>
        <w:t xml:space="preserve"> glycerol ester hydrolase </w:t>
      </w:r>
      <w:r w:rsidRPr="00941C83">
        <w:rPr>
          <w:rFonts w:ascii="Times New Roman" w:hAnsi="Times New Roman" w:cs="Times New Roman"/>
          <w:color w:val="000000" w:themeColor="text1"/>
        </w:rPr>
        <w:t>(</w:t>
      </w:r>
      <w:r w:rsidRPr="00941C83">
        <w:rPr>
          <w:rFonts w:ascii="Times New Roman" w:hAnsi="Times New Roman" w:cs="Times New Roman"/>
          <w:i/>
          <w:iCs/>
          <w:color w:val="000000" w:themeColor="text1"/>
        </w:rPr>
        <w:t>geh</w:t>
      </w:r>
      <w:r w:rsidRPr="00941C83">
        <w:rPr>
          <w:rFonts w:ascii="Times New Roman" w:hAnsi="Times New Roman" w:cs="Times New Roman"/>
          <w:color w:val="000000" w:themeColor="text1"/>
        </w:rPr>
        <w:t xml:space="preserve">) </w:t>
      </w:r>
      <w:r w:rsidRPr="00EA1FFF">
        <w:rPr>
          <w:rFonts w:ascii="Times New Roman" w:hAnsi="Times New Roman" w:cs="Times New Roman"/>
          <w:color w:val="000000" w:themeColor="text1"/>
        </w:rPr>
        <w:t xml:space="preserve">lipase gene of </w:t>
      </w:r>
      <w:r w:rsidRPr="00EA1FFF">
        <w:rPr>
          <w:rFonts w:ascii="Times New Roman" w:hAnsi="Times New Roman" w:cs="Times New Roman"/>
          <w:i/>
          <w:iCs/>
          <w:color w:val="000000" w:themeColor="text1"/>
        </w:rPr>
        <w:t xml:space="preserve">S. aureus </w:t>
      </w:r>
      <w:r w:rsidRPr="00EA1FFF">
        <w:rPr>
          <w:rFonts w:ascii="Times New Roman" w:hAnsi="Times New Roman" w:cs="Times New Roman"/>
          <w:color w:val="000000" w:themeColor="text1"/>
        </w:rPr>
        <w:t xml:space="preserve">and </w:t>
      </w:r>
      <w:r>
        <w:rPr>
          <w:rFonts w:ascii="Times New Roman" w:hAnsi="Times New Roman" w:cs="Times New Roman"/>
          <w:color w:val="000000" w:themeColor="text1"/>
        </w:rPr>
        <w:t xml:space="preserve">expression is </w:t>
      </w:r>
      <w:r w:rsidRPr="00EA1FFF">
        <w:rPr>
          <w:rFonts w:ascii="Times New Roman" w:hAnsi="Times New Roman" w:cs="Times New Roman"/>
          <w:color w:val="000000" w:themeColor="text1"/>
        </w:rPr>
        <w:t>inducible with anhydrotetracycline</w:t>
      </w:r>
      <w:r>
        <w:rPr>
          <w:rFonts w:ascii="Times New Roman" w:hAnsi="Times New Roman" w:cs="Times New Roman"/>
          <w:color w:val="000000" w:themeColor="text1"/>
        </w:rPr>
        <w:t xml:space="preserve"> (Atc)</w:t>
      </w:r>
      <w:r w:rsidRPr="00EA1FFF">
        <w:rPr>
          <w:rFonts w:ascii="Times New Roman" w:hAnsi="Times New Roman" w:cs="Times New Roman"/>
          <w:i/>
          <w:iCs/>
          <w:color w:val="000000" w:themeColor="text1"/>
        </w:rPr>
        <w:t xml:space="preserve">. </w:t>
      </w:r>
      <w:r w:rsidRPr="00EA1FFF">
        <w:rPr>
          <w:rFonts w:ascii="Times New Roman" w:hAnsi="Times New Roman" w:cs="Times New Roman"/>
          <w:color w:val="000000" w:themeColor="text1"/>
        </w:rPr>
        <w:t>The pCL55-iTET</w:t>
      </w:r>
      <w:r w:rsidRPr="00EA1FFF">
        <w:rPr>
          <w:rFonts w:ascii="Times New Roman" w:hAnsi="Times New Roman" w:cs="Times New Roman"/>
          <w:color w:val="000000" w:themeColor="text1"/>
          <w:vertAlign w:val="subscript"/>
        </w:rPr>
        <w:t xml:space="preserve">r862 </w:t>
      </w:r>
      <w:r w:rsidRPr="00EA1FFF">
        <w:rPr>
          <w:rFonts w:ascii="Times New Roman" w:hAnsi="Times New Roman" w:cs="Times New Roman"/>
          <w:color w:val="000000" w:themeColor="text1"/>
        </w:rPr>
        <w:t xml:space="preserve">vector has a tighter promoter in comparison to pCL55-iTET which has leaky expression; </w:t>
      </w:r>
      <w:r>
        <w:rPr>
          <w:rFonts w:ascii="Times New Roman" w:hAnsi="Times New Roman" w:cs="Times New Roman"/>
          <w:color w:val="000000" w:themeColor="text1"/>
        </w:rPr>
        <w:t>a leaky promoter</w:t>
      </w:r>
      <w:r w:rsidRPr="00EA1FFF">
        <w:rPr>
          <w:rFonts w:ascii="Times New Roman" w:hAnsi="Times New Roman" w:cs="Times New Roman"/>
          <w:color w:val="000000" w:themeColor="text1"/>
        </w:rPr>
        <w:t xml:space="preserve"> will be beneficial to overproduce (p)ppGpp and so </w:t>
      </w:r>
      <w:r>
        <w:rPr>
          <w:rFonts w:ascii="Times New Roman" w:hAnsi="Times New Roman" w:cs="Times New Roman"/>
          <w:color w:val="000000" w:themeColor="text1"/>
        </w:rPr>
        <w:t xml:space="preserve">both were used. </w:t>
      </w:r>
      <w:r w:rsidRPr="00EA1FFF">
        <w:rPr>
          <w:rFonts w:ascii="Times New Roman" w:hAnsi="Times New Roman" w:cs="Times New Roman"/>
          <w:color w:val="000000" w:themeColor="text1"/>
        </w:rPr>
        <w:t>Both inserts and vectors were</w:t>
      </w:r>
      <w:r>
        <w:rPr>
          <w:rFonts w:ascii="Times New Roman" w:hAnsi="Times New Roman" w:cs="Times New Roman"/>
          <w:color w:val="000000" w:themeColor="text1"/>
        </w:rPr>
        <w:t xml:space="preserve"> digested with AvrII and SacII, ligated </w:t>
      </w:r>
      <w:r w:rsidRPr="00EA1FFF">
        <w:rPr>
          <w:rFonts w:ascii="Times New Roman" w:hAnsi="Times New Roman" w:cs="Times New Roman"/>
          <w:color w:val="000000" w:themeColor="text1"/>
        </w:rPr>
        <w:t xml:space="preserve">and transformed into </w:t>
      </w:r>
      <w:r w:rsidRPr="00EA1FFF">
        <w:rPr>
          <w:rFonts w:ascii="Times New Roman" w:hAnsi="Times New Roman" w:cs="Times New Roman"/>
          <w:i/>
          <w:iCs/>
          <w:color w:val="000000" w:themeColor="text1"/>
        </w:rPr>
        <w:t>E</w:t>
      </w:r>
      <w:r>
        <w:rPr>
          <w:rFonts w:ascii="Times New Roman" w:hAnsi="Times New Roman" w:cs="Times New Roman"/>
          <w:i/>
          <w:iCs/>
          <w:color w:val="000000" w:themeColor="text1"/>
        </w:rPr>
        <w:t xml:space="preserve">. </w:t>
      </w:r>
      <w:r w:rsidRPr="00EA1FFF">
        <w:rPr>
          <w:rFonts w:ascii="Times New Roman" w:hAnsi="Times New Roman" w:cs="Times New Roman"/>
          <w:i/>
          <w:iCs/>
          <w:color w:val="000000" w:themeColor="text1"/>
        </w:rPr>
        <w:t>coli</w:t>
      </w:r>
      <w:r w:rsidRPr="00EA1FFF">
        <w:rPr>
          <w:rFonts w:ascii="Times New Roman" w:hAnsi="Times New Roman" w:cs="Times New Roman"/>
        </w:rPr>
        <w:t xml:space="preserve"> XL1 Blue.</w:t>
      </w:r>
      <w:r w:rsidRPr="00EA1FFF">
        <w:rPr>
          <w:rFonts w:ascii="Times New Roman" w:hAnsi="Times New Roman" w:cs="Times New Roman"/>
          <w:color w:val="000000" w:themeColor="text1"/>
        </w:rPr>
        <w:t xml:space="preserve"> The </w:t>
      </w:r>
      <w:r w:rsidRPr="00EA1FFF">
        <w:rPr>
          <w:rFonts w:ascii="Times New Roman" w:hAnsi="Times New Roman" w:cs="Times New Roman"/>
        </w:rPr>
        <w:t>resultant colonies were analysed by colony PCR using primers specific</w:t>
      </w:r>
      <w:r w:rsidRPr="00EA1FFF">
        <w:t xml:space="preserve"> </w:t>
      </w:r>
      <w:r w:rsidRPr="00EA1FFF">
        <w:rPr>
          <w:rFonts w:ascii="Times New Roman" w:hAnsi="Times New Roman" w:cs="Times New Roman"/>
          <w:color w:val="000000" w:themeColor="text1"/>
        </w:rPr>
        <w:t xml:space="preserve">for the </w:t>
      </w:r>
      <w:r>
        <w:rPr>
          <w:rFonts w:ascii="Times New Roman" w:hAnsi="Times New Roman" w:cs="Times New Roman"/>
        </w:rPr>
        <w:t xml:space="preserve">vector (RMC006 and RMC007) and positive clones for each construct were identified </w:t>
      </w:r>
      <w:r w:rsidRPr="0043347B">
        <w:rPr>
          <w:rFonts w:ascii="Times New Roman" w:hAnsi="Times New Roman" w:cs="Times New Roman"/>
          <w:b/>
          <w:bCs/>
        </w:rPr>
        <w:t>(Fig. 3.3.1</w:t>
      </w:r>
      <w:r>
        <w:rPr>
          <w:rFonts w:ascii="Times New Roman" w:hAnsi="Times New Roman" w:cs="Times New Roman"/>
          <w:b/>
          <w:bCs/>
        </w:rPr>
        <w:t>d</w:t>
      </w:r>
      <w:r w:rsidRPr="0043347B">
        <w:rPr>
          <w:rFonts w:ascii="Times New Roman" w:hAnsi="Times New Roman" w:cs="Times New Roman"/>
          <w:b/>
          <w:bCs/>
        </w:rPr>
        <w:t>)</w:t>
      </w:r>
      <w:r w:rsidRPr="00294E29">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7EE7962E" w14:textId="77777777" w:rsidTr="00A74445">
        <w:tc>
          <w:tcPr>
            <w:tcW w:w="9016" w:type="dxa"/>
          </w:tcPr>
          <w:p w14:paraId="2A57A1D1" w14:textId="77777777" w:rsidR="00187693" w:rsidRDefault="00187693" w:rsidP="00A74445">
            <w:pPr>
              <w:spacing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651FD41" wp14:editId="626D5B36">
                  <wp:extent cx="5629757" cy="5550195"/>
                  <wp:effectExtent l="0" t="0" r="9525"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2915" cy="5563167"/>
                          </a:xfrm>
                          <a:prstGeom prst="rect">
                            <a:avLst/>
                          </a:prstGeom>
                          <a:noFill/>
                        </pic:spPr>
                      </pic:pic>
                    </a:graphicData>
                  </a:graphic>
                </wp:inline>
              </w:drawing>
            </w:r>
          </w:p>
        </w:tc>
      </w:tr>
      <w:tr w:rsidR="00187693" w14:paraId="6430B4E2" w14:textId="77777777" w:rsidTr="00A74445">
        <w:tc>
          <w:tcPr>
            <w:tcW w:w="9016" w:type="dxa"/>
          </w:tcPr>
          <w:p w14:paraId="157958F3" w14:textId="77777777" w:rsidR="00187693" w:rsidRPr="00286F94" w:rsidRDefault="00187693" w:rsidP="00A74445">
            <w:pPr>
              <w:jc w:val="both"/>
              <w:rPr>
                <w:rFonts w:ascii="Times New Roman" w:hAnsi="Times New Roman" w:cs="Times New Roman"/>
                <w:color w:val="000000" w:themeColor="text1"/>
                <w:sz w:val="18"/>
                <w:szCs w:val="18"/>
              </w:rPr>
            </w:pPr>
            <w:r w:rsidRPr="00286F94">
              <w:rPr>
                <w:rFonts w:ascii="Times New Roman" w:hAnsi="Times New Roman" w:cs="Times New Roman"/>
                <w:b/>
                <w:bCs/>
                <w:color w:val="000000" w:themeColor="text1"/>
                <w:sz w:val="18"/>
                <w:szCs w:val="18"/>
              </w:rPr>
              <w:t>Figure 3.3.1.</w:t>
            </w:r>
            <w:r w:rsidRPr="00286F94">
              <w:rPr>
                <w:rFonts w:ascii="Times New Roman" w:hAnsi="Times New Roman" w:cs="Times New Roman"/>
                <w:color w:val="000000" w:themeColor="text1"/>
                <w:sz w:val="18"/>
                <w:szCs w:val="18"/>
              </w:rPr>
              <w:t xml:space="preserve"> </w:t>
            </w:r>
            <w:r w:rsidRPr="00286F94">
              <w:rPr>
                <w:rFonts w:ascii="Times New Roman" w:hAnsi="Times New Roman" w:cs="Times New Roman"/>
                <w:b/>
                <w:bCs/>
                <w:color w:val="000000" w:themeColor="text1"/>
                <w:sz w:val="18"/>
                <w:szCs w:val="18"/>
              </w:rPr>
              <w:t>Cloning the (p)ppGpp enzymatic N-terminal domain into the integrative vectors pCL55-iTET and pCL55-iTET</w:t>
            </w:r>
            <w:r w:rsidRPr="00286F94">
              <w:rPr>
                <w:rFonts w:ascii="Times New Roman" w:hAnsi="Times New Roman" w:cs="Times New Roman"/>
                <w:b/>
                <w:bCs/>
                <w:color w:val="000000" w:themeColor="text1"/>
                <w:sz w:val="18"/>
                <w:szCs w:val="18"/>
                <w:vertAlign w:val="subscript"/>
              </w:rPr>
              <w:t>r862</w:t>
            </w:r>
            <w:r w:rsidRPr="00286F94">
              <w:rPr>
                <w:rFonts w:ascii="Times New Roman" w:hAnsi="Times New Roman" w:cs="Times New Roman"/>
                <w:b/>
                <w:bCs/>
                <w:color w:val="000000" w:themeColor="text1"/>
                <w:sz w:val="18"/>
                <w:szCs w:val="18"/>
              </w:rPr>
              <w:t>.</w:t>
            </w:r>
            <w:r w:rsidRPr="00286F94">
              <w:rPr>
                <w:rFonts w:ascii="Times New Roman" w:hAnsi="Times New Roman" w:cs="Times New Roman"/>
                <w:color w:val="000000" w:themeColor="text1"/>
                <w:sz w:val="18"/>
                <w:szCs w:val="18"/>
              </w:rPr>
              <w:t xml:space="preserve"> </w:t>
            </w:r>
            <w:r w:rsidRPr="00286F94">
              <w:rPr>
                <w:rFonts w:ascii="Times New Roman" w:hAnsi="Times New Roman" w:cs="Times New Roman"/>
                <w:b/>
                <w:bCs/>
                <w:color w:val="000000" w:themeColor="text1"/>
                <w:sz w:val="18"/>
                <w:szCs w:val="18"/>
              </w:rPr>
              <w:t>(a)</w:t>
            </w:r>
            <w:r w:rsidRPr="00286F94">
              <w:rPr>
                <w:rFonts w:ascii="Times New Roman" w:hAnsi="Times New Roman" w:cs="Times New Roman"/>
                <w:color w:val="000000" w:themeColor="text1"/>
                <w:sz w:val="18"/>
                <w:szCs w:val="18"/>
              </w:rPr>
              <w:t xml:space="preserve"> and </w:t>
            </w:r>
            <w:r w:rsidRPr="00286F94">
              <w:rPr>
                <w:rFonts w:ascii="Times New Roman" w:hAnsi="Times New Roman" w:cs="Times New Roman"/>
                <w:b/>
                <w:bCs/>
                <w:color w:val="000000" w:themeColor="text1"/>
                <w:sz w:val="18"/>
                <w:szCs w:val="18"/>
              </w:rPr>
              <w:t xml:space="preserve">(b) </w:t>
            </w:r>
            <w:r w:rsidRPr="00286F94">
              <w:rPr>
                <w:rFonts w:ascii="Times New Roman" w:hAnsi="Times New Roman" w:cs="Times New Roman"/>
                <w:color w:val="000000" w:themeColor="text1"/>
                <w:sz w:val="18"/>
                <w:szCs w:val="18"/>
              </w:rPr>
              <w:t>The NTD (green) consisting of the HD domain (tan) and SD (peach), with and without a His-tag (pale yellow), was cloned into the vectors pCL55-iTET and pCL55-iTET</w:t>
            </w:r>
            <w:r w:rsidRPr="00286F94">
              <w:rPr>
                <w:rFonts w:ascii="Times New Roman" w:hAnsi="Times New Roman" w:cs="Times New Roman"/>
                <w:color w:val="000000" w:themeColor="text1"/>
                <w:sz w:val="18"/>
                <w:szCs w:val="18"/>
                <w:vertAlign w:val="subscript"/>
              </w:rPr>
              <w:t>r862</w:t>
            </w:r>
            <w:r w:rsidRPr="00286F94">
              <w:rPr>
                <w:rFonts w:ascii="Times New Roman" w:hAnsi="Times New Roman" w:cs="Times New Roman"/>
                <w:color w:val="000000" w:themeColor="text1"/>
                <w:sz w:val="18"/>
                <w:szCs w:val="18"/>
              </w:rPr>
              <w:t xml:space="preserve"> to produce four different plasmids. The vectors are integrative plasmids, integrating into the </w:t>
            </w:r>
            <w:r w:rsidRPr="00286F94">
              <w:rPr>
                <w:rFonts w:ascii="Times New Roman" w:hAnsi="Times New Roman" w:cs="Times New Roman"/>
                <w:i/>
                <w:iCs/>
                <w:color w:val="000000" w:themeColor="text1"/>
                <w:sz w:val="18"/>
                <w:szCs w:val="18"/>
              </w:rPr>
              <w:t>S. aureus</w:t>
            </w:r>
            <w:r w:rsidRPr="00286F94">
              <w:rPr>
                <w:rFonts w:ascii="Times New Roman" w:hAnsi="Times New Roman" w:cs="Times New Roman"/>
                <w:color w:val="000000" w:themeColor="text1"/>
                <w:sz w:val="18"/>
                <w:szCs w:val="18"/>
              </w:rPr>
              <w:t xml:space="preserve"> </w:t>
            </w:r>
            <w:r w:rsidRPr="00286F94">
              <w:rPr>
                <w:rFonts w:ascii="Times New Roman" w:hAnsi="Times New Roman" w:cs="Times New Roman"/>
                <w:i/>
                <w:iCs/>
                <w:color w:val="000000" w:themeColor="text1"/>
                <w:sz w:val="18"/>
                <w:szCs w:val="18"/>
              </w:rPr>
              <w:t xml:space="preserve">geh </w:t>
            </w:r>
            <w:r w:rsidRPr="00286F94">
              <w:rPr>
                <w:rFonts w:ascii="Times New Roman" w:hAnsi="Times New Roman" w:cs="Times New Roman"/>
                <w:color w:val="000000" w:themeColor="text1"/>
                <w:sz w:val="18"/>
                <w:szCs w:val="18"/>
              </w:rPr>
              <w:t>gene via the L54a plasmid-encoded integrase (yellow) and expression of the N-terminal is achieved via the administration of anhydrotetracycline. Primers used for cloning the NTD (RMC165, 739 and 740) and the plasmid-specific primers used for confirmation of the clone (RMC006 and 007) are shown in black.</w:t>
            </w:r>
            <w:r>
              <w:rPr>
                <w:rFonts w:ascii="Times New Roman" w:hAnsi="Times New Roman" w:cs="Times New Roman"/>
                <w:color w:val="000000" w:themeColor="text1"/>
                <w:sz w:val="18"/>
                <w:szCs w:val="18"/>
              </w:rPr>
              <w:t xml:space="preserve"> </w:t>
            </w:r>
            <w:r w:rsidRPr="00286F94">
              <w:rPr>
                <w:rFonts w:ascii="Times New Roman" w:hAnsi="Times New Roman" w:cs="Times New Roman"/>
                <w:color w:val="000000" w:themeColor="text1"/>
                <w:sz w:val="18"/>
                <w:szCs w:val="18"/>
              </w:rPr>
              <w:t xml:space="preserve">NTD; N-terminal domain, HD; hydrolase domain (tan), SYNTH; synthetase domain (peach), CamR; chloramphenicol resistance in </w:t>
            </w:r>
            <w:r w:rsidRPr="00286F94">
              <w:rPr>
                <w:rFonts w:ascii="Times New Roman" w:hAnsi="Times New Roman" w:cs="Times New Roman"/>
                <w:i/>
                <w:iCs/>
                <w:color w:val="000000" w:themeColor="text1"/>
                <w:sz w:val="18"/>
                <w:szCs w:val="18"/>
              </w:rPr>
              <w:t>S. aureus</w:t>
            </w:r>
            <w:r w:rsidRPr="00286F94">
              <w:rPr>
                <w:rFonts w:ascii="Times New Roman" w:hAnsi="Times New Roman" w:cs="Times New Roman"/>
                <w:color w:val="000000" w:themeColor="text1"/>
                <w:sz w:val="18"/>
                <w:szCs w:val="18"/>
              </w:rPr>
              <w:t xml:space="preserve"> (light blue), AmpR; ampicillin resistance in </w:t>
            </w:r>
            <w:r w:rsidRPr="00286F94">
              <w:rPr>
                <w:rFonts w:ascii="Times New Roman" w:hAnsi="Times New Roman" w:cs="Times New Roman"/>
                <w:i/>
                <w:iCs/>
                <w:color w:val="000000" w:themeColor="text1"/>
                <w:sz w:val="18"/>
                <w:szCs w:val="18"/>
              </w:rPr>
              <w:t>E. coli</w:t>
            </w:r>
            <w:r w:rsidRPr="00286F94">
              <w:rPr>
                <w:rFonts w:ascii="Times New Roman" w:hAnsi="Times New Roman" w:cs="Times New Roman"/>
                <w:color w:val="000000" w:themeColor="text1"/>
                <w:sz w:val="18"/>
                <w:szCs w:val="18"/>
              </w:rPr>
              <w:t xml:space="preserve"> (grey), TetR; tetracycline repressor (lilac). </w:t>
            </w:r>
            <w:r w:rsidRPr="00286F94">
              <w:rPr>
                <w:rFonts w:ascii="Times New Roman" w:hAnsi="Times New Roman" w:cs="Times New Roman"/>
                <w:b/>
                <w:bCs/>
                <w:color w:val="000000" w:themeColor="text1"/>
                <w:sz w:val="18"/>
                <w:szCs w:val="18"/>
              </w:rPr>
              <w:t>c)</w:t>
            </w:r>
            <w:r w:rsidRPr="00286F94">
              <w:rPr>
                <w:rFonts w:ascii="Times New Roman" w:hAnsi="Times New Roman" w:cs="Times New Roman"/>
                <w:color w:val="000000" w:themeColor="text1"/>
                <w:sz w:val="18"/>
                <w:szCs w:val="18"/>
              </w:rPr>
              <w:t xml:space="preserve"> Schematic of the HD domain from pCL55-iTET/pCL55-iTET</w:t>
            </w:r>
            <w:r w:rsidRPr="00286F94">
              <w:rPr>
                <w:rFonts w:ascii="Times New Roman" w:hAnsi="Times New Roman" w:cs="Times New Roman"/>
                <w:color w:val="000000" w:themeColor="text1"/>
                <w:sz w:val="18"/>
                <w:szCs w:val="18"/>
                <w:vertAlign w:val="subscript"/>
              </w:rPr>
              <w:t>r862</w:t>
            </w:r>
            <w:r w:rsidRPr="00286F94">
              <w:rPr>
                <w:rFonts w:ascii="Times New Roman" w:hAnsi="Times New Roman" w:cs="Times New Roman"/>
                <w:color w:val="000000" w:themeColor="text1"/>
                <w:sz w:val="18"/>
                <w:szCs w:val="18"/>
              </w:rPr>
              <w:t xml:space="preserve"> only, showing inverse PCR primers RMC708 and 709 used to introduce the HD domain mutation. WT DNA sequences are shown in black and the WT amino acid sequence is represented by the blue bar. The mutation introduced by the primers are shown in red and the mutated amino acid sequence is represented by the peach bar. </w:t>
            </w:r>
            <w:r w:rsidRPr="00286F94">
              <w:rPr>
                <w:rFonts w:ascii="Times New Roman" w:hAnsi="Times New Roman" w:cs="Times New Roman"/>
                <w:b/>
                <w:bCs/>
                <w:color w:val="000000" w:themeColor="text1"/>
                <w:sz w:val="18"/>
                <w:szCs w:val="18"/>
              </w:rPr>
              <w:t>d)</w:t>
            </w:r>
            <w:r w:rsidRPr="00286F94">
              <w:rPr>
                <w:rFonts w:ascii="Times New Roman" w:hAnsi="Times New Roman" w:cs="Times New Roman"/>
                <w:color w:val="000000" w:themeColor="text1"/>
                <w:sz w:val="18"/>
                <w:szCs w:val="18"/>
              </w:rPr>
              <w:t xml:space="preserve"> Colony PCR products from transformants likely to carry the plasmid containing the correct insert. Primers specific for the vectors were used that amplified where the insert should be introduced. Lane 1; pCL55-iTET-NTD (1533 bp), lane 2; pCL55-iTET-NTD-his (1551 bp), lane 3; pCL55-iTET</w:t>
            </w:r>
            <w:r w:rsidRPr="00286F94">
              <w:rPr>
                <w:rFonts w:ascii="Times New Roman" w:hAnsi="Times New Roman" w:cs="Times New Roman"/>
                <w:color w:val="000000" w:themeColor="text1"/>
                <w:sz w:val="18"/>
                <w:szCs w:val="18"/>
                <w:vertAlign w:val="subscript"/>
              </w:rPr>
              <w:t>r862</w:t>
            </w:r>
            <w:r w:rsidRPr="00286F94">
              <w:rPr>
                <w:rFonts w:ascii="Times New Roman" w:hAnsi="Times New Roman" w:cs="Times New Roman"/>
                <w:color w:val="000000" w:themeColor="text1"/>
                <w:sz w:val="18"/>
                <w:szCs w:val="18"/>
              </w:rPr>
              <w:t>-NTD (1730 bp), lane 4; pCL55-iTET</w:t>
            </w:r>
            <w:r w:rsidRPr="00286F94">
              <w:rPr>
                <w:rFonts w:ascii="Times New Roman" w:hAnsi="Times New Roman" w:cs="Times New Roman"/>
                <w:color w:val="000000" w:themeColor="text1"/>
                <w:sz w:val="18"/>
                <w:szCs w:val="18"/>
                <w:vertAlign w:val="subscript"/>
              </w:rPr>
              <w:t>r862</w:t>
            </w:r>
            <w:r w:rsidRPr="00286F94">
              <w:rPr>
                <w:rFonts w:ascii="Times New Roman" w:hAnsi="Times New Roman" w:cs="Times New Roman"/>
                <w:color w:val="000000" w:themeColor="text1"/>
                <w:sz w:val="18"/>
                <w:szCs w:val="18"/>
              </w:rPr>
              <w:t xml:space="preserve">-NTD-his (1748 bp). PCR products were run on 1% agarose gels. Ladder sizes are shown. </w:t>
            </w:r>
          </w:p>
          <w:p w14:paraId="6B562E07" w14:textId="77777777" w:rsidR="00187693" w:rsidRPr="002B53C5" w:rsidRDefault="00187693" w:rsidP="00A74445">
            <w:pPr>
              <w:jc w:val="both"/>
              <w:rPr>
                <w:rFonts w:ascii="Times New Roman" w:hAnsi="Times New Roman" w:cs="Times New Roman"/>
                <w:color w:val="000000" w:themeColor="text1"/>
                <w:sz w:val="18"/>
                <w:szCs w:val="18"/>
              </w:rPr>
            </w:pPr>
          </w:p>
        </w:tc>
      </w:tr>
    </w:tbl>
    <w:p w14:paraId="3B982322" w14:textId="77777777" w:rsidR="00187693" w:rsidRPr="007C2DA1" w:rsidRDefault="00187693" w:rsidP="00187693">
      <w:pPr>
        <w:pStyle w:val="Heading3"/>
      </w:pPr>
      <w:bookmarkStart w:id="125" w:name="_Toc142043628"/>
      <w:r w:rsidRPr="007C2DA1">
        <w:t>3.</w:t>
      </w:r>
      <w:r>
        <w:t>3</w:t>
      </w:r>
      <w:r w:rsidRPr="007C2DA1">
        <w:t>.2. Mutating the hydrolase domain</w:t>
      </w:r>
      <w:bookmarkEnd w:id="125"/>
      <w:r>
        <w:br/>
      </w:r>
    </w:p>
    <w:p w14:paraId="5688B1CE" w14:textId="77777777" w:rsidR="00187693" w:rsidRDefault="00187693" w:rsidP="00187693">
      <w:pPr>
        <w:spacing w:line="360" w:lineRule="auto"/>
        <w:jc w:val="both"/>
        <w:rPr>
          <w:rFonts w:ascii="Times New Roman" w:hAnsi="Times New Roman" w:cs="Times New Roman"/>
        </w:rPr>
      </w:pPr>
      <w:r w:rsidRPr="00EA1FFF">
        <w:rPr>
          <w:rFonts w:ascii="Times New Roman" w:hAnsi="Times New Roman" w:cs="Times New Roman"/>
        </w:rPr>
        <w:t xml:space="preserve">Mutating the </w:t>
      </w:r>
      <w:r>
        <w:rPr>
          <w:rFonts w:ascii="Times New Roman" w:hAnsi="Times New Roman" w:cs="Times New Roman"/>
        </w:rPr>
        <w:t>hydrolase (</w:t>
      </w:r>
      <w:r w:rsidRPr="00EA1FFF">
        <w:rPr>
          <w:rFonts w:ascii="Times New Roman" w:hAnsi="Times New Roman" w:cs="Times New Roman"/>
        </w:rPr>
        <w:t>HD</w:t>
      </w:r>
      <w:r>
        <w:rPr>
          <w:rFonts w:ascii="Times New Roman" w:hAnsi="Times New Roman" w:cs="Times New Roman"/>
        </w:rPr>
        <w:t>)</w:t>
      </w:r>
      <w:r w:rsidRPr="00EA1FFF">
        <w:rPr>
          <w:rFonts w:ascii="Times New Roman" w:hAnsi="Times New Roman" w:cs="Times New Roman"/>
        </w:rPr>
        <w:t xml:space="preserve"> domain of a strain with a CTD truncation allows the production of </w:t>
      </w:r>
      <w:r w:rsidRPr="008F0E6E">
        <w:rPr>
          <w:rFonts w:ascii="Times New Roman" w:hAnsi="Times New Roman" w:cs="Times New Roman"/>
        </w:rPr>
        <w:t xml:space="preserve">surplus (p)ppGpp </w:t>
      </w:r>
      <w:r w:rsidRPr="00BF39CF">
        <w:rPr>
          <w:rFonts w:ascii="Times New Roman" w:hAnsi="Times New Roman" w:cs="Times New Roman"/>
          <w:b/>
          <w:bCs/>
        </w:rPr>
        <w:fldChar w:fldCharType="begin"/>
      </w:r>
      <w:r w:rsidRPr="00BF39CF">
        <w:rPr>
          <w:rFonts w:ascii="Times New Roman" w:hAnsi="Times New Roman" w:cs="Times New Roman"/>
          <w:b/>
          <w:bCs/>
        </w:rPr>
        <w:instrText xml:space="preserve"> ADDIN EN.CITE &lt;EndNote&gt;&lt;Cite&gt;&lt;Author&gt;Gratani&lt;/Author&gt;&lt;Year&gt;2018&lt;/Year&gt;&lt;IDText&gt;Regulation of the opposing (p)ppGpp synthetase and hydrolase activities in a bifunctional RelA/SpoT homologue from Staphylococcus aureus&lt;/IDText&gt;&lt;DisplayText&gt;(Gratani&lt;style face="italic"&gt; et al.&lt;/style&gt;, 2018)&lt;/DisplayText&gt;&lt;record&gt;&lt;dates&gt;&lt;pub-dates&gt;&lt;date&gt;Jul&lt;/date&gt;&lt;/pub-dates&gt;&lt;year&gt;2018&lt;/year&gt;&lt;/dates&gt;&lt;urls&gt;&lt;related-urls&gt;&lt;url&gt;&amp;lt;Go to ISI&amp;gt;://WOS:000440556300027&lt;/url&gt;&lt;/related-urls&gt;&lt;/urls&gt;&lt;isbn&gt;1553-7404&lt;/isbn&gt;&lt;titles&gt;&lt;title&gt;Regulation of the opposing (p)ppGpp synthetase and hydrolase activities in a bifunctional RelA/SpoT homologue from Staphylococcus aureus&lt;/title&gt;&lt;secondary-title&gt;Plos Genetics&lt;/secondary-title&gt;&lt;/titles&gt;&lt;number&gt;7&lt;/number&gt;&lt;contributors&gt;&lt;authors&gt;&lt;author&gt;Gratani, F. L.&lt;/author&gt;&lt;author&gt;Horvatek, P.&lt;/author&gt;&lt;author&gt;Geiger, T.&lt;/author&gt;&lt;author&gt;Borisova, M.&lt;/author&gt;&lt;author&gt;Mayer, C.&lt;/author&gt;&lt;author&gt;Grin, I.&lt;/author&gt;&lt;author&gt;Wagner, S.&lt;/author&gt;&lt;author&gt;Steinchen, W.&lt;/author&gt;&lt;author&gt;Bange, G.&lt;/author&gt;&lt;author&gt;Velic, A.&lt;/author&gt;&lt;author&gt;Macek, B.&lt;/author&gt;&lt;author&gt;Wolz, C.&lt;/author&gt;&lt;/authors&gt;&lt;/contributors&gt;&lt;custom7&gt;e1007514&lt;/custom7&gt;&lt;added-date format="utc"&gt;1677470615&lt;/added-date&gt;&lt;ref-type name="Journal Article"&gt;17&lt;/ref-type&gt;&lt;rec-number&gt;565&lt;/rec-number&gt;&lt;last-updated-date format="utc"&gt;1677470615&lt;/last-updated-date&gt;&lt;accession-num&gt;WOS:000440556300027&lt;/accession-num&gt;&lt;electronic-resource-num&gt;10.1371/journal.pgen.1007514&lt;/electronic-resource-num&gt;&lt;volume&gt;14&lt;/volume&gt;&lt;/record&gt;&lt;/Cite&gt;&lt;/EndNote&gt;</w:instrText>
      </w:r>
      <w:r w:rsidRPr="00BF39CF">
        <w:rPr>
          <w:rFonts w:ascii="Times New Roman" w:hAnsi="Times New Roman" w:cs="Times New Roman"/>
          <w:b/>
          <w:bCs/>
        </w:rPr>
        <w:fldChar w:fldCharType="separate"/>
      </w:r>
      <w:r w:rsidRPr="00BF39CF">
        <w:rPr>
          <w:rFonts w:ascii="Times New Roman" w:hAnsi="Times New Roman" w:cs="Times New Roman"/>
          <w:b/>
          <w:bCs/>
          <w:noProof/>
        </w:rPr>
        <w:t>(Gratani</w:t>
      </w:r>
      <w:r w:rsidRPr="00BF39CF">
        <w:rPr>
          <w:rFonts w:ascii="Times New Roman" w:hAnsi="Times New Roman" w:cs="Times New Roman"/>
          <w:b/>
          <w:bCs/>
          <w:i/>
          <w:noProof/>
        </w:rPr>
        <w:t xml:space="preserve"> et al.</w:t>
      </w:r>
      <w:r w:rsidRPr="00BF39CF">
        <w:rPr>
          <w:rFonts w:ascii="Times New Roman" w:hAnsi="Times New Roman" w:cs="Times New Roman"/>
          <w:b/>
          <w:bCs/>
          <w:noProof/>
        </w:rPr>
        <w:t>, 2018)</w:t>
      </w:r>
      <w:r w:rsidRPr="00BF39CF">
        <w:rPr>
          <w:rFonts w:ascii="Times New Roman" w:hAnsi="Times New Roman" w:cs="Times New Roman"/>
          <w:b/>
          <w:bCs/>
        </w:rPr>
        <w:fldChar w:fldCharType="end"/>
      </w:r>
      <w:r w:rsidRPr="00EA1FFF">
        <w:rPr>
          <w:rFonts w:ascii="Times New Roman" w:hAnsi="Times New Roman" w:cs="Times New Roman"/>
        </w:rPr>
        <w:t>. To achieve this, p</w:t>
      </w:r>
      <w:r>
        <w:rPr>
          <w:rFonts w:ascii="Times New Roman" w:hAnsi="Times New Roman" w:cs="Times New Roman"/>
        </w:rPr>
        <w:t>CL55-iTET/pCL55-iTET</w:t>
      </w:r>
      <w:r>
        <w:rPr>
          <w:rFonts w:ascii="Times New Roman" w:hAnsi="Times New Roman" w:cs="Times New Roman"/>
          <w:vertAlign w:val="subscript"/>
        </w:rPr>
        <w:t>r862</w:t>
      </w:r>
      <w:r>
        <w:rPr>
          <w:rFonts w:ascii="Times New Roman" w:hAnsi="Times New Roman" w:cs="Times New Roman"/>
        </w:rPr>
        <w:t xml:space="preserve"> containing</w:t>
      </w:r>
      <w:r w:rsidRPr="00EA1FFF">
        <w:rPr>
          <w:rFonts w:ascii="Times New Roman" w:hAnsi="Times New Roman" w:cs="Times New Roman"/>
        </w:rPr>
        <w:t xml:space="preserve"> the NTD</w:t>
      </w:r>
      <w:r>
        <w:rPr>
          <w:rFonts w:ascii="Times New Roman" w:hAnsi="Times New Roman" w:cs="Times New Roman"/>
        </w:rPr>
        <w:t xml:space="preserve"> with and without the his-tag</w:t>
      </w:r>
      <w:r w:rsidRPr="00EA1FFF">
        <w:rPr>
          <w:rFonts w:ascii="Times New Roman" w:hAnsi="Times New Roman" w:cs="Times New Roman"/>
        </w:rPr>
        <w:t xml:space="preserve">, </w:t>
      </w:r>
      <w:r>
        <w:rPr>
          <w:rFonts w:ascii="Times New Roman" w:hAnsi="Times New Roman" w:cs="Times New Roman"/>
        </w:rPr>
        <w:t xml:space="preserve">was </w:t>
      </w:r>
      <w:r w:rsidRPr="00EA1FFF">
        <w:rPr>
          <w:rFonts w:ascii="Times New Roman" w:hAnsi="Times New Roman" w:cs="Times New Roman"/>
        </w:rPr>
        <w:t>subject</w:t>
      </w:r>
      <w:r>
        <w:rPr>
          <w:rFonts w:ascii="Times New Roman" w:hAnsi="Times New Roman" w:cs="Times New Roman"/>
        </w:rPr>
        <w:t>ed</w:t>
      </w:r>
      <w:r w:rsidRPr="00EA1FFF">
        <w:rPr>
          <w:rFonts w:ascii="Times New Roman" w:hAnsi="Times New Roman" w:cs="Times New Roman"/>
        </w:rPr>
        <w:t xml:space="preserve"> </w:t>
      </w:r>
      <w:r>
        <w:rPr>
          <w:rFonts w:ascii="Times New Roman" w:hAnsi="Times New Roman" w:cs="Times New Roman"/>
        </w:rPr>
        <w:t xml:space="preserve">to </w:t>
      </w:r>
      <w:r w:rsidRPr="00EA1FFF">
        <w:rPr>
          <w:rFonts w:ascii="Times New Roman" w:hAnsi="Times New Roman" w:cs="Times New Roman"/>
        </w:rPr>
        <w:t xml:space="preserve">inverse PCR. Primers </w:t>
      </w:r>
      <w:r w:rsidRPr="00294E29">
        <w:rPr>
          <w:rFonts w:ascii="Times New Roman" w:hAnsi="Times New Roman" w:cs="Times New Roman"/>
        </w:rPr>
        <w:t xml:space="preserve">RMC708 and 709 </w:t>
      </w:r>
      <w:r w:rsidRPr="00EA1FFF">
        <w:rPr>
          <w:rFonts w:ascii="Times New Roman" w:hAnsi="Times New Roman" w:cs="Times New Roman"/>
        </w:rPr>
        <w:t>were used to introduce a substitution mutation within the</w:t>
      </w:r>
      <w:r>
        <w:rPr>
          <w:rFonts w:ascii="Times New Roman" w:hAnsi="Times New Roman" w:cs="Times New Roman"/>
        </w:rPr>
        <w:t xml:space="preserve"> HD domain </w:t>
      </w:r>
      <w:r w:rsidRPr="00D571DD">
        <w:rPr>
          <w:rFonts w:ascii="Times New Roman" w:hAnsi="Times New Roman" w:cs="Times New Roman"/>
          <w:b/>
          <w:bCs/>
        </w:rPr>
        <w:t xml:space="preserve">(Fig. </w:t>
      </w:r>
      <w:r>
        <w:rPr>
          <w:rFonts w:ascii="Times New Roman" w:hAnsi="Times New Roman" w:cs="Times New Roman"/>
          <w:b/>
          <w:bCs/>
        </w:rPr>
        <w:t>3.3.1c</w:t>
      </w:r>
      <w:r w:rsidRPr="00D571DD">
        <w:rPr>
          <w:rFonts w:ascii="Times New Roman" w:hAnsi="Times New Roman" w:cs="Times New Roman"/>
          <w:b/>
          <w:bCs/>
        </w:rPr>
        <w:t>)</w:t>
      </w:r>
      <w:r w:rsidRPr="00EA1FFF">
        <w:rPr>
          <w:rFonts w:ascii="Times New Roman" w:hAnsi="Times New Roman" w:cs="Times New Roman"/>
        </w:rPr>
        <w:t>. The histidine and aspartate residues crucial for HD domain activit</w:t>
      </w:r>
      <w:r>
        <w:rPr>
          <w:rFonts w:ascii="Times New Roman" w:hAnsi="Times New Roman" w:cs="Times New Roman"/>
        </w:rPr>
        <w:t xml:space="preserve">y </w:t>
      </w:r>
      <w:r w:rsidRPr="00983193">
        <w:rPr>
          <w:rFonts w:ascii="Times New Roman" w:hAnsi="Times New Roman" w:cs="Times New Roman"/>
          <w:b/>
          <w:bCs/>
        </w:rPr>
        <w:fldChar w:fldCharType="begin"/>
      </w:r>
      <w:r w:rsidRPr="00983193">
        <w:rPr>
          <w:rFonts w:ascii="Times New Roman" w:hAnsi="Times New Roman" w:cs="Times New Roman"/>
          <w:b/>
          <w:bCs/>
        </w:rPr>
        <w:instrText xml:space="preserve"> ADDIN EN.CITE &lt;EndNote&gt;&lt;Cite&gt;&lt;Author&gt;Aravind&lt;/Author&gt;&lt;Year&gt;1998&lt;/Year&gt;&lt;IDText&gt;The HD domain defines a new superfamily of metal-dependent phosphohydrolases&lt;/IDText&gt;&lt;DisplayText&gt;(Aravind and Koonin, 1998)&lt;/DisplayText&gt;&lt;record&gt;&lt;dates&gt;&lt;pub-dates&gt;&lt;date&gt;Dec&lt;/date&gt;&lt;/pub-dates&gt;&lt;year&gt;1998&lt;/year&gt;&lt;/dates&gt;&lt;urls&gt;&lt;related-urls&gt;&lt;url&gt;&amp;lt;Go to ISI&amp;gt;://WOS:000077507300009&lt;/url&gt;&lt;/related-urls&gt;&lt;/urls&gt;&lt;isbn&gt;0968-0004&lt;/isbn&gt;&lt;titles&gt;&lt;title&gt;The HD domain defines a new superfamily of metal-dependent phosphohydrolases&lt;/title&gt;&lt;secondary-title&gt;Trends in Biochemical Sciences&lt;/secondary-title&gt;&lt;/titles&gt;&lt;pages&gt;469-472&lt;/pages&gt;&lt;number&gt;12&lt;/number&gt;&lt;contributors&gt;&lt;authors&gt;&lt;author&gt;Aravind, L.&lt;/author&gt;&lt;author&gt;Koonin, E. V.&lt;/author&gt;&lt;/authors&gt;&lt;/contributors&gt;&lt;added-date format="utc"&gt;1663613327&lt;/added-date&gt;&lt;ref-type name="Journal Article"&gt;17&lt;/ref-type&gt;&lt;rec-number&gt;74&lt;/rec-number&gt;&lt;last-updated-date format="utc"&gt;1663624413&lt;/last-updated-date&gt;&lt;accession-num&gt;WOS:000077507300009&lt;/accession-num&gt;&lt;electronic-resource-num&gt;10.1016/s0968-0004(98)01293-6&lt;/electronic-resource-num&gt;&lt;volume&gt;23&lt;/volume&gt;&lt;/record&gt;&lt;/Cite&gt;&lt;/EndNote&gt;</w:instrText>
      </w:r>
      <w:r w:rsidRPr="00983193">
        <w:rPr>
          <w:rFonts w:ascii="Times New Roman" w:hAnsi="Times New Roman" w:cs="Times New Roman"/>
          <w:b/>
          <w:bCs/>
        </w:rPr>
        <w:fldChar w:fldCharType="separate"/>
      </w:r>
      <w:r w:rsidRPr="00983193">
        <w:rPr>
          <w:rFonts w:ascii="Times New Roman" w:hAnsi="Times New Roman" w:cs="Times New Roman"/>
          <w:b/>
          <w:bCs/>
          <w:noProof/>
        </w:rPr>
        <w:t>(Aravind and Koonin, 1998)</w:t>
      </w:r>
      <w:r w:rsidRPr="00983193">
        <w:rPr>
          <w:rFonts w:ascii="Times New Roman" w:hAnsi="Times New Roman" w:cs="Times New Roman"/>
          <w:b/>
          <w:bCs/>
        </w:rPr>
        <w:fldChar w:fldCharType="end"/>
      </w:r>
      <w:r w:rsidRPr="00EA1FFF">
        <w:rPr>
          <w:rFonts w:ascii="Times New Roman" w:hAnsi="Times New Roman" w:cs="Times New Roman"/>
        </w:rPr>
        <w:t>, were substituted for alanine and serine</w:t>
      </w:r>
      <w:r>
        <w:rPr>
          <w:rFonts w:ascii="Times New Roman" w:hAnsi="Times New Roman" w:cs="Times New Roman"/>
        </w:rPr>
        <w:t xml:space="preserve"> </w:t>
      </w:r>
      <w:r w:rsidRPr="00D571DD">
        <w:rPr>
          <w:rFonts w:ascii="Times New Roman" w:hAnsi="Times New Roman" w:cs="Times New Roman"/>
          <w:b/>
          <w:bCs/>
        </w:rPr>
        <w:t xml:space="preserve">(Fig. </w:t>
      </w:r>
      <w:r>
        <w:rPr>
          <w:rFonts w:ascii="Times New Roman" w:hAnsi="Times New Roman" w:cs="Times New Roman"/>
          <w:b/>
          <w:bCs/>
        </w:rPr>
        <w:t>3.3.1c</w:t>
      </w:r>
      <w:r w:rsidRPr="00D571DD">
        <w:rPr>
          <w:rFonts w:ascii="Times New Roman" w:hAnsi="Times New Roman" w:cs="Times New Roman"/>
          <w:b/>
          <w:bCs/>
        </w:rPr>
        <w:t>).</w:t>
      </w:r>
      <w:r w:rsidRPr="00EA1FFF">
        <w:rPr>
          <w:rFonts w:ascii="Times New Roman" w:hAnsi="Times New Roman" w:cs="Times New Roman"/>
        </w:rPr>
        <w:t xml:space="preserve"> This </w:t>
      </w:r>
      <w:r>
        <w:rPr>
          <w:rFonts w:ascii="Times New Roman" w:hAnsi="Times New Roman" w:cs="Times New Roman"/>
        </w:rPr>
        <w:t>plasmid D</w:t>
      </w:r>
      <w:r w:rsidRPr="00EA1FFF">
        <w:rPr>
          <w:rFonts w:ascii="Times New Roman" w:hAnsi="Times New Roman" w:cs="Times New Roman"/>
        </w:rPr>
        <w:t xml:space="preserve">NA was transformed into </w:t>
      </w:r>
      <w:r w:rsidRPr="00EA1FFF">
        <w:rPr>
          <w:rFonts w:ascii="Times New Roman" w:hAnsi="Times New Roman" w:cs="Times New Roman"/>
          <w:i/>
          <w:iCs/>
        </w:rPr>
        <w:t>E. coli</w:t>
      </w:r>
      <w:r w:rsidRPr="00EA1FFF">
        <w:rPr>
          <w:rFonts w:ascii="Times New Roman" w:hAnsi="Times New Roman" w:cs="Times New Roman"/>
        </w:rPr>
        <w:t xml:space="preserve"> XL1 Blue and the HD mutation was verified by sequencing, resulting in an over</w:t>
      </w:r>
      <w:r>
        <w:rPr>
          <w:rFonts w:ascii="Times New Roman" w:hAnsi="Times New Roman" w:cs="Times New Roman"/>
        </w:rPr>
        <w:t>production</w:t>
      </w:r>
      <w:r w:rsidRPr="00EA1FFF">
        <w:rPr>
          <w:rFonts w:ascii="Times New Roman" w:hAnsi="Times New Roman" w:cs="Times New Roman"/>
        </w:rPr>
        <w:t xml:space="preserve"> plasmid expressing the NTD </w:t>
      </w:r>
      <w:r>
        <w:rPr>
          <w:rFonts w:ascii="Times New Roman" w:hAnsi="Times New Roman" w:cs="Times New Roman"/>
        </w:rPr>
        <w:t xml:space="preserve">of </w:t>
      </w:r>
      <w:r>
        <w:rPr>
          <w:rFonts w:ascii="Times New Roman" w:hAnsi="Times New Roman" w:cs="Times New Roman"/>
          <w:i/>
          <w:iCs/>
        </w:rPr>
        <w:t xml:space="preserve">rel </w:t>
      </w:r>
      <w:r w:rsidRPr="00EA1FFF">
        <w:rPr>
          <w:rFonts w:ascii="Times New Roman" w:hAnsi="Times New Roman" w:cs="Times New Roman"/>
        </w:rPr>
        <w:t>with a non-functional HD domain.</w:t>
      </w:r>
      <w:r>
        <w:rPr>
          <w:rFonts w:ascii="Times New Roman" w:hAnsi="Times New Roman" w:cs="Times New Roman"/>
        </w:rPr>
        <w:t xml:space="preserve"> </w:t>
      </w:r>
    </w:p>
    <w:p w14:paraId="551A1F99" w14:textId="11116EA1" w:rsidR="00187693" w:rsidRDefault="00187693" w:rsidP="00187693">
      <w:pPr>
        <w:pStyle w:val="Heading3"/>
        <w:rPr>
          <w:i/>
          <w:iCs/>
        </w:rPr>
      </w:pPr>
      <w:bookmarkStart w:id="126" w:name="_Toc142043629"/>
      <w:r>
        <w:t xml:space="preserve">3.3.3. Introducing the (p)ppGpp-overproducing </w:t>
      </w:r>
      <w:r w:rsidR="005C546F">
        <w:t xml:space="preserve">construct </w:t>
      </w:r>
      <w:r>
        <w:t xml:space="preserve">into </w:t>
      </w:r>
      <w:r>
        <w:rPr>
          <w:i/>
          <w:iCs/>
        </w:rPr>
        <w:t>S. aureus</w:t>
      </w:r>
      <w:bookmarkEnd w:id="126"/>
    </w:p>
    <w:p w14:paraId="663B22C5" w14:textId="77777777" w:rsidR="00187693" w:rsidRPr="0093241B" w:rsidRDefault="00187693" w:rsidP="00187693">
      <w:pPr>
        <w:pStyle w:val="no4"/>
      </w:pPr>
    </w:p>
    <w:p w14:paraId="05B1D8E1" w14:textId="77777777" w:rsidR="00187693" w:rsidRDefault="00187693" w:rsidP="00187693">
      <w:pPr>
        <w:spacing w:line="360" w:lineRule="auto"/>
        <w:jc w:val="both"/>
        <w:rPr>
          <w:rFonts w:ascii="Times New Roman" w:hAnsi="Times New Roman" w:cs="Times New Roman"/>
        </w:rPr>
      </w:pPr>
      <w:r w:rsidRPr="00EA1FFF">
        <w:rPr>
          <w:rFonts w:ascii="Times New Roman" w:hAnsi="Times New Roman" w:cs="Times New Roman"/>
          <w:color w:val="000000" w:themeColor="text1"/>
        </w:rPr>
        <w:t xml:space="preserve">The vectors containing the mutated NTD </w:t>
      </w:r>
      <w:r>
        <w:rPr>
          <w:rFonts w:ascii="Times New Roman" w:hAnsi="Times New Roman" w:cs="Times New Roman"/>
          <w:color w:val="000000" w:themeColor="text1"/>
        </w:rPr>
        <w:t>were</w:t>
      </w:r>
      <w:r w:rsidRPr="00EA1FFF">
        <w:rPr>
          <w:rFonts w:ascii="Times New Roman" w:hAnsi="Times New Roman" w:cs="Times New Roman"/>
          <w:color w:val="000000" w:themeColor="text1"/>
        </w:rPr>
        <w:t xml:space="preserve"> introduced into </w:t>
      </w:r>
      <w:r w:rsidRPr="00EA1FFF">
        <w:rPr>
          <w:rFonts w:ascii="Times New Roman" w:hAnsi="Times New Roman" w:cs="Times New Roman"/>
          <w:i/>
          <w:iCs/>
          <w:color w:val="000000" w:themeColor="text1"/>
        </w:rPr>
        <w:t>S. aureus</w:t>
      </w:r>
      <w:r w:rsidRPr="00EA1FFF">
        <w:rPr>
          <w:rFonts w:ascii="Times New Roman" w:hAnsi="Times New Roman" w:cs="Times New Roman"/>
          <w:color w:val="000000" w:themeColor="text1"/>
        </w:rPr>
        <w:t xml:space="preserve"> to create the over</w:t>
      </w:r>
      <w:r>
        <w:rPr>
          <w:rFonts w:ascii="Times New Roman" w:hAnsi="Times New Roman" w:cs="Times New Roman"/>
          <w:color w:val="000000" w:themeColor="text1"/>
        </w:rPr>
        <w:t>production</w:t>
      </w:r>
      <w:r w:rsidRPr="00EA1FFF">
        <w:rPr>
          <w:rFonts w:ascii="Times New Roman" w:hAnsi="Times New Roman" w:cs="Times New Roman"/>
          <w:color w:val="000000" w:themeColor="text1"/>
        </w:rPr>
        <w:t xml:space="preserve"> strains.</w:t>
      </w:r>
      <w:r>
        <w:rPr>
          <w:rFonts w:ascii="Times New Roman" w:hAnsi="Times New Roman" w:cs="Times New Roman"/>
          <w:color w:val="000000" w:themeColor="text1"/>
        </w:rPr>
        <w:t xml:space="preserve"> </w:t>
      </w:r>
      <w:r w:rsidRPr="00EA1FFF">
        <w:rPr>
          <w:rFonts w:ascii="Times New Roman" w:hAnsi="Times New Roman" w:cs="Times New Roman"/>
          <w:color w:val="000000" w:themeColor="text1"/>
        </w:rPr>
        <w:t xml:space="preserve">To do this, plasmid DNA extracted from </w:t>
      </w:r>
      <w:r>
        <w:rPr>
          <w:rFonts w:ascii="Times New Roman" w:hAnsi="Times New Roman" w:cs="Times New Roman"/>
          <w:i/>
          <w:iCs/>
        </w:rPr>
        <w:t xml:space="preserve">E. </w:t>
      </w:r>
      <w:r w:rsidRPr="001E0353">
        <w:rPr>
          <w:rFonts w:ascii="Times New Roman" w:hAnsi="Times New Roman" w:cs="Times New Roman"/>
          <w:i/>
          <w:iCs/>
        </w:rPr>
        <w:t>coli</w:t>
      </w:r>
      <w:r>
        <w:rPr>
          <w:rFonts w:ascii="Times New Roman" w:hAnsi="Times New Roman" w:cs="Times New Roman"/>
          <w:i/>
          <w:iCs/>
        </w:rPr>
        <w:t xml:space="preserve"> </w:t>
      </w:r>
      <w:r>
        <w:rPr>
          <w:rFonts w:ascii="Times New Roman" w:hAnsi="Times New Roman" w:cs="Times New Roman"/>
        </w:rPr>
        <w:t xml:space="preserve">strains containing the </w:t>
      </w:r>
      <w:r w:rsidRPr="00EA1FFF">
        <w:rPr>
          <w:rFonts w:ascii="Times New Roman" w:hAnsi="Times New Roman" w:cs="Times New Roman"/>
        </w:rPr>
        <w:t>over</w:t>
      </w:r>
      <w:r>
        <w:rPr>
          <w:rFonts w:ascii="Times New Roman" w:hAnsi="Times New Roman" w:cs="Times New Roman"/>
        </w:rPr>
        <w:t>production</w:t>
      </w:r>
      <w:r w:rsidRPr="00EA1FFF">
        <w:rPr>
          <w:rFonts w:ascii="Times New Roman" w:hAnsi="Times New Roman" w:cs="Times New Roman"/>
        </w:rPr>
        <w:t xml:space="preserve"> plasmid expressing the NTD</w:t>
      </w:r>
      <w:r>
        <w:rPr>
          <w:rFonts w:ascii="Times New Roman" w:hAnsi="Times New Roman" w:cs="Times New Roman"/>
        </w:rPr>
        <w:t xml:space="preserve"> with and without his-tag and</w:t>
      </w:r>
      <w:r w:rsidRPr="00EA1FFF">
        <w:rPr>
          <w:rFonts w:ascii="Times New Roman" w:hAnsi="Times New Roman" w:cs="Times New Roman"/>
        </w:rPr>
        <w:t xml:space="preserve"> </w:t>
      </w:r>
      <w:r>
        <w:rPr>
          <w:rFonts w:ascii="Times New Roman" w:hAnsi="Times New Roman" w:cs="Times New Roman"/>
        </w:rPr>
        <w:t xml:space="preserve">with a non-functional HD domain </w:t>
      </w:r>
      <w:r w:rsidRPr="001E0353">
        <w:rPr>
          <w:rFonts w:ascii="Times New Roman" w:hAnsi="Times New Roman" w:cs="Times New Roman"/>
        </w:rPr>
        <w:t>was</w:t>
      </w:r>
      <w:r>
        <w:rPr>
          <w:rFonts w:ascii="Times New Roman" w:hAnsi="Times New Roman" w:cs="Times New Roman"/>
        </w:rPr>
        <w:t xml:space="preserve"> </w:t>
      </w:r>
      <w:r w:rsidRPr="00EA1FFF">
        <w:rPr>
          <w:rFonts w:ascii="Times New Roman" w:hAnsi="Times New Roman" w:cs="Times New Roman"/>
        </w:rPr>
        <w:t xml:space="preserve">electroporated into </w:t>
      </w:r>
      <w:r w:rsidRPr="00EA1FFF">
        <w:rPr>
          <w:rFonts w:ascii="Times New Roman" w:hAnsi="Times New Roman" w:cs="Times New Roman"/>
          <w:i/>
          <w:iCs/>
        </w:rPr>
        <w:t xml:space="preserve">S. aureus </w:t>
      </w:r>
      <w:r w:rsidRPr="00EA1FFF">
        <w:rPr>
          <w:rFonts w:ascii="Times New Roman" w:hAnsi="Times New Roman" w:cs="Times New Roman"/>
        </w:rPr>
        <w:t>RN4220</w:t>
      </w:r>
      <w:r>
        <w:rPr>
          <w:rFonts w:ascii="Times New Roman" w:hAnsi="Times New Roman" w:cs="Times New Roman"/>
        </w:rPr>
        <w:t xml:space="preserve">. </w:t>
      </w:r>
      <w:r w:rsidRPr="00074955">
        <w:rPr>
          <w:rFonts w:ascii="Times New Roman" w:hAnsi="Times New Roman" w:cs="Times New Roman"/>
          <w:color w:val="000000" w:themeColor="text1"/>
        </w:rPr>
        <w:t xml:space="preserve">RN4220 is a restriction-deficient derivative of </w:t>
      </w:r>
      <w:r w:rsidRPr="00074955">
        <w:rPr>
          <w:rFonts w:ascii="Times New Roman" w:hAnsi="Times New Roman" w:cs="Times New Roman"/>
          <w:i/>
          <w:iCs/>
          <w:color w:val="000000" w:themeColor="text1"/>
        </w:rPr>
        <w:t>S. aureus</w:t>
      </w:r>
      <w:r w:rsidRPr="00074955">
        <w:rPr>
          <w:rFonts w:ascii="Times New Roman" w:hAnsi="Times New Roman" w:cs="Times New Roman"/>
          <w:color w:val="000000" w:themeColor="text1"/>
        </w:rPr>
        <w:t xml:space="preserve"> NCTC 8325-4 that is useful for cloning </w:t>
      </w:r>
      <w:r w:rsidRPr="00074955">
        <w:rPr>
          <w:rFonts w:ascii="Times New Roman" w:hAnsi="Times New Roman" w:cs="Times New Roman"/>
          <w:b/>
          <w:bCs/>
          <w:color w:val="000000" w:themeColor="text1"/>
        </w:rPr>
        <w:fldChar w:fldCharType="begin"/>
      </w:r>
      <w:r w:rsidRPr="00074955">
        <w:rPr>
          <w:rFonts w:ascii="Times New Roman" w:hAnsi="Times New Roman" w:cs="Times New Roman"/>
          <w:b/>
          <w:bCs/>
          <w:color w:val="000000" w:themeColor="text1"/>
        </w:rPr>
        <w:instrText xml:space="preserve"> ADDIN EN.CITE &lt;EndNote&gt;&lt;Cite&gt;&lt;Author&gt;Kreiswirth&lt;/Author&gt;&lt;Year&gt;1983&lt;/Year&gt;&lt;IDText&gt;The toxic shock syndrome exotoxin structural&lt;/IDText&gt;&lt;DisplayText&gt;(Kreiswirth&lt;style face="italic"&gt; et al.&lt;/style&gt;, 1983)&lt;/DisplayText&gt;&lt;record&gt;&lt;titles&gt;&lt;title&gt;The toxic shock syndrome exotoxin structural&amp;#xA;gene is not detectably transmitted by a prophage. &lt;/title&gt;&lt;secondary-title&gt;Nature&lt;/secondary-title&gt;&lt;/titles&gt;&lt;pages&gt;709-712&lt;/pages&gt;&lt;contributors&gt;&lt;authors&gt;&lt;author&gt;Kreiswirth, Barry N&lt;/author&gt;&lt;author&gt;Lofdahl, Sven&lt;/author&gt;&lt;author&gt;Betley, Marsha J&lt;/author&gt;&lt;author&gt;O&amp;apos;Reilly, Mary&lt;/author&gt;&lt;author&gt;Schlievert, Patrick M&lt;/author&gt;&lt;author&gt;Bergdoll, Merlin S&lt;/author&gt;&lt;author&gt;Novick, Richard P&lt;/author&gt;&lt;/authors&gt;&lt;/contributors&gt;&lt;added-date format="utc"&gt;1663612330&lt;/added-date&gt;&lt;ref-type name="Journal Article"&gt;17&lt;/ref-type&gt;&lt;dates&gt;&lt;year&gt;1983&lt;/year&gt;&lt;/dates&gt;&lt;rec-number&gt;65&lt;/rec-number&gt;&lt;last-updated-date format="utc"&gt;1663624413&lt;/last-updated-date&gt;&lt;volume&gt;305&lt;/volume&gt;&lt;/record&gt;&lt;/Cite&gt;&lt;/EndNote&gt;</w:instrText>
      </w:r>
      <w:r w:rsidRPr="00074955">
        <w:rPr>
          <w:rFonts w:ascii="Times New Roman" w:hAnsi="Times New Roman" w:cs="Times New Roman"/>
          <w:b/>
          <w:bCs/>
          <w:color w:val="000000" w:themeColor="text1"/>
        </w:rPr>
        <w:fldChar w:fldCharType="separate"/>
      </w:r>
      <w:r w:rsidRPr="00074955">
        <w:rPr>
          <w:rFonts w:ascii="Times New Roman" w:hAnsi="Times New Roman" w:cs="Times New Roman"/>
          <w:b/>
          <w:bCs/>
          <w:noProof/>
          <w:color w:val="000000" w:themeColor="text1"/>
        </w:rPr>
        <w:t>(Kreiswirth</w:t>
      </w:r>
      <w:r w:rsidRPr="00074955">
        <w:rPr>
          <w:rFonts w:ascii="Times New Roman" w:hAnsi="Times New Roman" w:cs="Times New Roman"/>
          <w:b/>
          <w:bCs/>
          <w:i/>
          <w:noProof/>
          <w:color w:val="000000" w:themeColor="text1"/>
        </w:rPr>
        <w:t xml:space="preserve"> et al.</w:t>
      </w:r>
      <w:r w:rsidRPr="00074955">
        <w:rPr>
          <w:rFonts w:ascii="Times New Roman" w:hAnsi="Times New Roman" w:cs="Times New Roman"/>
          <w:b/>
          <w:bCs/>
          <w:noProof/>
          <w:color w:val="000000" w:themeColor="text1"/>
        </w:rPr>
        <w:t>, 1983)</w:t>
      </w:r>
      <w:r w:rsidRPr="00074955">
        <w:rPr>
          <w:rFonts w:ascii="Times New Roman" w:hAnsi="Times New Roman" w:cs="Times New Roman"/>
          <w:b/>
          <w:bCs/>
          <w:color w:val="000000" w:themeColor="text1"/>
        </w:rPr>
        <w:fldChar w:fldCharType="end"/>
      </w:r>
      <w:r>
        <w:rPr>
          <w:rFonts w:ascii="Times New Roman" w:hAnsi="Times New Roman" w:cs="Times New Roman"/>
          <w:b/>
          <w:bCs/>
          <w:color w:val="000000" w:themeColor="text1"/>
        </w:rPr>
        <w:t>.</w:t>
      </w:r>
      <w:r>
        <w:rPr>
          <w:rFonts w:ascii="Times New Roman" w:hAnsi="Times New Roman" w:cs="Times New Roman"/>
          <w:color w:val="000000" w:themeColor="text1"/>
        </w:rPr>
        <w:t xml:space="preserve"> </w:t>
      </w:r>
      <w:r w:rsidRPr="00074955">
        <w:rPr>
          <w:rFonts w:ascii="Times New Roman" w:hAnsi="Times New Roman" w:cs="Times New Roman"/>
          <w:color w:val="000000" w:themeColor="text1"/>
        </w:rPr>
        <w:t xml:space="preserve">DNA isolated from RN4220 can </w:t>
      </w:r>
      <w:r>
        <w:rPr>
          <w:rFonts w:ascii="Times New Roman" w:hAnsi="Times New Roman" w:cs="Times New Roman"/>
          <w:color w:val="000000" w:themeColor="text1"/>
        </w:rPr>
        <w:t>easily</w:t>
      </w:r>
      <w:r w:rsidRPr="00074955">
        <w:rPr>
          <w:rFonts w:ascii="Times New Roman" w:hAnsi="Times New Roman" w:cs="Times New Roman"/>
          <w:color w:val="000000" w:themeColor="text1"/>
        </w:rPr>
        <w:t xml:space="preserve"> be transduced into other </w:t>
      </w:r>
      <w:r w:rsidRPr="00074955">
        <w:rPr>
          <w:rFonts w:ascii="Times New Roman" w:hAnsi="Times New Roman" w:cs="Times New Roman"/>
          <w:i/>
          <w:iCs/>
          <w:color w:val="000000" w:themeColor="text1"/>
        </w:rPr>
        <w:t>S. aureus</w:t>
      </w:r>
      <w:r w:rsidRPr="0007495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strains as the DNA </w:t>
      </w:r>
      <w:r w:rsidRPr="00074955">
        <w:rPr>
          <w:rFonts w:ascii="Times New Roman" w:hAnsi="Times New Roman" w:cs="Times New Roman"/>
          <w:color w:val="000000" w:themeColor="text1"/>
        </w:rPr>
        <w:t xml:space="preserve">will not be recognised as foreign </w:t>
      </w:r>
      <w:r>
        <w:rPr>
          <w:rFonts w:ascii="Times New Roman" w:hAnsi="Times New Roman" w:cs="Times New Roman"/>
          <w:color w:val="000000" w:themeColor="text1"/>
        </w:rPr>
        <w:t xml:space="preserve">due to methylation in the absence of restriction enzymes </w:t>
      </w:r>
      <w:r w:rsidRPr="00C53E6F">
        <w:rPr>
          <w:rFonts w:ascii="Times New Roman" w:hAnsi="Times New Roman" w:cs="Times New Roman"/>
          <w:b/>
          <w:bCs/>
          <w:color w:val="000000" w:themeColor="text1"/>
        </w:rPr>
        <w:fldChar w:fldCharType="begin"/>
      </w:r>
      <w:r w:rsidRPr="00C53E6F">
        <w:rPr>
          <w:rFonts w:ascii="Times New Roman" w:hAnsi="Times New Roman" w:cs="Times New Roman"/>
          <w:b/>
          <w:bCs/>
          <w:color w:val="000000" w:themeColor="text1"/>
        </w:rPr>
        <w:instrText xml:space="preserve"> ADDIN EN.CITE &lt;EndNote&gt;&lt;Cite&gt;&lt;Author&gt;Monk&lt;/Author&gt;&lt;Year&gt;2015&lt;/Year&gt;&lt;IDText&gt;Complete Bypass of Restriction Systems for Major Staphylococcus aureus Lineages&lt;/IDText&gt;&lt;DisplayText&gt;(Monk&lt;style face="italic"&gt; et al.&lt;/style&gt;, 2015)&lt;/DisplayText&gt;&lt;record&gt;&lt;dates&gt;&lt;pub-dates&gt;&lt;date&gt;May-Jun&lt;/date&gt;&lt;/pub-dates&gt;&lt;year&gt;2015&lt;/year&gt;&lt;/dates&gt;&lt;urls&gt;&lt;related-urls&gt;&lt;url&gt;&amp;lt;Go to ISI&amp;gt;://WOS:000357867400018&lt;/url&gt;&lt;/related-urls&gt;&lt;/urls&gt;&lt;isbn&gt;2150-7511&lt;/isbn&gt;&lt;titles&gt;&lt;title&gt;Complete Bypass of Restriction Systems for Major Staphylococcus aureus Lineages&lt;/title&gt;&lt;secondary-title&gt;Mbio&lt;/secondary-title&gt;&lt;/titles&gt;&lt;number&gt;3&lt;/number&gt;&lt;contributors&gt;&lt;authors&gt;&lt;author&gt;Monk, Ian R.&lt;/author&gt;&lt;author&gt;Tree, Jai J.&lt;/author&gt;&lt;author&gt;Howden, Benjamin P.&lt;/author&gt;&lt;author&gt;Stinear, Timothy P.&lt;/author&gt;&lt;author&gt;Foster, Timothy J.&lt;/author&gt;&lt;/authors&gt;&lt;/contributors&gt;&lt;custom7&gt;e00308-15&lt;/custom7&gt;&lt;added-date format="utc"&gt;1664027803&lt;/added-date&gt;&lt;ref-type name="Journal Article"&gt;17&lt;/ref-type&gt;&lt;rec-number&gt;163&lt;/rec-number&gt;&lt;last-updated-date format="utc"&gt;1664027853&lt;/last-updated-date&gt;&lt;accession-num&gt;WOS:000357867400018&lt;/accession-num&gt;&lt;electronic-resource-num&gt;10.1128/mBio.00308-15&lt;/electronic-resource-num&gt;&lt;volume&gt;6&lt;/volume&gt;&lt;/record&gt;&lt;/Cite&gt;&lt;/EndNote&gt;</w:instrText>
      </w:r>
      <w:r w:rsidRPr="00C53E6F">
        <w:rPr>
          <w:rFonts w:ascii="Times New Roman" w:hAnsi="Times New Roman" w:cs="Times New Roman"/>
          <w:b/>
          <w:bCs/>
          <w:color w:val="000000" w:themeColor="text1"/>
        </w:rPr>
        <w:fldChar w:fldCharType="separate"/>
      </w:r>
      <w:r w:rsidRPr="00C53E6F">
        <w:rPr>
          <w:rFonts w:ascii="Times New Roman" w:hAnsi="Times New Roman" w:cs="Times New Roman"/>
          <w:b/>
          <w:bCs/>
          <w:noProof/>
          <w:color w:val="000000" w:themeColor="text1"/>
        </w:rPr>
        <w:t>(Monk</w:t>
      </w:r>
      <w:r w:rsidRPr="00C53E6F">
        <w:rPr>
          <w:rFonts w:ascii="Times New Roman" w:hAnsi="Times New Roman" w:cs="Times New Roman"/>
          <w:b/>
          <w:bCs/>
          <w:i/>
          <w:noProof/>
          <w:color w:val="000000" w:themeColor="text1"/>
        </w:rPr>
        <w:t xml:space="preserve"> et al.</w:t>
      </w:r>
      <w:r w:rsidRPr="00C53E6F">
        <w:rPr>
          <w:rFonts w:ascii="Times New Roman" w:hAnsi="Times New Roman" w:cs="Times New Roman"/>
          <w:b/>
          <w:bCs/>
          <w:noProof/>
          <w:color w:val="000000" w:themeColor="text1"/>
        </w:rPr>
        <w:t>, 2015)</w:t>
      </w:r>
      <w:r w:rsidRPr="00C53E6F">
        <w:rPr>
          <w:rFonts w:ascii="Times New Roman" w:hAnsi="Times New Roman" w:cs="Times New Roman"/>
          <w:b/>
          <w:bCs/>
          <w:color w:val="000000" w:themeColor="text1"/>
        </w:rPr>
        <w:fldChar w:fldCharType="end"/>
      </w:r>
      <w:r w:rsidRPr="00074955">
        <w:rPr>
          <w:rFonts w:ascii="Times New Roman" w:hAnsi="Times New Roman" w:cs="Times New Roman"/>
          <w:color w:val="000000" w:themeColor="text1"/>
        </w:rPr>
        <w:t>.</w:t>
      </w:r>
      <w:r>
        <w:rPr>
          <w:rFonts w:ascii="Times New Roman" w:hAnsi="Times New Roman" w:cs="Times New Roman"/>
        </w:rPr>
        <w:t xml:space="preserve"> RN4220 </w:t>
      </w:r>
      <w:r w:rsidRPr="00EA1FFF">
        <w:rPr>
          <w:rFonts w:ascii="Times New Roman" w:hAnsi="Times New Roman" w:cs="Times New Roman"/>
        </w:rPr>
        <w:t>strains</w:t>
      </w:r>
      <w:r>
        <w:rPr>
          <w:rFonts w:ascii="Times New Roman" w:hAnsi="Times New Roman" w:cs="Times New Roman"/>
        </w:rPr>
        <w:t xml:space="preserve"> containing the overproduction plasmids</w:t>
      </w:r>
      <w:r w:rsidRPr="00EA1FFF">
        <w:rPr>
          <w:rFonts w:ascii="Times New Roman" w:hAnsi="Times New Roman" w:cs="Times New Roman"/>
        </w:rPr>
        <w:t xml:space="preserve"> were streaked on </w:t>
      </w:r>
      <w:r>
        <w:rPr>
          <w:rFonts w:ascii="Times New Roman" w:hAnsi="Times New Roman" w:cs="Times New Roman"/>
        </w:rPr>
        <w:t>tryptic soy agar (</w:t>
      </w:r>
      <w:r w:rsidRPr="00EA1FFF">
        <w:rPr>
          <w:rFonts w:ascii="Times New Roman" w:hAnsi="Times New Roman" w:cs="Times New Roman"/>
        </w:rPr>
        <w:t>TSA</w:t>
      </w:r>
      <w:r>
        <w:rPr>
          <w:rFonts w:ascii="Times New Roman" w:hAnsi="Times New Roman" w:cs="Times New Roman"/>
        </w:rPr>
        <w:t xml:space="preserve">) containing </w:t>
      </w:r>
      <w:r w:rsidRPr="00CD1625">
        <w:rPr>
          <w:rFonts w:ascii="Times New Roman" w:hAnsi="Times New Roman" w:cs="Times New Roman"/>
        </w:rPr>
        <w:t>1% egg yolk and 0.01% tellurite</w:t>
      </w:r>
      <w:r>
        <w:rPr>
          <w:rFonts w:ascii="Times New Roman" w:hAnsi="Times New Roman" w:cs="Times New Roman"/>
        </w:rPr>
        <w:t xml:space="preserve">. The presence of egg yolk allows the identification lipase-positive/negative colonies, indicated by the presence or absence of an opaque zone of clearance respectively. Potassium tellurite </w:t>
      </w:r>
      <w:r w:rsidRPr="002A1FFC">
        <w:rPr>
          <w:rFonts w:ascii="Times New Roman" w:hAnsi="Times New Roman" w:cs="Times New Roman"/>
        </w:rPr>
        <w:t>(</w:t>
      </w:r>
      <w:r>
        <w:rPr>
          <w:rFonts w:ascii="Times New Roman" w:hAnsi="Times New Roman" w:cs="Times New Roman"/>
        </w:rPr>
        <w:t>K</w:t>
      </w:r>
      <w:r>
        <w:rPr>
          <w:rFonts w:ascii="Times New Roman" w:hAnsi="Times New Roman" w:cs="Times New Roman"/>
          <w:vertAlign w:val="subscript"/>
        </w:rPr>
        <w:t>2</w:t>
      </w:r>
      <w:r w:rsidRPr="002A1FFC">
        <w:rPr>
          <w:rFonts w:ascii="Times New Roman" w:hAnsi="Times New Roman" w:cs="Times New Roman"/>
        </w:rPr>
        <w:t>TeO</w:t>
      </w:r>
      <w:r w:rsidRPr="002A1FFC">
        <w:rPr>
          <w:rFonts w:ascii="Times New Roman" w:hAnsi="Times New Roman" w:cs="Times New Roman"/>
          <w:vertAlign w:val="subscript"/>
        </w:rPr>
        <w:t>3</w:t>
      </w:r>
      <w:r w:rsidRPr="002A1FFC">
        <w:rPr>
          <w:rFonts w:ascii="Times New Roman" w:hAnsi="Times New Roman" w:cs="Times New Roman"/>
        </w:rPr>
        <w:t>)</w:t>
      </w:r>
      <w:r>
        <w:rPr>
          <w:rFonts w:ascii="Times New Roman" w:hAnsi="Times New Roman" w:cs="Times New Roman"/>
        </w:rPr>
        <w:t xml:space="preserve"> is a toxic tellurium-based compound used as a selective agent in differential media such as Baird Parker </w:t>
      </w:r>
      <w:r w:rsidRPr="00141AB6">
        <w:rPr>
          <w:rFonts w:ascii="Times New Roman" w:hAnsi="Times New Roman" w:cs="Times New Roman"/>
          <w:b/>
          <w:bCs/>
        </w:rPr>
        <w:fldChar w:fldCharType="begin"/>
      </w:r>
      <w:r w:rsidRPr="00141AB6">
        <w:rPr>
          <w:rFonts w:ascii="Times New Roman" w:hAnsi="Times New Roman" w:cs="Times New Roman"/>
          <w:b/>
          <w:bCs/>
        </w:rPr>
        <w:instrText xml:space="preserve"> ADDIN EN.CITE &lt;EndNote&gt;&lt;Cite&gt;&lt;Author&gt;Baird-Parker&lt;/Author&gt;&lt;Year&gt;1962&lt;/Year&gt;&lt;IDText&gt;An Improved Diagnostic and Selective Medium for Isolating Coagulase Positive Staphylococci&lt;/IDText&gt;&lt;DisplayText&gt;(Baird-Parker, 1962)&lt;/DisplayText&gt;&lt;record&gt;&lt;titles&gt;&lt;title&gt;An Improved Diagnostic and Selective Medium for Isolating Coagulase Positive Staphylococci&lt;/title&gt;&lt;secondary-title&gt;Journal of Applied Bacteriology&lt;/secondary-title&gt;&lt;/titles&gt;&lt;pages&gt;12-19&lt;/pages&gt;&lt;number&gt;1&lt;/number&gt;&lt;contributors&gt;&lt;authors&gt;&lt;author&gt;Baird-Parker, AC&lt;/author&gt;&lt;/authors&gt;&lt;/contributors&gt;&lt;added-date format="utc"&gt;1664125022&lt;/added-date&gt;&lt;ref-type name="Journal Article"&gt;17&lt;/ref-type&gt;&lt;dates&gt;&lt;year&gt;1962&lt;/year&gt;&lt;/dates&gt;&lt;rec-number&gt;167&lt;/rec-number&gt;&lt;last-updated-date format="utc"&gt;1664125157&lt;/last-updated-date&gt;&lt;volume&gt;25&lt;/volume&gt;&lt;/record&gt;&lt;/Cite&gt;&lt;/EndNote&gt;</w:instrText>
      </w:r>
      <w:r w:rsidRPr="00141AB6">
        <w:rPr>
          <w:rFonts w:ascii="Times New Roman" w:hAnsi="Times New Roman" w:cs="Times New Roman"/>
          <w:b/>
          <w:bCs/>
        </w:rPr>
        <w:fldChar w:fldCharType="separate"/>
      </w:r>
      <w:r w:rsidRPr="00141AB6">
        <w:rPr>
          <w:rFonts w:ascii="Times New Roman" w:hAnsi="Times New Roman" w:cs="Times New Roman"/>
          <w:b/>
          <w:bCs/>
          <w:noProof/>
        </w:rPr>
        <w:t>(Baird-Parker, 1962)</w:t>
      </w:r>
      <w:r w:rsidRPr="00141AB6">
        <w:rPr>
          <w:rFonts w:ascii="Times New Roman" w:hAnsi="Times New Roman" w:cs="Times New Roman"/>
          <w:b/>
          <w:bCs/>
        </w:rPr>
        <w:fldChar w:fldCharType="end"/>
      </w:r>
      <w:r>
        <w:rPr>
          <w:rFonts w:ascii="Times New Roman" w:hAnsi="Times New Roman" w:cs="Times New Roman"/>
        </w:rPr>
        <w:t xml:space="preserve">. Its presence allows for the identification of </w:t>
      </w:r>
      <w:r>
        <w:rPr>
          <w:rFonts w:ascii="Times New Roman" w:hAnsi="Times New Roman" w:cs="Times New Roman"/>
          <w:i/>
          <w:iCs/>
        </w:rPr>
        <w:t xml:space="preserve">S. aureus </w:t>
      </w:r>
      <w:r>
        <w:rPr>
          <w:rFonts w:ascii="Times New Roman" w:hAnsi="Times New Roman" w:cs="Times New Roman"/>
        </w:rPr>
        <w:t xml:space="preserve">as staphylococci are able to reduce tellurite to telluride, resulting in black colonies </w:t>
      </w:r>
      <w:r w:rsidRPr="00A23BE1">
        <w:rPr>
          <w:rFonts w:ascii="Times New Roman" w:hAnsi="Times New Roman" w:cs="Times New Roman"/>
          <w:b/>
          <w:bCs/>
        </w:rPr>
        <w:t>(Fig</w:t>
      </w:r>
      <w:r>
        <w:rPr>
          <w:rFonts w:ascii="Times New Roman" w:hAnsi="Times New Roman" w:cs="Times New Roman"/>
          <w:b/>
          <w:bCs/>
        </w:rPr>
        <w:t>.</w:t>
      </w:r>
      <w:r w:rsidRPr="00A23BE1">
        <w:rPr>
          <w:rFonts w:ascii="Times New Roman" w:hAnsi="Times New Roman" w:cs="Times New Roman"/>
          <w:b/>
          <w:bCs/>
        </w:rPr>
        <w:t xml:space="preserve"> 3.3.</w:t>
      </w:r>
      <w:r>
        <w:rPr>
          <w:rFonts w:ascii="Times New Roman" w:hAnsi="Times New Roman" w:cs="Times New Roman"/>
          <w:b/>
          <w:bCs/>
        </w:rPr>
        <w:t>2a</w:t>
      </w:r>
      <w:r w:rsidRPr="00A23BE1">
        <w:rPr>
          <w:rFonts w:ascii="Times New Roman" w:hAnsi="Times New Roman" w:cs="Times New Roman"/>
          <w:b/>
          <w:bCs/>
        </w:rPr>
        <w:t>)</w:t>
      </w:r>
      <w:r>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4C5EA19C" w14:textId="77777777" w:rsidTr="00A74445">
        <w:tc>
          <w:tcPr>
            <w:tcW w:w="9016" w:type="dxa"/>
          </w:tcPr>
          <w:p w14:paraId="12D9E624"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8511417" wp14:editId="797C784A">
                  <wp:extent cx="5700498" cy="6645349"/>
                  <wp:effectExtent l="0" t="0" r="0" b="3175"/>
                  <wp:docPr id="234192213" name="Picture 2341922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92213" name="Picture 234192213"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377" cy="6694169"/>
                          </a:xfrm>
                          <a:prstGeom prst="rect">
                            <a:avLst/>
                          </a:prstGeom>
                          <a:noFill/>
                        </pic:spPr>
                      </pic:pic>
                    </a:graphicData>
                  </a:graphic>
                </wp:inline>
              </w:drawing>
            </w:r>
          </w:p>
        </w:tc>
      </w:tr>
      <w:tr w:rsidR="00187693" w14:paraId="48E6DB95" w14:textId="77777777" w:rsidTr="00A74445">
        <w:tc>
          <w:tcPr>
            <w:tcW w:w="9016" w:type="dxa"/>
          </w:tcPr>
          <w:p w14:paraId="656AAFCB" w14:textId="77777777" w:rsidR="00187693" w:rsidRPr="002B53C5" w:rsidRDefault="00187693" w:rsidP="00A74445">
            <w:pPr>
              <w:jc w:val="both"/>
              <w:rPr>
                <w:rFonts w:ascii="Times New Roman" w:hAnsi="Times New Roman" w:cs="Times New Roman"/>
                <w:sz w:val="18"/>
                <w:szCs w:val="18"/>
              </w:rPr>
            </w:pPr>
            <w:r w:rsidRPr="002B53C5">
              <w:rPr>
                <w:rFonts w:ascii="Times New Roman" w:hAnsi="Times New Roman" w:cs="Times New Roman"/>
                <w:b/>
                <w:bCs/>
                <w:sz w:val="18"/>
                <w:szCs w:val="18"/>
              </w:rPr>
              <w:t>Figure 3.3.2. Mechanism and confirmation of the integration of the overproduction plasmids. a)</w:t>
            </w:r>
            <w:r>
              <w:rPr>
                <w:rFonts w:ascii="Times New Roman" w:hAnsi="Times New Roman" w:cs="Times New Roman"/>
                <w:b/>
                <w:bCs/>
                <w:sz w:val="18"/>
                <w:szCs w:val="18"/>
              </w:rPr>
              <w:t xml:space="preserve"> </w:t>
            </w:r>
            <w:r w:rsidRPr="00BE620C">
              <w:rPr>
                <w:rFonts w:ascii="Times New Roman" w:hAnsi="Times New Roman" w:cs="Times New Roman"/>
                <w:sz w:val="18"/>
                <w:szCs w:val="18"/>
              </w:rPr>
              <w:t>Schematic of an egg yolk tellurite plate.</w:t>
            </w:r>
            <w:r w:rsidRPr="002B53C5">
              <w:rPr>
                <w:rFonts w:ascii="Times New Roman" w:hAnsi="Times New Roman" w:cs="Times New Roman"/>
                <w:b/>
                <w:bCs/>
                <w:sz w:val="18"/>
                <w:szCs w:val="18"/>
              </w:rPr>
              <w:t xml:space="preserve"> </w:t>
            </w:r>
            <w:r w:rsidRPr="002B53C5">
              <w:rPr>
                <w:rFonts w:ascii="Times New Roman" w:hAnsi="Times New Roman" w:cs="Times New Roman"/>
                <w:sz w:val="18"/>
                <w:szCs w:val="18"/>
              </w:rPr>
              <w:t xml:space="preserve">Overproduction strains in an RN4220 background were streaked on TSA containing 1% egg yolk and 0.01% potassium tellurite with lipase-positive RN4220 WT and lipase-negative RN4220 pCL55-iTET as controls. RN4220 with an intact </w:t>
            </w:r>
            <w:r w:rsidRPr="002B53C5">
              <w:rPr>
                <w:rFonts w:ascii="Times New Roman" w:hAnsi="Times New Roman" w:cs="Times New Roman"/>
                <w:i/>
                <w:iCs/>
                <w:sz w:val="18"/>
                <w:szCs w:val="18"/>
              </w:rPr>
              <w:t>geh</w:t>
            </w:r>
            <w:r w:rsidRPr="002B53C5">
              <w:rPr>
                <w:rFonts w:ascii="Times New Roman" w:hAnsi="Times New Roman" w:cs="Times New Roman"/>
                <w:sz w:val="18"/>
                <w:szCs w:val="18"/>
              </w:rPr>
              <w:t xml:space="preserve"> gene will demonstrate a zone of clearance, indicating hydrolysis of lipids in the egg yolk. Strains with a pCL55-iTET/pCL55-iTET</w:t>
            </w:r>
            <w:r w:rsidRPr="002B53C5">
              <w:rPr>
                <w:rFonts w:ascii="Times New Roman" w:hAnsi="Times New Roman" w:cs="Times New Roman"/>
                <w:sz w:val="18"/>
                <w:szCs w:val="18"/>
                <w:vertAlign w:val="subscript"/>
              </w:rPr>
              <w:t xml:space="preserve">r862 </w:t>
            </w:r>
            <w:r w:rsidRPr="002B53C5">
              <w:rPr>
                <w:rFonts w:ascii="Times New Roman" w:hAnsi="Times New Roman" w:cs="Times New Roman"/>
                <w:sz w:val="18"/>
                <w:szCs w:val="18"/>
              </w:rPr>
              <w:t xml:space="preserve">insertion into the </w:t>
            </w:r>
            <w:r w:rsidRPr="002B53C5">
              <w:rPr>
                <w:rFonts w:ascii="Times New Roman" w:hAnsi="Times New Roman" w:cs="Times New Roman"/>
                <w:i/>
                <w:iCs/>
                <w:sz w:val="18"/>
                <w:szCs w:val="18"/>
              </w:rPr>
              <w:t>geh</w:t>
            </w:r>
            <w:r w:rsidRPr="002B53C5">
              <w:rPr>
                <w:rFonts w:ascii="Times New Roman" w:hAnsi="Times New Roman" w:cs="Times New Roman"/>
                <w:sz w:val="18"/>
                <w:szCs w:val="18"/>
              </w:rPr>
              <w:t xml:space="preserve"> locus are unable to hydrolyse egg yolk lipids and therefore do not demonstrate a zone of clearance. Strains appear black due to the reduction of tellurite to telluride by </w:t>
            </w:r>
            <w:r w:rsidRPr="002B53C5">
              <w:rPr>
                <w:rFonts w:ascii="Times New Roman" w:hAnsi="Times New Roman" w:cs="Times New Roman"/>
                <w:i/>
                <w:iCs/>
                <w:sz w:val="18"/>
                <w:szCs w:val="18"/>
              </w:rPr>
              <w:t>S. aureus.</w:t>
            </w:r>
            <w:r w:rsidRPr="002B53C5">
              <w:rPr>
                <w:rFonts w:ascii="Times New Roman" w:hAnsi="Times New Roman" w:cs="Times New Roman"/>
                <w:sz w:val="18"/>
                <w:szCs w:val="18"/>
              </w:rPr>
              <w:t xml:space="preserve"> </w:t>
            </w:r>
            <w:r w:rsidRPr="002B53C5">
              <w:rPr>
                <w:rFonts w:ascii="Times New Roman" w:hAnsi="Times New Roman" w:cs="Times New Roman"/>
                <w:b/>
                <w:bCs/>
                <w:sz w:val="18"/>
                <w:szCs w:val="18"/>
              </w:rPr>
              <w:t xml:space="preserve">b) </w:t>
            </w:r>
            <w:r w:rsidRPr="002B53C5">
              <w:rPr>
                <w:rFonts w:ascii="Times New Roman" w:hAnsi="Times New Roman" w:cs="Times New Roman"/>
                <w:sz w:val="18"/>
                <w:szCs w:val="18"/>
              </w:rPr>
              <w:t>The pCL55-iTET/pCL55-iTET</w:t>
            </w:r>
            <w:r w:rsidRPr="002B53C5">
              <w:rPr>
                <w:rFonts w:ascii="Times New Roman" w:hAnsi="Times New Roman" w:cs="Times New Roman"/>
                <w:sz w:val="18"/>
                <w:szCs w:val="18"/>
                <w:vertAlign w:val="subscript"/>
              </w:rPr>
              <w:t>r862</w:t>
            </w:r>
            <w:r w:rsidRPr="002B53C5">
              <w:rPr>
                <w:rFonts w:ascii="Times New Roman" w:hAnsi="Times New Roman" w:cs="Times New Roman"/>
                <w:sz w:val="18"/>
                <w:szCs w:val="18"/>
              </w:rPr>
              <w:t xml:space="preserve"> plasmids contain an L54a attP site upstream of the L54a integrase which allows recombination with the L54a attB site located at the 3’ end of the </w:t>
            </w:r>
            <w:r w:rsidRPr="002B53C5">
              <w:rPr>
                <w:rFonts w:ascii="Times New Roman" w:hAnsi="Times New Roman" w:cs="Times New Roman"/>
                <w:i/>
                <w:iCs/>
                <w:sz w:val="18"/>
                <w:szCs w:val="18"/>
              </w:rPr>
              <w:t>geh</w:t>
            </w:r>
            <w:r w:rsidRPr="002B53C5">
              <w:rPr>
                <w:rFonts w:ascii="Times New Roman" w:hAnsi="Times New Roman" w:cs="Times New Roman"/>
                <w:sz w:val="18"/>
                <w:szCs w:val="18"/>
              </w:rPr>
              <w:t xml:space="preserve"> gene, resulting in the integration of pCL55-iTET/pCL55-iTET</w:t>
            </w:r>
            <w:r w:rsidRPr="002B53C5">
              <w:rPr>
                <w:rFonts w:ascii="Times New Roman" w:hAnsi="Times New Roman" w:cs="Times New Roman"/>
                <w:sz w:val="18"/>
                <w:szCs w:val="18"/>
                <w:vertAlign w:val="subscript"/>
              </w:rPr>
              <w:t xml:space="preserve">r862 </w:t>
            </w:r>
            <w:r w:rsidRPr="002B53C5">
              <w:rPr>
                <w:rFonts w:ascii="Times New Roman" w:hAnsi="Times New Roman" w:cs="Times New Roman"/>
                <w:sz w:val="18"/>
                <w:szCs w:val="18"/>
              </w:rPr>
              <w:t>into the bacterial chromosome.</w:t>
            </w:r>
            <w:r w:rsidRPr="002B53C5">
              <w:rPr>
                <w:rFonts w:ascii="Times New Roman" w:hAnsi="Times New Roman" w:cs="Times New Roman"/>
                <w:b/>
                <w:bCs/>
                <w:sz w:val="18"/>
                <w:szCs w:val="18"/>
              </w:rPr>
              <w:t xml:space="preserve"> </w:t>
            </w:r>
            <w:r w:rsidRPr="002B53C5">
              <w:rPr>
                <w:rFonts w:ascii="Times New Roman" w:hAnsi="Times New Roman" w:cs="Times New Roman"/>
                <w:sz w:val="18"/>
                <w:szCs w:val="18"/>
              </w:rPr>
              <w:t xml:space="preserve">CamR; chloramphenicol resistance in </w:t>
            </w:r>
            <w:r w:rsidRPr="002B53C5">
              <w:rPr>
                <w:rFonts w:ascii="Times New Roman" w:hAnsi="Times New Roman" w:cs="Times New Roman"/>
                <w:i/>
                <w:iCs/>
                <w:sz w:val="18"/>
                <w:szCs w:val="18"/>
              </w:rPr>
              <w:t>S. aureus</w:t>
            </w:r>
            <w:r w:rsidRPr="002B53C5">
              <w:rPr>
                <w:rFonts w:ascii="Times New Roman" w:hAnsi="Times New Roman" w:cs="Times New Roman"/>
                <w:sz w:val="18"/>
                <w:szCs w:val="18"/>
              </w:rPr>
              <w:t xml:space="preserve"> (light blue), AmpR; ampicillin resistance in </w:t>
            </w:r>
            <w:r w:rsidRPr="002B53C5">
              <w:rPr>
                <w:rFonts w:ascii="Times New Roman" w:hAnsi="Times New Roman" w:cs="Times New Roman"/>
                <w:i/>
                <w:iCs/>
                <w:sz w:val="18"/>
                <w:szCs w:val="18"/>
              </w:rPr>
              <w:t>E. coli</w:t>
            </w:r>
            <w:r w:rsidRPr="002B53C5">
              <w:rPr>
                <w:rFonts w:ascii="Times New Roman" w:hAnsi="Times New Roman" w:cs="Times New Roman"/>
                <w:sz w:val="18"/>
                <w:szCs w:val="18"/>
              </w:rPr>
              <w:t xml:space="preserve"> (grey), TetR; tetracycline repressor (lilac), attP; bacteriophage attachment site, attB; bacterial attachment site, </w:t>
            </w:r>
            <w:r w:rsidRPr="002B53C5">
              <w:rPr>
                <w:rFonts w:ascii="Times New Roman" w:hAnsi="Times New Roman" w:cs="Times New Roman"/>
                <w:i/>
                <w:iCs/>
                <w:sz w:val="18"/>
                <w:szCs w:val="18"/>
              </w:rPr>
              <w:t>geh</w:t>
            </w:r>
            <w:r w:rsidRPr="002B53C5">
              <w:rPr>
                <w:rFonts w:ascii="Times New Roman" w:hAnsi="Times New Roman" w:cs="Times New Roman"/>
                <w:sz w:val="18"/>
                <w:szCs w:val="18"/>
              </w:rPr>
              <w:t>; glycerol ester hydrolase.</w:t>
            </w:r>
            <w:r>
              <w:rPr>
                <w:rFonts w:ascii="Times New Roman" w:hAnsi="Times New Roman" w:cs="Times New Roman"/>
                <w:sz w:val="18"/>
                <w:szCs w:val="18"/>
              </w:rPr>
              <w:t xml:space="preserve"> </w:t>
            </w:r>
            <w:r w:rsidRPr="002B53C5">
              <w:rPr>
                <w:rFonts w:ascii="Times New Roman" w:hAnsi="Times New Roman" w:cs="Times New Roman"/>
                <w:b/>
                <w:bCs/>
                <w:sz w:val="18"/>
                <w:szCs w:val="18"/>
              </w:rPr>
              <w:t xml:space="preserve">c) </w:t>
            </w:r>
            <w:r w:rsidRPr="002B53C5">
              <w:rPr>
                <w:rFonts w:ascii="Times New Roman" w:hAnsi="Times New Roman" w:cs="Times New Roman"/>
                <w:sz w:val="18"/>
                <w:szCs w:val="18"/>
              </w:rPr>
              <w:t>Primers specific for each plasmid (RMC006/007) were used to conduct PCR on genomic DNA extracted from the (p)ppGpp overproduction strains and its controls. Lane 1; JE2 pCL55-iTET (315 bp), lane 2; JE2 pCL55-iTET-NTD-ΔHD-his (1551 bp), lane 3; JE2 pCL55-iTET</w:t>
            </w:r>
            <w:r w:rsidRPr="002B53C5">
              <w:rPr>
                <w:rFonts w:ascii="Times New Roman" w:hAnsi="Times New Roman" w:cs="Times New Roman"/>
                <w:sz w:val="18"/>
                <w:szCs w:val="18"/>
                <w:vertAlign w:val="subscript"/>
              </w:rPr>
              <w:t>r862</w:t>
            </w:r>
            <w:r w:rsidRPr="002B53C5">
              <w:rPr>
                <w:rFonts w:ascii="Times New Roman" w:hAnsi="Times New Roman" w:cs="Times New Roman"/>
                <w:sz w:val="18"/>
                <w:szCs w:val="18"/>
              </w:rPr>
              <w:t xml:space="preserve"> (512 bp), lane 4: JE2 pCL55-iTET</w:t>
            </w:r>
            <w:r w:rsidRPr="002B53C5">
              <w:rPr>
                <w:rFonts w:ascii="Times New Roman" w:hAnsi="Times New Roman" w:cs="Times New Roman"/>
                <w:sz w:val="18"/>
                <w:szCs w:val="18"/>
                <w:vertAlign w:val="subscript"/>
              </w:rPr>
              <w:t>r862</w:t>
            </w:r>
            <w:r w:rsidRPr="002B53C5">
              <w:rPr>
                <w:rFonts w:ascii="Times New Roman" w:hAnsi="Times New Roman" w:cs="Times New Roman"/>
                <w:sz w:val="18"/>
                <w:szCs w:val="18"/>
              </w:rPr>
              <w:t>-NTD-ΔHD-his (1730 bp), lane 5; (p)ppGpp</w:t>
            </w:r>
            <w:r w:rsidRPr="002B53C5">
              <w:rPr>
                <w:rFonts w:ascii="Times New Roman" w:hAnsi="Times New Roman" w:cs="Times New Roman"/>
                <w:sz w:val="18"/>
                <w:szCs w:val="18"/>
                <w:vertAlign w:val="superscript"/>
              </w:rPr>
              <w:t xml:space="preserve">0 </w:t>
            </w:r>
            <w:r w:rsidRPr="002B53C5">
              <w:rPr>
                <w:rFonts w:ascii="Times New Roman" w:hAnsi="Times New Roman" w:cs="Times New Roman"/>
                <w:sz w:val="18"/>
                <w:szCs w:val="18"/>
              </w:rPr>
              <w:t>pCL55-iTET</w:t>
            </w:r>
            <w:r w:rsidRPr="002B53C5">
              <w:rPr>
                <w:rFonts w:ascii="Times New Roman" w:hAnsi="Times New Roman" w:cs="Times New Roman"/>
                <w:sz w:val="18"/>
                <w:szCs w:val="18"/>
                <w:vertAlign w:val="subscript"/>
              </w:rPr>
              <w:t>r862</w:t>
            </w:r>
            <w:r w:rsidRPr="002B53C5">
              <w:rPr>
                <w:rFonts w:ascii="Times New Roman" w:hAnsi="Times New Roman" w:cs="Times New Roman"/>
                <w:sz w:val="18"/>
                <w:szCs w:val="18"/>
              </w:rPr>
              <w:t xml:space="preserve"> (512 bp) and lane 6; (p)ppGpp</w:t>
            </w:r>
            <w:r w:rsidRPr="002B53C5">
              <w:rPr>
                <w:rFonts w:ascii="Times New Roman" w:hAnsi="Times New Roman" w:cs="Times New Roman"/>
                <w:sz w:val="18"/>
                <w:szCs w:val="18"/>
                <w:vertAlign w:val="superscript"/>
              </w:rPr>
              <w:t xml:space="preserve">0 </w:t>
            </w:r>
            <w:r w:rsidRPr="002B53C5">
              <w:rPr>
                <w:rFonts w:ascii="Times New Roman" w:hAnsi="Times New Roman" w:cs="Times New Roman"/>
                <w:sz w:val="18"/>
                <w:szCs w:val="18"/>
              </w:rPr>
              <w:t>pCL55-iTET</w:t>
            </w:r>
            <w:r w:rsidRPr="002B53C5">
              <w:rPr>
                <w:rFonts w:ascii="Times New Roman" w:hAnsi="Times New Roman" w:cs="Times New Roman"/>
                <w:sz w:val="18"/>
                <w:szCs w:val="18"/>
                <w:vertAlign w:val="subscript"/>
              </w:rPr>
              <w:t>r862</w:t>
            </w:r>
            <w:r w:rsidRPr="002B53C5">
              <w:rPr>
                <w:rFonts w:ascii="Times New Roman" w:hAnsi="Times New Roman" w:cs="Times New Roman"/>
                <w:sz w:val="18"/>
                <w:szCs w:val="18"/>
              </w:rPr>
              <w:t>-NTD-ΔHD-his (1730 bp). PCR products were run on 1% agarose gels. Ladder sizes are shown.</w:t>
            </w:r>
            <w:r w:rsidRPr="002B53C5">
              <w:rPr>
                <w:rFonts w:ascii="Times New Roman" w:hAnsi="Times New Roman" w:cs="Times New Roman"/>
                <w:b/>
                <w:bCs/>
                <w:sz w:val="18"/>
                <w:szCs w:val="18"/>
              </w:rPr>
              <w:t xml:space="preserve"> </w:t>
            </w:r>
          </w:p>
        </w:tc>
      </w:tr>
    </w:tbl>
    <w:p w14:paraId="5B82BEFD" w14:textId="631C0BE0"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Both </w:t>
      </w:r>
      <w:r w:rsidRPr="00452124">
        <w:rPr>
          <w:rFonts w:ascii="Times New Roman" w:hAnsi="Times New Roman" w:cs="Times New Roman"/>
        </w:rPr>
        <w:t>pCL55-iTET</w:t>
      </w:r>
      <w:r>
        <w:rPr>
          <w:rFonts w:ascii="Times New Roman" w:hAnsi="Times New Roman" w:cs="Times New Roman"/>
        </w:rPr>
        <w:t xml:space="preserve"> and </w:t>
      </w:r>
      <w:r w:rsidRPr="00452124">
        <w:rPr>
          <w:rFonts w:ascii="Times New Roman" w:hAnsi="Times New Roman" w:cs="Times New Roman"/>
        </w:rPr>
        <w:t>pCL55-iTET</w:t>
      </w:r>
      <w:r w:rsidRPr="00452124">
        <w:rPr>
          <w:rFonts w:ascii="Times New Roman" w:hAnsi="Times New Roman" w:cs="Times New Roman"/>
          <w:vertAlign w:val="subscript"/>
        </w:rPr>
        <w:t>r862</w:t>
      </w:r>
      <w:r>
        <w:rPr>
          <w:rFonts w:ascii="Times New Roman" w:hAnsi="Times New Roman" w:cs="Times New Roman"/>
        </w:rPr>
        <w:t xml:space="preserve"> encode the L54a bacteriophage integrase which allows integration of the plasmid into the bacterial chromosome. This is achieved by site-specific recombination that occurs between the bacteriophage attachment site attP (located upstream of the integrase on the plasmid) and the bacterial attachment site attB which is located at the 3’ end of the </w:t>
      </w:r>
      <w:r>
        <w:rPr>
          <w:rFonts w:ascii="Times New Roman" w:hAnsi="Times New Roman" w:cs="Times New Roman"/>
          <w:i/>
          <w:iCs/>
        </w:rPr>
        <w:t>geh</w:t>
      </w:r>
      <w:r>
        <w:rPr>
          <w:rFonts w:ascii="Times New Roman" w:hAnsi="Times New Roman" w:cs="Times New Roman"/>
        </w:rPr>
        <w:t xml:space="preserve"> lipase on the genome </w:t>
      </w:r>
      <w:r w:rsidRPr="00141184">
        <w:rPr>
          <w:rFonts w:ascii="Times New Roman" w:hAnsi="Times New Roman" w:cs="Times New Roman"/>
          <w:b/>
          <w:bCs/>
        </w:rPr>
        <w:fldChar w:fldCharType="begin"/>
      </w:r>
      <w:r w:rsidRPr="00141184">
        <w:rPr>
          <w:rFonts w:ascii="Times New Roman" w:hAnsi="Times New Roman" w:cs="Times New Roman"/>
          <w:b/>
          <w:bCs/>
        </w:rPr>
        <w:instrText xml:space="preserve"> ADDIN EN.CITE &lt;EndNote&gt;&lt;Cite&gt;&lt;Author&gt;Lee&lt;/Author&gt;&lt;Year&gt;1986&lt;/Year&gt;&lt;IDText&gt;INTEGRATION OF STAPHYLOCOCCAL PHAGE L54A OCCURS BY SITE-SPECIFIC RECOMBINATION - STRUCTURAL-ANALYSIS OF THE ATTACHMENT SITES&lt;/IDText&gt;&lt;DisplayText&gt;(Lee and Iandolo, 1986)&lt;/DisplayText&gt;&lt;record&gt;&lt;dates&gt;&lt;pub-dates&gt;&lt;date&gt;Aug&lt;/date&gt;&lt;/pub-dates&gt;&lt;year&gt;1986&lt;/year&gt;&lt;/dates&gt;&lt;urls&gt;&lt;related-urls&gt;&lt;url&gt;&amp;lt;Go to ISI&amp;gt;://WOS:A1986D540900026&lt;/url&gt;&lt;/related-urls&gt;&lt;/urls&gt;&lt;isbn&gt;0027-8424&lt;/isbn&gt;&lt;titles&gt;&lt;title&gt;INTEGRATION OF STAPHYLOCOCCAL PHAGE L54A OCCURS BY SITE-SPECIFIC RECOMBINATION - STRUCTURAL-ANALYSIS OF THE ATTACHMENT SITES&lt;/title&gt;&lt;secondary-title&gt;Proceedings of the National Academy of Sciences of the United States of America&lt;/secondary-title&gt;&lt;/titles&gt;&lt;pages&gt;5474-5478&lt;/pages&gt;&lt;number&gt;15&lt;/number&gt;&lt;contributors&gt;&lt;authors&gt;&lt;author&gt;Lee, C. Y.&lt;/author&gt;&lt;author&gt;Iandolo, J. J.&lt;/author&gt;&lt;/authors&gt;&lt;/contributors&gt;&lt;added-date format="utc"&gt;1664128292&lt;/added-date&gt;&lt;ref-type name="Journal Article"&gt;17&lt;/ref-type&gt;&lt;rec-number&gt;168&lt;/rec-number&gt;&lt;last-updated-date format="utc"&gt;1664128313&lt;/last-updated-date&gt;&lt;accession-num&gt;WOS:A1986D540900026&lt;/accession-num&gt;&lt;electronic-resource-num&gt;10.1073/pnas.83.15.5474&lt;/electronic-resource-num&gt;&lt;volume&gt;83&lt;/volume&gt;&lt;/record&gt;&lt;/Cite&gt;&lt;/EndNote&gt;</w:instrText>
      </w:r>
      <w:r w:rsidRPr="00141184">
        <w:rPr>
          <w:rFonts w:ascii="Times New Roman" w:hAnsi="Times New Roman" w:cs="Times New Roman"/>
          <w:b/>
          <w:bCs/>
        </w:rPr>
        <w:fldChar w:fldCharType="separate"/>
      </w:r>
      <w:r w:rsidRPr="00141184">
        <w:rPr>
          <w:rFonts w:ascii="Times New Roman" w:hAnsi="Times New Roman" w:cs="Times New Roman"/>
          <w:b/>
          <w:bCs/>
          <w:noProof/>
        </w:rPr>
        <w:t>(Lee and Iandolo, 1986)</w:t>
      </w:r>
      <w:r w:rsidRPr="00141184">
        <w:rPr>
          <w:rFonts w:ascii="Times New Roman" w:hAnsi="Times New Roman" w:cs="Times New Roman"/>
          <w:b/>
          <w:bCs/>
        </w:rPr>
        <w:fldChar w:fldCharType="end"/>
      </w:r>
      <w:r>
        <w:rPr>
          <w:rFonts w:ascii="Times New Roman" w:hAnsi="Times New Roman" w:cs="Times New Roman"/>
        </w:rPr>
        <w:t xml:space="preserve">. Overproduction strain colonies streaked on this agar </w:t>
      </w:r>
      <w:r w:rsidRPr="00EA1FFF">
        <w:rPr>
          <w:rFonts w:ascii="Times New Roman" w:hAnsi="Times New Roman" w:cs="Times New Roman"/>
        </w:rPr>
        <w:t>demonstrated no zone of clearance, indicating that the plasmid had integrated into</w:t>
      </w:r>
      <w:r>
        <w:rPr>
          <w:rFonts w:ascii="Times New Roman" w:hAnsi="Times New Roman" w:cs="Times New Roman"/>
        </w:rPr>
        <w:t xml:space="preserve"> the </w:t>
      </w:r>
      <w:r>
        <w:rPr>
          <w:rFonts w:ascii="Times New Roman" w:hAnsi="Times New Roman" w:cs="Times New Roman"/>
          <w:i/>
          <w:iCs/>
        </w:rPr>
        <w:t>geh</w:t>
      </w:r>
      <w:r w:rsidRPr="00EA1FFF">
        <w:rPr>
          <w:rFonts w:ascii="Times New Roman" w:hAnsi="Times New Roman" w:cs="Times New Roman"/>
        </w:rPr>
        <w:t xml:space="preserve"> gene, disrupting the gene and thus preventing lipid hydrolysis in comparison to controls</w:t>
      </w:r>
      <w:r>
        <w:rPr>
          <w:rFonts w:ascii="Times New Roman" w:hAnsi="Times New Roman" w:cs="Times New Roman"/>
        </w:rPr>
        <w:t xml:space="preserve"> </w:t>
      </w:r>
      <w:r w:rsidRPr="00C14F27">
        <w:rPr>
          <w:rFonts w:ascii="Times New Roman" w:hAnsi="Times New Roman" w:cs="Times New Roman"/>
          <w:b/>
          <w:bCs/>
        </w:rPr>
        <w:t>(Fig</w:t>
      </w:r>
      <w:r>
        <w:rPr>
          <w:rFonts w:ascii="Times New Roman" w:hAnsi="Times New Roman" w:cs="Times New Roman"/>
          <w:b/>
          <w:bCs/>
        </w:rPr>
        <w:t>.</w:t>
      </w:r>
      <w:r w:rsidRPr="00C14F27">
        <w:rPr>
          <w:rFonts w:ascii="Times New Roman" w:hAnsi="Times New Roman" w:cs="Times New Roman"/>
          <w:b/>
          <w:bCs/>
        </w:rPr>
        <w:t xml:space="preserve"> 3.3.</w:t>
      </w:r>
      <w:r>
        <w:rPr>
          <w:rFonts w:ascii="Times New Roman" w:hAnsi="Times New Roman" w:cs="Times New Roman"/>
          <w:b/>
          <w:bCs/>
        </w:rPr>
        <w:t>2a and 3.3.2b</w:t>
      </w:r>
      <w:r w:rsidRPr="00C14F27">
        <w:rPr>
          <w:rFonts w:ascii="Times New Roman" w:hAnsi="Times New Roman" w:cs="Times New Roman"/>
          <w:b/>
          <w:bCs/>
        </w:rPr>
        <w:t>)</w:t>
      </w:r>
      <w:r w:rsidRPr="00EA1FFF">
        <w:rPr>
          <w:rFonts w:ascii="Times New Roman" w:hAnsi="Times New Roman" w:cs="Times New Roman"/>
        </w:rPr>
        <w:t>.</w:t>
      </w:r>
      <w:r>
        <w:rPr>
          <w:rFonts w:ascii="Times New Roman" w:hAnsi="Times New Roman" w:cs="Times New Roman"/>
          <w:color w:val="000000" w:themeColor="text1"/>
        </w:rPr>
        <w:t xml:space="preserve"> For an overproduction strain, a WT background would be optimal as in addition to the chromosomal synthetases, the (p)ppGpp overproduction plasmid could allow for the highest levels of (p)ppGpp to be produced. Thus,</w:t>
      </w:r>
      <w:r w:rsidRPr="00EA1FFF">
        <w:rPr>
          <w:rFonts w:ascii="Times New Roman" w:hAnsi="Times New Roman" w:cs="Times New Roman"/>
          <w:color w:val="000000" w:themeColor="text1"/>
        </w:rPr>
        <w:t xml:space="preserve"> </w:t>
      </w:r>
      <w:r w:rsidRPr="00EA1FFF">
        <w:rPr>
          <w:rFonts w:ascii="Times New Roman" w:hAnsi="Times New Roman" w:cs="Times New Roman"/>
        </w:rPr>
        <w:t xml:space="preserve">phage </w:t>
      </w:r>
      <w:r>
        <w:rPr>
          <w:rFonts w:ascii="Times New Roman" w:hAnsi="Times New Roman" w:cs="Times New Roman"/>
        </w:rPr>
        <w:t>85 was used to transduce the integrated plasmids</w:t>
      </w:r>
      <w:r w:rsidRPr="00EA1FFF">
        <w:rPr>
          <w:rFonts w:ascii="Times New Roman" w:hAnsi="Times New Roman" w:cs="Times New Roman"/>
        </w:rPr>
        <w:t xml:space="preserve"> </w:t>
      </w:r>
      <w:r w:rsidRPr="00D571DD">
        <w:rPr>
          <w:rFonts w:ascii="Times New Roman" w:hAnsi="Times New Roman" w:cs="Times New Roman"/>
        </w:rPr>
        <w:t>into</w:t>
      </w:r>
      <w:r>
        <w:rPr>
          <w:rFonts w:ascii="Times New Roman" w:hAnsi="Times New Roman" w:cs="Times New Roman"/>
        </w:rPr>
        <w:t xml:space="preserve"> the wildtype</w:t>
      </w:r>
      <w:r w:rsidRPr="00D571DD">
        <w:rPr>
          <w:rFonts w:ascii="Times New Roman" w:hAnsi="Times New Roman" w:cs="Times New Roman"/>
        </w:rPr>
        <w:t xml:space="preserve"> </w:t>
      </w:r>
      <w:r>
        <w:rPr>
          <w:rFonts w:ascii="Times New Roman" w:hAnsi="Times New Roman" w:cs="Times New Roman"/>
          <w:i/>
          <w:iCs/>
        </w:rPr>
        <w:t xml:space="preserve">S. aureus </w:t>
      </w:r>
      <w:r>
        <w:rPr>
          <w:rFonts w:ascii="Times New Roman" w:hAnsi="Times New Roman" w:cs="Times New Roman"/>
        </w:rPr>
        <w:t xml:space="preserve">strain </w:t>
      </w:r>
      <w:r w:rsidRPr="00D571DD">
        <w:rPr>
          <w:rFonts w:ascii="Times New Roman" w:hAnsi="Times New Roman" w:cs="Times New Roman"/>
        </w:rPr>
        <w:t>JE2 and</w:t>
      </w:r>
      <w:r>
        <w:rPr>
          <w:rFonts w:ascii="Times New Roman" w:hAnsi="Times New Roman" w:cs="Times New Roman"/>
        </w:rPr>
        <w:t xml:space="preserve"> also the (p)ppGpp</w:t>
      </w:r>
      <w:r>
        <w:rPr>
          <w:rFonts w:ascii="Times New Roman" w:hAnsi="Times New Roman" w:cs="Times New Roman"/>
          <w:vertAlign w:val="superscript"/>
        </w:rPr>
        <w:t>0</w:t>
      </w:r>
      <w:r>
        <w:rPr>
          <w:rFonts w:ascii="Times New Roman" w:hAnsi="Times New Roman" w:cs="Times New Roman"/>
        </w:rPr>
        <w:t xml:space="preserve"> mutant background with integration confirmed as above </w:t>
      </w:r>
      <w:r>
        <w:rPr>
          <w:rFonts w:ascii="Times New Roman" w:hAnsi="Times New Roman" w:cs="Times New Roman"/>
          <w:b/>
          <w:bCs/>
        </w:rPr>
        <w:t>(Figure 3.3.2c)</w:t>
      </w:r>
      <w:r>
        <w:rPr>
          <w:rFonts w:ascii="Times New Roman" w:hAnsi="Times New Roman" w:cs="Times New Roman"/>
        </w:rPr>
        <w:t>. Transduction of pCL55-iTET-NTD-</w:t>
      </w:r>
      <w:r w:rsidRPr="00640606">
        <w:rPr>
          <w:rFonts w:ascii="Times New Roman" w:hAnsi="Times New Roman" w:cs="Times New Roman"/>
        </w:rPr>
        <w:t>Δ</w:t>
      </w:r>
      <w:r>
        <w:rPr>
          <w:rFonts w:ascii="Times New Roman" w:hAnsi="Times New Roman" w:cs="Times New Roman"/>
        </w:rPr>
        <w:t xml:space="preserve">HD (leaky plasmid containing the NTD </w:t>
      </w:r>
      <w:r w:rsidR="00F94DE1">
        <w:rPr>
          <w:rFonts w:ascii="Times New Roman" w:hAnsi="Times New Roman" w:cs="Times New Roman"/>
        </w:rPr>
        <w:t xml:space="preserve">only </w:t>
      </w:r>
      <w:r>
        <w:rPr>
          <w:rFonts w:ascii="Times New Roman" w:hAnsi="Times New Roman" w:cs="Times New Roman"/>
        </w:rPr>
        <w:t>and</w:t>
      </w:r>
      <w:r w:rsidR="00F94DE1">
        <w:rPr>
          <w:rFonts w:ascii="Times New Roman" w:hAnsi="Times New Roman" w:cs="Times New Roman"/>
        </w:rPr>
        <w:t xml:space="preserve"> a</w:t>
      </w:r>
      <w:r>
        <w:rPr>
          <w:rFonts w:ascii="Times New Roman" w:hAnsi="Times New Roman" w:cs="Times New Roman"/>
        </w:rPr>
        <w:t xml:space="preserve"> non-functional HD domain) into the (p)ppGpp</w:t>
      </w:r>
      <w:r>
        <w:rPr>
          <w:rFonts w:ascii="Times New Roman" w:hAnsi="Times New Roman" w:cs="Times New Roman"/>
          <w:vertAlign w:val="superscript"/>
        </w:rPr>
        <w:t>0</w:t>
      </w:r>
      <w:r>
        <w:rPr>
          <w:rFonts w:ascii="Times New Roman" w:hAnsi="Times New Roman" w:cs="Times New Roman"/>
        </w:rPr>
        <w:t xml:space="preserve"> mutant background was unsuccessful. This may be because of the leaky nature of the plasmid which may allow an overproduction of (p)ppGpp that is unfavourable for growth as the background strain does not contain a functional hydrolase domain.</w:t>
      </w:r>
    </w:p>
    <w:p w14:paraId="41E5E446" w14:textId="77777777" w:rsidR="00187693" w:rsidRPr="00196F05" w:rsidRDefault="00187693" w:rsidP="00187693">
      <w:pPr>
        <w:pStyle w:val="Heading3"/>
      </w:pPr>
      <w:bookmarkStart w:id="127" w:name="_Toc142043630"/>
      <w:r w:rsidRPr="00196F05">
        <w:t>3.</w:t>
      </w:r>
      <w:r>
        <w:t>3</w:t>
      </w:r>
      <w:r w:rsidRPr="00196F05">
        <w:t>.</w:t>
      </w:r>
      <w:r>
        <w:t>4</w:t>
      </w:r>
      <w:r w:rsidRPr="00196F05">
        <w:t>. Characteris</w:t>
      </w:r>
      <w:r>
        <w:t>ation of</w:t>
      </w:r>
      <w:r w:rsidRPr="00196F05">
        <w:t xml:space="preserve"> the </w:t>
      </w:r>
      <w:r w:rsidRPr="00C00FB3">
        <w:rPr>
          <w:i/>
          <w:iCs/>
        </w:rPr>
        <w:t xml:space="preserve">S. aureus </w:t>
      </w:r>
      <w:r w:rsidRPr="00196F05">
        <w:t>(p)ppGpp-overproducing strains</w:t>
      </w:r>
      <w:bookmarkEnd w:id="127"/>
      <w:r w:rsidRPr="00196F05">
        <w:t xml:space="preserve"> </w:t>
      </w:r>
    </w:p>
    <w:p w14:paraId="2B732EA4" w14:textId="77777777" w:rsidR="00187693" w:rsidRPr="00B32C43" w:rsidRDefault="00187693" w:rsidP="00187693">
      <w:pPr>
        <w:spacing w:line="360" w:lineRule="auto"/>
        <w:jc w:val="both"/>
        <w:rPr>
          <w:rFonts w:ascii="Times New Roman" w:hAnsi="Times New Roman" w:cs="Times New Roman"/>
        </w:rPr>
      </w:pPr>
    </w:p>
    <w:p w14:paraId="7CD121EA" w14:textId="46A7053C"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To examine whether (p)ppGpp is being overproduced in these strains, growth curves were performed in the presence of the inducer Atc (100 ng/ml), which enables expression of pCL55-iTET plasmids. Here, there would be no difference between JE2 WT and the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color w:val="000000" w:themeColor="text1"/>
        </w:rPr>
        <w:t xml:space="preserve"> mutant in the presence of Atc.</w:t>
      </w:r>
      <w:r>
        <w:rPr>
          <w:rFonts w:ascii="Times New Roman" w:hAnsi="Times New Roman" w:cs="Times New Roman"/>
        </w:rPr>
        <w:t xml:space="preserve"> However, if (p)ppGpp is being produced upon induction of the overproduction strains, we would expect to see a reduction in OD</w:t>
      </w:r>
      <w:r>
        <w:rPr>
          <w:rFonts w:ascii="Times New Roman" w:hAnsi="Times New Roman" w:cs="Times New Roman"/>
          <w:vertAlign w:val="subscript"/>
        </w:rPr>
        <w:t>600</w:t>
      </w:r>
      <w:r>
        <w:rPr>
          <w:rFonts w:ascii="Times New Roman" w:hAnsi="Times New Roman" w:cs="Times New Roman"/>
        </w:rPr>
        <w:t xml:space="preserve"> over time due to the downregulation of growth that is characteristically associated with the induction of the SR. Interestingly, the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8A5394">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HD, a (p)ppGpp</w:t>
      </w:r>
      <w:r w:rsidR="00F94DE1">
        <w:rPr>
          <w:rFonts w:ascii="Times New Roman" w:hAnsi="Times New Roman" w:cs="Times New Roman"/>
          <w:vertAlign w:val="superscript"/>
        </w:rPr>
        <w:t>0</w:t>
      </w:r>
      <w:r>
        <w:rPr>
          <w:rFonts w:ascii="Times New Roman" w:hAnsi="Times New Roman" w:cs="Times New Roman"/>
        </w:rPr>
        <w:t xml:space="preserve"> mutant carrying an overproduction plasmid, shows a dramatic growth defect in comparison to the other strains in the presence of Atc </w:t>
      </w:r>
      <w:r>
        <w:rPr>
          <w:rFonts w:ascii="Times New Roman" w:hAnsi="Times New Roman" w:cs="Times New Roman"/>
          <w:b/>
          <w:bCs/>
        </w:rPr>
        <w:t>(Figure 3.3.3a)</w:t>
      </w:r>
      <w:r>
        <w:rPr>
          <w:rFonts w:ascii="Times New Roman" w:hAnsi="Times New Roman" w:cs="Times New Roman"/>
        </w:rPr>
        <w:t>. However, this is not the case for the WT strain containing the same plasmid (JE2 pCL55-iTET</w:t>
      </w:r>
      <w:r w:rsidRPr="008A5394">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 xml:space="preserve">HD). When (p)ppGpp is produced in a </w:t>
      </w:r>
      <w:r w:rsidRPr="00640606">
        <w:rPr>
          <w:rFonts w:ascii="Times New Roman" w:hAnsi="Times New Roman" w:cs="Times New Roman"/>
        </w:rPr>
        <w:t>Δ</w:t>
      </w:r>
      <w:r>
        <w:rPr>
          <w:rFonts w:ascii="Times New Roman" w:hAnsi="Times New Roman" w:cs="Times New Roman"/>
        </w:rPr>
        <w:t xml:space="preserve">HD background, it becomes toxic as bacteria are unable to degrade excess (p)ppGpp. Thus, as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8A5394">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HD does not contain a functional HD domain on either the plasmid or the genome, (p)ppGpp accumulation becomes toxic, resulting in this characteristic decrease in OD</w:t>
      </w:r>
      <w:r>
        <w:rPr>
          <w:rFonts w:ascii="Times New Roman" w:hAnsi="Times New Roman" w:cs="Times New Roman"/>
          <w:vertAlign w:val="subscript"/>
        </w:rPr>
        <w:t>600</w:t>
      </w:r>
      <w:r>
        <w:rPr>
          <w:rFonts w:ascii="Times New Roman" w:hAnsi="Times New Roman" w:cs="Times New Roman"/>
        </w:rPr>
        <w:t xml:space="preserve">. There was no difference in growth between any of the strains in the WT background - this could be due to the functional hydrolase domain present on the genome controlling (p)ppGpp levels. An ideal (p)ppGpp overproduction strain would be constructed in a WT background in order to benefit from the chromosomal synthetases. However, as only the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8A5394">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HD strain which does not contain any functional chromosomal synthetases displayed a growth defect upon induction of the plasmid, the ability of this strain to overproduce (p)ppGpp was further investigated.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23841539" w14:textId="77777777" w:rsidTr="00A74445">
        <w:tc>
          <w:tcPr>
            <w:tcW w:w="9016" w:type="dxa"/>
          </w:tcPr>
          <w:p w14:paraId="7E0F1420"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71FA917" wp14:editId="54A6BB16">
                  <wp:extent cx="5107940" cy="902576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5608" cy="9092320"/>
                          </a:xfrm>
                          <a:prstGeom prst="rect">
                            <a:avLst/>
                          </a:prstGeom>
                          <a:noFill/>
                        </pic:spPr>
                      </pic:pic>
                    </a:graphicData>
                  </a:graphic>
                </wp:inline>
              </w:drawing>
            </w:r>
          </w:p>
        </w:tc>
      </w:tr>
      <w:tr w:rsidR="00187693" w14:paraId="2F312654" w14:textId="77777777" w:rsidTr="00A74445">
        <w:tc>
          <w:tcPr>
            <w:tcW w:w="9016" w:type="dxa"/>
          </w:tcPr>
          <w:p w14:paraId="1D2F0074" w14:textId="77777777" w:rsidR="00187693" w:rsidRPr="001624EF" w:rsidRDefault="00187693" w:rsidP="00A74445">
            <w:pPr>
              <w:jc w:val="both"/>
              <w:rPr>
                <w:rFonts w:ascii="Times New Roman" w:hAnsi="Times New Roman" w:cs="Times New Roman"/>
                <w:sz w:val="18"/>
                <w:szCs w:val="18"/>
              </w:rPr>
            </w:pPr>
            <w:r w:rsidRPr="001624EF">
              <w:rPr>
                <w:rFonts w:ascii="Times New Roman" w:hAnsi="Times New Roman" w:cs="Times New Roman"/>
                <w:b/>
                <w:bCs/>
                <w:sz w:val="18"/>
                <w:szCs w:val="18"/>
              </w:rPr>
              <w:t xml:space="preserve">Figure 3.3.3. Characterisation of the (p)ppGpp overproduction strain. a) </w:t>
            </w:r>
            <w:r w:rsidRPr="001624EF">
              <w:rPr>
                <w:rFonts w:ascii="Times New Roman" w:hAnsi="Times New Roman" w:cs="Times New Roman"/>
                <w:sz w:val="18"/>
                <w:szCs w:val="18"/>
              </w:rPr>
              <w:t xml:space="preserve">Growth curves of the potential (p)ppGpp overproduction strains in the presence of 100 ng/ml anhydrotetracycline (Atc) with their controls. </w:t>
            </w:r>
            <w:r w:rsidRPr="001624EF">
              <w:rPr>
                <w:rFonts w:ascii="Times New Roman" w:hAnsi="Times New Roman" w:cs="Times New Roman"/>
                <w:b/>
                <w:bCs/>
                <w:sz w:val="18"/>
                <w:szCs w:val="18"/>
              </w:rPr>
              <w:t>b)</w:t>
            </w:r>
            <w:r w:rsidRPr="001624EF">
              <w:rPr>
                <w:rFonts w:ascii="Times New Roman" w:hAnsi="Times New Roman" w:cs="Times New Roman"/>
                <w:sz w:val="18"/>
                <w:szCs w:val="18"/>
              </w:rPr>
              <w:t xml:space="preserve"> Growth curve of the </w:t>
            </w:r>
            <w:r w:rsidRPr="001624EF">
              <w:rPr>
                <w:rFonts w:ascii="Times New Roman" w:hAnsi="Times New Roman" w:cs="Times New Roman"/>
                <w:i/>
                <w:iCs/>
                <w:sz w:val="18"/>
                <w:szCs w:val="18"/>
              </w:rPr>
              <w:t xml:space="preserve">S. aureus </w:t>
            </w:r>
            <w:r w:rsidRPr="001624EF">
              <w:rPr>
                <w:rFonts w:ascii="Times New Roman" w:hAnsi="Times New Roman" w:cs="Times New Roman"/>
                <w:sz w:val="18"/>
                <w:szCs w:val="18"/>
              </w:rPr>
              <w:t>(p)ppGpp overproduction strain (p)ppGpp</w:t>
            </w:r>
            <w:r w:rsidRPr="001624EF">
              <w:rPr>
                <w:rFonts w:ascii="Times New Roman" w:hAnsi="Times New Roman" w:cs="Times New Roman"/>
                <w:sz w:val="18"/>
                <w:szCs w:val="18"/>
                <w:vertAlign w:val="superscript"/>
              </w:rPr>
              <w:t xml:space="preserve">0 </w:t>
            </w:r>
            <w:r w:rsidRPr="001624EF">
              <w:rPr>
                <w:rFonts w:ascii="Times New Roman" w:hAnsi="Times New Roman" w:cs="Times New Roman"/>
                <w:sz w:val="18"/>
                <w:szCs w:val="18"/>
              </w:rPr>
              <w:t>pCL55-iTET</w:t>
            </w:r>
            <w:r w:rsidRPr="001624EF">
              <w:rPr>
                <w:rFonts w:ascii="Times New Roman" w:hAnsi="Times New Roman" w:cs="Times New Roman"/>
                <w:sz w:val="18"/>
                <w:szCs w:val="18"/>
                <w:vertAlign w:val="subscript"/>
              </w:rPr>
              <w:t xml:space="preserve">r862 </w:t>
            </w:r>
            <w:r w:rsidRPr="001624EF">
              <w:rPr>
                <w:rFonts w:ascii="Times New Roman" w:hAnsi="Times New Roman" w:cs="Times New Roman"/>
                <w:sz w:val="18"/>
                <w:szCs w:val="18"/>
              </w:rPr>
              <w:t>–NTD-his-ΔHD vs its control (p)ppGpp</w:t>
            </w:r>
            <w:r w:rsidRPr="001624EF">
              <w:rPr>
                <w:rFonts w:ascii="Times New Roman" w:hAnsi="Times New Roman" w:cs="Times New Roman"/>
                <w:sz w:val="18"/>
                <w:szCs w:val="18"/>
                <w:vertAlign w:val="superscript"/>
              </w:rPr>
              <w:t xml:space="preserve">0 </w:t>
            </w:r>
            <w:r w:rsidRPr="001624EF">
              <w:rPr>
                <w:rFonts w:ascii="Times New Roman" w:hAnsi="Times New Roman" w:cs="Times New Roman"/>
                <w:sz w:val="18"/>
                <w:szCs w:val="18"/>
              </w:rPr>
              <w:t>pCL55-iTET</w:t>
            </w:r>
            <w:r w:rsidRPr="001624EF">
              <w:rPr>
                <w:rFonts w:ascii="Times New Roman" w:hAnsi="Times New Roman" w:cs="Times New Roman"/>
                <w:sz w:val="18"/>
                <w:szCs w:val="18"/>
                <w:vertAlign w:val="subscript"/>
              </w:rPr>
              <w:t xml:space="preserve">r862 </w:t>
            </w:r>
            <w:r w:rsidRPr="001624EF">
              <w:rPr>
                <w:rFonts w:ascii="Times New Roman" w:hAnsi="Times New Roman" w:cs="Times New Roman"/>
                <w:sz w:val="18"/>
                <w:szCs w:val="18"/>
              </w:rPr>
              <w:t xml:space="preserve">with (+) and without (-) Atc at 10 ng/ml. </w:t>
            </w:r>
            <w:r w:rsidRPr="001624EF">
              <w:rPr>
                <w:rFonts w:ascii="Times New Roman" w:hAnsi="Times New Roman" w:cs="Times New Roman"/>
                <w:b/>
                <w:bCs/>
                <w:sz w:val="18"/>
                <w:szCs w:val="18"/>
              </w:rPr>
              <w:t xml:space="preserve">c) </w:t>
            </w:r>
            <w:r w:rsidRPr="001624EF">
              <w:rPr>
                <w:rFonts w:ascii="Times New Roman" w:hAnsi="Times New Roman" w:cs="Times New Roman"/>
                <w:sz w:val="18"/>
                <w:szCs w:val="18"/>
              </w:rPr>
              <w:t xml:space="preserve">and </w:t>
            </w:r>
            <w:r w:rsidRPr="001624EF">
              <w:rPr>
                <w:rFonts w:ascii="Times New Roman" w:hAnsi="Times New Roman" w:cs="Times New Roman"/>
                <w:b/>
                <w:bCs/>
                <w:sz w:val="18"/>
                <w:szCs w:val="18"/>
              </w:rPr>
              <w:t xml:space="preserve">d) </w:t>
            </w:r>
            <w:r w:rsidRPr="001624EF">
              <w:rPr>
                <w:rFonts w:ascii="Times New Roman" w:hAnsi="Times New Roman" w:cs="Times New Roman"/>
                <w:sz w:val="18"/>
                <w:szCs w:val="18"/>
              </w:rPr>
              <w:t>are growth curves of the empty vector control and (p)ppGpp</w:t>
            </w:r>
            <w:r w:rsidRPr="001624EF">
              <w:rPr>
                <w:rFonts w:ascii="Times New Roman" w:hAnsi="Times New Roman" w:cs="Times New Roman"/>
                <w:sz w:val="18"/>
                <w:szCs w:val="18"/>
                <w:vertAlign w:val="superscript"/>
              </w:rPr>
              <w:t xml:space="preserve">0 </w:t>
            </w:r>
            <w:r w:rsidRPr="001624EF">
              <w:rPr>
                <w:rFonts w:ascii="Times New Roman" w:hAnsi="Times New Roman" w:cs="Times New Roman"/>
                <w:sz w:val="18"/>
                <w:szCs w:val="18"/>
              </w:rPr>
              <w:t>overproduction strain respectively grown with concentrations of Atc from 10 ng/ml (doubling dilutions). Both c) and d) show the same concentrations of Atc and so they share the same figure legend. All growth curves were set up in TSB medium from a starting OD</w:t>
            </w:r>
            <w:r w:rsidRPr="001624EF">
              <w:rPr>
                <w:rFonts w:ascii="Times New Roman" w:hAnsi="Times New Roman" w:cs="Times New Roman"/>
                <w:sz w:val="18"/>
                <w:szCs w:val="18"/>
                <w:vertAlign w:val="subscript"/>
              </w:rPr>
              <w:t>600</w:t>
            </w:r>
            <w:r w:rsidRPr="001624EF">
              <w:rPr>
                <w:rFonts w:ascii="Times New Roman" w:hAnsi="Times New Roman" w:cs="Times New Roman"/>
                <w:sz w:val="18"/>
                <w:szCs w:val="18"/>
              </w:rPr>
              <w:t xml:space="preserve"> of 0.05 for 8 hours. The proposed overproduction strain as well as the controls and synthetase-complemented null mutant strains were streaked on TSA containing 0.05 μg/ml mupirocin </w:t>
            </w:r>
            <w:r w:rsidRPr="001624EF">
              <w:rPr>
                <w:rFonts w:ascii="Times New Roman" w:hAnsi="Times New Roman" w:cs="Times New Roman"/>
                <w:b/>
                <w:bCs/>
                <w:sz w:val="18"/>
                <w:szCs w:val="18"/>
              </w:rPr>
              <w:t>(e)</w:t>
            </w:r>
            <w:r w:rsidRPr="001624EF">
              <w:rPr>
                <w:rFonts w:ascii="Times New Roman" w:hAnsi="Times New Roman" w:cs="Times New Roman"/>
                <w:sz w:val="18"/>
                <w:szCs w:val="18"/>
              </w:rPr>
              <w:t xml:space="preserve"> and TSA containing 0.05 μg/ml mupirocin and 50 ng/ml Atc </w:t>
            </w:r>
            <w:r w:rsidRPr="001624EF">
              <w:rPr>
                <w:rFonts w:ascii="Times New Roman" w:hAnsi="Times New Roman" w:cs="Times New Roman"/>
                <w:b/>
                <w:bCs/>
                <w:sz w:val="18"/>
                <w:szCs w:val="18"/>
              </w:rPr>
              <w:t>(f)</w:t>
            </w:r>
            <w:r w:rsidRPr="001624EF">
              <w:rPr>
                <w:rFonts w:ascii="Times New Roman" w:hAnsi="Times New Roman" w:cs="Times New Roman"/>
                <w:sz w:val="18"/>
                <w:szCs w:val="18"/>
              </w:rPr>
              <w:t xml:space="preserve">. </w:t>
            </w:r>
            <w:r w:rsidRPr="001624EF">
              <w:rPr>
                <w:rFonts w:ascii="Times New Roman" w:hAnsi="Times New Roman" w:cs="Times New Roman"/>
                <w:b/>
                <w:bCs/>
                <w:sz w:val="18"/>
                <w:szCs w:val="18"/>
              </w:rPr>
              <w:t xml:space="preserve">g) </w:t>
            </w:r>
            <w:r w:rsidRPr="001624EF">
              <w:rPr>
                <w:rFonts w:ascii="Times New Roman" w:hAnsi="Times New Roman" w:cs="Times New Roman"/>
                <w:sz w:val="18"/>
                <w:szCs w:val="18"/>
              </w:rPr>
              <w:t>All strains containing proposed overproduction plasmids were analysed by TLC. Nucleotide standards (GTP, pppGpp and ppGpp) were run in parallel to aid in the identification of each spot as shown (</w:t>
            </w:r>
            <w:r w:rsidRPr="001624EF">
              <w:rPr>
                <w:rFonts w:ascii="Times New Roman" w:hAnsi="Times New Roman" w:cs="Times New Roman"/>
                <w:b/>
                <w:bCs/>
                <w:sz w:val="18"/>
                <w:szCs w:val="18"/>
              </w:rPr>
              <w:t xml:space="preserve">(c) </w:t>
            </w:r>
            <w:r w:rsidRPr="001624EF">
              <w:rPr>
                <w:rFonts w:ascii="Times New Roman" w:hAnsi="Times New Roman" w:cs="Times New Roman"/>
                <w:sz w:val="18"/>
                <w:szCs w:val="18"/>
              </w:rPr>
              <w:t>performed by RMC). Growth curves b) and c) were performed once while a) and d) were performed in triplicate from which mean values ± standard deviations were plotted.</w:t>
            </w:r>
          </w:p>
        </w:tc>
      </w:tr>
    </w:tbl>
    <w:p w14:paraId="0B98233C" w14:textId="77777777" w:rsidR="00187693" w:rsidRDefault="00187693" w:rsidP="00187693">
      <w:pPr>
        <w:spacing w:line="360" w:lineRule="auto"/>
        <w:jc w:val="both"/>
        <w:rPr>
          <w:rFonts w:ascii="Times New Roman" w:hAnsi="Times New Roman" w:cs="Times New Roman"/>
        </w:rPr>
      </w:pPr>
    </w:p>
    <w:p w14:paraId="668C698B" w14:textId="77777777"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In order to titrate the levels of Atc to investigate if (p)ppGpp production can be controlled, the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6D75CA">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 xml:space="preserve">HD mutant was grown in the presence and absence of 10 ng/ml Atc </w:t>
      </w:r>
      <w:r w:rsidRPr="00A71D97">
        <w:rPr>
          <w:rFonts w:ascii="Times New Roman" w:hAnsi="Times New Roman" w:cs="Times New Roman"/>
          <w:b/>
          <w:bCs/>
        </w:rPr>
        <w:t xml:space="preserve">(Fig. </w:t>
      </w:r>
      <w:r>
        <w:rPr>
          <w:rFonts w:ascii="Times New Roman" w:hAnsi="Times New Roman" w:cs="Times New Roman"/>
          <w:b/>
          <w:bCs/>
        </w:rPr>
        <w:t>3.3.3b</w:t>
      </w:r>
      <w:r w:rsidRPr="00A71D97">
        <w:rPr>
          <w:rFonts w:ascii="Times New Roman" w:hAnsi="Times New Roman" w:cs="Times New Roman"/>
          <w:b/>
          <w:bCs/>
        </w:rPr>
        <w:t>)</w:t>
      </w:r>
      <w:r>
        <w:rPr>
          <w:rFonts w:ascii="Times New Roman" w:hAnsi="Times New Roman" w:cs="Times New Roman"/>
        </w:rPr>
        <w:t xml:space="preserve"> which showed results similar to </w:t>
      </w:r>
      <w:r w:rsidRPr="00A71D97">
        <w:rPr>
          <w:rFonts w:ascii="Times New Roman" w:hAnsi="Times New Roman" w:cs="Times New Roman"/>
          <w:b/>
          <w:bCs/>
        </w:rPr>
        <w:t xml:space="preserve">Figure </w:t>
      </w:r>
      <w:r>
        <w:rPr>
          <w:rFonts w:ascii="Times New Roman" w:hAnsi="Times New Roman" w:cs="Times New Roman"/>
          <w:b/>
          <w:bCs/>
        </w:rPr>
        <w:t>3.3.3a</w:t>
      </w:r>
      <w:r w:rsidRPr="00A71D97">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Furthermore, expression of the NTD from the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6D75CA">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 xml:space="preserve">HD mutant is tightly controlled as when grown in the absence of Atc, growth is similar to the empty vector control </w:t>
      </w:r>
      <w:r w:rsidRPr="00A71D97">
        <w:rPr>
          <w:rFonts w:ascii="Times New Roman" w:hAnsi="Times New Roman" w:cs="Times New Roman"/>
          <w:b/>
          <w:bCs/>
        </w:rPr>
        <w:t xml:space="preserve">(Fig. </w:t>
      </w:r>
      <w:r>
        <w:rPr>
          <w:rFonts w:ascii="Times New Roman" w:hAnsi="Times New Roman" w:cs="Times New Roman"/>
          <w:b/>
          <w:bCs/>
        </w:rPr>
        <w:t>3.3.3b</w:t>
      </w:r>
      <w:r w:rsidRPr="00A71D97">
        <w:rPr>
          <w:rFonts w:ascii="Times New Roman" w:hAnsi="Times New Roman" w:cs="Times New Roman"/>
          <w:b/>
          <w:bCs/>
        </w:rPr>
        <w:t>)</w:t>
      </w:r>
      <w:r>
        <w:rPr>
          <w:rFonts w:ascii="Times New Roman" w:hAnsi="Times New Roman" w:cs="Times New Roman"/>
        </w:rPr>
        <w:t xml:space="preserve">. Thus, growth curves in the presence of Atc diluted from 10 ng/ml were performed in order to titrate the drug concentration using either the empty vector controls </w:t>
      </w:r>
      <w:r w:rsidRPr="00A71D97">
        <w:rPr>
          <w:rFonts w:ascii="Times New Roman" w:hAnsi="Times New Roman" w:cs="Times New Roman"/>
          <w:b/>
          <w:bCs/>
        </w:rPr>
        <w:t>(Fig.</w:t>
      </w:r>
      <w:r>
        <w:rPr>
          <w:rFonts w:ascii="Times New Roman" w:hAnsi="Times New Roman" w:cs="Times New Roman"/>
          <w:b/>
          <w:bCs/>
        </w:rPr>
        <w:t xml:space="preserve"> 3.3.3c</w:t>
      </w:r>
      <w:r w:rsidRPr="00A71D97">
        <w:rPr>
          <w:rFonts w:ascii="Times New Roman" w:hAnsi="Times New Roman" w:cs="Times New Roman"/>
          <w:b/>
          <w:bCs/>
        </w:rPr>
        <w:t>)</w:t>
      </w:r>
      <w:r>
        <w:rPr>
          <w:rFonts w:ascii="Times New Roman" w:hAnsi="Times New Roman" w:cs="Times New Roman"/>
        </w:rPr>
        <w:t xml:space="preserve"> or the overproduction strain </w:t>
      </w:r>
      <w:r w:rsidRPr="00A71D97">
        <w:rPr>
          <w:rFonts w:ascii="Times New Roman" w:hAnsi="Times New Roman" w:cs="Times New Roman"/>
          <w:b/>
          <w:bCs/>
        </w:rPr>
        <w:t>(Fig.</w:t>
      </w:r>
      <w:r>
        <w:rPr>
          <w:rFonts w:ascii="Times New Roman" w:hAnsi="Times New Roman" w:cs="Times New Roman"/>
          <w:b/>
          <w:bCs/>
        </w:rPr>
        <w:t xml:space="preserve"> 3.3.3d</w:t>
      </w:r>
      <w:r w:rsidRPr="00A71D97">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to determine a concentration that would allow (p)ppGpp overproduction </w:t>
      </w:r>
      <w:r>
        <w:rPr>
          <w:rFonts w:ascii="Times New Roman" w:hAnsi="Times New Roman" w:cs="Times New Roman"/>
          <w:i/>
          <w:iCs/>
        </w:rPr>
        <w:t>in vivo</w:t>
      </w:r>
      <w:r>
        <w:rPr>
          <w:rFonts w:ascii="Times New Roman" w:hAnsi="Times New Roman" w:cs="Times New Roman"/>
        </w:rPr>
        <w:t xml:space="preserve"> without a dramatic growth defect. These results show that (p)ppGpp production from this plasmid is tightly regulated and requires very low levels of Atc to produce (p)ppGpp.</w:t>
      </w:r>
    </w:p>
    <w:p w14:paraId="33B9F4E7" w14:textId="72007608"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The phenotype of the overproduction strain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6D75CA">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 xml:space="preserve">HD in the presence of Atc and mupirocin was investigated along with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strains complemented with each synthetase that were already available in the laboratory. These complement strains were investigated in order to compare the (p)ppGpp production by each synthetase in comparison to the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6D75CA">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 xml:space="preserve">HD strain. As expected, the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6D75CA">
        <w:rPr>
          <w:rFonts w:ascii="Times New Roman" w:hAnsi="Times New Roman" w:cs="Times New Roman"/>
          <w:vertAlign w:val="subscript"/>
        </w:rPr>
        <w:t>r862</w:t>
      </w:r>
      <w:r>
        <w:rPr>
          <w:rFonts w:ascii="Times New Roman" w:hAnsi="Times New Roman" w:cs="Times New Roman"/>
          <w:vertAlign w:val="subscript"/>
        </w:rPr>
        <w:t xml:space="preserve"> </w:t>
      </w:r>
      <w:r>
        <w:rPr>
          <w:rFonts w:ascii="Times New Roman" w:hAnsi="Times New Roman" w:cs="Times New Roman"/>
        </w:rPr>
        <w:t>strain was unable to grow on media containing mupirocin in comparison to JE2 pCL55-iTET</w:t>
      </w:r>
      <w:r w:rsidRPr="006D75CA">
        <w:rPr>
          <w:rFonts w:ascii="Times New Roman" w:hAnsi="Times New Roman" w:cs="Times New Roman"/>
          <w:vertAlign w:val="subscript"/>
        </w:rPr>
        <w:t>r862</w:t>
      </w:r>
      <w:r>
        <w:rPr>
          <w:rFonts w:ascii="Times New Roman" w:hAnsi="Times New Roman" w:cs="Times New Roman"/>
        </w:rPr>
        <w:t xml:space="preserve"> </w:t>
      </w:r>
      <w:r>
        <w:rPr>
          <w:rFonts w:ascii="Times New Roman" w:hAnsi="Times New Roman" w:cs="Times New Roman"/>
          <w:b/>
          <w:bCs/>
        </w:rPr>
        <w:t>(Fig 3.3.3e)</w:t>
      </w:r>
      <w:r>
        <w:rPr>
          <w:rFonts w:ascii="Times New Roman" w:hAnsi="Times New Roman" w:cs="Times New Roman"/>
        </w:rPr>
        <w:t xml:space="preserve">. When the null mutant is complemented with full-length </w:t>
      </w:r>
      <w:r>
        <w:rPr>
          <w:rFonts w:ascii="Times New Roman" w:hAnsi="Times New Roman" w:cs="Times New Roman"/>
          <w:i/>
          <w:iCs/>
        </w:rPr>
        <w:t>rel</w:t>
      </w:r>
      <w:r>
        <w:rPr>
          <w:rFonts w:ascii="Times New Roman" w:hAnsi="Times New Roman" w:cs="Times New Roman"/>
        </w:rPr>
        <w:t xml:space="preserve">, growth is restored suggesting that even in the absence of </w:t>
      </w:r>
      <w:r w:rsidR="001937F8">
        <w:rPr>
          <w:rFonts w:ascii="Times New Roman" w:hAnsi="Times New Roman" w:cs="Times New Roman"/>
        </w:rPr>
        <w:t xml:space="preserve">the inducer </w:t>
      </w:r>
      <w:r>
        <w:rPr>
          <w:rFonts w:ascii="Times New Roman" w:hAnsi="Times New Roman" w:cs="Times New Roman"/>
        </w:rPr>
        <w:t xml:space="preserve">Atc, </w:t>
      </w:r>
      <w:r>
        <w:rPr>
          <w:rFonts w:ascii="Times New Roman" w:hAnsi="Times New Roman" w:cs="Times New Roman"/>
          <w:i/>
          <w:iCs/>
        </w:rPr>
        <w:t xml:space="preserve">rel </w:t>
      </w:r>
      <w:r>
        <w:rPr>
          <w:rFonts w:ascii="Times New Roman" w:hAnsi="Times New Roman" w:cs="Times New Roman"/>
        </w:rPr>
        <w:t>is being expressed. This is expected as expression from pCL55-iTET</w:t>
      </w:r>
      <w:r w:rsidRPr="006D75CA">
        <w:rPr>
          <w:rFonts w:ascii="Times New Roman" w:hAnsi="Times New Roman" w:cs="Times New Roman"/>
          <w:vertAlign w:val="subscript"/>
        </w:rPr>
        <w:t>r862</w:t>
      </w:r>
      <w:r>
        <w:rPr>
          <w:rFonts w:ascii="Times New Roman" w:hAnsi="Times New Roman" w:cs="Times New Roman"/>
          <w:vertAlign w:val="subscript"/>
        </w:rPr>
        <w:t xml:space="preserve"> </w:t>
      </w:r>
      <w:r>
        <w:rPr>
          <w:rFonts w:ascii="Times New Roman" w:hAnsi="Times New Roman" w:cs="Times New Roman"/>
        </w:rPr>
        <w:t xml:space="preserve">is leaky and Rel is induced upon exposure to mupirocin. However, the presence of </w:t>
      </w:r>
      <w:r>
        <w:rPr>
          <w:rFonts w:ascii="Times New Roman" w:hAnsi="Times New Roman" w:cs="Times New Roman"/>
          <w:i/>
          <w:iCs/>
        </w:rPr>
        <w:t>relP, relQ</w:t>
      </w:r>
      <w:r>
        <w:rPr>
          <w:rFonts w:ascii="Times New Roman" w:hAnsi="Times New Roman" w:cs="Times New Roman"/>
        </w:rPr>
        <w:t xml:space="preserve"> and the overproduction plasmid does not restore growth, in keeping with previous knowledge that RelP and RelQ synthetases are not induced by amino acid stress. In the presence of Atc to induce expression on the pCL55-iTET</w:t>
      </w:r>
      <w:r w:rsidRPr="006D75CA">
        <w:rPr>
          <w:rFonts w:ascii="Times New Roman" w:hAnsi="Times New Roman" w:cs="Times New Roman"/>
          <w:vertAlign w:val="subscript"/>
        </w:rPr>
        <w:t>r862</w:t>
      </w:r>
      <w:r>
        <w:rPr>
          <w:rFonts w:ascii="Times New Roman" w:hAnsi="Times New Roman" w:cs="Times New Roman"/>
        </w:rPr>
        <w:t xml:space="preserve"> in addition to mupirocin, the presence of </w:t>
      </w:r>
      <w:r>
        <w:rPr>
          <w:rFonts w:ascii="Times New Roman" w:hAnsi="Times New Roman" w:cs="Times New Roman"/>
          <w:i/>
          <w:iCs/>
        </w:rPr>
        <w:t xml:space="preserve">rel </w:t>
      </w:r>
      <w:r>
        <w:rPr>
          <w:rFonts w:ascii="Times New Roman" w:hAnsi="Times New Roman" w:cs="Times New Roman"/>
        </w:rPr>
        <w:t xml:space="preserve">and </w:t>
      </w:r>
      <w:r>
        <w:rPr>
          <w:rFonts w:ascii="Times New Roman" w:hAnsi="Times New Roman" w:cs="Times New Roman"/>
          <w:i/>
          <w:iCs/>
        </w:rPr>
        <w:t xml:space="preserve">relP </w:t>
      </w:r>
      <w:r>
        <w:rPr>
          <w:rFonts w:ascii="Times New Roman" w:hAnsi="Times New Roman" w:cs="Times New Roman"/>
        </w:rPr>
        <w:t xml:space="preserve">did restore growth however expression of </w:t>
      </w:r>
      <w:r>
        <w:rPr>
          <w:rFonts w:ascii="Times New Roman" w:hAnsi="Times New Roman" w:cs="Times New Roman"/>
          <w:i/>
          <w:iCs/>
        </w:rPr>
        <w:t>relQ</w:t>
      </w:r>
      <w:r>
        <w:rPr>
          <w:rFonts w:ascii="Times New Roman" w:hAnsi="Times New Roman" w:cs="Times New Roman"/>
        </w:rPr>
        <w:t xml:space="preserve"> and the resulting (p)ppGpp was not enough to allow growth on this media </w:t>
      </w:r>
      <w:r>
        <w:rPr>
          <w:rFonts w:ascii="Times New Roman" w:hAnsi="Times New Roman" w:cs="Times New Roman"/>
          <w:b/>
          <w:bCs/>
        </w:rPr>
        <w:t xml:space="preserve">(Fig. 3.3.3f). </w:t>
      </w:r>
      <w:r>
        <w:rPr>
          <w:rFonts w:ascii="Times New Roman" w:hAnsi="Times New Roman" w:cs="Times New Roman"/>
        </w:rPr>
        <w:t xml:space="preserve">Importantly, there was no difference in growth of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6D75CA">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 xml:space="preserve">HD in the presence of mupirocin +/- Atc, and the growth was not comparable to when the null mutant was complemented with either </w:t>
      </w:r>
      <w:r>
        <w:rPr>
          <w:rFonts w:ascii="Times New Roman" w:hAnsi="Times New Roman" w:cs="Times New Roman"/>
          <w:i/>
          <w:iCs/>
        </w:rPr>
        <w:t>rel</w:t>
      </w:r>
      <w:r>
        <w:rPr>
          <w:rFonts w:ascii="Times New Roman" w:hAnsi="Times New Roman" w:cs="Times New Roman"/>
        </w:rPr>
        <w:t xml:space="preserve"> or </w:t>
      </w:r>
      <w:r>
        <w:rPr>
          <w:rFonts w:ascii="Times New Roman" w:hAnsi="Times New Roman" w:cs="Times New Roman"/>
          <w:i/>
          <w:iCs/>
        </w:rPr>
        <w:t>relP</w:t>
      </w:r>
      <w:r>
        <w:rPr>
          <w:rFonts w:ascii="Times New Roman" w:hAnsi="Times New Roman" w:cs="Times New Roman"/>
        </w:rPr>
        <w:t>. This suggests that the overproduction strain is unable to produce enough (p)ppGpp to restore growth when under amino acid stress in the presence of mupirocin despite being induced with Atc, indicating that the construct is not fully functional.</w:t>
      </w:r>
    </w:p>
    <w:p w14:paraId="7FF521F9" w14:textId="125D3D48"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To examine if the overproduction strain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6D75CA">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 xml:space="preserve">HD was able to overproduce (p)ppGpp, </w:t>
      </w:r>
      <w:r w:rsidRPr="00EA1FFF">
        <w:rPr>
          <w:rFonts w:ascii="Times New Roman" w:hAnsi="Times New Roman" w:cs="Times New Roman"/>
        </w:rPr>
        <w:t xml:space="preserve">(p)ppGpp levels </w:t>
      </w:r>
      <w:r>
        <w:rPr>
          <w:rFonts w:ascii="Times New Roman" w:hAnsi="Times New Roman" w:cs="Times New Roman"/>
        </w:rPr>
        <w:t xml:space="preserve">of all strains containing overproduction plasmids and their controls </w:t>
      </w:r>
      <w:r w:rsidRPr="00EA1FFF">
        <w:rPr>
          <w:rFonts w:ascii="Times New Roman" w:hAnsi="Times New Roman" w:cs="Times New Roman"/>
        </w:rPr>
        <w:t xml:space="preserve">were analysed by </w:t>
      </w:r>
      <w:r>
        <w:rPr>
          <w:rFonts w:ascii="Times New Roman" w:hAnsi="Times New Roman" w:cs="Times New Roman"/>
        </w:rPr>
        <w:t xml:space="preserve">TLC </w:t>
      </w:r>
      <w:r>
        <w:rPr>
          <w:rFonts w:ascii="Times New Roman" w:hAnsi="Times New Roman" w:cs="Times New Roman"/>
          <w:b/>
          <w:bCs/>
        </w:rPr>
        <w:t>(Fig. 3.3.3g)</w:t>
      </w:r>
      <w:r>
        <w:rPr>
          <w:rFonts w:ascii="Times New Roman" w:hAnsi="Times New Roman" w:cs="Times New Roman"/>
        </w:rPr>
        <w:t xml:space="preserve">. Similar levels of pppGpp and ppGpp were detected across all strains in comparison to a JE2 WT control in the presence of mupirocin, demonstrating that the overproduction strain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6D75CA">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HD did not overproduce detectable (p)ppGpp despite displaying a growth defect in the presence of Atc</w:t>
      </w:r>
      <w:r w:rsidR="005006CA">
        <w:rPr>
          <w:rFonts w:ascii="Times New Roman" w:hAnsi="Times New Roman" w:cs="Times New Roman"/>
        </w:rPr>
        <w:t xml:space="preserve"> using this method</w:t>
      </w:r>
      <w:r>
        <w:rPr>
          <w:rFonts w:ascii="Times New Roman" w:hAnsi="Times New Roman" w:cs="Times New Roman"/>
        </w:rPr>
        <w:t xml:space="preserve"> </w:t>
      </w:r>
      <w:r>
        <w:rPr>
          <w:rFonts w:ascii="Times New Roman" w:hAnsi="Times New Roman" w:cs="Times New Roman"/>
          <w:b/>
          <w:bCs/>
        </w:rPr>
        <w:t>(Fig. 3.3.3a)</w:t>
      </w:r>
      <w:r>
        <w:rPr>
          <w:rFonts w:ascii="Times New Roman" w:hAnsi="Times New Roman" w:cs="Times New Roman"/>
        </w:rPr>
        <w:t xml:space="preserve">. These results corroborate the phenotype observed in </w:t>
      </w:r>
      <w:r w:rsidRPr="003F1DA2">
        <w:rPr>
          <w:rFonts w:ascii="Times New Roman" w:hAnsi="Times New Roman" w:cs="Times New Roman"/>
          <w:b/>
          <w:bCs/>
        </w:rPr>
        <w:t>Fig</w:t>
      </w:r>
      <w:r>
        <w:rPr>
          <w:rFonts w:ascii="Times New Roman" w:hAnsi="Times New Roman" w:cs="Times New Roman"/>
          <w:b/>
          <w:bCs/>
        </w:rPr>
        <w:t>ure</w:t>
      </w:r>
      <w:r w:rsidRPr="003F1DA2">
        <w:rPr>
          <w:rFonts w:ascii="Times New Roman" w:hAnsi="Times New Roman" w:cs="Times New Roman"/>
          <w:b/>
          <w:bCs/>
        </w:rPr>
        <w:t xml:space="preserve"> 3.3.</w:t>
      </w:r>
      <w:r>
        <w:rPr>
          <w:rFonts w:ascii="Times New Roman" w:hAnsi="Times New Roman" w:cs="Times New Roman"/>
          <w:b/>
          <w:bCs/>
        </w:rPr>
        <w:t>3f</w:t>
      </w:r>
      <w:r>
        <w:rPr>
          <w:rFonts w:ascii="Times New Roman" w:hAnsi="Times New Roman" w:cs="Times New Roman"/>
        </w:rPr>
        <w:t>.</w:t>
      </w:r>
    </w:p>
    <w:p w14:paraId="7A254869" w14:textId="77777777" w:rsidR="00187693" w:rsidRDefault="00187693" w:rsidP="00187693">
      <w:pPr>
        <w:pStyle w:val="Heading3"/>
      </w:pPr>
      <w:bookmarkStart w:id="128" w:name="_Toc142043631"/>
      <w:r>
        <w:t>3.3.5. Characterisation</w:t>
      </w:r>
      <w:r w:rsidRPr="007A649C">
        <w:t xml:space="preserve"> </w:t>
      </w:r>
      <w:r>
        <w:t>and</w:t>
      </w:r>
      <w:r w:rsidRPr="007A649C">
        <w:t xml:space="preserve"> </w:t>
      </w:r>
      <w:r>
        <w:t>c</w:t>
      </w:r>
      <w:r w:rsidRPr="007A649C">
        <w:t>onstruction</w:t>
      </w:r>
      <w:r>
        <w:t xml:space="preserve"> </w:t>
      </w:r>
      <w:r w:rsidRPr="007A649C">
        <w:t>of alternative (p)ppGpp overproduction strains</w:t>
      </w:r>
      <w:bookmarkEnd w:id="128"/>
    </w:p>
    <w:p w14:paraId="0357E733" w14:textId="77777777" w:rsidR="00187693" w:rsidRPr="007A649C" w:rsidRDefault="00187693" w:rsidP="00187693">
      <w:pPr>
        <w:pStyle w:val="no3"/>
      </w:pPr>
    </w:p>
    <w:p w14:paraId="5E4D372A" w14:textId="77777777" w:rsidR="00187693" w:rsidRDefault="00187693" w:rsidP="00187693">
      <w:pPr>
        <w:spacing w:line="360" w:lineRule="auto"/>
        <w:jc w:val="both"/>
        <w:rPr>
          <w:rFonts w:ascii="Times New Roman" w:hAnsi="Times New Roman" w:cs="Times New Roman"/>
        </w:rPr>
      </w:pPr>
      <w:r>
        <w:rPr>
          <w:rFonts w:ascii="Times New Roman" w:hAnsi="Times New Roman" w:cs="Times New Roman"/>
        </w:rPr>
        <w:t xml:space="preserve">Due to the lack of detectable (p)ppGpp overproduction, existing laboratory strains that may have the ability to overproduce (p)ppGpp were investigated. The future applications for (p)ppGpp overproduction strains in this study include work both </w:t>
      </w:r>
      <w:r>
        <w:rPr>
          <w:rFonts w:ascii="Times New Roman" w:hAnsi="Times New Roman" w:cs="Times New Roman"/>
          <w:i/>
          <w:iCs/>
        </w:rPr>
        <w:t>in vivo</w:t>
      </w:r>
      <w:r>
        <w:rPr>
          <w:rFonts w:ascii="Times New Roman" w:hAnsi="Times New Roman" w:cs="Times New Roman"/>
        </w:rPr>
        <w:t xml:space="preserve"> and </w:t>
      </w:r>
      <w:r>
        <w:rPr>
          <w:rFonts w:ascii="Times New Roman" w:hAnsi="Times New Roman" w:cs="Times New Roman"/>
          <w:i/>
          <w:iCs/>
        </w:rPr>
        <w:t>in vitro</w:t>
      </w:r>
      <w:r>
        <w:rPr>
          <w:rFonts w:ascii="Times New Roman" w:hAnsi="Times New Roman" w:cs="Times New Roman"/>
        </w:rPr>
        <w:t>, thus, strains containing integrative plasmids and multicopy plasmids were explored. Zebrafish embryos are generally infected with strains that do not contain multicopy plasmids due to the difficulties of maintaining the plasmid over the course of infection (4 days). Therefore, while integrative vectors are preferred, (p)ppGpp production from multicopy plasmids were also examined.</w:t>
      </w:r>
    </w:p>
    <w:p w14:paraId="534A2378" w14:textId="736E1E8D" w:rsidR="00187693" w:rsidRDefault="00187693" w:rsidP="00187693">
      <w:pPr>
        <w:spacing w:line="360" w:lineRule="auto"/>
        <w:jc w:val="both"/>
        <w:rPr>
          <w:rFonts w:ascii="Times New Roman" w:hAnsi="Times New Roman" w:cs="Times New Roman"/>
        </w:rPr>
      </w:pPr>
      <w:r>
        <w:rPr>
          <w:rFonts w:ascii="Times New Roman" w:hAnsi="Times New Roman" w:cs="Times New Roman"/>
        </w:rPr>
        <w:tab/>
        <w:t>In this regard, the tetracycline-inducible pALC2073 multicopy plasmid was utilised. The (p)</w:t>
      </w:r>
      <w:r w:rsidRPr="008919EE">
        <w:rPr>
          <w:rFonts w:ascii="Times New Roman" w:hAnsi="Times New Roman" w:cs="Times New Roman"/>
        </w:rPr>
        <w:t>ppGpp</w:t>
      </w:r>
      <w:r w:rsidRPr="001E2D2D">
        <w:rPr>
          <w:rFonts w:ascii="Times New Roman" w:hAnsi="Times New Roman" w:cs="Times New Roman"/>
          <w:vertAlign w:val="superscript"/>
        </w:rPr>
        <w:t>0</w:t>
      </w:r>
      <w:r>
        <w:rPr>
          <w:rFonts w:ascii="Times New Roman" w:hAnsi="Times New Roman" w:cs="Times New Roman"/>
        </w:rPr>
        <w:t>-</w:t>
      </w:r>
      <w:r w:rsidRPr="008919EE">
        <w:rPr>
          <w:rFonts w:ascii="Times New Roman" w:hAnsi="Times New Roman" w:cs="Times New Roman"/>
        </w:rPr>
        <w:t>pALC2073</w:t>
      </w:r>
      <w:r>
        <w:rPr>
          <w:rFonts w:ascii="Times New Roman" w:hAnsi="Times New Roman" w:cs="Times New Roman"/>
        </w:rPr>
        <w:t>-</w:t>
      </w:r>
      <w:r>
        <w:rPr>
          <w:rFonts w:ascii="Times New Roman" w:hAnsi="Times New Roman" w:cs="Times New Roman"/>
          <w:i/>
          <w:iCs/>
        </w:rPr>
        <w:t>rel</w:t>
      </w:r>
      <w:r>
        <w:rPr>
          <w:rFonts w:ascii="Times New Roman" w:hAnsi="Times New Roman" w:cs="Times New Roman"/>
        </w:rPr>
        <w:t xml:space="preserve">, </w:t>
      </w:r>
      <w:r w:rsidRPr="008919EE">
        <w:rPr>
          <w:rFonts w:ascii="Times New Roman" w:hAnsi="Times New Roman" w:cs="Times New Roman"/>
        </w:rPr>
        <w:t>-</w:t>
      </w:r>
      <w:r w:rsidRPr="008919EE">
        <w:rPr>
          <w:rFonts w:ascii="Times New Roman" w:hAnsi="Times New Roman" w:cs="Times New Roman"/>
          <w:i/>
          <w:iCs/>
        </w:rPr>
        <w:t>relP</w:t>
      </w:r>
      <w:r>
        <w:rPr>
          <w:rFonts w:ascii="Times New Roman" w:hAnsi="Times New Roman" w:cs="Times New Roman"/>
        </w:rPr>
        <w:t xml:space="preserve"> and </w:t>
      </w:r>
      <w:r w:rsidRPr="008919EE">
        <w:rPr>
          <w:rFonts w:ascii="Times New Roman" w:hAnsi="Times New Roman" w:cs="Times New Roman"/>
        </w:rPr>
        <w:t>-</w:t>
      </w:r>
      <w:r w:rsidRPr="008919EE">
        <w:rPr>
          <w:rFonts w:ascii="Times New Roman" w:hAnsi="Times New Roman" w:cs="Times New Roman"/>
          <w:i/>
          <w:iCs/>
        </w:rPr>
        <w:t>relQ</w:t>
      </w:r>
      <w:r>
        <w:rPr>
          <w:rFonts w:ascii="Times New Roman" w:hAnsi="Times New Roman" w:cs="Times New Roman"/>
          <w:i/>
          <w:iCs/>
        </w:rPr>
        <w:t xml:space="preserve"> </w:t>
      </w:r>
      <w:r>
        <w:rPr>
          <w:rFonts w:ascii="Times New Roman" w:hAnsi="Times New Roman" w:cs="Times New Roman"/>
        </w:rPr>
        <w:t>strains were available in the laboratory strain collection and were grown on solid media in the presence of mupirocin and the inducer, Atc. Administration of mupirocin leads to amino acid stress and</w:t>
      </w:r>
      <w:r w:rsidR="005006CA">
        <w:rPr>
          <w:rFonts w:ascii="Times New Roman" w:hAnsi="Times New Roman" w:cs="Times New Roman"/>
        </w:rPr>
        <w:t xml:space="preserve"> </w:t>
      </w:r>
      <w:r>
        <w:rPr>
          <w:rFonts w:ascii="Times New Roman" w:hAnsi="Times New Roman" w:cs="Times New Roman"/>
        </w:rPr>
        <w:t xml:space="preserve">Atc induces expression of </w:t>
      </w:r>
      <w:r w:rsidR="005006CA">
        <w:rPr>
          <w:rFonts w:ascii="Times New Roman" w:hAnsi="Times New Roman" w:cs="Times New Roman"/>
        </w:rPr>
        <w:t xml:space="preserve">the </w:t>
      </w:r>
      <w:r>
        <w:rPr>
          <w:rFonts w:ascii="Times New Roman" w:hAnsi="Times New Roman" w:cs="Times New Roman"/>
        </w:rPr>
        <w:t>pALC2073 plasmid. In the presence of mupirocin, the (p)ppGpp</w:t>
      </w:r>
      <w:r>
        <w:rPr>
          <w:rFonts w:ascii="Times New Roman" w:hAnsi="Times New Roman" w:cs="Times New Roman"/>
          <w:vertAlign w:val="superscript"/>
        </w:rPr>
        <w:t>0</w:t>
      </w:r>
      <w:r>
        <w:rPr>
          <w:rFonts w:ascii="Times New Roman" w:hAnsi="Times New Roman" w:cs="Times New Roman"/>
        </w:rPr>
        <w:t>-pALC2073-</w:t>
      </w:r>
      <w:r>
        <w:rPr>
          <w:rFonts w:ascii="Times New Roman" w:hAnsi="Times New Roman" w:cs="Times New Roman"/>
          <w:i/>
          <w:iCs/>
        </w:rPr>
        <w:t>rel</w:t>
      </w:r>
      <w:r>
        <w:rPr>
          <w:rFonts w:ascii="Times New Roman" w:hAnsi="Times New Roman" w:cs="Times New Roman"/>
        </w:rPr>
        <w:t xml:space="preserve"> strain grew well while the (p)ppGpp</w:t>
      </w:r>
      <w:r>
        <w:rPr>
          <w:rFonts w:ascii="Times New Roman" w:hAnsi="Times New Roman" w:cs="Times New Roman"/>
          <w:vertAlign w:val="superscript"/>
        </w:rPr>
        <w:t>0</w:t>
      </w:r>
      <w:r>
        <w:rPr>
          <w:rFonts w:ascii="Times New Roman" w:hAnsi="Times New Roman" w:cs="Times New Roman"/>
        </w:rPr>
        <w:t>-pALC2073-</w:t>
      </w:r>
      <w:r>
        <w:rPr>
          <w:rFonts w:ascii="Times New Roman" w:hAnsi="Times New Roman" w:cs="Times New Roman"/>
          <w:i/>
          <w:iCs/>
        </w:rPr>
        <w:t xml:space="preserve">relP </w:t>
      </w:r>
      <w:r>
        <w:rPr>
          <w:rFonts w:ascii="Times New Roman" w:hAnsi="Times New Roman" w:cs="Times New Roman"/>
        </w:rPr>
        <w:t>strain appeared to grow faintly and (p)ppGpp</w:t>
      </w:r>
      <w:r>
        <w:rPr>
          <w:rFonts w:ascii="Times New Roman" w:hAnsi="Times New Roman" w:cs="Times New Roman"/>
          <w:vertAlign w:val="superscript"/>
        </w:rPr>
        <w:t>0</w:t>
      </w:r>
      <w:r>
        <w:rPr>
          <w:rFonts w:ascii="Times New Roman" w:hAnsi="Times New Roman" w:cs="Times New Roman"/>
        </w:rPr>
        <w:t>-pALC2073-</w:t>
      </w:r>
      <w:r>
        <w:rPr>
          <w:rFonts w:ascii="Times New Roman" w:hAnsi="Times New Roman" w:cs="Times New Roman"/>
          <w:i/>
          <w:iCs/>
        </w:rPr>
        <w:t xml:space="preserve">relQ </w:t>
      </w:r>
      <w:r>
        <w:rPr>
          <w:rFonts w:ascii="Times New Roman" w:hAnsi="Times New Roman" w:cs="Times New Roman"/>
        </w:rPr>
        <w:t>grew similarly to the (p)ppGpp</w:t>
      </w:r>
      <w:r>
        <w:rPr>
          <w:rFonts w:ascii="Times New Roman" w:hAnsi="Times New Roman" w:cs="Times New Roman"/>
          <w:vertAlign w:val="superscript"/>
        </w:rPr>
        <w:t xml:space="preserve">0 </w:t>
      </w:r>
      <w:r>
        <w:rPr>
          <w:rFonts w:ascii="Times New Roman" w:hAnsi="Times New Roman" w:cs="Times New Roman"/>
        </w:rPr>
        <w:t xml:space="preserve">mutant suggesting that expression of </w:t>
      </w:r>
      <w:r w:rsidRPr="00A02C7A">
        <w:rPr>
          <w:rFonts w:ascii="Times New Roman" w:hAnsi="Times New Roman" w:cs="Times New Roman"/>
          <w:i/>
          <w:iCs/>
        </w:rPr>
        <w:t>relQ</w:t>
      </w:r>
      <w:r>
        <w:rPr>
          <w:rFonts w:ascii="Times New Roman" w:hAnsi="Times New Roman" w:cs="Times New Roman"/>
          <w:i/>
          <w:iCs/>
        </w:rPr>
        <w:t xml:space="preserve"> </w:t>
      </w:r>
      <w:r>
        <w:rPr>
          <w:rFonts w:ascii="Times New Roman" w:hAnsi="Times New Roman" w:cs="Times New Roman"/>
        </w:rPr>
        <w:t xml:space="preserve">is not induced upon exposure to mupirocin </w:t>
      </w:r>
      <w:r>
        <w:rPr>
          <w:rFonts w:ascii="Times New Roman" w:hAnsi="Times New Roman" w:cs="Times New Roman"/>
          <w:b/>
          <w:bCs/>
        </w:rPr>
        <w:t>(Fig. 3.3.4a)</w:t>
      </w:r>
      <w:r>
        <w:rPr>
          <w:rFonts w:ascii="Times New Roman" w:hAnsi="Times New Roman" w:cs="Times New Roman"/>
        </w:rPr>
        <w:t xml:space="preserve">. </w:t>
      </w:r>
      <w:r w:rsidRPr="00A02C7A">
        <w:rPr>
          <w:rFonts w:ascii="Times New Roman" w:hAnsi="Times New Roman" w:cs="Times New Roman"/>
        </w:rPr>
        <w:t>Th</w:t>
      </w:r>
      <w:r>
        <w:rPr>
          <w:rFonts w:ascii="Times New Roman" w:hAnsi="Times New Roman" w:cs="Times New Roman"/>
        </w:rPr>
        <w:t xml:space="preserve">ese results imply that </w:t>
      </w:r>
      <w:r>
        <w:rPr>
          <w:rFonts w:ascii="Times New Roman" w:hAnsi="Times New Roman" w:cs="Times New Roman"/>
          <w:i/>
          <w:iCs/>
        </w:rPr>
        <w:t xml:space="preserve">rel </w:t>
      </w:r>
      <w:r>
        <w:rPr>
          <w:rFonts w:ascii="Times New Roman" w:hAnsi="Times New Roman" w:cs="Times New Roman"/>
        </w:rPr>
        <w:t xml:space="preserve">and </w:t>
      </w:r>
      <w:r>
        <w:rPr>
          <w:rFonts w:ascii="Times New Roman" w:hAnsi="Times New Roman" w:cs="Times New Roman"/>
          <w:i/>
          <w:iCs/>
        </w:rPr>
        <w:t xml:space="preserve">relP </w:t>
      </w:r>
      <w:r>
        <w:rPr>
          <w:rFonts w:ascii="Times New Roman" w:hAnsi="Times New Roman" w:cs="Times New Roman"/>
        </w:rPr>
        <w:t>are expressed in the absence of inducer, albeit at different levels. When in the presence of mupirocin and Atc, only the (p)ppGpp</w:t>
      </w:r>
      <w:r>
        <w:rPr>
          <w:rFonts w:ascii="Times New Roman" w:hAnsi="Times New Roman" w:cs="Times New Roman"/>
          <w:vertAlign w:val="superscript"/>
        </w:rPr>
        <w:t>0</w:t>
      </w:r>
      <w:r>
        <w:rPr>
          <w:rFonts w:ascii="Times New Roman" w:hAnsi="Times New Roman" w:cs="Times New Roman"/>
        </w:rPr>
        <w:t>-pALC2073-</w:t>
      </w:r>
      <w:r>
        <w:rPr>
          <w:rFonts w:ascii="Times New Roman" w:hAnsi="Times New Roman" w:cs="Times New Roman"/>
          <w:i/>
          <w:iCs/>
        </w:rPr>
        <w:t>relQ</w:t>
      </w:r>
      <w:r>
        <w:rPr>
          <w:rFonts w:ascii="Times New Roman" w:hAnsi="Times New Roman" w:cs="Times New Roman"/>
        </w:rPr>
        <w:t xml:space="preserve"> was able to complement </w:t>
      </w:r>
      <w:r>
        <w:rPr>
          <w:rFonts w:ascii="Times New Roman" w:hAnsi="Times New Roman" w:cs="Times New Roman"/>
          <w:b/>
          <w:bCs/>
        </w:rPr>
        <w:t>(Fig. 3.3.4b)</w:t>
      </w:r>
      <w:r>
        <w:rPr>
          <w:rFonts w:ascii="Times New Roman" w:hAnsi="Times New Roman" w:cs="Times New Roman"/>
        </w:rPr>
        <w:t>, which suggested that this strain may overproduce (p)ppGpp.</w:t>
      </w:r>
      <w:r>
        <w:rPr>
          <w:rFonts w:ascii="Times New Roman" w:hAnsi="Times New Roman" w:cs="Times New Roman"/>
          <w:i/>
          <w:iCs/>
        </w:rPr>
        <w:t xml:space="preserve"> </w:t>
      </w:r>
      <w:r>
        <w:rPr>
          <w:rFonts w:ascii="Times New Roman" w:hAnsi="Times New Roman" w:cs="Times New Roman"/>
          <w:b/>
          <w:bCs/>
        </w:rPr>
        <w:t>F</w:t>
      </w:r>
      <w:r w:rsidRPr="00CC3131">
        <w:rPr>
          <w:rFonts w:ascii="Times New Roman" w:hAnsi="Times New Roman" w:cs="Times New Roman"/>
          <w:b/>
          <w:bCs/>
        </w:rPr>
        <w:t>igure 3.3.</w:t>
      </w:r>
      <w:r>
        <w:rPr>
          <w:rFonts w:ascii="Times New Roman" w:hAnsi="Times New Roman" w:cs="Times New Roman"/>
          <w:b/>
          <w:bCs/>
        </w:rPr>
        <w:t>4</w:t>
      </w:r>
      <w:r w:rsidRPr="00CC3131">
        <w:rPr>
          <w:rFonts w:ascii="Times New Roman" w:hAnsi="Times New Roman" w:cs="Times New Roman"/>
          <w:b/>
          <w:bCs/>
        </w:rPr>
        <w:t>c</w:t>
      </w:r>
      <w:r>
        <w:rPr>
          <w:rFonts w:ascii="Times New Roman" w:hAnsi="Times New Roman" w:cs="Times New Roman"/>
        </w:rPr>
        <w:t xml:space="preserve"> reveals that while the pALC2073-</w:t>
      </w:r>
      <w:r>
        <w:rPr>
          <w:rFonts w:ascii="Times New Roman" w:hAnsi="Times New Roman" w:cs="Times New Roman"/>
          <w:i/>
          <w:iCs/>
        </w:rPr>
        <w:t>rel</w:t>
      </w:r>
      <w:r>
        <w:rPr>
          <w:rFonts w:ascii="Times New Roman" w:hAnsi="Times New Roman" w:cs="Times New Roman"/>
        </w:rPr>
        <w:t xml:space="preserve"> plasmid was able to produce pppGpp, it is clear that the pALC2073-</w:t>
      </w:r>
      <w:r>
        <w:rPr>
          <w:rFonts w:ascii="Times New Roman" w:hAnsi="Times New Roman" w:cs="Times New Roman"/>
          <w:i/>
          <w:iCs/>
        </w:rPr>
        <w:t>relQ</w:t>
      </w:r>
      <w:r>
        <w:rPr>
          <w:rFonts w:ascii="Times New Roman" w:hAnsi="Times New Roman" w:cs="Times New Roman"/>
        </w:rPr>
        <w:t xml:space="preserve"> plasmid is able to overproduce (p)ppGpp in comparison to the (p)ppGpp</w:t>
      </w:r>
      <w:r>
        <w:rPr>
          <w:rFonts w:ascii="Times New Roman" w:hAnsi="Times New Roman" w:cs="Times New Roman"/>
          <w:vertAlign w:val="superscript"/>
        </w:rPr>
        <w:t>0</w:t>
      </w:r>
      <w:r>
        <w:rPr>
          <w:rFonts w:ascii="Times New Roman" w:hAnsi="Times New Roman" w:cs="Times New Roman"/>
        </w:rPr>
        <w:t xml:space="preserve"> mutant and the other complement strains. As the pALC2073-</w:t>
      </w:r>
      <w:r>
        <w:rPr>
          <w:rFonts w:ascii="Times New Roman" w:hAnsi="Times New Roman" w:cs="Times New Roman"/>
          <w:i/>
          <w:iCs/>
        </w:rPr>
        <w:t>rel</w:t>
      </w:r>
      <w:r>
        <w:rPr>
          <w:rFonts w:ascii="Times New Roman" w:hAnsi="Times New Roman" w:cs="Times New Roman"/>
        </w:rPr>
        <w:t xml:space="preserve"> plasmid contains a HD domain, this may explain why this plasmid is unable to overproduce (p)ppGpp in the same way as pALC2073-</w:t>
      </w:r>
      <w:r>
        <w:rPr>
          <w:rFonts w:ascii="Times New Roman" w:hAnsi="Times New Roman" w:cs="Times New Roman"/>
          <w:i/>
          <w:iCs/>
        </w:rPr>
        <w:t>relQ</w:t>
      </w:r>
      <w:r>
        <w:rPr>
          <w:rFonts w:ascii="Times New Roman" w:hAnsi="Times New Roman" w:cs="Times New Roman"/>
        </w:rPr>
        <w:t>. Therefore, the pALC2073-</w:t>
      </w:r>
      <w:r>
        <w:rPr>
          <w:rFonts w:ascii="Times New Roman" w:hAnsi="Times New Roman" w:cs="Times New Roman"/>
          <w:i/>
          <w:iCs/>
        </w:rPr>
        <w:t>relQ</w:t>
      </w:r>
      <w:r>
        <w:rPr>
          <w:rFonts w:ascii="Times New Roman" w:hAnsi="Times New Roman" w:cs="Times New Roman"/>
        </w:rPr>
        <w:t xml:space="preserve"> plasmid was introduced into a WT background to overproduce (p)ppGpp.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46C1D295" w14:textId="77777777" w:rsidTr="00A74445">
        <w:tc>
          <w:tcPr>
            <w:tcW w:w="9016" w:type="dxa"/>
          </w:tcPr>
          <w:p w14:paraId="5E3F8AEF"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B640BC4" wp14:editId="682430B2">
                  <wp:extent cx="5635256" cy="7204254"/>
                  <wp:effectExtent l="0" t="0" r="3810" b="0"/>
                  <wp:docPr id="509247773" name="Picture 50924777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47773" name="Picture 509247773" descr="A picture containing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6150" cy="7230965"/>
                          </a:xfrm>
                          <a:prstGeom prst="rect">
                            <a:avLst/>
                          </a:prstGeom>
                          <a:noFill/>
                        </pic:spPr>
                      </pic:pic>
                    </a:graphicData>
                  </a:graphic>
                </wp:inline>
              </w:drawing>
            </w:r>
          </w:p>
        </w:tc>
      </w:tr>
      <w:tr w:rsidR="00187693" w14:paraId="04A86DB7" w14:textId="77777777" w:rsidTr="00A74445">
        <w:tc>
          <w:tcPr>
            <w:tcW w:w="9016" w:type="dxa"/>
          </w:tcPr>
          <w:p w14:paraId="14B87D37" w14:textId="77777777" w:rsidR="00187693" w:rsidRDefault="00187693" w:rsidP="00A74445">
            <w:pPr>
              <w:jc w:val="both"/>
              <w:rPr>
                <w:rFonts w:ascii="Times New Roman" w:hAnsi="Times New Roman" w:cs="Times New Roman"/>
              </w:rPr>
            </w:pPr>
            <w:r w:rsidRPr="001624EF">
              <w:rPr>
                <w:rFonts w:ascii="Times New Roman" w:hAnsi="Times New Roman" w:cs="Times New Roman"/>
                <w:b/>
                <w:bCs/>
                <w:sz w:val="18"/>
                <w:szCs w:val="18"/>
              </w:rPr>
              <w:t>Figure 3.3.4. Characterisation and construction of alternative (p)ppGpp overproduction strains.</w:t>
            </w:r>
            <w:r w:rsidRPr="001624EF">
              <w:rPr>
                <w:rFonts w:ascii="Times New Roman" w:hAnsi="Times New Roman" w:cs="Times New Roman"/>
                <w:sz w:val="18"/>
                <w:szCs w:val="18"/>
              </w:rPr>
              <w:t xml:space="preserve"> JE2 pALC2073 and (p)ppGpp</w:t>
            </w:r>
            <w:r w:rsidRPr="001624EF">
              <w:rPr>
                <w:rFonts w:ascii="Times New Roman" w:hAnsi="Times New Roman" w:cs="Times New Roman"/>
                <w:sz w:val="18"/>
                <w:szCs w:val="18"/>
                <w:vertAlign w:val="superscript"/>
              </w:rPr>
              <w:t xml:space="preserve">0 </w:t>
            </w:r>
            <w:r w:rsidRPr="001624EF">
              <w:rPr>
                <w:rFonts w:ascii="Times New Roman" w:hAnsi="Times New Roman" w:cs="Times New Roman"/>
                <w:sz w:val="18"/>
                <w:szCs w:val="18"/>
              </w:rPr>
              <w:t>pALC2073 empty vector strains (controls) and (p)ppGpp</w:t>
            </w:r>
            <w:r w:rsidRPr="001624EF">
              <w:rPr>
                <w:rFonts w:ascii="Times New Roman" w:hAnsi="Times New Roman" w:cs="Times New Roman"/>
                <w:sz w:val="18"/>
                <w:szCs w:val="18"/>
                <w:vertAlign w:val="superscript"/>
              </w:rPr>
              <w:t xml:space="preserve">0 </w:t>
            </w:r>
            <w:r w:rsidRPr="001624EF">
              <w:rPr>
                <w:rFonts w:ascii="Times New Roman" w:hAnsi="Times New Roman" w:cs="Times New Roman"/>
                <w:sz w:val="18"/>
                <w:szCs w:val="18"/>
              </w:rPr>
              <w:t xml:space="preserve">pALC2073 complemented with </w:t>
            </w:r>
            <w:r w:rsidRPr="001624EF">
              <w:rPr>
                <w:rFonts w:ascii="Times New Roman" w:hAnsi="Times New Roman" w:cs="Times New Roman"/>
                <w:i/>
                <w:iCs/>
                <w:sz w:val="18"/>
                <w:szCs w:val="18"/>
              </w:rPr>
              <w:t xml:space="preserve">rel, relP </w:t>
            </w:r>
            <w:r w:rsidRPr="001624EF">
              <w:rPr>
                <w:rFonts w:ascii="Times New Roman" w:hAnsi="Times New Roman" w:cs="Times New Roman"/>
                <w:sz w:val="18"/>
                <w:szCs w:val="18"/>
              </w:rPr>
              <w:t xml:space="preserve">and </w:t>
            </w:r>
            <w:r w:rsidRPr="001624EF">
              <w:rPr>
                <w:rFonts w:ascii="Times New Roman" w:hAnsi="Times New Roman" w:cs="Times New Roman"/>
                <w:i/>
                <w:iCs/>
                <w:sz w:val="18"/>
                <w:szCs w:val="18"/>
              </w:rPr>
              <w:t>relQ</w:t>
            </w:r>
            <w:r w:rsidRPr="001624EF">
              <w:rPr>
                <w:rFonts w:ascii="Times New Roman" w:hAnsi="Times New Roman" w:cs="Times New Roman"/>
                <w:sz w:val="18"/>
                <w:szCs w:val="18"/>
              </w:rPr>
              <w:t xml:space="preserve"> were streaked on TSA plates containing 0.05 μg/ml mupirocin </w:t>
            </w:r>
            <w:r w:rsidRPr="001624EF">
              <w:rPr>
                <w:rFonts w:ascii="Times New Roman" w:hAnsi="Times New Roman" w:cs="Times New Roman"/>
                <w:b/>
                <w:bCs/>
                <w:sz w:val="18"/>
                <w:szCs w:val="18"/>
              </w:rPr>
              <w:t>(a)</w:t>
            </w:r>
            <w:r w:rsidRPr="001624EF">
              <w:rPr>
                <w:rFonts w:ascii="Times New Roman" w:hAnsi="Times New Roman" w:cs="Times New Roman"/>
                <w:sz w:val="18"/>
                <w:szCs w:val="18"/>
              </w:rPr>
              <w:t xml:space="preserve"> and TSA containing 0.05 μg/ml mupirocin and 50 ng/ml Atc </w:t>
            </w:r>
            <w:r w:rsidRPr="001624EF">
              <w:rPr>
                <w:rFonts w:ascii="Times New Roman" w:hAnsi="Times New Roman" w:cs="Times New Roman"/>
                <w:b/>
                <w:bCs/>
                <w:sz w:val="18"/>
                <w:szCs w:val="18"/>
              </w:rPr>
              <w:t>(b)</w:t>
            </w:r>
            <w:r w:rsidRPr="001624EF">
              <w:rPr>
                <w:rFonts w:ascii="Times New Roman" w:hAnsi="Times New Roman" w:cs="Times New Roman"/>
                <w:sz w:val="18"/>
                <w:szCs w:val="18"/>
              </w:rPr>
              <w:t xml:space="preserve">. </w:t>
            </w:r>
            <w:r w:rsidRPr="001624EF">
              <w:rPr>
                <w:rFonts w:ascii="Times New Roman" w:hAnsi="Times New Roman" w:cs="Times New Roman"/>
                <w:b/>
                <w:bCs/>
                <w:sz w:val="18"/>
                <w:szCs w:val="18"/>
              </w:rPr>
              <w:t xml:space="preserve">c) </w:t>
            </w:r>
            <w:r w:rsidRPr="001624EF">
              <w:rPr>
                <w:rFonts w:ascii="Times New Roman" w:hAnsi="Times New Roman" w:cs="Times New Roman"/>
                <w:sz w:val="18"/>
                <w:szCs w:val="18"/>
              </w:rPr>
              <w:t>These strains were then analysed by TLC. Nucleotide standards (GTP, pppGpp and ppGpp) were run in parallel to aid in the identification of each spot.</w:t>
            </w:r>
            <w:r>
              <w:rPr>
                <w:rFonts w:ascii="Times New Roman" w:hAnsi="Times New Roman" w:cs="Times New Roman"/>
                <w:sz w:val="18"/>
                <w:szCs w:val="18"/>
              </w:rPr>
              <w:t xml:space="preserve"> Performed by RMC.</w:t>
            </w:r>
            <w:r w:rsidRPr="001624EF">
              <w:rPr>
                <w:rFonts w:ascii="Times New Roman" w:hAnsi="Times New Roman" w:cs="Times New Roman"/>
                <w:sz w:val="18"/>
                <w:szCs w:val="18"/>
              </w:rPr>
              <w:t xml:space="preserve"> </w:t>
            </w:r>
            <w:r w:rsidRPr="001624EF">
              <w:rPr>
                <w:rFonts w:ascii="Times New Roman" w:hAnsi="Times New Roman" w:cs="Times New Roman"/>
                <w:b/>
                <w:bCs/>
                <w:sz w:val="18"/>
                <w:szCs w:val="18"/>
              </w:rPr>
              <w:t xml:space="preserve">d) </w:t>
            </w:r>
            <w:r w:rsidRPr="001624EF">
              <w:rPr>
                <w:rFonts w:ascii="Times New Roman" w:hAnsi="Times New Roman" w:cs="Times New Roman"/>
                <w:sz w:val="18"/>
                <w:szCs w:val="18"/>
              </w:rPr>
              <w:t>Primers specific for pCL55-iTET</w:t>
            </w:r>
            <w:r w:rsidRPr="001624EF">
              <w:rPr>
                <w:rFonts w:ascii="Times New Roman" w:hAnsi="Times New Roman" w:cs="Times New Roman"/>
                <w:sz w:val="18"/>
                <w:szCs w:val="18"/>
                <w:vertAlign w:val="subscript"/>
              </w:rPr>
              <w:t xml:space="preserve">r862 </w:t>
            </w:r>
            <w:r w:rsidRPr="001624EF">
              <w:rPr>
                <w:rFonts w:ascii="Times New Roman" w:hAnsi="Times New Roman" w:cs="Times New Roman"/>
                <w:sz w:val="18"/>
                <w:szCs w:val="18"/>
              </w:rPr>
              <w:t>(RMC006/007) were used to conduct PCR on genomic DNA extracted from a lipase-negative clone. Lane 1; JE2 pCL55-iTET (315 bp), lane 2;</w:t>
            </w:r>
            <w:r>
              <w:rPr>
                <w:rFonts w:ascii="Times New Roman" w:hAnsi="Times New Roman" w:cs="Times New Roman"/>
                <w:sz w:val="18"/>
                <w:szCs w:val="18"/>
              </w:rPr>
              <w:t xml:space="preserve"> positive clone of</w:t>
            </w:r>
            <w:r w:rsidRPr="001624EF">
              <w:rPr>
                <w:rFonts w:ascii="Times New Roman" w:hAnsi="Times New Roman" w:cs="Times New Roman"/>
                <w:sz w:val="18"/>
                <w:szCs w:val="18"/>
              </w:rPr>
              <w:t xml:space="preserve"> JE2 pCL55-iTET</w:t>
            </w:r>
            <w:r w:rsidRPr="001624EF">
              <w:rPr>
                <w:rFonts w:ascii="Times New Roman" w:hAnsi="Times New Roman" w:cs="Times New Roman"/>
                <w:sz w:val="18"/>
                <w:szCs w:val="18"/>
                <w:vertAlign w:val="subscript"/>
              </w:rPr>
              <w:t>r862</w:t>
            </w:r>
            <w:r w:rsidRPr="001624EF">
              <w:rPr>
                <w:rFonts w:ascii="Times New Roman" w:hAnsi="Times New Roman" w:cs="Times New Roman"/>
                <w:sz w:val="18"/>
                <w:szCs w:val="18"/>
              </w:rPr>
              <w:t>-</w:t>
            </w:r>
            <w:r w:rsidRPr="001624EF">
              <w:rPr>
                <w:rFonts w:ascii="Times New Roman" w:hAnsi="Times New Roman" w:cs="Times New Roman"/>
                <w:i/>
                <w:iCs/>
                <w:sz w:val="18"/>
                <w:szCs w:val="18"/>
              </w:rPr>
              <w:t>rel</w:t>
            </w:r>
            <w:r w:rsidRPr="001624EF">
              <w:rPr>
                <w:rFonts w:ascii="Times New Roman" w:hAnsi="Times New Roman" w:cs="Times New Roman"/>
                <w:sz w:val="18"/>
                <w:szCs w:val="18"/>
              </w:rPr>
              <w:t xml:space="preserve"> (2741 bp). </w:t>
            </w:r>
            <w:r w:rsidRPr="001624EF">
              <w:rPr>
                <w:rFonts w:ascii="Times New Roman" w:hAnsi="Times New Roman" w:cs="Times New Roman"/>
                <w:b/>
                <w:bCs/>
                <w:sz w:val="18"/>
                <w:szCs w:val="18"/>
              </w:rPr>
              <w:t xml:space="preserve">e) </w:t>
            </w:r>
            <w:r w:rsidRPr="001624EF">
              <w:rPr>
                <w:rFonts w:ascii="Times New Roman" w:hAnsi="Times New Roman" w:cs="Times New Roman"/>
                <w:sz w:val="18"/>
                <w:szCs w:val="18"/>
              </w:rPr>
              <w:t>Positive clones of JE2 pCL55-iTET</w:t>
            </w:r>
            <w:r w:rsidRPr="001624EF">
              <w:rPr>
                <w:rFonts w:ascii="Times New Roman" w:hAnsi="Times New Roman" w:cs="Times New Roman"/>
                <w:sz w:val="18"/>
                <w:szCs w:val="18"/>
                <w:vertAlign w:val="subscript"/>
              </w:rPr>
              <w:t>r862</w:t>
            </w:r>
            <w:r w:rsidRPr="001624EF">
              <w:rPr>
                <w:rFonts w:ascii="Times New Roman" w:hAnsi="Times New Roman" w:cs="Times New Roman"/>
                <w:sz w:val="18"/>
                <w:szCs w:val="18"/>
              </w:rPr>
              <w:t>-</w:t>
            </w:r>
            <w:r w:rsidRPr="001624EF">
              <w:rPr>
                <w:rFonts w:ascii="Times New Roman" w:hAnsi="Times New Roman" w:cs="Times New Roman"/>
                <w:i/>
                <w:iCs/>
                <w:sz w:val="18"/>
                <w:szCs w:val="18"/>
              </w:rPr>
              <w:t xml:space="preserve">relP </w:t>
            </w:r>
            <w:r w:rsidRPr="001624EF">
              <w:rPr>
                <w:rFonts w:ascii="Times New Roman" w:hAnsi="Times New Roman" w:cs="Times New Roman"/>
                <w:sz w:val="18"/>
                <w:szCs w:val="18"/>
              </w:rPr>
              <w:t>and</w:t>
            </w:r>
            <w:r w:rsidRPr="001624EF">
              <w:rPr>
                <w:rFonts w:ascii="Times New Roman" w:hAnsi="Times New Roman" w:cs="Times New Roman"/>
                <w:i/>
                <w:iCs/>
                <w:sz w:val="18"/>
                <w:szCs w:val="18"/>
              </w:rPr>
              <w:t xml:space="preserve"> </w:t>
            </w:r>
            <w:r w:rsidRPr="001624EF">
              <w:rPr>
                <w:rFonts w:ascii="Times New Roman" w:hAnsi="Times New Roman" w:cs="Times New Roman"/>
                <w:sz w:val="18"/>
                <w:szCs w:val="18"/>
              </w:rPr>
              <w:t>JE2 pCL55-iTET</w:t>
            </w:r>
            <w:r w:rsidRPr="001624EF">
              <w:rPr>
                <w:rFonts w:ascii="Times New Roman" w:hAnsi="Times New Roman" w:cs="Times New Roman"/>
                <w:sz w:val="18"/>
                <w:szCs w:val="18"/>
                <w:vertAlign w:val="subscript"/>
              </w:rPr>
              <w:t>r862</w:t>
            </w:r>
            <w:r w:rsidRPr="001624EF">
              <w:rPr>
                <w:rFonts w:ascii="Times New Roman" w:hAnsi="Times New Roman" w:cs="Times New Roman"/>
                <w:sz w:val="18"/>
                <w:szCs w:val="18"/>
              </w:rPr>
              <w:t>-</w:t>
            </w:r>
            <w:r w:rsidRPr="001624EF">
              <w:rPr>
                <w:rFonts w:ascii="Times New Roman" w:hAnsi="Times New Roman" w:cs="Times New Roman"/>
                <w:i/>
                <w:iCs/>
                <w:sz w:val="18"/>
                <w:szCs w:val="18"/>
              </w:rPr>
              <w:t xml:space="preserve">relQ. </w:t>
            </w:r>
            <w:r w:rsidRPr="001624EF">
              <w:rPr>
                <w:rFonts w:ascii="Times New Roman" w:hAnsi="Times New Roman" w:cs="Times New Roman"/>
                <w:sz w:val="18"/>
                <w:szCs w:val="18"/>
              </w:rPr>
              <w:t>Lane 1; JE2 pCL55-iTET (315 bp), lane 2-3; JE2 pCL55-iTET</w:t>
            </w:r>
            <w:r w:rsidRPr="001624EF">
              <w:rPr>
                <w:rFonts w:ascii="Times New Roman" w:hAnsi="Times New Roman" w:cs="Times New Roman"/>
                <w:sz w:val="18"/>
                <w:szCs w:val="18"/>
                <w:vertAlign w:val="subscript"/>
              </w:rPr>
              <w:t>r862</w:t>
            </w:r>
            <w:r w:rsidRPr="001624EF">
              <w:rPr>
                <w:rFonts w:ascii="Times New Roman" w:hAnsi="Times New Roman" w:cs="Times New Roman"/>
                <w:sz w:val="18"/>
                <w:szCs w:val="18"/>
              </w:rPr>
              <w:t>-</w:t>
            </w:r>
            <w:r w:rsidRPr="001624EF">
              <w:rPr>
                <w:rFonts w:ascii="Times New Roman" w:hAnsi="Times New Roman" w:cs="Times New Roman"/>
                <w:i/>
                <w:iCs/>
                <w:sz w:val="18"/>
                <w:szCs w:val="18"/>
              </w:rPr>
              <w:t>relP</w:t>
            </w:r>
            <w:r w:rsidRPr="001624EF">
              <w:rPr>
                <w:rFonts w:ascii="Times New Roman" w:hAnsi="Times New Roman" w:cs="Times New Roman"/>
                <w:sz w:val="18"/>
                <w:szCs w:val="18"/>
              </w:rPr>
              <w:t xml:space="preserve"> (1211 bp), lane 4-5 ; JE2 pCL55-iTET</w:t>
            </w:r>
            <w:r w:rsidRPr="001624EF">
              <w:rPr>
                <w:rFonts w:ascii="Times New Roman" w:hAnsi="Times New Roman" w:cs="Times New Roman"/>
                <w:sz w:val="18"/>
                <w:szCs w:val="18"/>
                <w:vertAlign w:val="subscript"/>
              </w:rPr>
              <w:t>r862</w:t>
            </w:r>
            <w:r w:rsidRPr="001624EF">
              <w:rPr>
                <w:rFonts w:ascii="Times New Roman" w:hAnsi="Times New Roman" w:cs="Times New Roman"/>
                <w:sz w:val="18"/>
                <w:szCs w:val="18"/>
              </w:rPr>
              <w:t>-</w:t>
            </w:r>
            <w:r w:rsidRPr="001624EF">
              <w:rPr>
                <w:rFonts w:ascii="Times New Roman" w:hAnsi="Times New Roman" w:cs="Times New Roman"/>
                <w:i/>
                <w:iCs/>
                <w:sz w:val="18"/>
                <w:szCs w:val="18"/>
              </w:rPr>
              <w:t>relQ</w:t>
            </w:r>
            <w:r w:rsidRPr="001624EF">
              <w:rPr>
                <w:rFonts w:ascii="Times New Roman" w:hAnsi="Times New Roman" w:cs="Times New Roman"/>
                <w:sz w:val="18"/>
                <w:szCs w:val="18"/>
              </w:rPr>
              <w:t xml:space="preserve"> (1161 bp). PCR products were run on 1% agarose gels. Ladder sizes are shown.</w:t>
            </w:r>
            <w:r w:rsidRPr="001624EF">
              <w:rPr>
                <w:rFonts w:ascii="Times New Roman" w:hAnsi="Times New Roman" w:cs="Times New Roman"/>
                <w:b/>
                <w:bCs/>
                <w:sz w:val="18"/>
                <w:szCs w:val="18"/>
              </w:rPr>
              <w:t xml:space="preserve"> </w:t>
            </w:r>
          </w:p>
        </w:tc>
      </w:tr>
    </w:tbl>
    <w:p w14:paraId="4C85CAF0" w14:textId="77777777" w:rsidR="00187693" w:rsidRDefault="00187693" w:rsidP="00187693">
      <w:pPr>
        <w:spacing w:line="360" w:lineRule="auto"/>
        <w:ind w:firstLine="720"/>
        <w:jc w:val="both"/>
        <w:rPr>
          <w:rFonts w:ascii="Times New Roman" w:hAnsi="Times New Roman" w:cs="Times New Roman"/>
        </w:rPr>
      </w:pPr>
    </w:p>
    <w:p w14:paraId="43C741A3" w14:textId="77777777"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i/>
          <w:iCs/>
        </w:rPr>
        <w:t>in vivo</w:t>
      </w:r>
      <w:r>
        <w:rPr>
          <w:rFonts w:ascii="Times New Roman" w:hAnsi="Times New Roman" w:cs="Times New Roman"/>
        </w:rPr>
        <w:t xml:space="preserve"> experiments, </w:t>
      </w:r>
      <w:r>
        <w:rPr>
          <w:rFonts w:ascii="Times New Roman" w:hAnsi="Times New Roman" w:cs="Times New Roman"/>
          <w:i/>
          <w:iCs/>
        </w:rPr>
        <w:t>rel</w:t>
      </w:r>
      <w:r>
        <w:rPr>
          <w:rFonts w:ascii="Times New Roman" w:hAnsi="Times New Roman" w:cs="Times New Roman"/>
        </w:rPr>
        <w:t xml:space="preserve">, </w:t>
      </w:r>
      <w:r w:rsidRPr="007A649C">
        <w:rPr>
          <w:rFonts w:ascii="Times New Roman" w:hAnsi="Times New Roman" w:cs="Times New Roman"/>
          <w:i/>
          <w:iCs/>
        </w:rPr>
        <w:t>relP</w:t>
      </w:r>
      <w:r>
        <w:rPr>
          <w:rFonts w:ascii="Times New Roman" w:hAnsi="Times New Roman" w:cs="Times New Roman"/>
        </w:rPr>
        <w:t xml:space="preserve"> and </w:t>
      </w:r>
      <w:r w:rsidRPr="007A649C">
        <w:rPr>
          <w:rFonts w:ascii="Times New Roman" w:hAnsi="Times New Roman" w:cs="Times New Roman"/>
          <w:i/>
          <w:iCs/>
        </w:rPr>
        <w:t>relQ</w:t>
      </w:r>
      <w:r>
        <w:rPr>
          <w:rFonts w:ascii="Times New Roman" w:hAnsi="Times New Roman" w:cs="Times New Roman"/>
        </w:rPr>
        <w:t xml:space="preserve"> were cloned into the integrative pCL55-iTET</w:t>
      </w:r>
      <w:r>
        <w:rPr>
          <w:rFonts w:ascii="Times New Roman" w:hAnsi="Times New Roman" w:cs="Times New Roman"/>
          <w:vertAlign w:val="subscript"/>
        </w:rPr>
        <w:t>r862</w:t>
      </w:r>
      <w:r>
        <w:rPr>
          <w:rFonts w:ascii="Times New Roman" w:hAnsi="Times New Roman" w:cs="Times New Roman"/>
        </w:rPr>
        <w:t xml:space="preserve"> vectors that utilise a tetracycline-inducible promoter. The advantage of this is that antibiotics are not required for plasmid maintenance and there is no prospect of plasmid loss during the course of infection as it is present on the genome. To construct these strains, pCL55-iTET</w:t>
      </w:r>
      <w:r>
        <w:rPr>
          <w:rFonts w:ascii="Times New Roman" w:hAnsi="Times New Roman" w:cs="Times New Roman"/>
          <w:vertAlign w:val="subscript"/>
        </w:rPr>
        <w:t>r862</w:t>
      </w:r>
      <w:r>
        <w:rPr>
          <w:rFonts w:ascii="Times New Roman" w:hAnsi="Times New Roman" w:cs="Times New Roman"/>
        </w:rPr>
        <w:t>-</w:t>
      </w:r>
      <w:r>
        <w:rPr>
          <w:rFonts w:ascii="Times New Roman" w:hAnsi="Times New Roman" w:cs="Times New Roman"/>
          <w:i/>
          <w:iCs/>
        </w:rPr>
        <w:t>rel</w:t>
      </w:r>
      <w:r>
        <w:rPr>
          <w:rFonts w:ascii="Times New Roman" w:hAnsi="Times New Roman" w:cs="Times New Roman"/>
        </w:rPr>
        <w:t>, pCL55-iTET</w:t>
      </w:r>
      <w:r>
        <w:rPr>
          <w:rFonts w:ascii="Times New Roman" w:hAnsi="Times New Roman" w:cs="Times New Roman"/>
          <w:vertAlign w:val="subscript"/>
        </w:rPr>
        <w:t>r862</w:t>
      </w:r>
      <w:r>
        <w:rPr>
          <w:rFonts w:ascii="Times New Roman" w:hAnsi="Times New Roman" w:cs="Times New Roman"/>
        </w:rPr>
        <w:t>-</w:t>
      </w:r>
      <w:r>
        <w:rPr>
          <w:rFonts w:ascii="Times New Roman" w:hAnsi="Times New Roman" w:cs="Times New Roman"/>
          <w:i/>
          <w:iCs/>
        </w:rPr>
        <w:t>relP</w:t>
      </w:r>
      <w:r>
        <w:rPr>
          <w:rFonts w:ascii="Times New Roman" w:hAnsi="Times New Roman" w:cs="Times New Roman"/>
        </w:rPr>
        <w:t>, pCL55-iTET</w:t>
      </w:r>
      <w:r>
        <w:rPr>
          <w:rFonts w:ascii="Times New Roman" w:hAnsi="Times New Roman" w:cs="Times New Roman"/>
          <w:vertAlign w:val="subscript"/>
        </w:rPr>
        <w:t>r862</w:t>
      </w:r>
      <w:r>
        <w:rPr>
          <w:rFonts w:ascii="Times New Roman" w:hAnsi="Times New Roman" w:cs="Times New Roman"/>
        </w:rPr>
        <w:t>-</w:t>
      </w:r>
      <w:r>
        <w:rPr>
          <w:rFonts w:ascii="Times New Roman" w:hAnsi="Times New Roman" w:cs="Times New Roman"/>
          <w:i/>
          <w:iCs/>
        </w:rPr>
        <w:t>relQ</w:t>
      </w:r>
      <w:r>
        <w:rPr>
          <w:rFonts w:ascii="Times New Roman" w:hAnsi="Times New Roman" w:cs="Times New Roman"/>
        </w:rPr>
        <w:t xml:space="preserve">, were transduced into JE2 WT using phage 85. PCR amplification of genomic DNA extracted from these clones confirmed the presence of the plasmid </w:t>
      </w:r>
      <w:r w:rsidRPr="00920090">
        <w:rPr>
          <w:rFonts w:ascii="Times New Roman" w:hAnsi="Times New Roman" w:cs="Times New Roman"/>
          <w:b/>
          <w:bCs/>
        </w:rPr>
        <w:t>(Figure 3.3.</w:t>
      </w:r>
      <w:r>
        <w:rPr>
          <w:rFonts w:ascii="Times New Roman" w:hAnsi="Times New Roman" w:cs="Times New Roman"/>
          <w:b/>
          <w:bCs/>
        </w:rPr>
        <w:t>4e and f</w:t>
      </w:r>
      <w:r w:rsidRPr="00920090">
        <w:rPr>
          <w:rFonts w:ascii="Times New Roman" w:hAnsi="Times New Roman" w:cs="Times New Roman"/>
          <w:b/>
          <w:bCs/>
        </w:rPr>
        <w:t>)</w:t>
      </w:r>
      <w:r>
        <w:rPr>
          <w:rFonts w:ascii="Times New Roman" w:hAnsi="Times New Roman" w:cs="Times New Roman"/>
        </w:rPr>
        <w:t xml:space="preserve">. </w:t>
      </w:r>
    </w:p>
    <w:p w14:paraId="4E2DEBFF" w14:textId="77777777" w:rsidR="00187693" w:rsidRDefault="00187693" w:rsidP="00187693">
      <w:pPr>
        <w:pStyle w:val="Heading2"/>
        <w:rPr>
          <w:rFonts w:cs="Times New Roman"/>
        </w:rPr>
      </w:pPr>
      <w:bookmarkStart w:id="129" w:name="_Toc142043632"/>
      <w:r w:rsidRPr="00732D9C">
        <w:rPr>
          <w:rFonts w:cs="Times New Roman"/>
        </w:rPr>
        <w:t>3.</w:t>
      </w:r>
      <w:r>
        <w:rPr>
          <w:rFonts w:cs="Times New Roman"/>
        </w:rPr>
        <w:t>4</w:t>
      </w:r>
      <w:r w:rsidRPr="00732D9C">
        <w:rPr>
          <w:rFonts w:cs="Times New Roman"/>
        </w:rPr>
        <w:t>. Construction of</w:t>
      </w:r>
      <w:r>
        <w:rPr>
          <w:rFonts w:cs="Times New Roman"/>
        </w:rPr>
        <w:t xml:space="preserve"> fluorescent</w:t>
      </w:r>
      <w:r w:rsidRPr="00732D9C">
        <w:rPr>
          <w:rFonts w:cs="Times New Roman"/>
        </w:rPr>
        <w:t xml:space="preserve"> (p)ppGpp</w:t>
      </w:r>
      <w:r>
        <w:rPr>
          <w:rFonts w:cs="Times New Roman"/>
        </w:rPr>
        <w:t xml:space="preserve"> probes</w:t>
      </w:r>
      <w:bookmarkEnd w:id="129"/>
    </w:p>
    <w:p w14:paraId="52C3710C" w14:textId="77777777" w:rsidR="00187693" w:rsidRPr="0010756E" w:rsidRDefault="00187693" w:rsidP="00187693"/>
    <w:p w14:paraId="2ED4CA47" w14:textId="42FC34B0" w:rsidR="00187693" w:rsidRDefault="00187693" w:rsidP="0018769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Current, well-established methods of (p)ppGpp detection include high-performance liquid chromatography (HPLC) </w:t>
      </w:r>
      <w:r w:rsidRPr="0010756E">
        <w:rPr>
          <w:rFonts w:ascii="Times New Roman" w:hAnsi="Times New Roman" w:cs="Times New Roman"/>
          <w:b/>
          <w:bCs/>
          <w:color w:val="000000" w:themeColor="text1"/>
        </w:rPr>
        <w:fldChar w:fldCharType="begin">
          <w:fldData xml:space="preserve">PEVuZE5vdGU+PENpdGU+PEF1dGhvcj5WYXJpazwvQXV0aG9yPjxZZWFyPjIwMTc8L1llYXI+PElE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</w:fldData>
        </w:fldChar>
      </w:r>
      <w:r w:rsidRPr="0010756E">
        <w:rPr>
          <w:rFonts w:ascii="Times New Roman" w:hAnsi="Times New Roman" w:cs="Times New Roman"/>
          <w:b/>
          <w:bCs/>
          <w:color w:val="000000" w:themeColor="text1"/>
        </w:rPr>
        <w:instrText xml:space="preserve"> ADDIN EN.CITE </w:instrText>
      </w:r>
      <w:r w:rsidRPr="0010756E">
        <w:rPr>
          <w:rFonts w:ascii="Times New Roman" w:hAnsi="Times New Roman" w:cs="Times New Roman"/>
          <w:b/>
          <w:bCs/>
          <w:color w:val="000000" w:themeColor="text1"/>
        </w:rPr>
        <w:fldChar w:fldCharType="begin">
          <w:fldData xml:space="preserve">PEVuZE5vdGU+PENpdGU+PEF1dGhvcj5WYXJpazwvQXV0aG9yPjxZZWFyPjIwMTc8L1llYXI+PElE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</w:fldData>
        </w:fldChar>
      </w:r>
      <w:r w:rsidRPr="0010756E">
        <w:rPr>
          <w:rFonts w:ascii="Times New Roman" w:hAnsi="Times New Roman" w:cs="Times New Roman"/>
          <w:b/>
          <w:bCs/>
          <w:color w:val="000000" w:themeColor="text1"/>
        </w:rPr>
        <w:instrText xml:space="preserve"> ADDIN EN.CITE.DATA </w:instrText>
      </w:r>
      <w:r w:rsidRPr="0010756E">
        <w:rPr>
          <w:rFonts w:ascii="Times New Roman" w:hAnsi="Times New Roman" w:cs="Times New Roman"/>
          <w:b/>
          <w:bCs/>
          <w:color w:val="000000" w:themeColor="text1"/>
        </w:rPr>
      </w:r>
      <w:r w:rsidRPr="0010756E">
        <w:rPr>
          <w:rFonts w:ascii="Times New Roman" w:hAnsi="Times New Roman" w:cs="Times New Roman"/>
          <w:b/>
          <w:bCs/>
          <w:color w:val="000000" w:themeColor="text1"/>
        </w:rPr>
        <w:fldChar w:fldCharType="end"/>
      </w:r>
      <w:r w:rsidRPr="0010756E">
        <w:rPr>
          <w:rFonts w:ascii="Times New Roman" w:hAnsi="Times New Roman" w:cs="Times New Roman"/>
          <w:b/>
          <w:bCs/>
          <w:color w:val="000000" w:themeColor="text1"/>
        </w:rPr>
      </w:r>
      <w:r w:rsidRPr="0010756E">
        <w:rPr>
          <w:rFonts w:ascii="Times New Roman" w:hAnsi="Times New Roman" w:cs="Times New Roman"/>
          <w:b/>
          <w:bCs/>
          <w:color w:val="000000" w:themeColor="text1"/>
        </w:rPr>
        <w:fldChar w:fldCharType="separate"/>
      </w:r>
      <w:r w:rsidRPr="0010756E">
        <w:rPr>
          <w:rFonts w:ascii="Times New Roman" w:hAnsi="Times New Roman" w:cs="Times New Roman"/>
          <w:b/>
          <w:bCs/>
          <w:noProof/>
          <w:color w:val="000000" w:themeColor="text1"/>
        </w:rPr>
        <w:t>(Varik</w:t>
      </w:r>
      <w:r w:rsidRPr="0010756E">
        <w:rPr>
          <w:rFonts w:ascii="Times New Roman" w:hAnsi="Times New Roman" w:cs="Times New Roman"/>
          <w:b/>
          <w:bCs/>
          <w:i/>
          <w:noProof/>
          <w:color w:val="000000" w:themeColor="text1"/>
        </w:rPr>
        <w:t xml:space="preserve"> et al.</w:t>
      </w:r>
      <w:r w:rsidRPr="0010756E">
        <w:rPr>
          <w:rFonts w:ascii="Times New Roman" w:hAnsi="Times New Roman" w:cs="Times New Roman"/>
          <w:b/>
          <w:bCs/>
          <w:noProof/>
          <w:color w:val="000000" w:themeColor="text1"/>
        </w:rPr>
        <w:t>, 2017; Jin</w:t>
      </w:r>
      <w:r w:rsidRPr="0010756E">
        <w:rPr>
          <w:rFonts w:ascii="Times New Roman" w:hAnsi="Times New Roman" w:cs="Times New Roman"/>
          <w:b/>
          <w:bCs/>
          <w:i/>
          <w:noProof/>
          <w:color w:val="000000" w:themeColor="text1"/>
        </w:rPr>
        <w:t xml:space="preserve"> et al.</w:t>
      </w:r>
      <w:r w:rsidRPr="0010756E">
        <w:rPr>
          <w:rFonts w:ascii="Times New Roman" w:hAnsi="Times New Roman" w:cs="Times New Roman"/>
          <w:b/>
          <w:bCs/>
          <w:noProof/>
          <w:color w:val="000000" w:themeColor="text1"/>
        </w:rPr>
        <w:t>, 2018; Bokinsky</w:t>
      </w:r>
      <w:r w:rsidRPr="0010756E">
        <w:rPr>
          <w:rFonts w:ascii="Times New Roman" w:hAnsi="Times New Roman" w:cs="Times New Roman"/>
          <w:b/>
          <w:bCs/>
          <w:i/>
          <w:noProof/>
          <w:color w:val="000000" w:themeColor="text1"/>
        </w:rPr>
        <w:t xml:space="preserve"> et al.</w:t>
      </w:r>
      <w:r w:rsidRPr="0010756E">
        <w:rPr>
          <w:rFonts w:ascii="Times New Roman" w:hAnsi="Times New Roman" w:cs="Times New Roman"/>
          <w:b/>
          <w:bCs/>
          <w:noProof/>
          <w:color w:val="000000" w:themeColor="text1"/>
        </w:rPr>
        <w:t>, 2013)</w:t>
      </w:r>
      <w:r w:rsidRPr="0010756E">
        <w:rPr>
          <w:rFonts w:ascii="Times New Roman" w:hAnsi="Times New Roman" w:cs="Times New Roman"/>
          <w:b/>
          <w:bCs/>
          <w:color w:val="000000" w:themeColor="text1"/>
        </w:rPr>
        <w:fldChar w:fldCharType="end"/>
      </w:r>
      <w:r w:rsidRPr="0010756E">
        <w:rPr>
          <w:rFonts w:ascii="Times New Roman" w:hAnsi="Times New Roman" w:cs="Times New Roman"/>
          <w:b/>
          <w:bCs/>
          <w:color w:val="000000" w:themeColor="text1"/>
        </w:rPr>
        <w:t xml:space="preserve"> </w:t>
      </w:r>
      <w:r>
        <w:rPr>
          <w:rFonts w:ascii="Times New Roman" w:hAnsi="Times New Roman" w:cs="Times New Roman"/>
          <w:color w:val="000000" w:themeColor="text1"/>
        </w:rPr>
        <w:t>and separating radiolabelled cellular nucleotide extracts by TLC</w:t>
      </w:r>
      <w:r w:rsidRPr="00117B9B">
        <w:rPr>
          <w:rFonts w:ascii="Times New Roman" w:hAnsi="Times New Roman" w:cs="Times New Roman"/>
          <w:color w:val="000000" w:themeColor="text1"/>
        </w:rPr>
        <w:t xml:space="preserve"> </w:t>
      </w:r>
      <w:r w:rsidRPr="0010756E">
        <w:rPr>
          <w:rFonts w:ascii="Times New Roman" w:hAnsi="Times New Roman" w:cs="Times New Roman"/>
          <w:b/>
          <w:bCs/>
          <w:color w:val="000000" w:themeColor="text1"/>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PiBldCBhbC48L3N0eWxlPiwgMjAxMDsgR2VpZ2VyPHN0eWxlIGZhY2U9Iml0YWxpYyI+IGV0IGFs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==
</w:fldData>
        </w:fldChar>
      </w:r>
      <w:r w:rsidR="00276090">
        <w:rPr>
          <w:rFonts w:ascii="Times New Roman" w:hAnsi="Times New Roman" w:cs="Times New Roman"/>
          <w:b/>
          <w:bCs/>
          <w:color w:val="000000" w:themeColor="text1"/>
        </w:rPr>
        <w:instrText xml:space="preserve"> ADDIN EN.CITE </w:instrText>
      </w:r>
      <w:r w:rsidR="00276090">
        <w:rPr>
          <w:rFonts w:ascii="Times New Roman" w:hAnsi="Times New Roman" w:cs="Times New Roman"/>
          <w:b/>
          <w:bCs/>
          <w:color w:val="000000" w:themeColor="text1"/>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PiBldCBhbC48L3N0eWxlPiwgMjAxMDsgR2VpZ2VyPHN0eWxlIGZhY2U9Iml0YWxpYyI+IGV0IGFs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==
</w:fldData>
        </w:fldChar>
      </w:r>
      <w:r w:rsidR="00276090">
        <w:rPr>
          <w:rFonts w:ascii="Times New Roman" w:hAnsi="Times New Roman" w:cs="Times New Roman"/>
          <w:b/>
          <w:bCs/>
          <w:color w:val="000000" w:themeColor="text1"/>
        </w:rPr>
        <w:instrText xml:space="preserve"> ADDIN EN.CITE.DATA </w:instrText>
      </w:r>
      <w:r w:rsidR="00276090">
        <w:rPr>
          <w:rFonts w:ascii="Times New Roman" w:hAnsi="Times New Roman" w:cs="Times New Roman"/>
          <w:b/>
          <w:bCs/>
          <w:color w:val="000000" w:themeColor="text1"/>
        </w:rPr>
      </w:r>
      <w:r w:rsidR="00276090">
        <w:rPr>
          <w:rFonts w:ascii="Times New Roman" w:hAnsi="Times New Roman" w:cs="Times New Roman"/>
          <w:b/>
          <w:bCs/>
          <w:color w:val="000000" w:themeColor="text1"/>
        </w:rPr>
        <w:fldChar w:fldCharType="end"/>
      </w:r>
      <w:r w:rsidRPr="0010756E">
        <w:rPr>
          <w:rFonts w:ascii="Times New Roman" w:hAnsi="Times New Roman" w:cs="Times New Roman"/>
          <w:b/>
          <w:bCs/>
          <w:color w:val="000000" w:themeColor="text1"/>
        </w:rPr>
      </w:r>
      <w:r w:rsidRPr="0010756E">
        <w:rPr>
          <w:rFonts w:ascii="Times New Roman" w:hAnsi="Times New Roman" w:cs="Times New Roman"/>
          <w:b/>
          <w:bCs/>
          <w:color w:val="000000" w:themeColor="text1"/>
        </w:rPr>
        <w:fldChar w:fldCharType="separate"/>
      </w:r>
      <w:r w:rsidR="00276090">
        <w:rPr>
          <w:rFonts w:ascii="Times New Roman" w:hAnsi="Times New Roman" w:cs="Times New Roman"/>
          <w:b/>
          <w:bCs/>
          <w:noProof/>
          <w:color w:val="000000" w:themeColor="text1"/>
        </w:rPr>
        <w:t>(Geiger</w:t>
      </w:r>
      <w:r w:rsidR="00276090" w:rsidRPr="00276090">
        <w:rPr>
          <w:rFonts w:ascii="Times New Roman" w:hAnsi="Times New Roman" w:cs="Times New Roman"/>
          <w:b/>
          <w:bCs/>
          <w:i/>
          <w:noProof/>
          <w:color w:val="000000" w:themeColor="text1"/>
        </w:rPr>
        <w:t xml:space="preserve"> et al.</w:t>
      </w:r>
      <w:r w:rsidR="00276090">
        <w:rPr>
          <w:rFonts w:ascii="Times New Roman" w:hAnsi="Times New Roman" w:cs="Times New Roman"/>
          <w:b/>
          <w:bCs/>
          <w:noProof/>
          <w:color w:val="000000" w:themeColor="text1"/>
        </w:rPr>
        <w:t>, 2010; Geiger</w:t>
      </w:r>
      <w:r w:rsidR="00276090" w:rsidRPr="00276090">
        <w:rPr>
          <w:rFonts w:ascii="Times New Roman" w:hAnsi="Times New Roman" w:cs="Times New Roman"/>
          <w:b/>
          <w:bCs/>
          <w:i/>
          <w:noProof/>
          <w:color w:val="000000" w:themeColor="text1"/>
        </w:rPr>
        <w:t xml:space="preserve"> et al.</w:t>
      </w:r>
      <w:r w:rsidR="00276090">
        <w:rPr>
          <w:rFonts w:ascii="Times New Roman" w:hAnsi="Times New Roman" w:cs="Times New Roman"/>
          <w:b/>
          <w:bCs/>
          <w:noProof/>
          <w:color w:val="000000" w:themeColor="text1"/>
        </w:rPr>
        <w:t>, 2014; Zhang</w:t>
      </w:r>
      <w:r w:rsidR="00276090" w:rsidRPr="00276090">
        <w:rPr>
          <w:rFonts w:ascii="Times New Roman" w:hAnsi="Times New Roman" w:cs="Times New Roman"/>
          <w:b/>
          <w:bCs/>
          <w:i/>
          <w:noProof/>
          <w:color w:val="000000" w:themeColor="text1"/>
        </w:rPr>
        <w:t xml:space="preserve"> et al.</w:t>
      </w:r>
      <w:r w:rsidR="00276090">
        <w:rPr>
          <w:rFonts w:ascii="Times New Roman" w:hAnsi="Times New Roman" w:cs="Times New Roman"/>
          <w:b/>
          <w:bCs/>
          <w:noProof/>
          <w:color w:val="000000" w:themeColor="text1"/>
        </w:rPr>
        <w:t>, 2018a)</w:t>
      </w:r>
      <w:r w:rsidRPr="0010756E">
        <w:rPr>
          <w:rFonts w:ascii="Times New Roman" w:hAnsi="Times New Roman" w:cs="Times New Roman"/>
          <w:b/>
          <w:bCs/>
          <w:color w:val="000000" w:themeColor="text1"/>
        </w:rPr>
        <w:fldChar w:fldCharType="end"/>
      </w:r>
      <w:r w:rsidRPr="00117B9B">
        <w:rPr>
          <w:rFonts w:ascii="Times New Roman" w:hAnsi="Times New Roman" w:cs="Times New Roman"/>
          <w:color w:val="000000" w:themeColor="text1"/>
        </w:rPr>
        <w:t>.</w:t>
      </w:r>
      <w:r>
        <w:rPr>
          <w:rFonts w:ascii="Times New Roman" w:hAnsi="Times New Roman" w:cs="Times New Roman"/>
          <w:color w:val="000000" w:themeColor="text1"/>
        </w:rPr>
        <w:t xml:space="preserve"> These methods allow direct and sensitive measurement of (p)ppGpp however they are time-consuming, cannot measure (p)ppGpp levels in real-time and the use of radiolabelled phosphate is unsafe. Since then, the advent of tools to measure (p)ppGpp levels directly or indirectly has allowed </w:t>
      </w:r>
      <w:r w:rsidRPr="00AE3034">
        <w:rPr>
          <w:rFonts w:ascii="Times New Roman" w:hAnsi="Times New Roman" w:cs="Times New Roman"/>
          <w:color w:val="000000" w:themeColor="text1"/>
        </w:rPr>
        <w:t xml:space="preserve">(p)ppGpp </w:t>
      </w:r>
      <w:r>
        <w:rPr>
          <w:rFonts w:ascii="Times New Roman" w:hAnsi="Times New Roman" w:cs="Times New Roman"/>
          <w:color w:val="000000" w:themeColor="text1"/>
        </w:rPr>
        <w:t xml:space="preserve">detection in a variety of ways. </w:t>
      </w:r>
    </w:p>
    <w:p w14:paraId="3460D55E" w14:textId="77777777" w:rsidR="00187693" w:rsidRDefault="00187693" w:rsidP="00187693">
      <w:pPr>
        <w:spacing w:before="24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Compounds that are selective for (p)ppGpp exist as a method of (p)ppGpp detection. </w:t>
      </w:r>
      <w:r w:rsidRPr="0057616B">
        <w:rPr>
          <w:rFonts w:ascii="Times New Roman" w:hAnsi="Times New Roman" w:cs="Times New Roman"/>
          <w:color w:val="000000" w:themeColor="text1"/>
        </w:rPr>
        <w:t>A fluorescent chemosensor, PyDPA, a molecule</w:t>
      </w:r>
      <w:r>
        <w:rPr>
          <w:rFonts w:ascii="Times New Roman" w:hAnsi="Times New Roman" w:cs="Times New Roman"/>
          <w:color w:val="000000" w:themeColor="text1"/>
        </w:rPr>
        <w:t xml:space="preserve"> that fluoresces upon dimerisation and binding to ppGpp, was developed and has been useful for measuring ppGpp levels </w:t>
      </w:r>
      <w:r w:rsidRPr="00CC2F93">
        <w:rPr>
          <w:rFonts w:ascii="Times New Roman" w:hAnsi="Times New Roman" w:cs="Times New Roman"/>
          <w:b/>
          <w:bCs/>
          <w:color w:val="000000" w:themeColor="text1"/>
        </w:rPr>
        <w:fldChar w:fldCharType="begin">
          <w:fldData xml:space="preserve">PEVuZE5vdGU+PENpdGU+PEF1dGhvcj5SaGVlPC9BdXRob3I+PFllYXI+MjAwODwvWWVhcj48SURU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</w:fldData>
        </w:fldChar>
      </w:r>
      <w:r>
        <w:rPr>
          <w:rFonts w:ascii="Times New Roman" w:hAnsi="Times New Roman" w:cs="Times New Roman"/>
          <w:b/>
          <w:bCs/>
          <w:color w:val="000000" w:themeColor="text1"/>
        </w:rPr>
        <w:instrText xml:space="preserve"> ADDIN EN.CITE </w:instrText>
      </w:r>
      <w:r>
        <w:rPr>
          <w:rFonts w:ascii="Times New Roman" w:hAnsi="Times New Roman" w:cs="Times New Roman"/>
          <w:b/>
          <w:bCs/>
          <w:color w:val="000000" w:themeColor="text1"/>
        </w:rPr>
        <w:fldChar w:fldCharType="begin">
          <w:fldData xml:space="preserve">PEVuZE5vdGU+PENpdGU+PEF1dGhvcj5SaGVlPC9BdXRob3I+PFllYXI+MjAwODwvWWVhcj48SURU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</w:fldData>
        </w:fldChar>
      </w:r>
      <w:r>
        <w:rPr>
          <w:rFonts w:ascii="Times New Roman" w:hAnsi="Times New Roman" w:cs="Times New Roman"/>
          <w:b/>
          <w:bCs/>
          <w:color w:val="000000" w:themeColor="text1"/>
        </w:rPr>
        <w:instrText xml:space="preserve"> ADDIN EN.CITE.DATA </w:instrText>
      </w:r>
      <w:r>
        <w:rPr>
          <w:rFonts w:ascii="Times New Roman" w:hAnsi="Times New Roman" w:cs="Times New Roman"/>
          <w:b/>
          <w:bCs/>
          <w:color w:val="000000" w:themeColor="text1"/>
        </w:rPr>
      </w:r>
      <w:r>
        <w:rPr>
          <w:rFonts w:ascii="Times New Roman" w:hAnsi="Times New Roman" w:cs="Times New Roman"/>
          <w:b/>
          <w:bCs/>
          <w:color w:val="000000" w:themeColor="text1"/>
        </w:rPr>
        <w:fldChar w:fldCharType="end"/>
      </w:r>
      <w:r w:rsidRPr="00CC2F93">
        <w:rPr>
          <w:rFonts w:ascii="Times New Roman" w:hAnsi="Times New Roman" w:cs="Times New Roman"/>
          <w:b/>
          <w:bCs/>
          <w:color w:val="000000" w:themeColor="text1"/>
        </w:rPr>
      </w:r>
      <w:r w:rsidRPr="00CC2F93">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(Rhee</w:t>
      </w:r>
      <w:r w:rsidRPr="00505FEB">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2008; Li</w:t>
      </w:r>
      <w:r w:rsidRPr="00505FEB">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2020)</w:t>
      </w:r>
      <w:r w:rsidRPr="00CC2F93">
        <w:rPr>
          <w:rFonts w:ascii="Times New Roman" w:hAnsi="Times New Roman" w:cs="Times New Roman"/>
          <w:b/>
          <w:bCs/>
          <w:color w:val="000000" w:themeColor="text1"/>
        </w:rPr>
        <w:fldChar w:fldCharType="end"/>
      </w:r>
      <w:r w:rsidRPr="00117B9B">
        <w:rPr>
          <w:rFonts w:ascii="Times New Roman" w:hAnsi="Times New Roman" w:cs="Times New Roman"/>
          <w:color w:val="000000" w:themeColor="text1"/>
        </w:rPr>
        <w:t>.</w:t>
      </w:r>
      <w:r>
        <w:rPr>
          <w:rFonts w:ascii="Times New Roman" w:hAnsi="Times New Roman" w:cs="Times New Roman"/>
          <w:color w:val="000000" w:themeColor="text1"/>
        </w:rPr>
        <w:t xml:space="preserve"> PyDPA is more specific and sensitive to (p)ppGpp than other nucleotides such as ATP and GTP </w:t>
      </w:r>
      <w:r w:rsidRPr="00CC2F93">
        <w:rPr>
          <w:rFonts w:ascii="Times New Roman" w:hAnsi="Times New Roman" w:cs="Times New Roman"/>
          <w:b/>
          <w:bCs/>
          <w:color w:val="000000" w:themeColor="text1"/>
        </w:rPr>
        <w:fldChar w:fldCharType="begin">
          <w:fldData xml:space="preserve">PEVuZE5vdGU+PENpdGU+PEF1dGhvcj5SaGVlPC9BdXRob3I+PFllYXI+MjAwODwvWWVhcj48SURU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</w:fldData>
        </w:fldChar>
      </w:r>
      <w:r w:rsidRPr="00CC2F93">
        <w:rPr>
          <w:rFonts w:ascii="Times New Roman" w:hAnsi="Times New Roman" w:cs="Times New Roman"/>
          <w:b/>
          <w:bCs/>
          <w:color w:val="000000" w:themeColor="text1"/>
        </w:rPr>
        <w:instrText xml:space="preserve"> ADDIN EN.CITE </w:instrText>
      </w:r>
      <w:r w:rsidRPr="00CC2F93">
        <w:rPr>
          <w:rFonts w:ascii="Times New Roman" w:hAnsi="Times New Roman" w:cs="Times New Roman"/>
          <w:b/>
          <w:bCs/>
          <w:color w:val="000000" w:themeColor="text1"/>
        </w:rPr>
        <w:fldChar w:fldCharType="begin">
          <w:fldData xml:space="preserve">PEVuZE5vdGU+PENpdGU+PEF1dGhvcj5SaGVlPC9BdXRob3I+PFllYXI+MjAwODwvWWVhcj48SURU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</w:fldData>
        </w:fldChar>
      </w:r>
      <w:r w:rsidRPr="00CC2F93">
        <w:rPr>
          <w:rFonts w:ascii="Times New Roman" w:hAnsi="Times New Roman" w:cs="Times New Roman"/>
          <w:b/>
          <w:bCs/>
          <w:color w:val="000000" w:themeColor="text1"/>
        </w:rPr>
        <w:instrText xml:space="preserve"> ADDIN EN.CITE.DATA </w:instrText>
      </w:r>
      <w:r w:rsidRPr="00CC2F93">
        <w:rPr>
          <w:rFonts w:ascii="Times New Roman" w:hAnsi="Times New Roman" w:cs="Times New Roman"/>
          <w:b/>
          <w:bCs/>
          <w:color w:val="000000" w:themeColor="text1"/>
        </w:rPr>
      </w:r>
      <w:r w:rsidRPr="00CC2F93">
        <w:rPr>
          <w:rFonts w:ascii="Times New Roman" w:hAnsi="Times New Roman" w:cs="Times New Roman"/>
          <w:b/>
          <w:bCs/>
          <w:color w:val="000000" w:themeColor="text1"/>
        </w:rPr>
        <w:fldChar w:fldCharType="end"/>
      </w:r>
      <w:r w:rsidRPr="00CC2F93">
        <w:rPr>
          <w:rFonts w:ascii="Times New Roman" w:hAnsi="Times New Roman" w:cs="Times New Roman"/>
          <w:b/>
          <w:bCs/>
          <w:color w:val="000000" w:themeColor="text1"/>
        </w:rPr>
      </w:r>
      <w:r w:rsidRPr="00CC2F93">
        <w:rPr>
          <w:rFonts w:ascii="Times New Roman" w:hAnsi="Times New Roman" w:cs="Times New Roman"/>
          <w:b/>
          <w:bCs/>
          <w:color w:val="000000" w:themeColor="text1"/>
        </w:rPr>
        <w:fldChar w:fldCharType="separate"/>
      </w:r>
      <w:r w:rsidRPr="00CC2F93">
        <w:rPr>
          <w:rFonts w:ascii="Times New Roman" w:hAnsi="Times New Roman" w:cs="Times New Roman"/>
          <w:b/>
          <w:bCs/>
          <w:noProof/>
          <w:color w:val="000000" w:themeColor="text1"/>
        </w:rPr>
        <w:t>(Rhee</w:t>
      </w:r>
      <w:r w:rsidRPr="00CC2F93">
        <w:rPr>
          <w:rFonts w:ascii="Times New Roman" w:hAnsi="Times New Roman" w:cs="Times New Roman"/>
          <w:b/>
          <w:bCs/>
          <w:i/>
          <w:noProof/>
          <w:color w:val="000000" w:themeColor="text1"/>
        </w:rPr>
        <w:t xml:space="preserve"> et al.</w:t>
      </w:r>
      <w:r w:rsidRPr="00CC2F93">
        <w:rPr>
          <w:rFonts w:ascii="Times New Roman" w:hAnsi="Times New Roman" w:cs="Times New Roman"/>
          <w:b/>
          <w:bCs/>
          <w:noProof/>
          <w:color w:val="000000" w:themeColor="text1"/>
        </w:rPr>
        <w:t>, 2008; Conti, Minneci and Sattin, 2019)</w:t>
      </w:r>
      <w:r w:rsidRPr="00CC2F93">
        <w:rPr>
          <w:rFonts w:ascii="Times New Roman" w:hAnsi="Times New Roman" w:cs="Times New Roman"/>
          <w:b/>
          <w:bCs/>
          <w:color w:val="000000" w:themeColor="text1"/>
        </w:rPr>
        <w:fldChar w:fldCharType="end"/>
      </w:r>
      <w:r w:rsidRPr="00117B9B">
        <w:rPr>
          <w:rFonts w:ascii="Times New Roman" w:hAnsi="Times New Roman" w:cs="Times New Roman"/>
          <w:color w:val="000000" w:themeColor="text1"/>
        </w:rPr>
        <w:t>.</w:t>
      </w:r>
      <w:r>
        <w:rPr>
          <w:rFonts w:ascii="Times New Roman" w:hAnsi="Times New Roman" w:cs="Times New Roman"/>
          <w:color w:val="000000" w:themeColor="text1"/>
        </w:rPr>
        <w:t xml:space="preserve"> Additionally, nanoclusters </w:t>
      </w:r>
      <w:r w:rsidRPr="00CC2F93">
        <w:rPr>
          <w:rFonts w:ascii="Times New Roman" w:hAnsi="Times New Roman" w:cs="Times New Roman"/>
          <w:b/>
          <w:bCs/>
          <w:color w:val="000000" w:themeColor="text1"/>
        </w:rPr>
        <w:fldChar w:fldCharType="begin"/>
      </w:r>
      <w:r w:rsidRPr="00CC2F93">
        <w:rPr>
          <w:rFonts w:ascii="Times New Roman" w:hAnsi="Times New Roman" w:cs="Times New Roman"/>
          <w:b/>
          <w:bCs/>
          <w:color w:val="000000" w:themeColor="text1"/>
        </w:rPr>
        <w:instrText xml:space="preserve"> ADDIN EN.CITE &lt;EndNote&gt;&lt;Cite&gt;&lt;Author&gt;Zhang&lt;/Author&gt;&lt;Year&gt;2013&lt;/Year&gt;&lt;IDText&gt;Highly selective detection of bacterial alarmone ppGpp with an off-on fluorescent probe of copper-mediated silver nanoclusters&lt;/IDText&gt;&lt;DisplayText&gt;(Zhang&lt;style face="italic"&gt; et al.&lt;/style&gt;, 2013)&lt;/DisplayText&gt;&lt;record&gt;&lt;dates&gt;&lt;pub-dates&gt;&lt;date&gt;Nov 15&lt;/date&gt;&lt;/pub-dates&gt;&lt;year&gt;2013&lt;/year&gt;&lt;/dates&gt;&lt;urls&gt;&lt;related-urls&gt;&lt;url&gt;&amp;lt;Go to ISI&amp;gt;://WOS:000323396700066&lt;/url&gt;&lt;/related-urls&gt;&lt;/urls&gt;&lt;isbn&gt;0956-5663&lt;/isbn&gt;&lt;titles&gt;&lt;title&gt;Highly selective detection of bacterial alarmone ppGpp with an off-on fluorescent probe of copper-mediated silver nanoclusters&lt;/title&gt;&lt;secondary-title&gt;Biosensors &amp;amp; Bioelectronics&lt;/secondary-title&gt;&lt;/titles&gt;&lt;pages&gt;433-437&lt;/pages&gt;&lt;contributors&gt;&lt;authors&gt;&lt;author&gt;Zhang, Pu&lt;/author&gt;&lt;author&gt;Wang, Yi&lt;/author&gt;&lt;author&gt;Chang, Yong&lt;/author&gt;&lt;author&gt;Xiong, Zu Hong&lt;/author&gt;&lt;author&gt;Huang, Cheng Zhi&lt;/author&gt;&lt;/authors&gt;&lt;/contributors&gt;&lt;added-date format="utc"&gt;1663615114&lt;/added-date&gt;&lt;ref-type name="Journal Article"&gt;17&lt;/ref-type&gt;&lt;rec-number&gt;88&lt;/rec-number&gt;&lt;last-updated-date format="utc"&gt;1663624413&lt;/last-updated-date&gt;&lt;accession-num&gt;WOS:000323396700066&lt;/accession-num&gt;&lt;electronic-resource-num&gt;10.1016/j.bios.2013.05.056&lt;/electronic-resource-num&gt;&lt;volume&gt;49&lt;/volume&gt;&lt;/record&gt;&lt;/Cite&gt;&lt;/EndNote&gt;</w:instrText>
      </w:r>
      <w:r w:rsidRPr="00CC2F93">
        <w:rPr>
          <w:rFonts w:ascii="Times New Roman" w:hAnsi="Times New Roman" w:cs="Times New Roman"/>
          <w:b/>
          <w:bCs/>
          <w:color w:val="000000" w:themeColor="text1"/>
        </w:rPr>
        <w:fldChar w:fldCharType="separate"/>
      </w:r>
      <w:r w:rsidRPr="00CC2F93">
        <w:rPr>
          <w:rFonts w:ascii="Times New Roman" w:hAnsi="Times New Roman" w:cs="Times New Roman"/>
          <w:b/>
          <w:bCs/>
          <w:noProof/>
          <w:color w:val="000000" w:themeColor="text1"/>
        </w:rPr>
        <w:t>(Zhang</w:t>
      </w:r>
      <w:r w:rsidRPr="00CC2F93">
        <w:rPr>
          <w:rFonts w:ascii="Times New Roman" w:hAnsi="Times New Roman" w:cs="Times New Roman"/>
          <w:b/>
          <w:bCs/>
          <w:i/>
          <w:noProof/>
          <w:color w:val="000000" w:themeColor="text1"/>
        </w:rPr>
        <w:t xml:space="preserve"> et al.</w:t>
      </w:r>
      <w:r w:rsidRPr="00CC2F93">
        <w:rPr>
          <w:rFonts w:ascii="Times New Roman" w:hAnsi="Times New Roman" w:cs="Times New Roman"/>
          <w:b/>
          <w:bCs/>
          <w:noProof/>
          <w:color w:val="000000" w:themeColor="text1"/>
        </w:rPr>
        <w:t>, 2013)</w:t>
      </w:r>
      <w:r w:rsidRPr="00CC2F93">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nanoparticles </w:t>
      </w:r>
      <w:r w:rsidRPr="00CC2F93">
        <w:rPr>
          <w:rFonts w:ascii="Times New Roman" w:hAnsi="Times New Roman" w:cs="Times New Roman"/>
          <w:b/>
          <w:bCs/>
          <w:color w:val="000000" w:themeColor="text1"/>
        </w:rPr>
        <w:fldChar w:fldCharType="begin"/>
      </w:r>
      <w:r w:rsidRPr="00CC2F93">
        <w:rPr>
          <w:rFonts w:ascii="Times New Roman" w:hAnsi="Times New Roman" w:cs="Times New Roman"/>
          <w:b/>
          <w:bCs/>
          <w:color w:val="000000" w:themeColor="text1"/>
        </w:rPr>
        <w:instrText xml:space="preserve"> ADDIN EN.CITE &lt;EndNote&gt;&lt;Cite&gt;&lt;Author&gt;Chen&lt;/Author&gt;&lt;Year&gt;2018&lt;/Year&gt;&lt;IDText&gt;Highly sensitive and visual detection of guanosine 3&amp;apos;-diphosphate-5&amp;apos;di(tri)phosphate (ppGpp) in bacteria based on copper ions-mediated 4-mercaptobenzoic acid modified gold nanoparticles&lt;/IDText&gt;&lt;DisplayText&gt;(Chen&lt;style face="italic"&gt; et al.&lt;/style&gt;, 2018)&lt;/DisplayText&gt;&lt;record&gt;&lt;dates&gt;&lt;pub-dates&gt;&lt;date&gt;Sep 6&lt;/date&gt;&lt;/pub-dates&gt;&lt;year&gt;2018&lt;/year&gt;&lt;/dates&gt;&lt;urls&gt;&lt;related-urls&gt;&lt;url&gt;&amp;lt;Go to ISI&amp;gt;://WOS:000432351500010&lt;/url&gt;&lt;/related-urls&gt;&lt;/urls&gt;&lt;isbn&gt;0003-2670&lt;/isbn&gt;&lt;titles&gt;&lt;title&gt;Highly sensitive and visual detection of guanosine 3&amp;apos;-diphosphate-5&amp;apos;di(tri)phosphate (ppGpp) in bacteria based on copper ions-mediated 4-mercaptobenzoic acid modified gold nanoparticles&lt;/title&gt;&lt;secondary-title&gt;Analytica Chimica Acta&lt;/secondary-title&gt;&lt;/titles&gt;&lt;pages&gt;89-95&lt;/pages&gt;&lt;contributors&gt;&lt;authors&gt;&lt;author&gt;Chen, Jia&lt;/author&gt;&lt;author&gt;Huang, Yanni&lt;/author&gt;&lt;author&gt;Yang, Xiaoyan&lt;/author&gt;&lt;author&gt;Zhang, Haijuan&lt;/author&gt;&lt;author&gt;Li, Zhan&lt;/author&gt;&lt;author&gt;Qin, Bo&lt;/author&gt;&lt;author&gt;Chen, Xingguo&lt;/author&gt;&lt;author&gt;Qiu, Hongdeng&lt;/author&gt;&lt;/authors&gt;&lt;/contributors&gt;&lt;added-date format="utc"&gt;1663615140&lt;/added-date&gt;&lt;ref-type name="Journal Article"&gt;17&lt;/ref-type&gt;&lt;rec-number&gt;89&lt;/rec-number&gt;&lt;last-updated-date format="utc"&gt;1663624413&lt;/last-updated-date&gt;&lt;accession-num&gt;WOS:000432351500010&lt;/accession-num&gt;&lt;electronic-resource-num&gt;10.1016/j.aca.2018.02.082&lt;/electronic-resource-num&gt;&lt;volume&gt;1023&lt;/volume&gt;&lt;/record&gt;&lt;/Cite&gt;&lt;/EndNote&gt;</w:instrText>
      </w:r>
      <w:r w:rsidRPr="00CC2F93">
        <w:rPr>
          <w:rFonts w:ascii="Times New Roman" w:hAnsi="Times New Roman" w:cs="Times New Roman"/>
          <w:b/>
          <w:bCs/>
          <w:color w:val="000000" w:themeColor="text1"/>
        </w:rPr>
        <w:fldChar w:fldCharType="separate"/>
      </w:r>
      <w:r w:rsidRPr="00CC2F93">
        <w:rPr>
          <w:rFonts w:ascii="Times New Roman" w:hAnsi="Times New Roman" w:cs="Times New Roman"/>
          <w:b/>
          <w:bCs/>
          <w:noProof/>
          <w:color w:val="000000" w:themeColor="text1"/>
        </w:rPr>
        <w:t>(Chen</w:t>
      </w:r>
      <w:r w:rsidRPr="00CC2F93">
        <w:rPr>
          <w:rFonts w:ascii="Times New Roman" w:hAnsi="Times New Roman" w:cs="Times New Roman"/>
          <w:b/>
          <w:bCs/>
          <w:i/>
          <w:noProof/>
          <w:color w:val="000000" w:themeColor="text1"/>
        </w:rPr>
        <w:t xml:space="preserve"> et al.</w:t>
      </w:r>
      <w:r w:rsidRPr="00CC2F93">
        <w:rPr>
          <w:rFonts w:ascii="Times New Roman" w:hAnsi="Times New Roman" w:cs="Times New Roman"/>
          <w:b/>
          <w:bCs/>
          <w:noProof/>
          <w:color w:val="000000" w:themeColor="text1"/>
        </w:rPr>
        <w:t>, 2018)</w:t>
      </w:r>
      <w:r w:rsidRPr="00CC2F93">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and europium quantum dots </w:t>
      </w:r>
      <w:r w:rsidRPr="00CC2F93">
        <w:rPr>
          <w:rFonts w:ascii="Times New Roman" w:hAnsi="Times New Roman" w:cs="Times New Roman"/>
          <w:b/>
          <w:bCs/>
          <w:color w:val="000000" w:themeColor="text1"/>
        </w:rPr>
        <w:fldChar w:fldCharType="begin"/>
      </w:r>
      <w:r w:rsidRPr="00CC2F93">
        <w:rPr>
          <w:rFonts w:ascii="Times New Roman" w:hAnsi="Times New Roman" w:cs="Times New Roman"/>
          <w:b/>
          <w:bCs/>
          <w:color w:val="000000" w:themeColor="text1"/>
        </w:rPr>
        <w:instrText xml:space="preserve"> ADDIN EN.CITE &lt;EndNote&gt;&lt;Cite&gt;&lt;Author&gt;Rong&lt;/Author&gt;&lt;Year&gt;2020&lt;/Year&gt;&lt;IDText&gt;Ratiometric fluorescence detection of stringent ppGpp using Eu-MoS2 QDs test paper&lt;/IDText&gt;&lt;DisplayText&gt;(Rong&lt;style face="italic"&gt; et al.&lt;/style&gt;, 2020)&lt;/DisplayText&gt;&lt;record&gt;&lt;dates&gt;&lt;pub-dates&gt;&lt;date&gt;Apr 15&lt;/date&gt;&lt;/pub-dates&gt;&lt;year&gt;2020&lt;/year&gt;&lt;/dates&gt;&lt;urls&gt;&lt;related-urls&gt;&lt;url&gt;&amp;lt;Go to ISI&amp;gt;://WOS:000513878700049&lt;/url&gt;&lt;/related-urls&gt;&lt;/urls&gt;&lt;titles&gt;&lt;title&gt;Ratiometric fluorescence detection of stringent ppGpp using Eu-MoS2 QDs test paper&lt;/title&gt;&lt;secondary-title&gt;Sensors and Actuators B-Chemical&lt;/secondary-title&gt;&lt;/titles&gt;&lt;contributors&gt;&lt;authors&gt;&lt;author&gt;Rong, Mingcong&lt;/author&gt;&lt;author&gt;Ye, Jinchang&lt;/author&gt;&lt;author&gt;Chen, Buyun&lt;/author&gt;&lt;author&gt;Wen, Yuanzhi&lt;/author&gt;&lt;author&gt;Deng, Xiangzhou&lt;/author&gt;&lt;author&gt;Liu, Zhao-Qing&lt;/author&gt;&lt;/authors&gt;&lt;/contributors&gt;&lt;custom7&gt;127807&lt;/custom7&gt;&lt;added-date format="utc"&gt;1667653221&lt;/added-date&gt;&lt;ref-type name="Journal Article"&gt;17&lt;/ref-type&gt;&lt;rec-number&gt;172&lt;/rec-number&gt;&lt;last-updated-date format="utc"&gt;1667653221&lt;/last-updated-date&gt;&lt;accession-num&gt;WOS:000513878700049&lt;/accession-num&gt;&lt;electronic-resource-num&gt;10.1016/j.snb.2020.127807&lt;/electronic-resource-num&gt;&lt;volume&gt;309&lt;/volume&gt;&lt;/record&gt;&lt;/Cite&gt;&lt;/EndNote&gt;</w:instrText>
      </w:r>
      <w:r w:rsidRPr="00CC2F93">
        <w:rPr>
          <w:rFonts w:ascii="Times New Roman" w:hAnsi="Times New Roman" w:cs="Times New Roman"/>
          <w:b/>
          <w:bCs/>
          <w:color w:val="000000" w:themeColor="text1"/>
        </w:rPr>
        <w:fldChar w:fldCharType="separate"/>
      </w:r>
      <w:r w:rsidRPr="00CC2F93">
        <w:rPr>
          <w:rFonts w:ascii="Times New Roman" w:hAnsi="Times New Roman" w:cs="Times New Roman"/>
          <w:b/>
          <w:bCs/>
          <w:noProof/>
          <w:color w:val="000000" w:themeColor="text1"/>
        </w:rPr>
        <w:t>(Rong</w:t>
      </w:r>
      <w:r w:rsidRPr="00CC2F93">
        <w:rPr>
          <w:rFonts w:ascii="Times New Roman" w:hAnsi="Times New Roman" w:cs="Times New Roman"/>
          <w:b/>
          <w:bCs/>
          <w:i/>
          <w:noProof/>
          <w:color w:val="000000" w:themeColor="text1"/>
        </w:rPr>
        <w:t xml:space="preserve"> et al.</w:t>
      </w:r>
      <w:r w:rsidRPr="00CC2F93">
        <w:rPr>
          <w:rFonts w:ascii="Times New Roman" w:hAnsi="Times New Roman" w:cs="Times New Roman"/>
          <w:b/>
          <w:bCs/>
          <w:noProof/>
          <w:color w:val="000000" w:themeColor="text1"/>
        </w:rPr>
        <w:t>, 2020)</w:t>
      </w:r>
      <w:r w:rsidRPr="00CC2F93">
        <w:rPr>
          <w:rFonts w:ascii="Times New Roman" w:hAnsi="Times New Roman" w:cs="Times New Roman"/>
          <w:b/>
          <w:bCs/>
          <w:color w:val="000000" w:themeColor="text1"/>
        </w:rPr>
        <w:fldChar w:fldCharType="end"/>
      </w:r>
      <w:r w:rsidRPr="00CC2F93">
        <w:rPr>
          <w:rFonts w:ascii="Times New Roman" w:hAnsi="Times New Roman" w:cs="Times New Roman"/>
          <w:b/>
          <w:bCs/>
          <w:color w:val="000000" w:themeColor="text1"/>
        </w:rPr>
        <w:t xml:space="preserve"> </w:t>
      </w:r>
      <w:r>
        <w:rPr>
          <w:rFonts w:ascii="Times New Roman" w:hAnsi="Times New Roman" w:cs="Times New Roman"/>
          <w:color w:val="000000" w:themeColor="text1"/>
        </w:rPr>
        <w:t>with the ability to detect (p)ppGpp and subsequently fluoresce have also been developed.</w:t>
      </w:r>
      <w:r w:rsidRPr="00496E3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However, as with HPLC and TLC, these methods only allow for measurements to be taken </w:t>
      </w:r>
      <w:r>
        <w:rPr>
          <w:rFonts w:ascii="Times New Roman" w:hAnsi="Times New Roman" w:cs="Times New Roman"/>
          <w:i/>
          <w:iCs/>
          <w:color w:val="000000" w:themeColor="text1"/>
        </w:rPr>
        <w:t>in vitro</w:t>
      </w:r>
      <w:r>
        <w:rPr>
          <w:rFonts w:ascii="Times New Roman" w:hAnsi="Times New Roman" w:cs="Times New Roman"/>
          <w:color w:val="000000" w:themeColor="text1"/>
        </w:rPr>
        <w:t>.</w:t>
      </w:r>
    </w:p>
    <w:p w14:paraId="01E64D3F" w14:textId="77777777" w:rsidR="00187693" w:rsidRDefault="00187693" w:rsidP="00187693">
      <w:pPr>
        <w:spacing w:before="24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Promoter-reporter fusions have also been employed </w:t>
      </w:r>
      <w:r w:rsidRPr="0068686A">
        <w:rPr>
          <w:rFonts w:ascii="Times New Roman" w:hAnsi="Times New Roman" w:cs="Times New Roman"/>
          <w:b/>
          <w:bCs/>
          <w:color w:val="000000" w:themeColor="text1"/>
        </w:rPr>
        <w:fldChar w:fldCharType="begin">
          <w:fldData xml:space="preserve">PEVuZE5vdGU+PENpdGU+PEF1dGhvcj5HYXdpbjwvQXV0aG9yPjxZZWFyPjIwMTk8L1llYXI+PElE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</w:fldData>
        </w:fldChar>
      </w:r>
      <w:r>
        <w:rPr>
          <w:rFonts w:ascii="Times New Roman" w:hAnsi="Times New Roman" w:cs="Times New Roman"/>
          <w:b/>
          <w:bCs/>
          <w:color w:val="000000" w:themeColor="text1"/>
        </w:rPr>
        <w:instrText xml:space="preserve"> ADDIN EN.CITE </w:instrText>
      </w:r>
      <w:r>
        <w:rPr>
          <w:rFonts w:ascii="Times New Roman" w:hAnsi="Times New Roman" w:cs="Times New Roman"/>
          <w:b/>
          <w:bCs/>
          <w:color w:val="000000" w:themeColor="text1"/>
        </w:rPr>
        <w:fldChar w:fldCharType="begin">
          <w:fldData xml:space="preserve">PEVuZE5vdGU+PENpdGU+PEF1dGhvcj5HYXdpbjwvQXV0aG9yPjxZZWFyPjIwMTk8L1llYXI+PElE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</w:fldData>
        </w:fldChar>
      </w:r>
      <w:r>
        <w:rPr>
          <w:rFonts w:ascii="Times New Roman" w:hAnsi="Times New Roman" w:cs="Times New Roman"/>
          <w:b/>
          <w:bCs/>
          <w:color w:val="000000" w:themeColor="text1"/>
        </w:rPr>
        <w:instrText xml:space="preserve"> ADDIN EN.CITE.DATA </w:instrText>
      </w:r>
      <w:r>
        <w:rPr>
          <w:rFonts w:ascii="Times New Roman" w:hAnsi="Times New Roman" w:cs="Times New Roman"/>
          <w:b/>
          <w:bCs/>
          <w:color w:val="000000" w:themeColor="text1"/>
        </w:rPr>
      </w:r>
      <w:r>
        <w:rPr>
          <w:rFonts w:ascii="Times New Roman" w:hAnsi="Times New Roman" w:cs="Times New Roman"/>
          <w:b/>
          <w:bCs/>
          <w:color w:val="000000" w:themeColor="text1"/>
        </w:rPr>
        <w:fldChar w:fldCharType="end"/>
      </w:r>
      <w:r w:rsidRPr="0068686A">
        <w:rPr>
          <w:rFonts w:ascii="Times New Roman" w:hAnsi="Times New Roman" w:cs="Times New Roman"/>
          <w:b/>
          <w:bCs/>
          <w:color w:val="000000" w:themeColor="text1"/>
        </w:rPr>
      </w:r>
      <w:r w:rsidRPr="0068686A">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(Gawin</w:t>
      </w:r>
      <w:r w:rsidRPr="00FE65D8">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xml:space="preserve">, 2019; Bartoli </w:t>
      </w:r>
      <w:r w:rsidRPr="00FE65D8">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2020; Goormaghtigh</w:t>
      </w:r>
      <w:r w:rsidRPr="00FE65D8">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2018; Pokhilko, 2017)</w:t>
      </w:r>
      <w:r w:rsidRPr="0068686A">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which can be used both </w:t>
      </w:r>
      <w:r>
        <w:rPr>
          <w:rFonts w:ascii="Times New Roman" w:hAnsi="Times New Roman" w:cs="Times New Roman"/>
          <w:i/>
          <w:iCs/>
          <w:color w:val="000000" w:themeColor="text1"/>
        </w:rPr>
        <w:t xml:space="preserve">in vitro </w:t>
      </w:r>
      <w:r>
        <w:rPr>
          <w:rFonts w:ascii="Times New Roman" w:hAnsi="Times New Roman" w:cs="Times New Roman"/>
          <w:color w:val="000000" w:themeColor="text1"/>
        </w:rPr>
        <w:t xml:space="preserve">and </w:t>
      </w:r>
      <w:r>
        <w:rPr>
          <w:rFonts w:ascii="Times New Roman" w:hAnsi="Times New Roman" w:cs="Times New Roman"/>
          <w:i/>
          <w:iCs/>
          <w:color w:val="000000" w:themeColor="text1"/>
        </w:rPr>
        <w:t>in vivo.</w:t>
      </w:r>
      <w:r>
        <w:rPr>
          <w:rFonts w:ascii="Times New Roman" w:hAnsi="Times New Roman" w:cs="Times New Roman"/>
          <w:color w:val="000000" w:themeColor="text1"/>
        </w:rPr>
        <w:t xml:space="preserve"> However, these methods measure transcriptional activity, which is not representative of the (p)ppGpp concentration within a bacterium. At present, there are no (p)ppGpp probes for the measurement of (p)ppGpp levels in </w:t>
      </w:r>
      <w:r>
        <w:rPr>
          <w:rFonts w:ascii="Times New Roman" w:hAnsi="Times New Roman" w:cs="Times New Roman"/>
          <w:i/>
          <w:iCs/>
          <w:color w:val="000000" w:themeColor="text1"/>
        </w:rPr>
        <w:t>S. aureus</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in vivo</w:t>
      </w:r>
      <w:r>
        <w:rPr>
          <w:rFonts w:ascii="Times New Roman" w:hAnsi="Times New Roman" w:cs="Times New Roman"/>
          <w:color w:val="000000" w:themeColor="text1"/>
        </w:rPr>
        <w:t xml:space="preserve"> in real-time.</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These types of probes would be beneficial as they can allude to how (p)ppGpp levels change over time. Recently however, (p)ppGpp detection using live-cell imaging in </w:t>
      </w:r>
      <w:r>
        <w:rPr>
          <w:rFonts w:ascii="Times New Roman" w:hAnsi="Times New Roman" w:cs="Times New Roman"/>
          <w:i/>
          <w:iCs/>
          <w:color w:val="000000" w:themeColor="text1"/>
        </w:rPr>
        <w:t>E. coli</w:t>
      </w:r>
      <w:r>
        <w:rPr>
          <w:rFonts w:ascii="Times New Roman" w:hAnsi="Times New Roman" w:cs="Times New Roman"/>
          <w:color w:val="000000" w:themeColor="text1"/>
        </w:rPr>
        <w:t xml:space="preserve"> has been achieved using a riboswitch-based molecular biosensor, allowing real-time detection </w:t>
      </w:r>
      <w:r w:rsidRPr="00F53ABE">
        <w:rPr>
          <w:rFonts w:ascii="Times New Roman" w:hAnsi="Times New Roman" w:cs="Times New Roman"/>
          <w:b/>
          <w:bCs/>
        </w:rPr>
        <w:fldChar w:fldCharType="begin"/>
      </w:r>
      <w:r w:rsidRPr="00F53ABE">
        <w:rPr>
          <w:rFonts w:ascii="Times New Roman" w:hAnsi="Times New Roman" w:cs="Times New Roman"/>
          <w:b/>
          <w:bCs/>
        </w:rPr>
        <w:instrText xml:space="preserve"> ADDIN EN.CITE &lt;EndNote&gt;&lt;Cite&gt;&lt;Author&gt;Sherlock&lt;/Author&gt;&lt;Year&gt;2018&lt;/Year&gt;&lt;IDText&gt;Riboswitches for the alarmone ppGpp expand the collection of RNA-based signaling systems&lt;/IDText&gt;&lt;DisplayText&gt;(Sherlock, Sudarsan and Breaker, 2018)&lt;/DisplayText&gt;&lt;record&gt;&lt;dates&gt;&lt;pub-dates&gt;&lt;date&gt;Jun 5&lt;/date&gt;&lt;/pub-dates&gt;&lt;year&gt;2018&lt;/year&gt;&lt;/dates&gt;&lt;urls&gt;&lt;related-urls&gt;&lt;url&gt;&amp;lt;Go to ISI&amp;gt;://WOS:000434114900065&lt;/url&gt;&lt;/related-urls&gt;&lt;/urls&gt;&lt;isbn&gt;0027-8424&lt;/isbn&gt;&lt;titles&gt;&lt;title&gt;Riboswitches for the alarmone ppGpp expand the collection of RNA-based signaling systems&lt;/title&gt;&lt;secondary-title&gt;Proceedings of the National Academy of Sciences of the United States of America&lt;/secondary-title&gt;&lt;/titles&gt;&lt;pages&gt;6052-6057&lt;/pages&gt;&lt;number&gt;23&lt;/number&gt;&lt;contributors&gt;&lt;authors&gt;&lt;author&gt;Sherlock, Madeline E.&lt;/author&gt;&lt;author&gt;Sudarsan, Narasimhan&lt;/author&gt;&lt;author&gt;Breaker, Ronald R.&lt;/author&gt;&lt;/authors&gt;&lt;/contributors&gt;&lt;added-date format="utc"&gt;1663615375&lt;/added-date&gt;&lt;ref-type name="Journal Article"&gt;17&lt;/ref-type&gt;&lt;rec-number&gt;95&lt;/rec-number&gt;&lt;last-updated-date format="utc"&gt;1663624413&lt;/last-updated-date&gt;&lt;accession-num&gt;WOS:000434114900065&lt;/accession-num&gt;&lt;electronic-resource-num&gt;10.1073/pnas.1720406115&lt;/electronic-resource-num&gt;&lt;volume&gt;115&lt;/volume&gt;&lt;/record&gt;&lt;/Cite&gt;&lt;/EndNote&gt;</w:instrText>
      </w:r>
      <w:r w:rsidRPr="00F53ABE">
        <w:rPr>
          <w:rFonts w:ascii="Times New Roman" w:hAnsi="Times New Roman" w:cs="Times New Roman"/>
          <w:b/>
          <w:bCs/>
        </w:rPr>
        <w:fldChar w:fldCharType="separate"/>
      </w:r>
      <w:r w:rsidRPr="00F53ABE">
        <w:rPr>
          <w:rFonts w:ascii="Times New Roman" w:hAnsi="Times New Roman" w:cs="Times New Roman"/>
          <w:b/>
          <w:bCs/>
          <w:noProof/>
        </w:rPr>
        <w:t>(Sherlock, Sudarsan and Breaker, 2018)</w:t>
      </w:r>
      <w:r w:rsidRPr="00F53ABE">
        <w:rPr>
          <w:rFonts w:ascii="Times New Roman" w:hAnsi="Times New Roman" w:cs="Times New Roman"/>
          <w:b/>
          <w:bCs/>
        </w:rPr>
        <w:fldChar w:fldCharType="end"/>
      </w:r>
      <w:r>
        <w:rPr>
          <w:rFonts w:ascii="Times New Roman" w:hAnsi="Times New Roman" w:cs="Times New Roman"/>
        </w:rPr>
        <w:t>.</w:t>
      </w:r>
      <w:r w:rsidRPr="00E87E8C">
        <w:rPr>
          <w:rFonts w:ascii="Times New Roman" w:hAnsi="Times New Roman" w:cs="Times New Roman"/>
        </w:rPr>
        <w:t xml:space="preserve"> </w:t>
      </w:r>
      <w:r>
        <w:rPr>
          <w:rFonts w:ascii="Times New Roman" w:hAnsi="Times New Roman" w:cs="Times New Roman"/>
          <w:color w:val="000000" w:themeColor="text1"/>
        </w:rPr>
        <w:t xml:space="preserve">Due to the gap in the field with regards to (p)ppGpp detection in </w:t>
      </w:r>
      <w:r>
        <w:rPr>
          <w:rFonts w:ascii="Times New Roman" w:hAnsi="Times New Roman" w:cs="Times New Roman"/>
          <w:i/>
          <w:iCs/>
          <w:color w:val="000000" w:themeColor="text1"/>
        </w:rPr>
        <w:t>S. aureus</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in vivo</w:t>
      </w:r>
      <w:r>
        <w:rPr>
          <w:rFonts w:ascii="Times New Roman" w:hAnsi="Times New Roman" w:cs="Times New Roman"/>
          <w:color w:val="000000" w:themeColor="text1"/>
        </w:rPr>
        <w:t xml:space="preserve">, a variety of </w:t>
      </w:r>
      <w:r>
        <w:rPr>
          <w:rFonts w:ascii="Times New Roman" w:hAnsi="Times New Roman" w:cs="Times New Roman"/>
          <w:i/>
          <w:iCs/>
          <w:color w:val="000000" w:themeColor="text1"/>
        </w:rPr>
        <w:t>S. aureus</w:t>
      </w:r>
      <w:r>
        <w:rPr>
          <w:rFonts w:ascii="Times New Roman" w:hAnsi="Times New Roman" w:cs="Times New Roman"/>
          <w:color w:val="000000" w:themeColor="text1"/>
        </w:rPr>
        <w:t>-specific (p)ppGpp probes to measure both synthetase productivity and (p)ppGpp levels were developed. These include a riboswitch-aptamer molecular biosensor, a promoter-reporter fusion and translational synthetase-GFP fusions.</w:t>
      </w:r>
    </w:p>
    <w:p w14:paraId="7B2E120C" w14:textId="77777777" w:rsidR="00187693" w:rsidRDefault="00187693" w:rsidP="00187693">
      <w:pPr>
        <w:pStyle w:val="Heading3"/>
      </w:pPr>
      <w:bookmarkStart w:id="130" w:name="_Toc142043633"/>
      <w:r>
        <w:t>3.4.1. Construction of a riboswitch-Broccoli molecular (p)ppGpp biosensor</w:t>
      </w:r>
      <w:bookmarkEnd w:id="130"/>
    </w:p>
    <w:p w14:paraId="31773DFD" w14:textId="6296E9E7" w:rsidR="00187693" w:rsidRDefault="00187693" w:rsidP="00187693">
      <w:pPr>
        <w:spacing w:line="360" w:lineRule="auto"/>
        <w:jc w:val="both"/>
        <w:rPr>
          <w:rFonts w:ascii="Times New Roman" w:hAnsi="Times New Roman" w:cs="Times New Roman"/>
        </w:rPr>
      </w:pPr>
      <w:r>
        <w:rPr>
          <w:rFonts w:ascii="Times New Roman" w:hAnsi="Times New Roman" w:cs="Times New Roman"/>
          <w:u w:val="single"/>
        </w:rPr>
        <w:br/>
      </w:r>
      <w:r>
        <w:rPr>
          <w:rFonts w:ascii="Times New Roman" w:hAnsi="Times New Roman" w:cs="Times New Roman"/>
        </w:rPr>
        <w:t xml:space="preserve">Riboswitches are non-coding regions of mRNA that interact with many different ligands, including (p)ppGpp </w:t>
      </w:r>
      <w:r w:rsidRPr="00741FDE">
        <w:rPr>
          <w:rFonts w:ascii="Times New Roman" w:hAnsi="Times New Roman" w:cs="Times New Roman"/>
          <w:b/>
          <w:bCs/>
        </w:rPr>
        <w:fldChar w:fldCharType="begin"/>
      </w:r>
      <w:r w:rsidRPr="00741FDE">
        <w:rPr>
          <w:rFonts w:ascii="Times New Roman" w:hAnsi="Times New Roman" w:cs="Times New Roman"/>
          <w:b/>
          <w:bCs/>
        </w:rPr>
        <w:instrText xml:space="preserve"> ADDIN EN.CITE &lt;EndNote&gt;&lt;Cite&gt;&lt;Author&gt;Irving&lt;/Author&gt;&lt;Year&gt;2021&lt;/Year&gt;&lt;IDText&gt;The stringent response and physiological roles of (pp)pGpp in bacteria&lt;/IDText&gt;&lt;DisplayText&gt;(Irving, Choudhury and Corrigan, 2021)&lt;/DisplayText&gt;&lt;record&gt;&lt;dates&gt;&lt;pub-dates&gt;&lt;date&gt;Apr&lt;/date&gt;&lt;/pub-dates&gt;&lt;year&gt;2021&lt;/year&gt;&lt;/dates&gt;&lt;urls&gt;&lt;related-urls&gt;&lt;url&gt;&amp;lt;Go to ISI&amp;gt;://WOS:000585814900001&lt;/url&gt;&lt;/related-urls&gt;&lt;/urls&gt;&lt;isbn&gt;1740-1526&lt;/isbn&gt;&lt;titles&gt;&lt;title&gt;The stringent response and physiological roles of (pp)pGpp in bacteria&lt;/title&gt;&lt;secondary-title&gt;Nature Reviews Microbiology&lt;/secondary-title&gt;&lt;/titles&gt;&lt;pages&gt;256-271&lt;/pages&gt;&lt;number&gt;4&lt;/number&gt;&lt;contributors&gt;&lt;authors&gt;&lt;author&gt;Irving, Sophie E.&lt;/author&gt;&lt;author&gt;Choudhury, Naznin R.&lt;/author&gt;&lt;author&gt;Corrigan, Rebecca M.&lt;/author&gt;&lt;/authors&gt;&lt;/contributors&gt;&lt;added-date format="utc"&gt;1663624283&lt;/added-date&gt;&lt;ref-type name="Journal Article"&gt;17&lt;/ref-type&gt;&lt;rec-number&gt;145&lt;/rec-number&gt;&lt;last-updated-date format="utc"&gt;1663624413&lt;/last-updated-date&gt;&lt;accession-num&gt;WOS:000585814900001&lt;/accession-num&gt;&lt;electronic-resource-num&gt;10.1038/s41579-020-00470-y&lt;/electronic-resource-num&gt;&lt;volume&gt;19&lt;/volume&gt;&lt;/record&gt;&lt;/Cite&gt;&lt;/EndNote&gt;</w:instrText>
      </w:r>
      <w:r w:rsidRPr="00741FDE">
        <w:rPr>
          <w:rFonts w:ascii="Times New Roman" w:hAnsi="Times New Roman" w:cs="Times New Roman"/>
          <w:b/>
          <w:bCs/>
        </w:rPr>
        <w:fldChar w:fldCharType="separate"/>
      </w:r>
      <w:r w:rsidRPr="00741FDE">
        <w:rPr>
          <w:rFonts w:ascii="Times New Roman" w:hAnsi="Times New Roman" w:cs="Times New Roman"/>
          <w:b/>
          <w:bCs/>
          <w:noProof/>
        </w:rPr>
        <w:t>(Irving, Choudhury and Corrigan, 2021)</w:t>
      </w:r>
      <w:r w:rsidRPr="00741FDE">
        <w:rPr>
          <w:rFonts w:ascii="Times New Roman" w:hAnsi="Times New Roman" w:cs="Times New Roman"/>
          <w:b/>
          <w:bCs/>
        </w:rPr>
        <w:fldChar w:fldCharType="end"/>
      </w:r>
      <w:r>
        <w:rPr>
          <w:rFonts w:ascii="Times New Roman" w:hAnsi="Times New Roman" w:cs="Times New Roman"/>
        </w:rPr>
        <w:t xml:space="preserve"> which specifically binds to the </w:t>
      </w:r>
      <w:r>
        <w:rPr>
          <w:rFonts w:ascii="Times New Roman" w:hAnsi="Times New Roman" w:cs="Times New Roman"/>
          <w:i/>
          <w:iCs/>
        </w:rPr>
        <w:t>ykkc</w:t>
      </w:r>
      <w:r>
        <w:rPr>
          <w:rFonts w:ascii="Times New Roman" w:hAnsi="Times New Roman" w:cs="Times New Roman"/>
        </w:rPr>
        <w:t xml:space="preserve"> (subtype 2a) class of riboswitches </w:t>
      </w:r>
      <w:r w:rsidRPr="0007491B">
        <w:rPr>
          <w:rFonts w:ascii="Times New Roman" w:hAnsi="Times New Roman" w:cs="Times New Roman"/>
          <w:b/>
          <w:bCs/>
        </w:rPr>
        <w:fldChar w:fldCharType="begin"/>
      </w:r>
      <w:r w:rsidRPr="0007491B">
        <w:rPr>
          <w:rFonts w:ascii="Times New Roman" w:hAnsi="Times New Roman" w:cs="Times New Roman"/>
          <w:b/>
          <w:bCs/>
        </w:rPr>
        <w:instrText xml:space="preserve"> ADDIN EN.CITE &lt;EndNote&gt;&lt;Cite&gt;&lt;Author&gt;Sherlock&lt;/Author&gt;&lt;Year&gt;2018&lt;/Year&gt;&lt;IDText&gt;Riboswitches for the alarmone ppGpp expand the collection of RNA-based signaling systems&lt;/IDText&gt;&lt;DisplayText&gt;(Sherlock, Sudarsan and Breaker, 2018)&lt;/DisplayText&gt;&lt;record&gt;&lt;dates&gt;&lt;pub-dates&gt;&lt;date&gt;Jun 5&lt;/date&gt;&lt;/pub-dates&gt;&lt;year&gt;2018&lt;/year&gt;&lt;/dates&gt;&lt;urls&gt;&lt;related-urls&gt;&lt;url&gt;&amp;lt;Go to ISI&amp;gt;://WOS:000434114900065&lt;/url&gt;&lt;/related-urls&gt;&lt;/urls&gt;&lt;isbn&gt;0027-8424&lt;/isbn&gt;&lt;titles&gt;&lt;title&gt;Riboswitches for the alarmone ppGpp expand the collection of RNA-based signaling systems&lt;/title&gt;&lt;secondary-title&gt;Proceedings of the National Academy of Sciences of the United States of America&lt;/secondary-title&gt;&lt;/titles&gt;&lt;pages&gt;6052-6057&lt;/pages&gt;&lt;number&gt;23&lt;/number&gt;&lt;contributors&gt;&lt;authors&gt;&lt;author&gt;Sherlock, Madeline E.&lt;/author&gt;&lt;author&gt;Sudarsan, Narasimhan&lt;/author&gt;&lt;author&gt;Breaker, Ronald R.&lt;/author&gt;&lt;/authors&gt;&lt;/contributors&gt;&lt;added-date format="utc"&gt;1663615375&lt;/added-date&gt;&lt;ref-type name="Journal Article"&gt;17&lt;/ref-type&gt;&lt;rec-number&gt;95&lt;/rec-number&gt;&lt;last-updated-date format="utc"&gt;1663624413&lt;/last-updated-date&gt;&lt;accession-num&gt;WOS:000434114900065&lt;/accession-num&gt;&lt;electronic-resource-num&gt;10.1073/pnas.1720406115&lt;/electronic-resource-num&gt;&lt;volume&gt;115&lt;/volume&gt;&lt;/record&gt;&lt;/Cite&gt;&lt;/EndNote&gt;</w:instrText>
      </w:r>
      <w:r w:rsidRPr="0007491B">
        <w:rPr>
          <w:rFonts w:ascii="Times New Roman" w:hAnsi="Times New Roman" w:cs="Times New Roman"/>
          <w:b/>
          <w:bCs/>
        </w:rPr>
        <w:fldChar w:fldCharType="separate"/>
      </w:r>
      <w:r w:rsidRPr="0007491B">
        <w:rPr>
          <w:rFonts w:ascii="Times New Roman" w:hAnsi="Times New Roman" w:cs="Times New Roman"/>
          <w:b/>
          <w:bCs/>
          <w:noProof/>
        </w:rPr>
        <w:t>(Sherlock, Sudarsan and Breaker, 2018)</w:t>
      </w:r>
      <w:r w:rsidRPr="0007491B">
        <w:rPr>
          <w:rFonts w:ascii="Times New Roman" w:hAnsi="Times New Roman" w:cs="Times New Roman"/>
          <w:b/>
          <w:bCs/>
        </w:rPr>
        <w:fldChar w:fldCharType="end"/>
      </w:r>
      <w:r>
        <w:rPr>
          <w:rFonts w:ascii="Times New Roman" w:hAnsi="Times New Roman" w:cs="Times New Roman"/>
        </w:rPr>
        <w:t xml:space="preserve">. Binding of ligands to riboswitches controls the transcription of downstream genes. Genes regulated by the </w:t>
      </w:r>
      <w:r>
        <w:rPr>
          <w:rFonts w:ascii="Times New Roman" w:hAnsi="Times New Roman" w:cs="Times New Roman"/>
          <w:i/>
          <w:iCs/>
        </w:rPr>
        <w:t>ykkc</w:t>
      </w:r>
      <w:r>
        <w:rPr>
          <w:rFonts w:ascii="Times New Roman" w:hAnsi="Times New Roman" w:cs="Times New Roman"/>
        </w:rPr>
        <w:t xml:space="preserve"> riboswitches encode for various proteins including efflux pumps that may translocate guanidine </w:t>
      </w:r>
      <w:r w:rsidRPr="00752DDA">
        <w:rPr>
          <w:rFonts w:ascii="Times New Roman" w:hAnsi="Times New Roman" w:cs="Times New Roman"/>
          <w:b/>
          <w:bCs/>
        </w:rPr>
        <w:fldChar w:fldCharType="begin">
          <w:fldData xml:space="preserve">PEVuZE5vdGU+PENpdGU+PEF1dGhvcj5CYXJyaWNrPC9BdXRob3I+PFllYXI+MjAwNDwvWWVhcj48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</w:fldData>
        </w:fldChar>
      </w:r>
      <w:r w:rsidRPr="00752DDA">
        <w:rPr>
          <w:rFonts w:ascii="Times New Roman" w:hAnsi="Times New Roman" w:cs="Times New Roman"/>
          <w:b/>
          <w:bCs/>
        </w:rPr>
        <w:instrText xml:space="preserve"> ADDIN EN.CITE </w:instrText>
      </w:r>
      <w:r w:rsidRPr="00752DDA">
        <w:rPr>
          <w:rFonts w:ascii="Times New Roman" w:hAnsi="Times New Roman" w:cs="Times New Roman"/>
          <w:b/>
          <w:bCs/>
        </w:rPr>
        <w:fldChar w:fldCharType="begin">
          <w:fldData xml:space="preserve">PEVuZE5vdGU+PENpdGU+PEF1dGhvcj5CYXJyaWNrPC9BdXRob3I+PFllYXI+MjAwNDwvWWVhcj48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</w:fldData>
        </w:fldChar>
      </w:r>
      <w:r w:rsidRPr="00752DDA">
        <w:rPr>
          <w:rFonts w:ascii="Times New Roman" w:hAnsi="Times New Roman" w:cs="Times New Roman"/>
          <w:b/>
          <w:bCs/>
        </w:rPr>
        <w:instrText xml:space="preserve"> ADDIN EN.CITE.DATA </w:instrText>
      </w:r>
      <w:r w:rsidRPr="00752DDA">
        <w:rPr>
          <w:rFonts w:ascii="Times New Roman" w:hAnsi="Times New Roman" w:cs="Times New Roman"/>
          <w:b/>
          <w:bCs/>
        </w:rPr>
      </w:r>
      <w:r w:rsidRPr="00752DDA">
        <w:rPr>
          <w:rFonts w:ascii="Times New Roman" w:hAnsi="Times New Roman" w:cs="Times New Roman"/>
          <w:b/>
          <w:bCs/>
        </w:rPr>
        <w:fldChar w:fldCharType="end"/>
      </w:r>
      <w:r w:rsidRPr="00752DDA">
        <w:rPr>
          <w:rFonts w:ascii="Times New Roman" w:hAnsi="Times New Roman" w:cs="Times New Roman"/>
          <w:b/>
          <w:bCs/>
        </w:rPr>
      </w:r>
      <w:r w:rsidRPr="00752DDA">
        <w:rPr>
          <w:rFonts w:ascii="Times New Roman" w:hAnsi="Times New Roman" w:cs="Times New Roman"/>
          <w:b/>
          <w:bCs/>
        </w:rPr>
        <w:fldChar w:fldCharType="separate"/>
      </w:r>
      <w:r w:rsidRPr="00752DDA">
        <w:rPr>
          <w:rFonts w:ascii="Times New Roman" w:hAnsi="Times New Roman" w:cs="Times New Roman"/>
          <w:b/>
          <w:bCs/>
          <w:noProof/>
        </w:rPr>
        <w:t>(Barrick</w:t>
      </w:r>
      <w:r w:rsidRPr="00752DDA">
        <w:rPr>
          <w:rFonts w:ascii="Times New Roman" w:hAnsi="Times New Roman" w:cs="Times New Roman"/>
          <w:b/>
          <w:bCs/>
          <w:i/>
          <w:noProof/>
        </w:rPr>
        <w:t xml:space="preserve"> et al.</w:t>
      </w:r>
      <w:r w:rsidRPr="00752DDA">
        <w:rPr>
          <w:rFonts w:ascii="Times New Roman" w:hAnsi="Times New Roman" w:cs="Times New Roman"/>
          <w:b/>
          <w:bCs/>
          <w:noProof/>
        </w:rPr>
        <w:t>, 2004; Nelson</w:t>
      </w:r>
      <w:r w:rsidRPr="00752DDA">
        <w:rPr>
          <w:rFonts w:ascii="Times New Roman" w:hAnsi="Times New Roman" w:cs="Times New Roman"/>
          <w:b/>
          <w:bCs/>
          <w:i/>
          <w:noProof/>
        </w:rPr>
        <w:t xml:space="preserve"> et al.</w:t>
      </w:r>
      <w:r w:rsidRPr="00752DDA">
        <w:rPr>
          <w:rFonts w:ascii="Times New Roman" w:hAnsi="Times New Roman" w:cs="Times New Roman"/>
          <w:b/>
          <w:bCs/>
          <w:noProof/>
        </w:rPr>
        <w:t>, 2017)</w:t>
      </w:r>
      <w:r w:rsidRPr="00752DDA">
        <w:rPr>
          <w:rFonts w:ascii="Times New Roman" w:hAnsi="Times New Roman" w:cs="Times New Roman"/>
          <w:b/>
          <w:bCs/>
        </w:rPr>
        <w:fldChar w:fldCharType="end"/>
      </w:r>
      <w:r>
        <w:rPr>
          <w:rFonts w:ascii="Times New Roman" w:hAnsi="Times New Roman" w:cs="Times New Roman"/>
        </w:rPr>
        <w:t xml:space="preserve">, however the (p)ppGpp-specific </w:t>
      </w:r>
      <w:r>
        <w:rPr>
          <w:rFonts w:ascii="Times New Roman" w:hAnsi="Times New Roman" w:cs="Times New Roman"/>
          <w:i/>
          <w:iCs/>
        </w:rPr>
        <w:t xml:space="preserve">ykkc </w:t>
      </w:r>
      <w:r>
        <w:rPr>
          <w:rFonts w:ascii="Times New Roman" w:hAnsi="Times New Roman" w:cs="Times New Roman"/>
        </w:rPr>
        <w:t xml:space="preserve">subtype 2a riboswitches are associated with genes involved in, but not limited to, BCAA biosynthesis. </w:t>
      </w:r>
    </w:p>
    <w:p w14:paraId="4691E568" w14:textId="5D9149A3"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R</w:t>
      </w:r>
      <w:r w:rsidRPr="00535996">
        <w:rPr>
          <w:rFonts w:ascii="Times New Roman" w:hAnsi="Times New Roman" w:cs="Times New Roman"/>
        </w:rPr>
        <w:t xml:space="preserve">ecent studies have used riboswitches fused to </w:t>
      </w:r>
      <w:r>
        <w:rPr>
          <w:rFonts w:ascii="Times New Roman" w:hAnsi="Times New Roman" w:cs="Times New Roman"/>
        </w:rPr>
        <w:t xml:space="preserve">RNA fluorophore-binding sequences (referred to as </w:t>
      </w:r>
      <w:r w:rsidRPr="00535996">
        <w:rPr>
          <w:rFonts w:ascii="Times New Roman" w:hAnsi="Times New Roman" w:cs="Times New Roman"/>
        </w:rPr>
        <w:t>RNA</w:t>
      </w:r>
      <w:r>
        <w:rPr>
          <w:rFonts w:ascii="Times New Roman" w:hAnsi="Times New Roman" w:cs="Times New Roman"/>
        </w:rPr>
        <w:t xml:space="preserve"> aptamers hereafter) </w:t>
      </w:r>
      <w:r w:rsidRPr="00535996">
        <w:rPr>
          <w:rFonts w:ascii="Times New Roman" w:hAnsi="Times New Roman" w:cs="Times New Roman"/>
        </w:rPr>
        <w:t>as molecular biosensors to measure</w:t>
      </w:r>
      <w:r>
        <w:rPr>
          <w:rFonts w:ascii="Times New Roman" w:hAnsi="Times New Roman" w:cs="Times New Roman"/>
        </w:rPr>
        <w:t xml:space="preserve"> levels of</w:t>
      </w:r>
      <w:r w:rsidRPr="00535996">
        <w:rPr>
          <w:rFonts w:ascii="Times New Roman" w:hAnsi="Times New Roman" w:cs="Times New Roman"/>
        </w:rPr>
        <w:t xml:space="preserve"> c-di-AMP and c-di-GMP </w:t>
      </w:r>
      <w:r w:rsidRPr="00535996">
        <w:rPr>
          <w:rFonts w:ascii="Times New Roman" w:hAnsi="Times New Roman" w:cs="Times New Roman"/>
          <w:b/>
          <w:bCs/>
        </w:rPr>
        <w:fldChar w:fldCharType="begin">
          <w:fldData xml:space="preserve">PEVuZE5vdGU+PENpdGU+PEF1dGhvcj5LZWxsZW5iZXJnZXI8L0F1dGhvcj48WWVhcj4yMDE1PC9Z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</w:fldData>
        </w:fldChar>
      </w:r>
      <w:r w:rsidRPr="00535996">
        <w:rPr>
          <w:rFonts w:ascii="Times New Roman" w:hAnsi="Times New Roman" w:cs="Times New Roman"/>
          <w:b/>
          <w:bCs/>
        </w:rPr>
        <w:instrText xml:space="preserve"> ADDIN EN.CITE </w:instrText>
      </w:r>
      <w:r w:rsidRPr="00535996">
        <w:rPr>
          <w:rFonts w:ascii="Times New Roman" w:hAnsi="Times New Roman" w:cs="Times New Roman"/>
          <w:b/>
          <w:bCs/>
        </w:rPr>
        <w:fldChar w:fldCharType="begin">
          <w:fldData xml:space="preserve">PEVuZE5vdGU+PENpdGU+PEF1dGhvcj5LZWxsZW5iZXJnZXI8L0F1dGhvcj48WWVhcj4yMDE1PC9Z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</w:fldData>
        </w:fldChar>
      </w:r>
      <w:r w:rsidRPr="00535996">
        <w:rPr>
          <w:rFonts w:ascii="Times New Roman" w:hAnsi="Times New Roman" w:cs="Times New Roman"/>
          <w:b/>
          <w:bCs/>
        </w:rPr>
        <w:instrText xml:space="preserve"> ADDIN EN.CITE.DATA </w:instrText>
      </w:r>
      <w:r w:rsidRPr="00535996">
        <w:rPr>
          <w:rFonts w:ascii="Times New Roman" w:hAnsi="Times New Roman" w:cs="Times New Roman"/>
          <w:b/>
          <w:bCs/>
        </w:rPr>
      </w:r>
      <w:r w:rsidRPr="00535996">
        <w:rPr>
          <w:rFonts w:ascii="Times New Roman" w:hAnsi="Times New Roman" w:cs="Times New Roman"/>
          <w:b/>
          <w:bCs/>
        </w:rPr>
        <w:fldChar w:fldCharType="end"/>
      </w:r>
      <w:r w:rsidRPr="00535996">
        <w:rPr>
          <w:rFonts w:ascii="Times New Roman" w:hAnsi="Times New Roman" w:cs="Times New Roman"/>
          <w:b/>
          <w:bCs/>
        </w:rPr>
      </w:r>
      <w:r w:rsidRPr="00535996">
        <w:rPr>
          <w:rFonts w:ascii="Times New Roman" w:hAnsi="Times New Roman" w:cs="Times New Roman"/>
          <w:b/>
          <w:bCs/>
        </w:rPr>
        <w:fldChar w:fldCharType="separate"/>
      </w:r>
      <w:r w:rsidRPr="00535996">
        <w:rPr>
          <w:rFonts w:ascii="Times New Roman" w:hAnsi="Times New Roman" w:cs="Times New Roman"/>
          <w:b/>
          <w:bCs/>
          <w:noProof/>
        </w:rPr>
        <w:t>(Kellenberger</w:t>
      </w:r>
      <w:r w:rsidRPr="00535996">
        <w:rPr>
          <w:rFonts w:ascii="Times New Roman" w:hAnsi="Times New Roman" w:cs="Times New Roman"/>
          <w:b/>
          <w:bCs/>
          <w:i/>
          <w:noProof/>
        </w:rPr>
        <w:t xml:space="preserve"> et al.</w:t>
      </w:r>
      <w:r w:rsidRPr="00535996">
        <w:rPr>
          <w:rFonts w:ascii="Times New Roman" w:hAnsi="Times New Roman" w:cs="Times New Roman"/>
          <w:b/>
          <w:bCs/>
          <w:noProof/>
        </w:rPr>
        <w:t>, 2015; Wang, Wilson and Hammond, 2016)</w:t>
      </w:r>
      <w:r w:rsidRPr="00535996">
        <w:rPr>
          <w:rFonts w:ascii="Times New Roman" w:hAnsi="Times New Roman" w:cs="Times New Roman"/>
          <w:b/>
          <w:bCs/>
        </w:rPr>
        <w:fldChar w:fldCharType="end"/>
      </w:r>
      <w:r>
        <w:rPr>
          <w:rFonts w:ascii="Times New Roman" w:hAnsi="Times New Roman" w:cs="Times New Roman"/>
        </w:rPr>
        <w:t xml:space="preserve"> and </w:t>
      </w:r>
      <w:r w:rsidRPr="002A6313">
        <w:rPr>
          <w:rFonts w:ascii="Times New Roman" w:hAnsi="Times New Roman" w:cs="Times New Roman"/>
        </w:rPr>
        <w:t>(p)ppGpp</w:t>
      </w:r>
      <w:r w:rsidRPr="002A6313">
        <w:rPr>
          <w:rFonts w:ascii="Times New Roman" w:hAnsi="Times New Roman" w:cs="Times New Roman"/>
          <w:b/>
          <w:bCs/>
        </w:rPr>
        <w:t xml:space="preserve"> </w:t>
      </w:r>
      <w:r w:rsidRPr="002A6313">
        <w:rPr>
          <w:rFonts w:ascii="Times New Roman" w:hAnsi="Times New Roman" w:cs="Times New Roman"/>
          <w:b/>
          <w:bCs/>
        </w:rPr>
        <w:fldChar w:fldCharType="begin">
          <w:fldData xml:space="preserve">PEVuZE5vdGU+PENpdGU+PEF1dGhvcj5TaGVybG9jazwvQXV0aG9yPjxZZWFyPjIwMTg8L1llYXI+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</w:fldData>
        </w:fldChar>
      </w:r>
      <w:r w:rsidRPr="002A6313">
        <w:rPr>
          <w:rFonts w:ascii="Times New Roman" w:hAnsi="Times New Roman" w:cs="Times New Roman"/>
          <w:b/>
          <w:bCs/>
        </w:rPr>
        <w:instrText xml:space="preserve"> ADDIN EN.CITE </w:instrText>
      </w:r>
      <w:r w:rsidRPr="002A6313">
        <w:rPr>
          <w:rFonts w:ascii="Times New Roman" w:hAnsi="Times New Roman" w:cs="Times New Roman"/>
          <w:b/>
          <w:bCs/>
        </w:rPr>
        <w:fldChar w:fldCharType="begin">
          <w:fldData xml:space="preserve">PEVuZE5vdGU+PENpdGU+PEF1dGhvcj5TaGVybG9jazwvQXV0aG9yPjxZZWFyPjIwMTg8L1llYXI+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</w:fldData>
        </w:fldChar>
      </w:r>
      <w:r w:rsidRPr="002A6313">
        <w:rPr>
          <w:rFonts w:ascii="Times New Roman" w:hAnsi="Times New Roman" w:cs="Times New Roman"/>
          <w:b/>
          <w:bCs/>
        </w:rPr>
        <w:instrText xml:space="preserve"> ADDIN EN.CITE.DATA </w:instrText>
      </w:r>
      <w:r w:rsidRPr="002A6313">
        <w:rPr>
          <w:rFonts w:ascii="Times New Roman" w:hAnsi="Times New Roman" w:cs="Times New Roman"/>
          <w:b/>
          <w:bCs/>
        </w:rPr>
      </w:r>
      <w:r w:rsidRPr="002A6313">
        <w:rPr>
          <w:rFonts w:ascii="Times New Roman" w:hAnsi="Times New Roman" w:cs="Times New Roman"/>
          <w:b/>
          <w:bCs/>
        </w:rPr>
        <w:fldChar w:fldCharType="end"/>
      </w:r>
      <w:r w:rsidRPr="002A6313">
        <w:rPr>
          <w:rFonts w:ascii="Times New Roman" w:hAnsi="Times New Roman" w:cs="Times New Roman"/>
          <w:b/>
          <w:bCs/>
        </w:rPr>
      </w:r>
      <w:r w:rsidRPr="002A6313">
        <w:rPr>
          <w:rFonts w:ascii="Times New Roman" w:hAnsi="Times New Roman" w:cs="Times New Roman"/>
          <w:b/>
          <w:bCs/>
        </w:rPr>
        <w:fldChar w:fldCharType="separate"/>
      </w:r>
      <w:r w:rsidRPr="002A6313">
        <w:rPr>
          <w:rFonts w:ascii="Times New Roman" w:hAnsi="Times New Roman" w:cs="Times New Roman"/>
          <w:b/>
          <w:bCs/>
          <w:noProof/>
        </w:rPr>
        <w:t>(Sherlock, Sudarsan and Breaker, 2018; Sun</w:t>
      </w:r>
      <w:r w:rsidRPr="002A6313">
        <w:rPr>
          <w:rFonts w:ascii="Times New Roman" w:hAnsi="Times New Roman" w:cs="Times New Roman"/>
          <w:b/>
          <w:bCs/>
          <w:i/>
          <w:noProof/>
        </w:rPr>
        <w:t xml:space="preserve"> et al.</w:t>
      </w:r>
      <w:r w:rsidRPr="002A6313">
        <w:rPr>
          <w:rFonts w:ascii="Times New Roman" w:hAnsi="Times New Roman" w:cs="Times New Roman"/>
          <w:b/>
          <w:bCs/>
          <w:noProof/>
        </w:rPr>
        <w:t>, 2021)</w:t>
      </w:r>
      <w:r w:rsidRPr="002A6313">
        <w:rPr>
          <w:rFonts w:ascii="Times New Roman" w:hAnsi="Times New Roman" w:cs="Times New Roman"/>
          <w:b/>
          <w:bCs/>
        </w:rPr>
        <w:fldChar w:fldCharType="end"/>
      </w:r>
      <w:r>
        <w:rPr>
          <w:rFonts w:ascii="Times New Roman" w:hAnsi="Times New Roman" w:cs="Times New Roman"/>
        </w:rPr>
        <w:t xml:space="preserve">. RNA aptamers are sequences of RNA that, when complexed with their cognate fluorogen, generate a fluorescent output </w:t>
      </w:r>
      <w:r w:rsidRPr="00DA393E">
        <w:rPr>
          <w:rFonts w:ascii="Times New Roman" w:hAnsi="Times New Roman" w:cs="Times New Roman"/>
          <w:b/>
          <w:bCs/>
        </w:rPr>
        <w:fldChar w:fldCharType="begin"/>
      </w:r>
      <w:r w:rsidRPr="00DA393E">
        <w:rPr>
          <w:rFonts w:ascii="Times New Roman" w:hAnsi="Times New Roman" w:cs="Times New Roman"/>
          <w:b/>
          <w:bCs/>
        </w:rPr>
        <w:instrText xml:space="preserve"> ADDIN EN.CITE &lt;EndNote&gt;&lt;Cite&gt;&lt;Author&gt;Paige&lt;/Author&gt;&lt;Year&gt;2011&lt;/Year&gt;&lt;IDText&gt;RNA Mimics of Green Fluorescent Protein&lt;/IDText&gt;&lt;DisplayText&gt;(Paige, Wu and Jaffrey, 2011)&lt;/DisplayText&gt;&lt;record&gt;&lt;dates&gt;&lt;pub-dates&gt;&lt;date&gt;Jul 29&lt;/date&gt;&lt;/pub-dates&gt;&lt;year&gt;2011&lt;/year&gt;&lt;/dates&gt;&lt;urls&gt;&lt;related-urls&gt;&lt;url&gt;&amp;lt;Go to ISI&amp;gt;://WOS:000293222400065&lt;/url&gt;&lt;/related-urls&gt;&lt;/urls&gt;&lt;isbn&gt;0036-8075&lt;/isbn&gt;&lt;work-type&gt;Article&lt;/work-type&gt;&lt;titles&gt;&lt;title&gt;RNA Mimics of Green Fluorescent Protein&lt;/title&gt;&lt;secondary-title&gt;Science&lt;/secondary-title&gt;&lt;/titles&gt;&lt;pages&gt;642-646&lt;/pages&gt;&lt;number&gt;6042&lt;/number&gt;&lt;contributors&gt;&lt;authors&gt;&lt;author&gt;Paige, Jeremy S.&lt;/author&gt;&lt;author&gt;Wu, Karen Y.&lt;/author&gt;&lt;author&gt;Jaffrey, Samie R.&lt;/author&gt;&lt;/authors&gt;&lt;/contributors&gt;&lt;added-date format="utc"&gt;1672865535&lt;/added-date&gt;&lt;ref-type name="Journal Article"&gt;17&lt;/ref-type&gt;&lt;rec-number&gt;198&lt;/rec-number&gt;&lt;last-updated-date format="utc"&gt;1672865535&lt;/last-updated-date&gt;&lt;accession-num&gt;WOS:000293222400065&lt;/accession-num&gt;&lt;electronic-resource-num&gt;10.1126/science.1207339&lt;/electronic-resource-num&gt;&lt;volume&gt;333&lt;/volume&gt;&lt;/record&gt;&lt;/Cite&gt;&lt;/EndNote&gt;</w:instrText>
      </w:r>
      <w:r w:rsidRPr="00DA393E">
        <w:rPr>
          <w:rFonts w:ascii="Times New Roman" w:hAnsi="Times New Roman" w:cs="Times New Roman"/>
          <w:b/>
          <w:bCs/>
        </w:rPr>
        <w:fldChar w:fldCharType="separate"/>
      </w:r>
      <w:r w:rsidRPr="00DA393E">
        <w:rPr>
          <w:rFonts w:ascii="Times New Roman" w:hAnsi="Times New Roman" w:cs="Times New Roman"/>
          <w:b/>
          <w:bCs/>
          <w:noProof/>
        </w:rPr>
        <w:t>(Paige, Wu and Jaffrey, 2011)</w:t>
      </w:r>
      <w:r w:rsidRPr="00DA393E">
        <w:rPr>
          <w:rFonts w:ascii="Times New Roman" w:hAnsi="Times New Roman" w:cs="Times New Roman"/>
          <w:b/>
          <w:bCs/>
        </w:rPr>
        <w:fldChar w:fldCharType="end"/>
      </w:r>
      <w:r>
        <w:rPr>
          <w:rFonts w:ascii="Times New Roman" w:hAnsi="Times New Roman" w:cs="Times New Roman"/>
          <w:b/>
          <w:bCs/>
        </w:rPr>
        <w:t xml:space="preserve"> (Figure 3.4.1a)</w:t>
      </w:r>
      <w:r>
        <w:rPr>
          <w:rFonts w:ascii="Times New Roman" w:hAnsi="Times New Roman" w:cs="Times New Roman"/>
        </w:rPr>
        <w:t xml:space="preserve">. Many types of fluorogenic dye exist that exhibit at least 1000-fold increase in fluorescence in the presence of RNA aptamers in comparison to in the absence </w:t>
      </w:r>
      <w:r w:rsidRPr="003C07B5">
        <w:rPr>
          <w:rFonts w:ascii="Times New Roman" w:hAnsi="Times New Roman" w:cs="Times New Roman"/>
          <w:b/>
          <w:bCs/>
        </w:rPr>
        <w:fldChar w:fldCharType="begin">
          <w:fldData xml:space="preserve">PEVuZE5vdGU+PENpdGU+PEF1dGhvcj5DYXd0ZTwvQXV0aG9yPjxZZWFyPjIwMjA8L1llYXI+PElE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</w:fldData>
        </w:fldChar>
      </w:r>
      <w:r w:rsidRPr="003C07B5">
        <w:rPr>
          <w:rFonts w:ascii="Times New Roman" w:hAnsi="Times New Roman" w:cs="Times New Roman"/>
          <w:b/>
          <w:bCs/>
        </w:rPr>
        <w:instrText xml:space="preserve"> ADDIN EN.CITE </w:instrText>
      </w:r>
      <w:r w:rsidRPr="003C07B5">
        <w:rPr>
          <w:rFonts w:ascii="Times New Roman" w:hAnsi="Times New Roman" w:cs="Times New Roman"/>
          <w:b/>
          <w:bCs/>
        </w:rPr>
        <w:fldChar w:fldCharType="begin">
          <w:fldData xml:space="preserve">PEVuZE5vdGU+PENpdGU+PEF1dGhvcj5DYXd0ZTwvQXV0aG9yPjxZZWFyPjIwMjA8L1llYXI+PElE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</w:fldData>
        </w:fldChar>
      </w:r>
      <w:r w:rsidRPr="003C07B5">
        <w:rPr>
          <w:rFonts w:ascii="Times New Roman" w:hAnsi="Times New Roman" w:cs="Times New Roman"/>
          <w:b/>
          <w:bCs/>
        </w:rPr>
        <w:instrText xml:space="preserve"> ADDIN EN.CITE.DATA </w:instrText>
      </w:r>
      <w:r w:rsidRPr="003C07B5">
        <w:rPr>
          <w:rFonts w:ascii="Times New Roman" w:hAnsi="Times New Roman" w:cs="Times New Roman"/>
          <w:b/>
          <w:bCs/>
        </w:rPr>
      </w:r>
      <w:r w:rsidRPr="003C07B5">
        <w:rPr>
          <w:rFonts w:ascii="Times New Roman" w:hAnsi="Times New Roman" w:cs="Times New Roman"/>
          <w:b/>
          <w:bCs/>
        </w:rPr>
        <w:fldChar w:fldCharType="end"/>
      </w:r>
      <w:r w:rsidRPr="003C07B5">
        <w:rPr>
          <w:rFonts w:ascii="Times New Roman" w:hAnsi="Times New Roman" w:cs="Times New Roman"/>
          <w:b/>
          <w:bCs/>
        </w:rPr>
      </w:r>
      <w:r w:rsidRPr="003C07B5">
        <w:rPr>
          <w:rFonts w:ascii="Times New Roman" w:hAnsi="Times New Roman" w:cs="Times New Roman"/>
          <w:b/>
          <w:bCs/>
        </w:rPr>
        <w:fldChar w:fldCharType="separate"/>
      </w:r>
      <w:r w:rsidRPr="003C07B5">
        <w:rPr>
          <w:rFonts w:ascii="Times New Roman" w:hAnsi="Times New Roman" w:cs="Times New Roman"/>
          <w:b/>
          <w:bCs/>
          <w:noProof/>
        </w:rPr>
        <w:t>(Cawte, Unrau and Rueda, 2020; Suss, Motiei and Margulies, 2021)</w:t>
      </w:r>
      <w:r w:rsidRPr="003C07B5">
        <w:rPr>
          <w:rFonts w:ascii="Times New Roman" w:hAnsi="Times New Roman" w:cs="Times New Roman"/>
          <w:b/>
          <w:bCs/>
        </w:rPr>
        <w:fldChar w:fldCharType="end"/>
      </w:r>
      <w:r w:rsidRPr="003C07B5">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For example, RNA aptamers Broccoli and Spinach complex with a GFP mimic (DFHBI-1T) </w:t>
      </w:r>
      <w:r>
        <w:rPr>
          <w:rFonts w:ascii="Times New Roman" w:hAnsi="Times New Roman" w:cs="Times New Roman"/>
          <w:b/>
          <w:bCs/>
        </w:rPr>
        <w:t>(Figure 3.4.1d)</w:t>
      </w:r>
      <w:r>
        <w:rPr>
          <w:rFonts w:ascii="Times New Roman" w:hAnsi="Times New Roman" w:cs="Times New Roman"/>
        </w:rPr>
        <w:t xml:space="preserve">, while Mango will complex with thiazole orange </w:t>
      </w:r>
      <w:r w:rsidRPr="003F1A1C">
        <w:rPr>
          <w:rFonts w:ascii="Times New Roman" w:hAnsi="Times New Roman" w:cs="Times New Roman"/>
          <w:b/>
          <w:bCs/>
        </w:rPr>
        <w:fldChar w:fldCharType="begin">
          <w:fldData xml:space="preserve">PEVuZE5vdGU+PENpdGU+PEF1dGhvcj5QYWlnZTwvQXV0aG9yPjxZZWFyPjIwMTE8L1llYXI+PElE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PEVuZE5vdGU+PENpdGU+PEF1dGhvcj5QYWlnZTwvQXV0aG9yPjxZZWFyPjIwMTE8L1llYXI+PElE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3F1A1C">
        <w:rPr>
          <w:rFonts w:ascii="Times New Roman" w:hAnsi="Times New Roman" w:cs="Times New Roman"/>
          <w:b/>
          <w:bCs/>
        </w:rPr>
      </w:r>
      <w:r w:rsidRPr="003F1A1C">
        <w:rPr>
          <w:rFonts w:ascii="Times New Roman" w:hAnsi="Times New Roman" w:cs="Times New Roman"/>
          <w:b/>
          <w:bCs/>
        </w:rPr>
        <w:fldChar w:fldCharType="separate"/>
      </w:r>
      <w:r>
        <w:rPr>
          <w:rFonts w:ascii="Times New Roman" w:hAnsi="Times New Roman" w:cs="Times New Roman"/>
          <w:b/>
          <w:bCs/>
          <w:noProof/>
        </w:rPr>
        <w:t>(Paige, Wu and Jaffrey, 2011; Suss, Motiei and Margulies, 2021; Filonov</w:t>
      </w:r>
      <w:r w:rsidRPr="003F1A1C">
        <w:rPr>
          <w:rFonts w:ascii="Times New Roman" w:hAnsi="Times New Roman" w:cs="Times New Roman"/>
          <w:b/>
          <w:bCs/>
          <w:i/>
          <w:noProof/>
        </w:rPr>
        <w:t xml:space="preserve"> et al.</w:t>
      </w:r>
      <w:r>
        <w:rPr>
          <w:rFonts w:ascii="Times New Roman" w:hAnsi="Times New Roman" w:cs="Times New Roman"/>
          <w:b/>
          <w:bCs/>
          <w:noProof/>
        </w:rPr>
        <w:t>, 2014)</w:t>
      </w:r>
      <w:r w:rsidRPr="003F1A1C">
        <w:rPr>
          <w:rFonts w:ascii="Times New Roman" w:hAnsi="Times New Roman" w:cs="Times New Roman"/>
          <w:b/>
          <w:bCs/>
        </w:rPr>
        <w:fldChar w:fldCharType="end"/>
      </w:r>
      <w:r>
        <w:rPr>
          <w:rFonts w:ascii="Times New Roman" w:hAnsi="Times New Roman" w:cs="Times New Roman"/>
        </w:rPr>
        <w:t xml:space="preserve">. RNA aptamers are used to fluorescently tag RNA motifs such as riboswitches, similar to how protein fluorophores such as GFP are used to tag proteins. In this instance, using an RNA aptamer has some advantages as they have low background fluorescence as opposed to GFP, are more resistant to photobleaching than GFP and they do not require translation </w:t>
      </w:r>
      <w:r w:rsidRPr="00BB63E0">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&lt;EndNote&gt;&lt;Cite&gt;&lt;Author&gt;Ouellet&lt;/Author&gt;&lt;Year&gt;2016&lt;/Year&gt;&lt;IDText&gt;RNA Fluorescence with Light-Up Aptamers&lt;/IDText&gt;&lt;DisplayText&gt;(Ouellet, 2016; Paige, Wu and Jaffrey, 2011)&lt;/DisplayText&gt;&lt;record&gt;&lt;dates&gt;&lt;pub-dates&gt;&lt;date&gt;Jun 28&lt;/date&gt;&lt;/pub-dates&gt;&lt;year&gt;2016&lt;/year&gt;&lt;/dates&gt;&lt;urls&gt;&lt;related-urls&gt;&lt;url&gt;&amp;lt;Go to ISI&amp;gt;://WOS:000379312300002&lt;/url&gt;&lt;/related-urls&gt;&lt;/urls&gt;&lt;isbn&gt;2296-2646&lt;/isbn&gt;&lt;titles&gt;&lt;title&gt;RNA Fluorescence with Light-Up Aptamers&lt;/title&gt;&lt;secondary-title&gt;Frontiers in Chemistry&lt;/secondary-title&gt;&lt;/titles&gt;&lt;contributors&gt;&lt;authors&gt;&lt;author&gt;Ouellet, Jonathan&lt;/author&gt;&lt;/authors&gt;&lt;/contributors&gt;&lt;custom7&gt;29&lt;/custom7&gt;&lt;added-date format="utc"&gt;1663616108&lt;/added-date&gt;&lt;ref-type name="Journal Article"&gt;17&lt;/ref-type&gt;&lt;rec-number&gt;101&lt;/rec-number&gt;&lt;last-updated-date format="utc"&gt;1663624413&lt;/last-updated-date&gt;&lt;accession-num&gt;WOS:000379312300002&lt;/accession-num&gt;&lt;electronic-resource-num&gt;10.3389/fchem.2016.00029&lt;/electronic-resource-num&gt;&lt;volume&gt;4&lt;/volume&gt;&lt;/record&gt;&lt;/Cite&gt;&lt;Cite&gt;&lt;Author&gt;Paige&lt;/Author&gt;&lt;Year&gt;2011&lt;/Year&gt;&lt;IDText&gt;RNA Mimics of Green Fluorescent Protein&lt;/IDText&gt;&lt;record&gt;&lt;dates&gt;&lt;pub-dates&gt;&lt;date&gt;Jul 29&lt;/date&gt;&lt;/pub-dates&gt;&lt;year&gt;2011&lt;/year&gt;&lt;/dates&gt;&lt;urls&gt;&lt;related-urls&gt;&lt;url&gt;&amp;lt;Go to ISI&amp;gt;://WOS:000293222400065&lt;/url&gt;&lt;/related-urls&gt;&lt;/urls&gt;&lt;isbn&gt;0036-8075&lt;/isbn&gt;&lt;work-type&gt;Article&lt;/work-type&gt;&lt;titles&gt;&lt;title&gt;RNA Mimics of Green Fluorescent Protein&lt;/title&gt;&lt;secondary-title&gt;Science&lt;/secondary-title&gt;&lt;/titles&gt;&lt;pages&gt;642-646&lt;/pages&gt;&lt;number&gt;6042&lt;/number&gt;&lt;contributors&gt;&lt;authors&gt;&lt;author&gt;Paige, Jeremy S.&lt;/author&gt;&lt;author&gt;Wu, Karen Y.&lt;/author&gt;&lt;author&gt;Jaffrey, Samie R.&lt;/author&gt;&lt;/authors&gt;&lt;/contributors&gt;&lt;added-date format="utc"&gt;1672865535&lt;/added-date&gt;&lt;ref-type name="Journal Article"&gt;17&lt;/ref-type&gt;&lt;rec-number&gt;198&lt;/rec-number&gt;&lt;last-updated-date format="utc"&gt;1672865535&lt;/last-updated-date&gt;&lt;accession-num&gt;WOS:000293222400065&lt;/accession-num&gt;&lt;electronic-resource-num&gt;10.1126/science.1207339&lt;/electronic-resource-num&gt;&lt;volume&gt;333&lt;/volume&gt;&lt;/record&gt;&lt;/Cite&gt;&lt;/EndNote&gt;</w:instrText>
      </w:r>
      <w:r w:rsidRPr="00BB63E0">
        <w:rPr>
          <w:rFonts w:ascii="Times New Roman" w:hAnsi="Times New Roman" w:cs="Times New Roman"/>
          <w:b/>
          <w:bCs/>
        </w:rPr>
        <w:fldChar w:fldCharType="separate"/>
      </w:r>
      <w:r>
        <w:rPr>
          <w:rFonts w:ascii="Times New Roman" w:hAnsi="Times New Roman" w:cs="Times New Roman"/>
          <w:b/>
          <w:bCs/>
          <w:noProof/>
        </w:rPr>
        <w:t>(Ouellet, 2016; Paige, Wu and Jaffrey, 2011)</w:t>
      </w:r>
      <w:r w:rsidRPr="00BB63E0">
        <w:rPr>
          <w:rFonts w:ascii="Times New Roman" w:hAnsi="Times New Roman" w:cs="Times New Roman"/>
          <w:b/>
          <w:bCs/>
        </w:rPr>
        <w:fldChar w:fldCharType="end"/>
      </w:r>
      <w:r>
        <w:rPr>
          <w:rFonts w:ascii="Times New Roman" w:hAnsi="Times New Roman" w:cs="Times New Roman"/>
        </w:rPr>
        <w:t xml:space="preserve">. </w:t>
      </w:r>
      <w:r w:rsidRPr="00EE14F3">
        <w:rPr>
          <w:rFonts w:ascii="Times New Roman" w:hAnsi="Times New Roman" w:cs="Times New Roman"/>
        </w:rPr>
        <w:t xml:space="preserve">As the SR is associated with a decrease in translation, utilising an RNA aptamer means that the production of fluorescence does not </w:t>
      </w:r>
      <w:r>
        <w:rPr>
          <w:rFonts w:ascii="Times New Roman" w:hAnsi="Times New Roman" w:cs="Times New Roman"/>
        </w:rPr>
        <w:t>depend on</w:t>
      </w:r>
      <w:r w:rsidRPr="00EE14F3">
        <w:rPr>
          <w:rFonts w:ascii="Times New Roman" w:hAnsi="Times New Roman" w:cs="Times New Roman"/>
        </w:rPr>
        <w:t xml:space="preserve"> protein expression and therefore, this not an issue that might otherwise be encountered if a protein fluorophore were used. </w:t>
      </w:r>
      <w:r>
        <w:rPr>
          <w:rFonts w:ascii="Times New Roman" w:hAnsi="Times New Roman" w:cs="Times New Roman"/>
        </w:rPr>
        <w:t xml:space="preserve">Thus, the </w:t>
      </w:r>
      <w:r>
        <w:rPr>
          <w:rFonts w:ascii="Times New Roman" w:hAnsi="Times New Roman" w:cs="Times New Roman"/>
          <w:i/>
          <w:iCs/>
        </w:rPr>
        <w:t xml:space="preserve">ykkc </w:t>
      </w:r>
      <w:r>
        <w:rPr>
          <w:rFonts w:ascii="Times New Roman" w:hAnsi="Times New Roman" w:cs="Times New Roman"/>
        </w:rPr>
        <w:t xml:space="preserve">subtype 2a riboswitch motif </w:t>
      </w:r>
      <w:r>
        <w:rPr>
          <w:rFonts w:ascii="Times New Roman" w:hAnsi="Times New Roman" w:cs="Times New Roman"/>
          <w:b/>
          <w:bCs/>
        </w:rPr>
        <w:t xml:space="preserve">(Figure 3.4.1b, </w:t>
      </w:r>
      <w:r w:rsidRPr="00A841DD">
        <w:rPr>
          <w:rFonts w:ascii="Times New Roman" w:hAnsi="Times New Roman" w:cs="Times New Roman"/>
          <w:b/>
          <w:bCs/>
        </w:rPr>
        <w:t xml:space="preserve">Table </w:t>
      </w:r>
      <w:r w:rsidR="003C640C">
        <w:rPr>
          <w:rFonts w:ascii="Times New Roman" w:hAnsi="Times New Roman" w:cs="Times New Roman"/>
          <w:b/>
          <w:bCs/>
        </w:rPr>
        <w:t>4</w:t>
      </w:r>
      <w:r w:rsidRPr="00A841DD">
        <w:rPr>
          <w:rFonts w:ascii="Times New Roman" w:hAnsi="Times New Roman" w:cs="Times New Roman"/>
          <w:b/>
          <w:bCs/>
        </w:rPr>
        <w:t>)</w:t>
      </w:r>
      <w:r w:rsidRPr="00A841DD">
        <w:rPr>
          <w:rFonts w:ascii="Times New Roman" w:hAnsi="Times New Roman" w:cs="Times New Roman"/>
        </w:rPr>
        <w:t xml:space="preserve"> controlling the BCAA-associated gene </w:t>
      </w:r>
      <w:r w:rsidRPr="00A841DD">
        <w:rPr>
          <w:rFonts w:ascii="Times New Roman" w:hAnsi="Times New Roman" w:cs="Times New Roman"/>
          <w:i/>
          <w:iCs/>
        </w:rPr>
        <w:t>ilvE</w:t>
      </w:r>
      <w:r w:rsidRPr="00A841DD">
        <w:rPr>
          <w:rFonts w:ascii="Times New Roman" w:hAnsi="Times New Roman" w:cs="Times New Roman"/>
        </w:rPr>
        <w:t xml:space="preserve"> from the Gram-negative </w:t>
      </w:r>
      <w:r w:rsidRPr="00A841DD">
        <w:rPr>
          <w:rFonts w:ascii="Times New Roman" w:hAnsi="Times New Roman" w:cs="Times New Roman"/>
          <w:i/>
          <w:iCs/>
        </w:rPr>
        <w:t xml:space="preserve">T. oceani </w:t>
      </w:r>
      <w:r w:rsidRPr="00A841DD">
        <w:rPr>
          <w:rFonts w:ascii="Times New Roman" w:hAnsi="Times New Roman" w:cs="Times New Roman"/>
          <w:b/>
          <w:bCs/>
          <w:color w:val="000000" w:themeColor="text1"/>
        </w:rPr>
        <w:fldChar w:fldCharType="begin"/>
      </w:r>
      <w:r w:rsidRPr="00A841DD">
        <w:rPr>
          <w:rFonts w:ascii="Times New Roman" w:hAnsi="Times New Roman" w:cs="Times New Roman"/>
          <w:b/>
          <w:bCs/>
          <w:color w:val="000000" w:themeColor="text1"/>
        </w:rPr>
        <w:instrText xml:space="preserve"> ADDIN EN.CITE &lt;EndNote&gt;&lt;Cite&gt;&lt;Author&gt;Sherlock&lt;/Author&gt;&lt;Year&gt;2018&lt;/Year&gt;&lt;IDText&gt;Riboswitches for the alarmone ppGpp expand the collection of RNA-based signaling systems&lt;/IDText&gt;&lt;DisplayText&gt;(Sherlock, Sudarsan and Breaker, 2018)&lt;/DisplayText&gt;&lt;record&gt;&lt;dates&gt;&lt;pub-dates&gt;&lt;date&gt;Jun 5&lt;/date&gt;&lt;/pub-dates&gt;&lt;year&gt;2018&lt;/year&gt;&lt;/dates&gt;&lt;urls&gt;&lt;related-urls&gt;&lt;url&gt;&amp;lt;Go to ISI&amp;gt;://WOS:000434114900065&lt;/url&gt;&lt;/related-urls&gt;&lt;/urls&gt;&lt;isbn&gt;0027-8424&lt;/isbn&gt;&lt;titles&gt;&lt;title&gt;Riboswitches for the alarmone ppGpp expand the collection of RNA-based signaling systems&lt;/title&gt;&lt;secondary-title&gt;Proceedings of the National Academy of Sciences of the United States of America&lt;/secondary-title&gt;&lt;/titles&gt;&lt;pages&gt;6052-6057&lt;/pages&gt;&lt;number&gt;23&lt;/number&gt;&lt;contributors&gt;&lt;authors&gt;&lt;author&gt;Sherlock, Madeline E.&lt;/author&gt;&lt;author&gt;Sudarsan, Narasimhan&lt;/author&gt;&lt;author&gt;Breaker, Ronald R.&lt;/author&gt;&lt;/authors&gt;&lt;/contributors&gt;&lt;added-date format="utc"&gt;1663615375&lt;/added-date&gt;&lt;ref-type name="Journal Article"&gt;17&lt;/ref-type&gt;&lt;rec-number&gt;95&lt;/rec-number&gt;&lt;last-updated-date format="utc"&gt;1663624413&lt;/last-updated-date&gt;&lt;accession-num&gt;WOS:000434114900065&lt;/accession-num&gt;&lt;electronic-resource-num&gt;10.1073/pnas.1720406115&lt;/electronic-resource-num&gt;&lt;volume&gt;115&lt;/volume&gt;&lt;/record&gt;&lt;/Cite&gt;&lt;/EndNote&gt;</w:instrText>
      </w:r>
      <w:r w:rsidRPr="00A841DD">
        <w:rPr>
          <w:rFonts w:ascii="Times New Roman" w:hAnsi="Times New Roman" w:cs="Times New Roman"/>
          <w:b/>
          <w:bCs/>
          <w:color w:val="000000" w:themeColor="text1"/>
        </w:rPr>
        <w:fldChar w:fldCharType="separate"/>
      </w:r>
      <w:r w:rsidRPr="00A841DD">
        <w:rPr>
          <w:rFonts w:ascii="Times New Roman" w:hAnsi="Times New Roman" w:cs="Times New Roman"/>
          <w:b/>
          <w:bCs/>
          <w:noProof/>
          <w:color w:val="000000" w:themeColor="text1"/>
        </w:rPr>
        <w:t>(Sherlock, Sudarsan and Breaker, 2018)</w:t>
      </w:r>
      <w:r w:rsidRPr="00A841DD">
        <w:rPr>
          <w:rFonts w:ascii="Times New Roman" w:hAnsi="Times New Roman" w:cs="Times New Roman"/>
          <w:b/>
          <w:bCs/>
          <w:color w:val="000000" w:themeColor="text1"/>
        </w:rPr>
        <w:fldChar w:fldCharType="end"/>
      </w:r>
      <w:r w:rsidRPr="00A841DD">
        <w:rPr>
          <w:rFonts w:ascii="Times New Roman" w:hAnsi="Times New Roman" w:cs="Times New Roman"/>
          <w:b/>
          <w:bCs/>
          <w:color w:val="000000" w:themeColor="text1"/>
        </w:rPr>
        <w:t xml:space="preserve"> </w:t>
      </w:r>
      <w:r w:rsidRPr="00A841DD">
        <w:rPr>
          <w:rFonts w:ascii="Times New Roman" w:hAnsi="Times New Roman" w:cs="Times New Roman"/>
          <w:color w:val="000000" w:themeColor="text1"/>
        </w:rPr>
        <w:t xml:space="preserve">as well as the RNA aptamer, Broccoli, </w:t>
      </w:r>
      <w:r w:rsidRPr="00A841DD">
        <w:rPr>
          <w:rFonts w:ascii="Times New Roman" w:hAnsi="Times New Roman" w:cs="Times New Roman"/>
        </w:rPr>
        <w:t xml:space="preserve">were utilised in this study for the construction of a riboswitch-Broccoli molecular (p)ppGpp biosensor </w:t>
      </w:r>
      <w:r w:rsidRPr="00A841DD">
        <w:rPr>
          <w:rFonts w:ascii="Times New Roman" w:hAnsi="Times New Roman" w:cs="Times New Roman"/>
          <w:b/>
          <w:bCs/>
        </w:rPr>
        <w:t>(Figures 3.4.1c, Table 5)</w:t>
      </w:r>
      <w:r w:rsidRPr="00A841DD">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267CA657" w14:textId="77777777" w:rsidTr="00A74445">
        <w:trPr>
          <w:trHeight w:val="11284"/>
        </w:trPr>
        <w:tc>
          <w:tcPr>
            <w:tcW w:w="7320" w:type="dxa"/>
          </w:tcPr>
          <w:p w14:paraId="661AA018"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4F6D1C57" wp14:editId="27E5233A">
                  <wp:extent cx="5745063" cy="7120054"/>
                  <wp:effectExtent l="0" t="0" r="0" b="5080"/>
                  <wp:docPr id="120" name="Picture 120"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rrow&#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414" cy="7139079"/>
                          </a:xfrm>
                          <a:prstGeom prst="rect">
                            <a:avLst/>
                          </a:prstGeom>
                          <a:noFill/>
                        </pic:spPr>
                      </pic:pic>
                    </a:graphicData>
                  </a:graphic>
                </wp:inline>
              </w:drawing>
            </w:r>
          </w:p>
        </w:tc>
      </w:tr>
      <w:tr w:rsidR="00187693" w14:paraId="4FAB85EC" w14:textId="77777777" w:rsidTr="00A74445">
        <w:trPr>
          <w:trHeight w:val="312"/>
        </w:trPr>
        <w:tc>
          <w:tcPr>
            <w:tcW w:w="7320" w:type="dxa"/>
          </w:tcPr>
          <w:p w14:paraId="1706277B" w14:textId="77777777" w:rsidR="00187693" w:rsidRPr="00190951" w:rsidRDefault="00187693" w:rsidP="00A74445">
            <w:pPr>
              <w:jc w:val="both"/>
              <w:rPr>
                <w:rFonts w:ascii="Times New Roman" w:hAnsi="Times New Roman" w:cs="Times New Roman"/>
                <w:sz w:val="18"/>
                <w:szCs w:val="18"/>
              </w:rPr>
            </w:pPr>
            <w:r w:rsidRPr="00190951">
              <w:rPr>
                <w:rFonts w:ascii="Times New Roman" w:hAnsi="Times New Roman" w:cs="Times New Roman"/>
                <w:b/>
                <w:bCs/>
                <w:sz w:val="18"/>
                <w:szCs w:val="18"/>
              </w:rPr>
              <w:t>Figure 3.4.1. Components of the riboswitch-Broccoli molecular (p)pp</w:t>
            </w:r>
            <w:r>
              <w:rPr>
                <w:rFonts w:ascii="Times New Roman" w:hAnsi="Times New Roman" w:cs="Times New Roman"/>
                <w:b/>
                <w:bCs/>
                <w:sz w:val="18"/>
                <w:szCs w:val="18"/>
              </w:rPr>
              <w:t>G</w:t>
            </w:r>
            <w:r w:rsidRPr="00190951">
              <w:rPr>
                <w:rFonts w:ascii="Times New Roman" w:hAnsi="Times New Roman" w:cs="Times New Roman"/>
                <w:b/>
                <w:bCs/>
                <w:sz w:val="18"/>
                <w:szCs w:val="18"/>
              </w:rPr>
              <w:t>pp biosensor. a)</w:t>
            </w:r>
            <w:r w:rsidRPr="00190951">
              <w:rPr>
                <w:rFonts w:ascii="Times New Roman" w:hAnsi="Times New Roman" w:cs="Times New Roman"/>
                <w:sz w:val="18"/>
                <w:szCs w:val="18"/>
              </w:rPr>
              <w:t xml:space="preserve"> Schematic of an RNA aptamer fused to a riboswitch. In the absence of (p)ppGpp and DFHBI-1T there is no fluorescence. In the presence of (p)ppGpp and DFHBI-1T, (p)ppGpp binds to the riboswitch and DFHBI-1T will bind to the aptamer, resulting in fluorescence. </w:t>
            </w:r>
            <w:r w:rsidRPr="00190951">
              <w:rPr>
                <w:rFonts w:ascii="Times New Roman" w:hAnsi="Times New Roman" w:cs="Times New Roman"/>
                <w:b/>
                <w:bCs/>
                <w:sz w:val="18"/>
                <w:szCs w:val="18"/>
              </w:rPr>
              <w:t>b)</w:t>
            </w:r>
            <w:r w:rsidRPr="00190951">
              <w:rPr>
                <w:rFonts w:ascii="Times New Roman" w:hAnsi="Times New Roman" w:cs="Times New Roman"/>
                <w:sz w:val="18"/>
                <w:szCs w:val="18"/>
              </w:rPr>
              <w:t xml:space="preserve"> Predicted secondary structure of the </w:t>
            </w:r>
            <w:r w:rsidRPr="00190951">
              <w:rPr>
                <w:rFonts w:ascii="Times New Roman" w:hAnsi="Times New Roman" w:cs="Times New Roman"/>
                <w:i/>
                <w:iCs/>
                <w:sz w:val="18"/>
                <w:szCs w:val="18"/>
              </w:rPr>
              <w:t xml:space="preserve">ykkc </w:t>
            </w:r>
            <w:r w:rsidRPr="00190951">
              <w:rPr>
                <w:rFonts w:ascii="Times New Roman" w:hAnsi="Times New Roman" w:cs="Times New Roman"/>
                <w:sz w:val="18"/>
                <w:szCs w:val="18"/>
              </w:rPr>
              <w:t xml:space="preserve">subtype 2a riboswitch. </w:t>
            </w:r>
            <w:r w:rsidRPr="00190951">
              <w:rPr>
                <w:rFonts w:ascii="Times New Roman" w:hAnsi="Times New Roman" w:cs="Times New Roman"/>
                <w:b/>
                <w:bCs/>
                <w:sz w:val="18"/>
                <w:szCs w:val="18"/>
              </w:rPr>
              <w:t>c)</w:t>
            </w:r>
            <w:r w:rsidRPr="00190951">
              <w:rPr>
                <w:rFonts w:ascii="Times New Roman" w:hAnsi="Times New Roman" w:cs="Times New Roman"/>
                <w:sz w:val="18"/>
                <w:szCs w:val="18"/>
              </w:rPr>
              <w:t xml:space="preserve"> Predicted secondary structure of the F30-Broccoli fluorophore with the F30 scaffold (orange), the Broccoli fluorophore sequence (green) and the transducer sequence highlighted by the blue circle.</w:t>
            </w:r>
            <w:r>
              <w:rPr>
                <w:rFonts w:ascii="Times New Roman" w:hAnsi="Times New Roman" w:cs="Times New Roman"/>
                <w:sz w:val="18"/>
                <w:szCs w:val="18"/>
              </w:rPr>
              <w:t xml:space="preserve"> The scaffold </w:t>
            </w:r>
            <w:r w:rsidRPr="00245EA6">
              <w:rPr>
                <w:rFonts w:ascii="Times New Roman" w:hAnsi="Times New Roman" w:cs="Times New Roman"/>
                <w:color w:val="000000" w:themeColor="text1"/>
                <w:sz w:val="18"/>
                <w:szCs w:val="18"/>
              </w:rPr>
              <w:t>contains two different arms for two different fluorophore insertion points</w:t>
            </w:r>
            <w:r>
              <w:rPr>
                <w:rFonts w:ascii="Times New Roman" w:hAnsi="Times New Roman" w:cs="Times New Roman"/>
                <w:color w:val="000000" w:themeColor="text1"/>
                <w:sz w:val="18"/>
                <w:szCs w:val="18"/>
              </w:rPr>
              <w:t xml:space="preserve">. </w:t>
            </w:r>
            <w:r w:rsidRPr="00190951">
              <w:rPr>
                <w:rFonts w:ascii="Times New Roman" w:hAnsi="Times New Roman" w:cs="Times New Roman"/>
                <w:sz w:val="18"/>
                <w:szCs w:val="18"/>
              </w:rPr>
              <w:t xml:space="preserve">RNA centroid secondary structures were computed using the Vienna RNA Websuite </w:t>
            </w:r>
            <w:r w:rsidRPr="0038704A">
              <w:rPr>
                <w:rFonts w:ascii="Times New Roman" w:hAnsi="Times New Roman" w:cs="Times New Roman"/>
                <w:b/>
                <w:bCs/>
                <w:sz w:val="18"/>
                <w:szCs w:val="18"/>
              </w:rPr>
              <w:t>(Gruber et al., 2008, Lorenz et al., 2011)</w:t>
            </w:r>
            <w:r w:rsidRPr="00190951">
              <w:rPr>
                <w:rFonts w:ascii="Times New Roman" w:hAnsi="Times New Roman" w:cs="Times New Roman"/>
                <w:sz w:val="18"/>
                <w:szCs w:val="18"/>
              </w:rPr>
              <w:t xml:space="preserve">. </w:t>
            </w:r>
            <w:r w:rsidRPr="00190951">
              <w:rPr>
                <w:rFonts w:ascii="Times New Roman" w:hAnsi="Times New Roman" w:cs="Times New Roman"/>
                <w:b/>
                <w:bCs/>
                <w:sz w:val="18"/>
                <w:szCs w:val="18"/>
              </w:rPr>
              <w:t>d)</w:t>
            </w:r>
            <w:r w:rsidRPr="00190951">
              <w:rPr>
                <w:rFonts w:ascii="Times New Roman" w:hAnsi="Times New Roman" w:cs="Times New Roman"/>
                <w:sz w:val="18"/>
                <w:szCs w:val="18"/>
              </w:rPr>
              <w:t xml:space="preserve"> Structure of DFHBI-1T. DFHBI-1T was drawn using ChemDraw Prime.</w:t>
            </w:r>
          </w:p>
          <w:p w14:paraId="62256549" w14:textId="77777777" w:rsidR="00187693" w:rsidRDefault="00187693" w:rsidP="00A74445">
            <w:pPr>
              <w:jc w:val="both"/>
              <w:rPr>
                <w:rFonts w:ascii="Times New Roman" w:hAnsi="Times New Roman" w:cs="Times New Roman"/>
              </w:rPr>
            </w:pPr>
          </w:p>
        </w:tc>
      </w:tr>
    </w:tbl>
    <w:p w14:paraId="023D97DD" w14:textId="77777777" w:rsidR="00187693" w:rsidRDefault="00187693" w:rsidP="00187693">
      <w:pPr>
        <w:spacing w:line="360" w:lineRule="auto"/>
        <w:ind w:firstLine="720"/>
        <w:jc w:val="both"/>
        <w:rPr>
          <w:rFonts w:ascii="Times New Roman" w:hAnsi="Times New Roman" w:cs="Times New Roman"/>
        </w:rPr>
      </w:pPr>
    </w:p>
    <w:p w14:paraId="0FF7A6B2" w14:textId="77777777" w:rsidR="00187693" w:rsidRDefault="00187693" w:rsidP="00187693">
      <w:pPr>
        <w:spacing w:line="360" w:lineRule="auto"/>
        <w:ind w:firstLine="720"/>
        <w:jc w:val="both"/>
        <w:rPr>
          <w:rFonts w:ascii="Times New Roman" w:hAnsi="Times New Roman" w:cs="Times New Roman"/>
        </w:rPr>
      </w:pPr>
    </w:p>
    <w:tbl>
      <w:tblPr>
        <w:tblStyle w:val="PlainTable3"/>
        <w:tblW w:w="8831" w:type="dxa"/>
        <w:tblLayout w:type="fixed"/>
        <w:tblLook w:val="0420" w:firstRow="1" w:lastRow="0" w:firstColumn="0" w:lastColumn="0" w:noHBand="0" w:noVBand="1"/>
      </w:tblPr>
      <w:tblGrid>
        <w:gridCol w:w="1513"/>
        <w:gridCol w:w="3897"/>
        <w:gridCol w:w="3421"/>
      </w:tblGrid>
      <w:tr w:rsidR="00187693" w:rsidRPr="00156E0F" w14:paraId="0A0CBED8" w14:textId="77777777" w:rsidTr="00A74445">
        <w:trPr>
          <w:cnfStyle w:val="100000000000" w:firstRow="1" w:lastRow="0" w:firstColumn="0" w:lastColumn="0" w:oddVBand="0" w:evenVBand="0" w:oddHBand="0" w:evenHBand="0" w:firstRowFirstColumn="0" w:firstRowLastColumn="0" w:lastRowFirstColumn="0" w:lastRowLastColumn="0"/>
          <w:trHeight w:val="334"/>
        </w:trPr>
        <w:tc>
          <w:tcPr>
            <w:tcW w:w="8831" w:type="dxa"/>
            <w:gridSpan w:val="3"/>
            <w:hideMark/>
          </w:tcPr>
          <w:p w14:paraId="2AC2B0FE" w14:textId="44DB6B1C" w:rsidR="00187693" w:rsidRPr="002E2722" w:rsidRDefault="00187693" w:rsidP="00A74445">
            <w:pPr>
              <w:spacing w:line="360" w:lineRule="auto"/>
              <w:jc w:val="both"/>
              <w:rPr>
                <w:rFonts w:ascii="Times New Roman" w:hAnsi="Times New Roman" w:cs="Times New Roman"/>
                <w:sz w:val="18"/>
                <w:szCs w:val="18"/>
              </w:rPr>
            </w:pPr>
            <w:r w:rsidRPr="001931DE">
              <w:rPr>
                <w:rFonts w:ascii="Times New Roman" w:hAnsi="Times New Roman" w:cs="Times New Roman"/>
                <w:sz w:val="18"/>
                <w:szCs w:val="18"/>
              </w:rPr>
              <w:t>Table</w:t>
            </w:r>
            <w:r w:rsidRPr="00A841DD">
              <w:rPr>
                <w:rFonts w:ascii="Times New Roman" w:hAnsi="Times New Roman" w:cs="Times New Roman"/>
                <w:sz w:val="18"/>
                <w:szCs w:val="18"/>
              </w:rPr>
              <w:t xml:space="preserve"> </w:t>
            </w:r>
            <w:r w:rsidR="003C640C">
              <w:rPr>
                <w:rFonts w:ascii="Times New Roman" w:hAnsi="Times New Roman" w:cs="Times New Roman"/>
                <w:sz w:val="18"/>
                <w:szCs w:val="18"/>
              </w:rPr>
              <w:t>4</w:t>
            </w:r>
            <w:r w:rsidRPr="00A841DD">
              <w:rPr>
                <w:rFonts w:ascii="Times New Roman" w:hAnsi="Times New Roman" w:cs="Times New Roman"/>
                <w:sz w:val="18"/>
                <w:szCs w:val="18"/>
              </w:rPr>
              <w:t>. RNA sequences for the construction of a riboswitch-Broccoli biosensor.</w:t>
            </w:r>
          </w:p>
        </w:tc>
      </w:tr>
      <w:tr w:rsidR="00187693" w:rsidRPr="00156E0F" w14:paraId="1E01D110" w14:textId="77777777" w:rsidTr="00A74445">
        <w:trPr>
          <w:cnfStyle w:val="000000100000" w:firstRow="0" w:lastRow="0" w:firstColumn="0" w:lastColumn="0" w:oddVBand="0" w:evenVBand="0" w:oddHBand="1" w:evenHBand="0" w:firstRowFirstColumn="0" w:firstRowLastColumn="0" w:lastRowFirstColumn="0" w:lastRowLastColumn="0"/>
          <w:trHeight w:val="328"/>
        </w:trPr>
        <w:tc>
          <w:tcPr>
            <w:tcW w:w="1513" w:type="dxa"/>
            <w:hideMark/>
          </w:tcPr>
          <w:p w14:paraId="26020B49" w14:textId="77777777" w:rsidR="00187693" w:rsidRPr="002E2722" w:rsidRDefault="00187693" w:rsidP="00A74445">
            <w:pPr>
              <w:spacing w:line="360" w:lineRule="auto"/>
              <w:jc w:val="center"/>
              <w:rPr>
                <w:rFonts w:ascii="Times New Roman" w:hAnsi="Times New Roman" w:cs="Times New Roman"/>
                <w:sz w:val="18"/>
                <w:szCs w:val="18"/>
              </w:rPr>
            </w:pPr>
            <w:r w:rsidRPr="002E2722">
              <w:rPr>
                <w:rFonts w:ascii="Times New Roman" w:hAnsi="Times New Roman" w:cs="Times New Roman"/>
                <w:b/>
                <w:bCs/>
                <w:sz w:val="18"/>
                <w:szCs w:val="18"/>
              </w:rPr>
              <w:t>Name</w:t>
            </w:r>
          </w:p>
        </w:tc>
        <w:tc>
          <w:tcPr>
            <w:tcW w:w="3897" w:type="dxa"/>
            <w:hideMark/>
          </w:tcPr>
          <w:p w14:paraId="3777A671" w14:textId="77777777" w:rsidR="00187693" w:rsidRPr="002E2722" w:rsidRDefault="00187693" w:rsidP="00A74445">
            <w:pPr>
              <w:spacing w:line="360" w:lineRule="auto"/>
              <w:jc w:val="center"/>
              <w:rPr>
                <w:rFonts w:ascii="Times New Roman" w:hAnsi="Times New Roman" w:cs="Times New Roman"/>
                <w:sz w:val="18"/>
                <w:szCs w:val="18"/>
              </w:rPr>
            </w:pPr>
            <w:r w:rsidRPr="002E2722">
              <w:rPr>
                <w:rFonts w:ascii="Times New Roman" w:hAnsi="Times New Roman" w:cs="Times New Roman"/>
                <w:b/>
                <w:bCs/>
                <w:sz w:val="18"/>
                <w:szCs w:val="18"/>
              </w:rPr>
              <w:t>Sequence (5’-3’)</w:t>
            </w:r>
          </w:p>
        </w:tc>
        <w:tc>
          <w:tcPr>
            <w:tcW w:w="3421" w:type="dxa"/>
            <w:hideMark/>
          </w:tcPr>
          <w:p w14:paraId="04391C5D" w14:textId="77777777" w:rsidR="00187693" w:rsidRPr="002E2722" w:rsidRDefault="00187693" w:rsidP="00A74445">
            <w:pPr>
              <w:spacing w:line="360" w:lineRule="auto"/>
              <w:jc w:val="center"/>
              <w:rPr>
                <w:rFonts w:ascii="Times New Roman" w:hAnsi="Times New Roman" w:cs="Times New Roman"/>
                <w:sz w:val="18"/>
                <w:szCs w:val="18"/>
              </w:rPr>
            </w:pPr>
            <w:r w:rsidRPr="002E2722">
              <w:rPr>
                <w:rFonts w:ascii="Times New Roman" w:hAnsi="Times New Roman" w:cs="Times New Roman"/>
                <w:b/>
                <w:bCs/>
                <w:sz w:val="18"/>
                <w:szCs w:val="18"/>
              </w:rPr>
              <w:t>Notes</w:t>
            </w:r>
          </w:p>
        </w:tc>
      </w:tr>
      <w:tr w:rsidR="00187693" w:rsidRPr="00156E0F" w14:paraId="255E4FCA" w14:textId="77777777" w:rsidTr="00A74445">
        <w:trPr>
          <w:trHeight w:val="723"/>
        </w:trPr>
        <w:tc>
          <w:tcPr>
            <w:tcW w:w="1513" w:type="dxa"/>
            <w:hideMark/>
          </w:tcPr>
          <w:p w14:paraId="46BE0BE8" w14:textId="77777777" w:rsidR="00187693" w:rsidRPr="002E2722" w:rsidRDefault="00187693" w:rsidP="00A74445">
            <w:pPr>
              <w:spacing w:line="360" w:lineRule="auto"/>
              <w:rPr>
                <w:rFonts w:ascii="Times New Roman" w:hAnsi="Times New Roman" w:cs="Times New Roman"/>
                <w:sz w:val="18"/>
                <w:szCs w:val="18"/>
              </w:rPr>
            </w:pPr>
            <w:r w:rsidRPr="002E2722">
              <w:rPr>
                <w:rFonts w:ascii="Times New Roman" w:hAnsi="Times New Roman" w:cs="Times New Roman"/>
                <w:i/>
                <w:iCs/>
                <w:sz w:val="18"/>
                <w:szCs w:val="18"/>
              </w:rPr>
              <w:t>ykkc</w:t>
            </w:r>
            <w:r w:rsidRPr="002E2722">
              <w:rPr>
                <w:rFonts w:ascii="Times New Roman" w:hAnsi="Times New Roman" w:cs="Times New Roman"/>
                <w:sz w:val="18"/>
                <w:szCs w:val="18"/>
              </w:rPr>
              <w:t xml:space="preserve"> subtype 2a riboswitch from </w:t>
            </w:r>
            <w:r w:rsidRPr="002E2722">
              <w:rPr>
                <w:rFonts w:ascii="Times New Roman" w:hAnsi="Times New Roman" w:cs="Times New Roman"/>
                <w:i/>
                <w:iCs/>
                <w:sz w:val="18"/>
                <w:szCs w:val="18"/>
              </w:rPr>
              <w:t>T. oceani</w:t>
            </w:r>
          </w:p>
          <w:p w14:paraId="03DBACDC" w14:textId="77777777" w:rsidR="00187693" w:rsidRPr="002E2722" w:rsidRDefault="00187693" w:rsidP="00A74445">
            <w:pPr>
              <w:spacing w:line="360" w:lineRule="auto"/>
              <w:rPr>
                <w:rFonts w:ascii="Times New Roman" w:hAnsi="Times New Roman" w:cs="Times New Roman"/>
                <w:sz w:val="18"/>
                <w:szCs w:val="18"/>
              </w:rPr>
            </w:pPr>
            <w:r w:rsidRPr="002E2722">
              <w:rPr>
                <w:rFonts w:ascii="Times New Roman" w:hAnsi="Times New Roman" w:cs="Times New Roman"/>
                <w:sz w:val="18"/>
                <w:szCs w:val="18"/>
              </w:rPr>
              <w:t>(RNA motif)</w:t>
            </w:r>
          </w:p>
        </w:tc>
        <w:tc>
          <w:tcPr>
            <w:tcW w:w="3897" w:type="dxa"/>
            <w:hideMark/>
          </w:tcPr>
          <w:p w14:paraId="1D8324C7" w14:textId="77777777" w:rsidR="00187693" w:rsidRPr="002E2722" w:rsidRDefault="00187693" w:rsidP="00A74445">
            <w:pPr>
              <w:spacing w:line="360" w:lineRule="auto"/>
              <w:jc w:val="both"/>
              <w:rPr>
                <w:rFonts w:ascii="Times New Roman" w:hAnsi="Times New Roman" w:cs="Times New Roman"/>
                <w:sz w:val="18"/>
                <w:szCs w:val="18"/>
              </w:rPr>
            </w:pPr>
            <w:r w:rsidRPr="002E2722">
              <w:rPr>
                <w:rFonts w:ascii="Times New Roman" w:hAnsi="Times New Roman" w:cs="Times New Roman"/>
                <w:sz w:val="18"/>
                <w:szCs w:val="18"/>
              </w:rPr>
              <w:t>GGAAGUGUACCUUAGGGUUCCGGCCAUAAGGCGUCAGCGACCGAGCGGUACAAUCCGGGGAAACCCGGAACACCGUGAGCAUAAAAGGCUCCAGCGGCAAGUUCC</w:t>
            </w:r>
          </w:p>
        </w:tc>
        <w:tc>
          <w:tcPr>
            <w:tcW w:w="3421" w:type="dxa"/>
            <w:hideMark/>
          </w:tcPr>
          <w:p w14:paraId="4B26AA41" w14:textId="77777777" w:rsidR="00187693" w:rsidRPr="002E2722" w:rsidRDefault="00187693" w:rsidP="00A74445">
            <w:pPr>
              <w:spacing w:line="360" w:lineRule="auto"/>
              <w:jc w:val="both"/>
              <w:rPr>
                <w:rFonts w:ascii="Times New Roman" w:hAnsi="Times New Roman" w:cs="Times New Roman"/>
                <w:b/>
                <w:bCs/>
                <w:i/>
                <w:iCs/>
                <w:sz w:val="18"/>
                <w:szCs w:val="18"/>
              </w:rPr>
            </w:pPr>
            <w:r w:rsidRPr="002E2722">
              <w:rPr>
                <w:rFonts w:ascii="Times New Roman" w:hAnsi="Times New Roman" w:cs="Times New Roman"/>
                <w:sz w:val="18"/>
                <w:szCs w:val="18"/>
              </w:rPr>
              <w:t xml:space="preserve">RNA sequence of the </w:t>
            </w:r>
            <w:r w:rsidRPr="002E2722">
              <w:rPr>
                <w:rFonts w:ascii="Times New Roman" w:hAnsi="Times New Roman" w:cs="Times New Roman"/>
                <w:i/>
                <w:iCs/>
                <w:sz w:val="18"/>
                <w:szCs w:val="18"/>
              </w:rPr>
              <w:t xml:space="preserve">ykkc </w:t>
            </w:r>
            <w:r w:rsidRPr="002E2722">
              <w:rPr>
                <w:rFonts w:ascii="Times New Roman" w:hAnsi="Times New Roman" w:cs="Times New Roman"/>
                <w:sz w:val="18"/>
                <w:szCs w:val="18"/>
              </w:rPr>
              <w:t xml:space="preserve">subtype 2a riboswitch from </w:t>
            </w:r>
            <w:r w:rsidRPr="002E2722">
              <w:rPr>
                <w:rFonts w:ascii="Times New Roman" w:hAnsi="Times New Roman" w:cs="Times New Roman"/>
                <w:i/>
                <w:iCs/>
                <w:sz w:val="18"/>
                <w:szCs w:val="18"/>
              </w:rPr>
              <w:t xml:space="preserve">T. oceani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format="utc"&gt;1663624413&lt;/last-updated-date&gt;&lt;accession-num&gt;WOS:000703547600001&lt;/accession-num&gt;&lt;electronic-resource-num&gt;10.1002/anie.202111170&lt;/electronic-resource-num&gt;&lt;volume&gt;60&lt;/volume&gt;&lt;/record&gt;&lt;/Cite&gt;&lt;/EndNote&gt;</w:instrText>
            </w:r>
            <w:r>
              <w:rPr>
                <w:rFonts w:ascii="Times New Roman" w:hAnsi="Times New Roman" w:cs="Times New Roman"/>
                <w:b/>
                <w:bCs/>
                <w:sz w:val="18"/>
                <w:szCs w:val="18"/>
              </w:rPr>
              <w:fldChar w:fldCharType="separate"/>
            </w:r>
            <w:r>
              <w:rPr>
                <w:rFonts w:ascii="Times New Roman" w:hAnsi="Times New Roman" w:cs="Times New Roman"/>
                <w:b/>
                <w:bCs/>
                <w:noProof/>
                <w:sz w:val="18"/>
                <w:szCs w:val="18"/>
              </w:rPr>
              <w:t>(Sun</w:t>
            </w:r>
            <w:r w:rsidRPr="001E6A67">
              <w:rPr>
                <w:rFonts w:ascii="Times New Roman" w:hAnsi="Times New Roman" w:cs="Times New Roman"/>
                <w:b/>
                <w:bCs/>
                <w:i/>
                <w:noProof/>
                <w:sz w:val="18"/>
                <w:szCs w:val="18"/>
              </w:rPr>
              <w:t xml:space="preserve"> et al.</w:t>
            </w:r>
            <w:r>
              <w:rPr>
                <w:rFonts w:ascii="Times New Roman" w:hAnsi="Times New Roman" w:cs="Times New Roman"/>
                <w:b/>
                <w:bCs/>
                <w:noProof/>
                <w:sz w:val="18"/>
                <w:szCs w:val="18"/>
              </w:rPr>
              <w:t>, 2021)</w:t>
            </w:r>
            <w:r>
              <w:rPr>
                <w:rFonts w:ascii="Times New Roman" w:hAnsi="Times New Roman" w:cs="Times New Roman"/>
                <w:b/>
                <w:bCs/>
                <w:sz w:val="18"/>
                <w:szCs w:val="18"/>
              </w:rPr>
              <w:fldChar w:fldCharType="end"/>
            </w:r>
            <w:r w:rsidRPr="002E2722">
              <w:rPr>
                <w:rFonts w:ascii="Times New Roman" w:hAnsi="Times New Roman" w:cs="Times New Roman"/>
                <w:b/>
                <w:bCs/>
                <w:i/>
                <w:iCs/>
                <w:sz w:val="18"/>
                <w:szCs w:val="18"/>
              </w:rPr>
              <w:t>.</w:t>
            </w:r>
          </w:p>
        </w:tc>
      </w:tr>
      <w:tr w:rsidR="00187693" w:rsidRPr="00156E0F" w14:paraId="04B63E78" w14:textId="77777777" w:rsidTr="00A74445">
        <w:trPr>
          <w:cnfStyle w:val="000000100000" w:firstRow="0" w:lastRow="0" w:firstColumn="0" w:lastColumn="0" w:oddVBand="0" w:evenVBand="0" w:oddHBand="1" w:evenHBand="0" w:firstRowFirstColumn="0" w:firstRowLastColumn="0" w:lastRowFirstColumn="0" w:lastRowLastColumn="0"/>
          <w:trHeight w:val="1034"/>
        </w:trPr>
        <w:tc>
          <w:tcPr>
            <w:tcW w:w="1513" w:type="dxa"/>
            <w:hideMark/>
          </w:tcPr>
          <w:p w14:paraId="2E27B97F" w14:textId="77777777" w:rsidR="00187693" w:rsidRPr="002E2722" w:rsidRDefault="00187693" w:rsidP="00A74445">
            <w:pPr>
              <w:spacing w:line="360" w:lineRule="auto"/>
              <w:rPr>
                <w:rFonts w:ascii="Times New Roman" w:hAnsi="Times New Roman" w:cs="Times New Roman"/>
                <w:sz w:val="18"/>
                <w:szCs w:val="18"/>
              </w:rPr>
            </w:pPr>
            <w:r w:rsidRPr="002E2722">
              <w:rPr>
                <w:rFonts w:ascii="Times New Roman" w:hAnsi="Times New Roman" w:cs="Times New Roman"/>
                <w:sz w:val="18"/>
                <w:szCs w:val="18"/>
              </w:rPr>
              <w:t xml:space="preserve">F30-Broccoli </w:t>
            </w:r>
          </w:p>
          <w:p w14:paraId="4504110E" w14:textId="77777777" w:rsidR="00187693" w:rsidRPr="002E2722" w:rsidRDefault="00187693" w:rsidP="00A74445">
            <w:pPr>
              <w:spacing w:line="360" w:lineRule="auto"/>
              <w:rPr>
                <w:rFonts w:ascii="Times New Roman" w:hAnsi="Times New Roman" w:cs="Times New Roman"/>
                <w:sz w:val="18"/>
                <w:szCs w:val="18"/>
              </w:rPr>
            </w:pPr>
            <w:r w:rsidRPr="002E2722">
              <w:rPr>
                <w:rFonts w:ascii="Times New Roman" w:hAnsi="Times New Roman" w:cs="Times New Roman"/>
                <w:sz w:val="18"/>
                <w:szCs w:val="18"/>
              </w:rPr>
              <w:t>(RNA aptamer)</w:t>
            </w:r>
          </w:p>
        </w:tc>
        <w:tc>
          <w:tcPr>
            <w:tcW w:w="3897" w:type="dxa"/>
            <w:hideMark/>
          </w:tcPr>
          <w:p w14:paraId="480F30B5" w14:textId="77777777" w:rsidR="00187693" w:rsidRPr="002E2722" w:rsidRDefault="00187693" w:rsidP="00A74445">
            <w:pPr>
              <w:pStyle w:val="NormalWeb"/>
              <w:spacing w:before="0" w:beforeAutospacing="0" w:after="0" w:afterAutospacing="0"/>
              <w:rPr>
                <w:sz w:val="18"/>
                <w:szCs w:val="18"/>
              </w:rPr>
            </w:pPr>
            <w:r w:rsidRPr="002E2722">
              <w:rPr>
                <w:rFonts w:eastAsia="+mn-ea"/>
                <w:color w:val="000000"/>
                <w:kern w:val="24"/>
                <w:sz w:val="18"/>
                <w:szCs w:val="18"/>
                <w:highlight w:val="yellow"/>
                <w:shd w:val="clear" w:color="auto" w:fill="FFF2CC" w:themeFill="accent4" w:themeFillTint="33"/>
              </w:rPr>
              <w:t>UUGCCAUGUGUAUGUGGG</w:t>
            </w:r>
            <w:r w:rsidRPr="002E2722">
              <w:rPr>
                <w:rFonts w:eastAsia="+mn-ea"/>
                <w:color w:val="000000"/>
                <w:kern w:val="24"/>
                <w:sz w:val="18"/>
                <w:szCs w:val="18"/>
                <w:highlight w:val="green"/>
              </w:rPr>
              <w:t>AGACGGUCGGGUCCA</w:t>
            </w:r>
            <w:r w:rsidRPr="002E2722">
              <w:rPr>
                <w:rFonts w:eastAsia="+mn-ea"/>
                <w:color w:val="0404E2"/>
                <w:kern w:val="24"/>
                <w:sz w:val="18"/>
                <w:szCs w:val="18"/>
                <w:highlight w:val="green"/>
              </w:rPr>
              <w:t>GAUAUUCGUAUC</w:t>
            </w:r>
            <w:r w:rsidRPr="002E2722">
              <w:rPr>
                <w:rFonts w:eastAsia="+mn-ea"/>
                <w:color w:val="000000"/>
                <w:kern w:val="24"/>
                <w:sz w:val="18"/>
                <w:szCs w:val="18"/>
                <w:highlight w:val="green"/>
              </w:rPr>
              <w:t>UGUCGAGUAGAGUGUGGGCU</w:t>
            </w:r>
            <w:r w:rsidRPr="002E2722">
              <w:rPr>
                <w:rFonts w:eastAsia="+mn-ea"/>
                <w:color w:val="000000"/>
                <w:kern w:val="24"/>
                <w:sz w:val="18"/>
                <w:szCs w:val="18"/>
                <w:highlight w:val="yellow"/>
              </w:rPr>
              <w:t>CCCACAUACUCUGAUGAUCCUUCGGGAUCAUUCAUGGCAA</w:t>
            </w:r>
          </w:p>
        </w:tc>
        <w:tc>
          <w:tcPr>
            <w:tcW w:w="3421" w:type="dxa"/>
            <w:hideMark/>
          </w:tcPr>
          <w:p w14:paraId="09CC7BCE" w14:textId="77777777" w:rsidR="00187693" w:rsidRPr="002E2722" w:rsidRDefault="00187693" w:rsidP="00A74445">
            <w:pPr>
              <w:spacing w:line="360" w:lineRule="auto"/>
              <w:jc w:val="both"/>
              <w:rPr>
                <w:rFonts w:ascii="Times New Roman" w:hAnsi="Times New Roman" w:cs="Times New Roman"/>
                <w:sz w:val="18"/>
                <w:szCs w:val="18"/>
              </w:rPr>
            </w:pPr>
            <w:r w:rsidRPr="002E2722">
              <w:rPr>
                <w:rFonts w:ascii="Times New Roman" w:hAnsi="Times New Roman" w:cs="Times New Roman"/>
                <w:sz w:val="18"/>
                <w:szCs w:val="18"/>
              </w:rPr>
              <w:t xml:space="preserve">RNA sequence of the F30-Broccoli fluorophore showing the F30 scaffold (yellow) and the Broccoli sequence (green). The Broccoli sequence contains a transducer domain highlighted in blue </w:t>
            </w:r>
            <w:r w:rsidRPr="001E6A67">
              <w:rPr>
                <w:rFonts w:ascii="Times New Roman" w:hAnsi="Times New Roman" w:cs="Times New Roman"/>
                <w:b/>
                <w:bCs/>
                <w:sz w:val="18"/>
                <w:szCs w:val="18"/>
              </w:rPr>
              <w:fldChar w:fldCharType="begin">
                <w:fldData xml:space="preserve">PEVuZE5vdGU+PENpdGU+PEF1dGhvcj5GaWxvbm92PC9BdXRob3I+PFllYXI+MjAxNDwvWWVhcj48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</w:fldData>
              </w:fldChar>
            </w:r>
            <w:r w:rsidRPr="001E6A67">
              <w:rPr>
                <w:rFonts w:ascii="Times New Roman" w:hAnsi="Times New Roman" w:cs="Times New Roman"/>
                <w:b/>
                <w:bCs/>
                <w:sz w:val="18"/>
                <w:szCs w:val="18"/>
              </w:rPr>
              <w:instrText xml:space="preserve"> ADDIN EN.CITE </w:instrText>
            </w:r>
            <w:r w:rsidRPr="001E6A67">
              <w:rPr>
                <w:rFonts w:ascii="Times New Roman" w:hAnsi="Times New Roman" w:cs="Times New Roman"/>
                <w:b/>
                <w:bCs/>
                <w:sz w:val="18"/>
                <w:szCs w:val="18"/>
              </w:rPr>
              <w:fldChar w:fldCharType="begin">
                <w:fldData xml:space="preserve">PEVuZE5vdGU+PENpdGU+PEF1dGhvcj5GaWxvbm92PC9BdXRob3I+PFllYXI+MjAxNDwvWWVhcj48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</w:fldData>
              </w:fldChar>
            </w:r>
            <w:r w:rsidRPr="001E6A67">
              <w:rPr>
                <w:rFonts w:ascii="Times New Roman" w:hAnsi="Times New Roman" w:cs="Times New Roman"/>
                <w:b/>
                <w:bCs/>
                <w:sz w:val="18"/>
                <w:szCs w:val="18"/>
              </w:rPr>
              <w:instrText xml:space="preserve"> ADDIN EN.CITE.DATA </w:instrText>
            </w:r>
            <w:r w:rsidRPr="001E6A67">
              <w:rPr>
                <w:rFonts w:ascii="Times New Roman" w:hAnsi="Times New Roman" w:cs="Times New Roman"/>
                <w:b/>
                <w:bCs/>
                <w:sz w:val="18"/>
                <w:szCs w:val="18"/>
              </w:rPr>
            </w:r>
            <w:r w:rsidRPr="001E6A67">
              <w:rPr>
                <w:rFonts w:ascii="Times New Roman" w:hAnsi="Times New Roman" w:cs="Times New Roman"/>
                <w:b/>
                <w:bCs/>
                <w:sz w:val="18"/>
                <w:szCs w:val="18"/>
              </w:rPr>
              <w:fldChar w:fldCharType="end"/>
            </w:r>
            <w:r w:rsidRPr="001E6A67">
              <w:rPr>
                <w:rFonts w:ascii="Times New Roman" w:hAnsi="Times New Roman" w:cs="Times New Roman"/>
                <w:b/>
                <w:bCs/>
                <w:sz w:val="18"/>
                <w:szCs w:val="18"/>
              </w:rPr>
            </w:r>
            <w:r w:rsidRPr="001E6A67">
              <w:rPr>
                <w:rFonts w:ascii="Times New Roman" w:hAnsi="Times New Roman" w:cs="Times New Roman"/>
                <w:b/>
                <w:bCs/>
                <w:sz w:val="18"/>
                <w:szCs w:val="18"/>
              </w:rPr>
              <w:fldChar w:fldCharType="separate"/>
            </w:r>
            <w:r w:rsidRPr="001E6A67">
              <w:rPr>
                <w:rFonts w:ascii="Times New Roman" w:hAnsi="Times New Roman" w:cs="Times New Roman"/>
                <w:b/>
                <w:bCs/>
                <w:noProof/>
                <w:sz w:val="18"/>
                <w:szCs w:val="18"/>
              </w:rPr>
              <w:t>(Filonov</w:t>
            </w:r>
            <w:r w:rsidRPr="001E6A67">
              <w:rPr>
                <w:rFonts w:ascii="Times New Roman" w:hAnsi="Times New Roman" w:cs="Times New Roman"/>
                <w:b/>
                <w:bCs/>
                <w:i/>
                <w:noProof/>
                <w:sz w:val="18"/>
                <w:szCs w:val="18"/>
              </w:rPr>
              <w:t xml:space="preserve"> et al.</w:t>
            </w:r>
            <w:r w:rsidRPr="001E6A67">
              <w:rPr>
                <w:rFonts w:ascii="Times New Roman" w:hAnsi="Times New Roman" w:cs="Times New Roman"/>
                <w:b/>
                <w:bCs/>
                <w:noProof/>
                <w:sz w:val="18"/>
                <w:szCs w:val="18"/>
              </w:rPr>
              <w:t>, 2014; Filonov</w:t>
            </w:r>
            <w:r w:rsidRPr="001E6A67">
              <w:rPr>
                <w:rFonts w:ascii="Times New Roman" w:hAnsi="Times New Roman" w:cs="Times New Roman"/>
                <w:b/>
                <w:bCs/>
                <w:i/>
                <w:noProof/>
                <w:sz w:val="18"/>
                <w:szCs w:val="18"/>
              </w:rPr>
              <w:t xml:space="preserve"> et al.</w:t>
            </w:r>
            <w:r w:rsidRPr="001E6A67">
              <w:rPr>
                <w:rFonts w:ascii="Times New Roman" w:hAnsi="Times New Roman" w:cs="Times New Roman"/>
                <w:b/>
                <w:bCs/>
                <w:noProof/>
                <w:sz w:val="18"/>
                <w:szCs w:val="18"/>
              </w:rPr>
              <w:t>, 2015)</w:t>
            </w:r>
            <w:r w:rsidRPr="001E6A67">
              <w:rPr>
                <w:rFonts w:ascii="Times New Roman" w:hAnsi="Times New Roman" w:cs="Times New Roman"/>
                <w:b/>
                <w:bCs/>
                <w:sz w:val="18"/>
                <w:szCs w:val="18"/>
              </w:rPr>
              <w:fldChar w:fldCharType="end"/>
            </w:r>
          </w:p>
        </w:tc>
      </w:tr>
      <w:tr w:rsidR="00187693" w:rsidRPr="00156E0F" w14:paraId="2386D8FE" w14:textId="77777777" w:rsidTr="00A74445">
        <w:trPr>
          <w:trHeight w:val="446"/>
        </w:trPr>
        <w:tc>
          <w:tcPr>
            <w:tcW w:w="1513" w:type="dxa"/>
            <w:hideMark/>
          </w:tcPr>
          <w:p w14:paraId="5E8730A6" w14:textId="77777777" w:rsidR="00187693" w:rsidRPr="002E2722" w:rsidRDefault="00187693" w:rsidP="00A74445">
            <w:pPr>
              <w:spacing w:line="360" w:lineRule="auto"/>
              <w:rPr>
                <w:rFonts w:ascii="Times New Roman" w:hAnsi="Times New Roman" w:cs="Times New Roman"/>
                <w:sz w:val="18"/>
                <w:szCs w:val="18"/>
              </w:rPr>
            </w:pPr>
            <w:r w:rsidRPr="002E2722">
              <w:rPr>
                <w:rFonts w:ascii="Times New Roman" w:hAnsi="Times New Roman" w:cs="Times New Roman"/>
                <w:sz w:val="18"/>
                <w:szCs w:val="18"/>
              </w:rPr>
              <w:t>F30-Broccoli + T7 terminator</w:t>
            </w:r>
          </w:p>
        </w:tc>
        <w:tc>
          <w:tcPr>
            <w:tcW w:w="3897" w:type="dxa"/>
            <w:hideMark/>
          </w:tcPr>
          <w:p w14:paraId="03622CD8" w14:textId="77777777" w:rsidR="00187693" w:rsidRPr="002E2722" w:rsidRDefault="00187693" w:rsidP="00A74445">
            <w:pPr>
              <w:pStyle w:val="NormalWeb"/>
              <w:spacing w:before="0" w:beforeAutospacing="0" w:after="0" w:afterAutospacing="0"/>
              <w:rPr>
                <w:sz w:val="18"/>
                <w:szCs w:val="18"/>
              </w:rPr>
            </w:pPr>
            <w:r w:rsidRPr="002E2722">
              <w:rPr>
                <w:rFonts w:eastAsia="+mn-ea"/>
                <w:color w:val="222222"/>
                <w:kern w:val="24"/>
                <w:sz w:val="18"/>
                <w:szCs w:val="18"/>
                <w:highlight w:val="yellow"/>
              </w:rPr>
              <w:t>TTGCCATGTGTATGTGGG</w:t>
            </w:r>
            <w:r w:rsidRPr="002E2722">
              <w:rPr>
                <w:rFonts w:eastAsia="+mn-ea"/>
                <w:color w:val="222222"/>
                <w:kern w:val="24"/>
                <w:sz w:val="18"/>
                <w:szCs w:val="18"/>
                <w:highlight w:val="green"/>
              </w:rPr>
              <w:t>AGACGGTCGGGTCCA</w:t>
            </w:r>
            <w:r w:rsidRPr="002E2722">
              <w:rPr>
                <w:rFonts w:eastAsia="+mn-ea"/>
                <w:color w:val="0404E2"/>
                <w:kern w:val="24"/>
                <w:sz w:val="18"/>
                <w:szCs w:val="18"/>
                <w:highlight w:val="green"/>
              </w:rPr>
              <w:t>GATATTCGTATC</w:t>
            </w:r>
            <w:r w:rsidRPr="002E2722">
              <w:rPr>
                <w:rFonts w:eastAsia="+mn-ea"/>
                <w:color w:val="222222"/>
                <w:kern w:val="24"/>
                <w:sz w:val="18"/>
                <w:szCs w:val="18"/>
                <w:highlight w:val="green"/>
              </w:rPr>
              <w:t>TGTCGAGTAGAGTGTGGGCTC</w:t>
            </w:r>
            <w:r w:rsidRPr="002E2722">
              <w:rPr>
                <w:rFonts w:eastAsia="+mn-ea"/>
                <w:color w:val="222222"/>
                <w:kern w:val="24"/>
                <w:sz w:val="18"/>
                <w:szCs w:val="18"/>
                <w:highlight w:val="yellow"/>
              </w:rPr>
              <w:t>CCACATACTCTGATGATCCTTCGGGATCATTCATGGCAAG</w:t>
            </w:r>
            <w:r w:rsidRPr="002E2722">
              <w:rPr>
                <w:rFonts w:eastAsia="+mn-ea"/>
                <w:color w:val="5B9BD5"/>
                <w:kern w:val="24"/>
                <w:sz w:val="18"/>
                <w:szCs w:val="18"/>
              </w:rPr>
              <w:t>CTAGCATAACCCCTTGGGGCCTCTAAACGGGTCTTGAGGGGTTTTTTG</w:t>
            </w:r>
          </w:p>
        </w:tc>
        <w:tc>
          <w:tcPr>
            <w:tcW w:w="3421" w:type="dxa"/>
            <w:hideMark/>
          </w:tcPr>
          <w:p w14:paraId="685F1A75" w14:textId="77777777" w:rsidR="00187693" w:rsidRPr="002E2722" w:rsidRDefault="00187693" w:rsidP="00A74445">
            <w:pPr>
              <w:spacing w:line="360" w:lineRule="auto"/>
              <w:jc w:val="both"/>
              <w:rPr>
                <w:rFonts w:ascii="Times New Roman" w:hAnsi="Times New Roman" w:cs="Times New Roman"/>
                <w:sz w:val="18"/>
                <w:szCs w:val="18"/>
              </w:rPr>
            </w:pPr>
            <w:r w:rsidRPr="002E2722">
              <w:rPr>
                <w:rFonts w:ascii="Times New Roman" w:hAnsi="Times New Roman" w:cs="Times New Roman"/>
                <w:sz w:val="18"/>
                <w:szCs w:val="18"/>
              </w:rPr>
              <w:t xml:space="preserve">DNA sequence of the F30-Broccoli fluorophore showing the F30 scaffold (yellow) and the Broccoli sequence (green) and transducer domain (dark blue) </w:t>
            </w:r>
            <w:r w:rsidRPr="001E6A67">
              <w:rPr>
                <w:rFonts w:ascii="Times New Roman" w:hAnsi="Times New Roman" w:cs="Times New Roman"/>
                <w:b/>
                <w:bCs/>
                <w:sz w:val="18"/>
                <w:szCs w:val="18"/>
              </w:rPr>
              <w:fldChar w:fldCharType="begin">
                <w:fldData xml:space="preserve">PEVuZE5vdGU+PENpdGU+PEF1dGhvcj5GaWxvbm92PC9BdXRob3I+PFllYXI+MjAxNDwvWWVhcj48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</w:fldData>
              </w:fldChar>
            </w:r>
            <w:r w:rsidRPr="001E6A67">
              <w:rPr>
                <w:rFonts w:ascii="Times New Roman" w:hAnsi="Times New Roman" w:cs="Times New Roman"/>
                <w:b/>
                <w:bCs/>
                <w:sz w:val="18"/>
                <w:szCs w:val="18"/>
              </w:rPr>
              <w:instrText xml:space="preserve"> ADDIN EN.CITE </w:instrText>
            </w:r>
            <w:r w:rsidRPr="001E6A67">
              <w:rPr>
                <w:rFonts w:ascii="Times New Roman" w:hAnsi="Times New Roman" w:cs="Times New Roman"/>
                <w:b/>
                <w:bCs/>
                <w:sz w:val="18"/>
                <w:szCs w:val="18"/>
              </w:rPr>
              <w:fldChar w:fldCharType="begin">
                <w:fldData xml:space="preserve">PEVuZE5vdGU+PENpdGU+PEF1dGhvcj5GaWxvbm92PC9BdXRob3I+PFllYXI+MjAxNDwvWWVhcj48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</w:fldData>
              </w:fldChar>
            </w:r>
            <w:r w:rsidRPr="001E6A67">
              <w:rPr>
                <w:rFonts w:ascii="Times New Roman" w:hAnsi="Times New Roman" w:cs="Times New Roman"/>
                <w:b/>
                <w:bCs/>
                <w:sz w:val="18"/>
                <w:szCs w:val="18"/>
              </w:rPr>
              <w:instrText xml:space="preserve"> ADDIN EN.CITE.DATA </w:instrText>
            </w:r>
            <w:r w:rsidRPr="001E6A67">
              <w:rPr>
                <w:rFonts w:ascii="Times New Roman" w:hAnsi="Times New Roman" w:cs="Times New Roman"/>
                <w:b/>
                <w:bCs/>
                <w:sz w:val="18"/>
                <w:szCs w:val="18"/>
              </w:rPr>
            </w:r>
            <w:r w:rsidRPr="001E6A67">
              <w:rPr>
                <w:rFonts w:ascii="Times New Roman" w:hAnsi="Times New Roman" w:cs="Times New Roman"/>
                <w:b/>
                <w:bCs/>
                <w:sz w:val="18"/>
                <w:szCs w:val="18"/>
              </w:rPr>
              <w:fldChar w:fldCharType="end"/>
            </w:r>
            <w:r w:rsidRPr="001E6A67">
              <w:rPr>
                <w:rFonts w:ascii="Times New Roman" w:hAnsi="Times New Roman" w:cs="Times New Roman"/>
                <w:b/>
                <w:bCs/>
                <w:sz w:val="18"/>
                <w:szCs w:val="18"/>
              </w:rPr>
            </w:r>
            <w:r w:rsidRPr="001E6A67">
              <w:rPr>
                <w:rFonts w:ascii="Times New Roman" w:hAnsi="Times New Roman" w:cs="Times New Roman"/>
                <w:b/>
                <w:bCs/>
                <w:sz w:val="18"/>
                <w:szCs w:val="18"/>
              </w:rPr>
              <w:fldChar w:fldCharType="separate"/>
            </w:r>
            <w:r w:rsidRPr="001E6A67">
              <w:rPr>
                <w:rFonts w:ascii="Times New Roman" w:hAnsi="Times New Roman" w:cs="Times New Roman"/>
                <w:b/>
                <w:bCs/>
                <w:noProof/>
                <w:sz w:val="18"/>
                <w:szCs w:val="18"/>
              </w:rPr>
              <w:t>(Filonov</w:t>
            </w:r>
            <w:r w:rsidRPr="001E6A67">
              <w:rPr>
                <w:rFonts w:ascii="Times New Roman" w:hAnsi="Times New Roman" w:cs="Times New Roman"/>
                <w:b/>
                <w:bCs/>
                <w:i/>
                <w:noProof/>
                <w:sz w:val="18"/>
                <w:szCs w:val="18"/>
              </w:rPr>
              <w:t xml:space="preserve"> et al.</w:t>
            </w:r>
            <w:r w:rsidRPr="001E6A67">
              <w:rPr>
                <w:rFonts w:ascii="Times New Roman" w:hAnsi="Times New Roman" w:cs="Times New Roman"/>
                <w:b/>
                <w:bCs/>
                <w:noProof/>
                <w:sz w:val="18"/>
                <w:szCs w:val="18"/>
              </w:rPr>
              <w:t>, 2014; Filonov</w:t>
            </w:r>
            <w:r w:rsidRPr="001E6A67">
              <w:rPr>
                <w:rFonts w:ascii="Times New Roman" w:hAnsi="Times New Roman" w:cs="Times New Roman"/>
                <w:b/>
                <w:bCs/>
                <w:i/>
                <w:noProof/>
                <w:sz w:val="18"/>
                <w:szCs w:val="18"/>
              </w:rPr>
              <w:t xml:space="preserve"> et al.</w:t>
            </w:r>
            <w:r w:rsidRPr="001E6A67">
              <w:rPr>
                <w:rFonts w:ascii="Times New Roman" w:hAnsi="Times New Roman" w:cs="Times New Roman"/>
                <w:b/>
                <w:bCs/>
                <w:noProof/>
                <w:sz w:val="18"/>
                <w:szCs w:val="18"/>
              </w:rPr>
              <w:t>, 2015)</w:t>
            </w:r>
            <w:r w:rsidRPr="001E6A67">
              <w:rPr>
                <w:rFonts w:ascii="Times New Roman" w:hAnsi="Times New Roman" w:cs="Times New Roman"/>
                <w:b/>
                <w:bCs/>
                <w:sz w:val="18"/>
                <w:szCs w:val="18"/>
              </w:rPr>
              <w:fldChar w:fldCharType="end"/>
            </w:r>
            <w:r>
              <w:rPr>
                <w:rFonts w:ascii="Times New Roman" w:hAnsi="Times New Roman" w:cs="Times New Roman"/>
                <w:b/>
                <w:bCs/>
                <w:sz w:val="18"/>
                <w:szCs w:val="18"/>
              </w:rPr>
              <w:t xml:space="preserve"> </w:t>
            </w:r>
            <w:r w:rsidRPr="002E2722">
              <w:rPr>
                <w:rFonts w:ascii="Times New Roman" w:hAnsi="Times New Roman" w:cs="Times New Roman"/>
                <w:sz w:val="18"/>
                <w:szCs w:val="18"/>
              </w:rPr>
              <w:t xml:space="preserve">and the T7 terminator (light blue). </w:t>
            </w:r>
          </w:p>
        </w:tc>
      </w:tr>
      <w:tr w:rsidR="00187693" w:rsidRPr="00156E0F" w14:paraId="72CB3B6B" w14:textId="77777777" w:rsidTr="00A74445">
        <w:trPr>
          <w:cnfStyle w:val="000000100000" w:firstRow="0" w:lastRow="0" w:firstColumn="0" w:lastColumn="0" w:oddVBand="0" w:evenVBand="0" w:oddHBand="1" w:evenHBand="0" w:firstRowFirstColumn="0" w:firstRowLastColumn="0" w:lastRowFirstColumn="0" w:lastRowLastColumn="0"/>
          <w:trHeight w:val="378"/>
        </w:trPr>
        <w:tc>
          <w:tcPr>
            <w:tcW w:w="1513" w:type="dxa"/>
            <w:hideMark/>
          </w:tcPr>
          <w:p w14:paraId="073F3DA0" w14:textId="77777777" w:rsidR="00187693" w:rsidRPr="002E2722" w:rsidRDefault="00187693" w:rsidP="00A74445">
            <w:pPr>
              <w:spacing w:line="360" w:lineRule="auto"/>
              <w:rPr>
                <w:rFonts w:ascii="Times New Roman" w:hAnsi="Times New Roman" w:cs="Times New Roman"/>
                <w:sz w:val="18"/>
                <w:szCs w:val="18"/>
              </w:rPr>
            </w:pPr>
            <w:r w:rsidRPr="002E2722">
              <w:rPr>
                <w:rFonts w:ascii="Times New Roman" w:hAnsi="Times New Roman" w:cs="Times New Roman"/>
                <w:sz w:val="18"/>
                <w:szCs w:val="18"/>
              </w:rPr>
              <w:t>Riboswitch-Broccoli</w:t>
            </w:r>
          </w:p>
        </w:tc>
        <w:tc>
          <w:tcPr>
            <w:tcW w:w="3897" w:type="dxa"/>
            <w:hideMark/>
          </w:tcPr>
          <w:p w14:paraId="202BE331" w14:textId="77777777" w:rsidR="00187693" w:rsidRPr="002E2722" w:rsidRDefault="00187693" w:rsidP="00A74445">
            <w:pPr>
              <w:pStyle w:val="NormalWeb"/>
              <w:spacing w:before="0" w:beforeAutospacing="0" w:after="0" w:afterAutospacing="0"/>
              <w:rPr>
                <w:sz w:val="18"/>
                <w:szCs w:val="18"/>
              </w:rPr>
            </w:pPr>
            <w:r w:rsidRPr="002E2722">
              <w:rPr>
                <w:rFonts w:eastAsia="+mn-ea"/>
                <w:color w:val="222222"/>
                <w:kern w:val="24"/>
                <w:sz w:val="18"/>
                <w:szCs w:val="18"/>
                <w:highlight w:val="magenta"/>
              </w:rPr>
              <w:t>GGAAGTGTACCTTAGGGTTCCGGCCATAAGGCGTCAGCGACCGAGCGGTACAA</w:t>
            </w:r>
            <w:r w:rsidRPr="002E2722">
              <w:rPr>
                <w:rFonts w:eastAsia="+mn-ea"/>
                <w:color w:val="FF0000"/>
                <w:kern w:val="24"/>
                <w:sz w:val="18"/>
                <w:szCs w:val="18"/>
              </w:rPr>
              <w:t>TG</w:t>
            </w:r>
            <w:r w:rsidRPr="00E712FE">
              <w:rPr>
                <w:rFonts w:eastAsia="+mn-ea"/>
                <w:color w:val="222222"/>
                <w:kern w:val="24"/>
                <w:sz w:val="18"/>
                <w:szCs w:val="18"/>
              </w:rPr>
              <w:t>C</w:t>
            </w:r>
            <w:r w:rsidRPr="002E2722">
              <w:rPr>
                <w:rFonts w:eastAsia="+mn-ea"/>
                <w:color w:val="222222"/>
                <w:kern w:val="24"/>
                <w:sz w:val="18"/>
                <w:szCs w:val="18"/>
                <w:highlight w:val="green"/>
              </w:rPr>
              <w:t>TGTCGAGTAGAGTGTGGGCTC</w:t>
            </w:r>
            <w:r w:rsidRPr="002E2722">
              <w:rPr>
                <w:rFonts w:eastAsia="+mn-ea"/>
                <w:color w:val="222222"/>
                <w:kern w:val="24"/>
                <w:sz w:val="18"/>
                <w:szCs w:val="18"/>
              </w:rPr>
              <w:t>GCAA</w:t>
            </w:r>
            <w:r w:rsidRPr="002E2722">
              <w:rPr>
                <w:rFonts w:eastAsia="+mn-ea"/>
                <w:color w:val="222222"/>
                <w:kern w:val="24"/>
                <w:sz w:val="18"/>
                <w:szCs w:val="18"/>
                <w:highlight w:val="green"/>
              </w:rPr>
              <w:t>GAGACGGTCGGGTCCA</w:t>
            </w:r>
            <w:r w:rsidRPr="00E712FE">
              <w:rPr>
                <w:rFonts w:eastAsia="+mn-ea"/>
                <w:color w:val="222222"/>
                <w:kern w:val="24"/>
                <w:sz w:val="18"/>
                <w:szCs w:val="18"/>
              </w:rPr>
              <w:t>G</w:t>
            </w:r>
            <w:r w:rsidRPr="002E2722">
              <w:rPr>
                <w:rFonts w:eastAsia="+mn-ea"/>
                <w:color w:val="FF0000"/>
                <w:kern w:val="24"/>
                <w:sz w:val="18"/>
                <w:szCs w:val="18"/>
              </w:rPr>
              <w:t>CA</w:t>
            </w:r>
            <w:r w:rsidRPr="002E2722">
              <w:rPr>
                <w:rFonts w:eastAsia="+mn-ea"/>
                <w:color w:val="222222"/>
                <w:kern w:val="24"/>
                <w:sz w:val="18"/>
                <w:szCs w:val="18"/>
                <w:highlight w:val="magenta"/>
              </w:rPr>
              <w:t>ACACCGTGAGCATAAAAGGCTCCAGCGGCAAGTTCC</w:t>
            </w:r>
          </w:p>
        </w:tc>
        <w:tc>
          <w:tcPr>
            <w:tcW w:w="3421" w:type="dxa"/>
            <w:hideMark/>
          </w:tcPr>
          <w:p w14:paraId="4EB78DE4" w14:textId="77777777" w:rsidR="00187693" w:rsidRPr="002E2722" w:rsidRDefault="00187693" w:rsidP="00A74445">
            <w:pPr>
              <w:spacing w:line="360" w:lineRule="auto"/>
              <w:jc w:val="both"/>
              <w:rPr>
                <w:rFonts w:ascii="Times New Roman" w:hAnsi="Times New Roman" w:cs="Times New Roman"/>
                <w:sz w:val="18"/>
                <w:szCs w:val="18"/>
              </w:rPr>
            </w:pPr>
            <w:r w:rsidRPr="002E2722">
              <w:rPr>
                <w:rFonts w:ascii="Times New Roman" w:hAnsi="Times New Roman" w:cs="Times New Roman"/>
                <w:sz w:val="18"/>
                <w:szCs w:val="18"/>
              </w:rPr>
              <w:t xml:space="preserve">DNA sequence of the riboswitch-Broccoli construct containing the riboswitch (pink), Broccoli fluorophore (green) and S2 transducer sequences (red) </w:t>
            </w:r>
            <w:r>
              <w:rPr>
                <w:rFonts w:ascii="Times New Roman" w:hAnsi="Times New Roman" w:cs="Times New Roman"/>
                <w:b/>
                <w:bCs/>
                <w:sz w:val="18"/>
                <w:szCs w:val="18"/>
              </w:rPr>
              <w:fldChar w:fldCharType="begin"/>
            </w:r>
            <w:r>
              <w:rPr>
                <w:rFonts w:ascii="Times New Roman" w:hAnsi="Times New Roman" w:cs="Times New Roman"/>
                <w:b/>
                <w:bCs/>
                <w:sz w:val="18"/>
                <w:szCs w:val="18"/>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format="utc"&gt;1663624413&lt;/last-updated-date&gt;&lt;accession-num&gt;WOS:000703547600001&lt;/accession-num&gt;&lt;electronic-resource-num&gt;10.1002/anie.202111170&lt;/electronic-resource-num&gt;&lt;volume&gt;60&lt;/volume&gt;&lt;/record&gt;&lt;/Cite&gt;&lt;/EndNote&gt;</w:instrText>
            </w:r>
            <w:r>
              <w:rPr>
                <w:rFonts w:ascii="Times New Roman" w:hAnsi="Times New Roman" w:cs="Times New Roman"/>
                <w:b/>
                <w:bCs/>
                <w:sz w:val="18"/>
                <w:szCs w:val="18"/>
              </w:rPr>
              <w:fldChar w:fldCharType="separate"/>
            </w:r>
            <w:r>
              <w:rPr>
                <w:rFonts w:ascii="Times New Roman" w:hAnsi="Times New Roman" w:cs="Times New Roman"/>
                <w:b/>
                <w:bCs/>
                <w:noProof/>
                <w:sz w:val="18"/>
                <w:szCs w:val="18"/>
              </w:rPr>
              <w:t>(Sun</w:t>
            </w:r>
            <w:r w:rsidRPr="001E6A67">
              <w:rPr>
                <w:rFonts w:ascii="Times New Roman" w:hAnsi="Times New Roman" w:cs="Times New Roman"/>
                <w:b/>
                <w:bCs/>
                <w:i/>
                <w:noProof/>
                <w:sz w:val="18"/>
                <w:szCs w:val="18"/>
              </w:rPr>
              <w:t xml:space="preserve"> et al.</w:t>
            </w:r>
            <w:r>
              <w:rPr>
                <w:rFonts w:ascii="Times New Roman" w:hAnsi="Times New Roman" w:cs="Times New Roman"/>
                <w:b/>
                <w:bCs/>
                <w:noProof/>
                <w:sz w:val="18"/>
                <w:szCs w:val="18"/>
              </w:rPr>
              <w:t>, 2021)</w:t>
            </w:r>
            <w:r>
              <w:rPr>
                <w:rFonts w:ascii="Times New Roman" w:hAnsi="Times New Roman" w:cs="Times New Roman"/>
                <w:b/>
                <w:bCs/>
                <w:sz w:val="18"/>
                <w:szCs w:val="18"/>
              </w:rPr>
              <w:fldChar w:fldCharType="end"/>
            </w:r>
          </w:p>
        </w:tc>
      </w:tr>
      <w:tr w:rsidR="00187693" w:rsidRPr="00156E0F" w14:paraId="6A1B172D" w14:textId="77777777" w:rsidTr="00A74445">
        <w:trPr>
          <w:trHeight w:val="9"/>
        </w:trPr>
        <w:tc>
          <w:tcPr>
            <w:tcW w:w="1513" w:type="dxa"/>
            <w:hideMark/>
          </w:tcPr>
          <w:p w14:paraId="79B35EAB" w14:textId="77777777" w:rsidR="00187693" w:rsidRPr="002E2722" w:rsidRDefault="00187693" w:rsidP="00A74445">
            <w:pPr>
              <w:spacing w:line="360" w:lineRule="auto"/>
              <w:rPr>
                <w:rFonts w:ascii="Times New Roman" w:hAnsi="Times New Roman" w:cs="Times New Roman"/>
                <w:sz w:val="18"/>
                <w:szCs w:val="18"/>
              </w:rPr>
            </w:pPr>
            <w:r w:rsidRPr="002E2722">
              <w:rPr>
                <w:rFonts w:ascii="Times New Roman" w:hAnsi="Times New Roman" w:cs="Times New Roman"/>
                <w:sz w:val="18"/>
                <w:szCs w:val="18"/>
              </w:rPr>
              <w:t xml:space="preserve">Riboswitch-Broccoli + T7 terminator </w:t>
            </w:r>
          </w:p>
        </w:tc>
        <w:tc>
          <w:tcPr>
            <w:tcW w:w="3897" w:type="dxa"/>
            <w:hideMark/>
          </w:tcPr>
          <w:p w14:paraId="7143CE6A" w14:textId="77777777" w:rsidR="00187693" w:rsidRPr="002E2722" w:rsidRDefault="00187693" w:rsidP="00A74445">
            <w:pPr>
              <w:pStyle w:val="NormalWeb"/>
              <w:spacing w:before="0" w:beforeAutospacing="0" w:after="0" w:afterAutospacing="0"/>
              <w:rPr>
                <w:sz w:val="18"/>
                <w:szCs w:val="18"/>
              </w:rPr>
            </w:pPr>
            <w:r w:rsidRPr="002E2722">
              <w:rPr>
                <w:rFonts w:eastAsia="+mn-ea"/>
                <w:color w:val="000000"/>
                <w:kern w:val="24"/>
                <w:sz w:val="18"/>
                <w:szCs w:val="18"/>
                <w:highlight w:val="magenta"/>
              </w:rPr>
              <w:t>GGAAGTGTACCTTAGGGTTCCGGCCATAAGGCGTCAGCGACCGAGCGGTACAA</w:t>
            </w:r>
            <w:r w:rsidRPr="002E2722">
              <w:rPr>
                <w:rFonts w:eastAsia="+mn-ea"/>
                <w:color w:val="FF0000"/>
                <w:kern w:val="24"/>
                <w:sz w:val="18"/>
                <w:szCs w:val="18"/>
              </w:rPr>
              <w:t>TG</w:t>
            </w:r>
            <w:r w:rsidRPr="002E2722">
              <w:rPr>
                <w:rFonts w:eastAsia="+mn-ea"/>
                <w:color w:val="000000"/>
                <w:kern w:val="24"/>
                <w:sz w:val="18"/>
                <w:szCs w:val="18"/>
              </w:rPr>
              <w:t>C</w:t>
            </w:r>
            <w:r w:rsidRPr="002E2722">
              <w:rPr>
                <w:rFonts w:eastAsia="+mn-ea"/>
                <w:color w:val="000000"/>
                <w:kern w:val="24"/>
                <w:sz w:val="18"/>
                <w:szCs w:val="18"/>
                <w:highlight w:val="green"/>
              </w:rPr>
              <w:t>TGTCGAGTAGAGTGTGGGCTC</w:t>
            </w:r>
            <w:r w:rsidRPr="002E2722">
              <w:rPr>
                <w:rFonts w:eastAsia="+mn-ea"/>
                <w:color w:val="000000"/>
                <w:kern w:val="24"/>
                <w:sz w:val="18"/>
                <w:szCs w:val="18"/>
              </w:rPr>
              <w:t>GCAA</w:t>
            </w:r>
            <w:r w:rsidRPr="002E2722">
              <w:rPr>
                <w:rFonts w:eastAsia="+mn-ea"/>
                <w:color w:val="000000"/>
                <w:kern w:val="24"/>
                <w:sz w:val="18"/>
                <w:szCs w:val="18"/>
                <w:highlight w:val="green"/>
              </w:rPr>
              <w:t>GAGACGGTCGGGTCCA</w:t>
            </w:r>
            <w:r w:rsidRPr="00E712FE">
              <w:rPr>
                <w:rFonts w:eastAsia="+mn-ea"/>
                <w:color w:val="000000"/>
                <w:kern w:val="24"/>
                <w:sz w:val="18"/>
                <w:szCs w:val="18"/>
              </w:rPr>
              <w:t>G</w:t>
            </w:r>
            <w:r w:rsidRPr="002E2722">
              <w:rPr>
                <w:rFonts w:eastAsia="+mn-ea"/>
                <w:color w:val="FF0000"/>
                <w:kern w:val="24"/>
                <w:sz w:val="18"/>
                <w:szCs w:val="18"/>
              </w:rPr>
              <w:t>CA</w:t>
            </w:r>
            <w:r w:rsidRPr="002E2722">
              <w:rPr>
                <w:rFonts w:eastAsia="+mn-ea"/>
                <w:color w:val="000000"/>
                <w:kern w:val="24"/>
                <w:sz w:val="18"/>
                <w:szCs w:val="18"/>
                <w:highlight w:val="magenta"/>
              </w:rPr>
              <w:t>ACACCGTGAGCATAAAAGGCTCCAGCGGCAAGTTCC</w:t>
            </w:r>
            <w:r w:rsidRPr="002E2722">
              <w:rPr>
                <w:rFonts w:eastAsia="+mn-ea"/>
                <w:color w:val="000000"/>
                <w:kern w:val="24"/>
                <w:sz w:val="18"/>
                <w:szCs w:val="18"/>
              </w:rPr>
              <w:t>G</w:t>
            </w:r>
            <w:r w:rsidRPr="002E2722">
              <w:rPr>
                <w:rFonts w:eastAsia="+mn-ea"/>
                <w:color w:val="5B9BD5"/>
                <w:kern w:val="24"/>
                <w:sz w:val="18"/>
                <w:szCs w:val="18"/>
              </w:rPr>
              <w:t>CTAGCATAACCCCTTGGGGCCTCTAAACGGGTCTTGAGGGGTTTTTTG</w:t>
            </w:r>
          </w:p>
        </w:tc>
        <w:tc>
          <w:tcPr>
            <w:tcW w:w="3421" w:type="dxa"/>
            <w:hideMark/>
          </w:tcPr>
          <w:p w14:paraId="5152A1EE" w14:textId="77777777" w:rsidR="00187693" w:rsidRPr="002E2722" w:rsidRDefault="00187693" w:rsidP="00A74445">
            <w:pPr>
              <w:spacing w:line="360" w:lineRule="auto"/>
              <w:jc w:val="both"/>
              <w:rPr>
                <w:rFonts w:ascii="Times New Roman" w:hAnsi="Times New Roman" w:cs="Times New Roman"/>
                <w:sz w:val="18"/>
                <w:szCs w:val="18"/>
              </w:rPr>
            </w:pPr>
            <w:r w:rsidRPr="002E2722">
              <w:rPr>
                <w:rFonts w:ascii="Times New Roman" w:hAnsi="Times New Roman" w:cs="Times New Roman"/>
                <w:sz w:val="18"/>
                <w:szCs w:val="18"/>
              </w:rPr>
              <w:t>DNA sequence of the final riboswitch-Broccoli + T7 terminator construct containing the riboswitch (pink), Broccoli fluorophore (green) and S2 transducer sequences (red) and T7 terminator (light blue).</w:t>
            </w:r>
            <w:r w:rsidRPr="002E2722">
              <w:rPr>
                <w:rFonts w:ascii="Times New Roman" w:hAnsi="Times New Roman" w:cs="Times New Roman"/>
                <w:b/>
                <w:bCs/>
                <w:sz w:val="18"/>
                <w:szCs w:val="18"/>
              </w:rPr>
              <w:t xml:space="preserve"> </w:t>
            </w:r>
          </w:p>
        </w:tc>
      </w:tr>
    </w:tbl>
    <w:p w14:paraId="2C5512E2" w14:textId="77777777" w:rsidR="00187693" w:rsidRDefault="00187693" w:rsidP="00187693">
      <w:pPr>
        <w:spacing w:line="360" w:lineRule="auto"/>
        <w:jc w:val="both"/>
        <w:rPr>
          <w:rFonts w:ascii="Times New Roman" w:hAnsi="Times New Roman" w:cs="Times New Roman"/>
        </w:rPr>
      </w:pPr>
    </w:p>
    <w:p w14:paraId="56C23367" w14:textId="58451219"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The riboswitch-Broccoli molecular (p)ppGpp biosensor and the positive control was cloned into the integrative vector pCL55-iTET with a tetracycline-inducible promoter </w:t>
      </w:r>
      <w:r>
        <w:rPr>
          <w:rFonts w:ascii="Times New Roman" w:hAnsi="Times New Roman" w:cs="Times New Roman"/>
          <w:b/>
          <w:bCs/>
        </w:rPr>
        <w:t>(Fig. 3.4.2a and b)</w:t>
      </w:r>
      <w:r>
        <w:rPr>
          <w:rFonts w:ascii="Times New Roman" w:hAnsi="Times New Roman" w:cs="Times New Roman"/>
        </w:rPr>
        <w:t>. RNA aptamers (Broccoli) fused to RNA motifs (</w:t>
      </w:r>
      <w:r>
        <w:rPr>
          <w:rFonts w:ascii="Times New Roman" w:hAnsi="Times New Roman" w:cs="Times New Roman"/>
          <w:i/>
          <w:iCs/>
        </w:rPr>
        <w:t xml:space="preserve">ykkc </w:t>
      </w:r>
      <w:r>
        <w:rPr>
          <w:rFonts w:ascii="Times New Roman" w:hAnsi="Times New Roman" w:cs="Times New Roman"/>
        </w:rPr>
        <w:t xml:space="preserve">riboswitch) must be designed so that once transcribed, the resulting conformation allows efficient binding of a cognate fluorogen (DFHBI-1T) to Broccoli, but also for binding of the RNA motif to its ligand e.g. the </w:t>
      </w:r>
      <w:r>
        <w:rPr>
          <w:rFonts w:ascii="Times New Roman" w:hAnsi="Times New Roman" w:cs="Times New Roman"/>
          <w:i/>
          <w:iCs/>
        </w:rPr>
        <w:t xml:space="preserve">ykkc </w:t>
      </w:r>
      <w:r>
        <w:rPr>
          <w:rFonts w:ascii="Times New Roman" w:hAnsi="Times New Roman" w:cs="Times New Roman"/>
        </w:rPr>
        <w:t>riboswitch to (p)ppGpp. RNA scaffolds are often employed in order to maintain the stability of the resulting RNA structure. The F30 scaffold was used to create the F30-Broccoli sequence that w</w:t>
      </w:r>
      <w:r w:rsidR="00F514B2">
        <w:rPr>
          <w:rFonts w:ascii="Times New Roman" w:hAnsi="Times New Roman" w:cs="Times New Roman"/>
        </w:rPr>
        <w:t xml:space="preserve">ould </w:t>
      </w:r>
      <w:r>
        <w:rPr>
          <w:rFonts w:ascii="Times New Roman" w:hAnsi="Times New Roman" w:cs="Times New Roman"/>
        </w:rPr>
        <w:t xml:space="preserve">be cloned into an </w:t>
      </w:r>
      <w:r>
        <w:rPr>
          <w:rFonts w:ascii="Times New Roman" w:hAnsi="Times New Roman" w:cs="Times New Roman"/>
          <w:i/>
          <w:iCs/>
        </w:rPr>
        <w:t>S. aureus</w:t>
      </w:r>
      <w:r>
        <w:rPr>
          <w:rFonts w:ascii="Times New Roman" w:hAnsi="Times New Roman" w:cs="Times New Roman"/>
        </w:rPr>
        <w:t xml:space="preserve"> expression vector to construct the positive control </w:t>
      </w:r>
      <w:r w:rsidRPr="001931DE">
        <w:rPr>
          <w:rFonts w:ascii="Times New Roman" w:hAnsi="Times New Roman" w:cs="Times New Roman"/>
          <w:b/>
          <w:bCs/>
          <w:color w:val="000000" w:themeColor="text1"/>
        </w:rPr>
        <w:t>(Table 5)</w:t>
      </w:r>
      <w:r w:rsidRPr="001931DE">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rPr>
        <w:t xml:space="preserve">This aptamer was modified from its predecessor, F29, to not only be more structurally stable but also resistant to degradation in mammalian cells as F29 was shown to be targeted for cleavage </w:t>
      </w:r>
      <w:r w:rsidRPr="00955CE0">
        <w:rPr>
          <w:rFonts w:ascii="Times New Roman" w:hAnsi="Times New Roman" w:cs="Times New Roman"/>
          <w:b/>
          <w:bCs/>
        </w:rPr>
        <w:fldChar w:fldCharType="begin">
          <w:fldData xml:space="preserve">PEVuZE5vdGU+PENpdGU+PEF1dGhvcj5TaHU8L0F1dGhvcj48WWVhcj4yMDE0PC9ZZWFyPjxJRFRl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</w:fldData>
        </w:fldChar>
      </w:r>
      <w:r w:rsidRPr="00955CE0">
        <w:rPr>
          <w:rFonts w:ascii="Times New Roman" w:hAnsi="Times New Roman" w:cs="Times New Roman"/>
          <w:b/>
          <w:bCs/>
        </w:rPr>
        <w:instrText xml:space="preserve"> ADDIN EN.CITE </w:instrText>
      </w:r>
      <w:r w:rsidRPr="00955CE0">
        <w:rPr>
          <w:rFonts w:ascii="Times New Roman" w:hAnsi="Times New Roman" w:cs="Times New Roman"/>
          <w:b/>
          <w:bCs/>
        </w:rPr>
        <w:fldChar w:fldCharType="begin">
          <w:fldData xml:space="preserve">PEVuZE5vdGU+PENpdGU+PEF1dGhvcj5TaHU8L0F1dGhvcj48WWVhcj4yMDE0PC9ZZWFyPjxJRFRl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</w:fldData>
        </w:fldChar>
      </w:r>
      <w:r w:rsidRPr="00955CE0">
        <w:rPr>
          <w:rFonts w:ascii="Times New Roman" w:hAnsi="Times New Roman" w:cs="Times New Roman"/>
          <w:b/>
          <w:bCs/>
        </w:rPr>
        <w:instrText xml:space="preserve"> ADDIN EN.CITE.DATA </w:instrText>
      </w:r>
      <w:r w:rsidRPr="00955CE0">
        <w:rPr>
          <w:rFonts w:ascii="Times New Roman" w:hAnsi="Times New Roman" w:cs="Times New Roman"/>
          <w:b/>
          <w:bCs/>
        </w:rPr>
      </w:r>
      <w:r w:rsidRPr="00955CE0">
        <w:rPr>
          <w:rFonts w:ascii="Times New Roman" w:hAnsi="Times New Roman" w:cs="Times New Roman"/>
          <w:b/>
          <w:bCs/>
        </w:rPr>
        <w:fldChar w:fldCharType="end"/>
      </w:r>
      <w:r w:rsidRPr="00955CE0">
        <w:rPr>
          <w:rFonts w:ascii="Times New Roman" w:hAnsi="Times New Roman" w:cs="Times New Roman"/>
          <w:b/>
          <w:bCs/>
        </w:rPr>
      </w:r>
      <w:r w:rsidRPr="00955CE0">
        <w:rPr>
          <w:rFonts w:ascii="Times New Roman" w:hAnsi="Times New Roman" w:cs="Times New Roman"/>
          <w:b/>
          <w:bCs/>
        </w:rPr>
        <w:fldChar w:fldCharType="separate"/>
      </w:r>
      <w:r w:rsidRPr="00955CE0">
        <w:rPr>
          <w:rFonts w:ascii="Times New Roman" w:hAnsi="Times New Roman" w:cs="Times New Roman"/>
          <w:b/>
          <w:bCs/>
          <w:noProof/>
        </w:rPr>
        <w:t>(Shu</w:t>
      </w:r>
      <w:r w:rsidRPr="00955CE0">
        <w:rPr>
          <w:rFonts w:ascii="Times New Roman" w:hAnsi="Times New Roman" w:cs="Times New Roman"/>
          <w:b/>
          <w:bCs/>
          <w:i/>
          <w:noProof/>
        </w:rPr>
        <w:t xml:space="preserve"> et al.</w:t>
      </w:r>
      <w:r w:rsidRPr="00955CE0">
        <w:rPr>
          <w:rFonts w:ascii="Times New Roman" w:hAnsi="Times New Roman" w:cs="Times New Roman"/>
          <w:b/>
          <w:bCs/>
          <w:noProof/>
        </w:rPr>
        <w:t>, 2014; Filonov</w:t>
      </w:r>
      <w:r w:rsidRPr="00955CE0">
        <w:rPr>
          <w:rFonts w:ascii="Times New Roman" w:hAnsi="Times New Roman" w:cs="Times New Roman"/>
          <w:b/>
          <w:bCs/>
          <w:i/>
          <w:noProof/>
        </w:rPr>
        <w:t xml:space="preserve"> et al.</w:t>
      </w:r>
      <w:r w:rsidRPr="00955CE0">
        <w:rPr>
          <w:rFonts w:ascii="Times New Roman" w:hAnsi="Times New Roman" w:cs="Times New Roman"/>
          <w:b/>
          <w:bCs/>
          <w:noProof/>
        </w:rPr>
        <w:t>, 2015)</w:t>
      </w:r>
      <w:r w:rsidRPr="00955CE0">
        <w:rPr>
          <w:rFonts w:ascii="Times New Roman" w:hAnsi="Times New Roman" w:cs="Times New Roman"/>
          <w:b/>
          <w:bCs/>
        </w:rPr>
        <w:fldChar w:fldCharType="end"/>
      </w:r>
      <w:r>
        <w:rPr>
          <w:rFonts w:ascii="Times New Roman" w:hAnsi="Times New Roman" w:cs="Times New Roman"/>
        </w:rPr>
        <w:t xml:space="preserve">. The final sequence of the F30-Broccoli aptamer used for the positive control is shown in </w:t>
      </w:r>
      <w:r w:rsidRPr="001931DE">
        <w:rPr>
          <w:rFonts w:ascii="Times New Roman" w:hAnsi="Times New Roman" w:cs="Times New Roman"/>
          <w:b/>
          <w:bCs/>
          <w:color w:val="000000" w:themeColor="text1"/>
        </w:rPr>
        <w:t>Table 5</w:t>
      </w:r>
      <w:r w:rsidRPr="00FF0961">
        <w:rPr>
          <w:rFonts w:ascii="Times New Roman" w:hAnsi="Times New Roman" w:cs="Times New Roman"/>
          <w:color w:val="000000" w:themeColor="text1"/>
        </w:rPr>
        <w:t xml:space="preserve"> </w:t>
      </w:r>
      <w:r>
        <w:rPr>
          <w:rFonts w:ascii="Times New Roman" w:hAnsi="Times New Roman" w:cs="Times New Roman"/>
        </w:rPr>
        <w:t>which includes a T7 terminator sequence at the 3’ end to ensure transcriptional termination which acts to prevent the formation of read-through transcripts.</w:t>
      </w:r>
      <w:r w:rsidRPr="006F3307">
        <w:rPr>
          <w:rFonts w:ascii="Times New Roman" w:hAnsi="Times New Roman" w:cs="Times New Roman"/>
        </w:rPr>
        <w:t xml:space="preserve"> </w:t>
      </w:r>
      <w:r>
        <w:rPr>
          <w:rFonts w:ascii="Times New Roman" w:hAnsi="Times New Roman" w:cs="Times New Roman"/>
        </w:rPr>
        <w:t xml:space="preserve">In order to construct the Broccoli positive control, primers RMC846/847 were used to amplify the sequence for the F30-Broccoli aptamer </w:t>
      </w:r>
      <w:r w:rsidRPr="0095220D">
        <w:rPr>
          <w:rFonts w:ascii="Times New Roman" w:hAnsi="Times New Roman" w:cs="Times New Roman"/>
        </w:rPr>
        <w:t>and the T7 terminator</w:t>
      </w:r>
      <w:r>
        <w:rPr>
          <w:rFonts w:ascii="Times New Roman" w:hAnsi="Times New Roman" w:cs="Times New Roman"/>
        </w:rPr>
        <w:t xml:space="preserve"> </w:t>
      </w:r>
      <w:r w:rsidRPr="001931DE">
        <w:rPr>
          <w:rFonts w:ascii="Times New Roman" w:hAnsi="Times New Roman" w:cs="Times New Roman"/>
          <w:b/>
          <w:bCs/>
        </w:rPr>
        <w:t>(Table 5)</w:t>
      </w:r>
      <w:r>
        <w:rPr>
          <w:rFonts w:ascii="Times New Roman" w:hAnsi="Times New Roman" w:cs="Times New Roman"/>
          <w:b/>
          <w:bCs/>
        </w:rPr>
        <w:t xml:space="preserve"> </w:t>
      </w:r>
      <w:r>
        <w:rPr>
          <w:rFonts w:ascii="Times New Roman" w:hAnsi="Times New Roman" w:cs="Times New Roman"/>
        </w:rPr>
        <w:t xml:space="preserve">from a synthesised single-stranded oligonucleotide in order to produce a double-stranded 154 bp product with a 5’ EcoRV restriction site and a 3’ AvrII restriction site </w:t>
      </w:r>
      <w:r>
        <w:rPr>
          <w:rFonts w:ascii="Times New Roman" w:hAnsi="Times New Roman" w:cs="Times New Roman"/>
          <w:b/>
          <w:bCs/>
        </w:rPr>
        <w:t>(Fig. 3.4.2a)</w:t>
      </w:r>
      <w:r>
        <w:rPr>
          <w:rFonts w:ascii="Times New Roman" w:hAnsi="Times New Roman" w:cs="Times New Roman"/>
        </w:rPr>
        <w:t xml:space="preserve">. Both the amplified Broccoli/T7 terminator sequence and the integrative vector pCL55-iTET were digested with EcoRV and AvrII, ligated and transformed into </w:t>
      </w:r>
      <w:r>
        <w:rPr>
          <w:rFonts w:ascii="Times New Roman" w:hAnsi="Times New Roman" w:cs="Times New Roman"/>
          <w:i/>
          <w:iCs/>
        </w:rPr>
        <w:t>E. coli</w:t>
      </w:r>
      <w:r>
        <w:rPr>
          <w:rFonts w:ascii="Times New Roman" w:hAnsi="Times New Roman" w:cs="Times New Roman"/>
        </w:rPr>
        <w:t xml:space="preserve"> XL1 Blue. The resulting plasmid, pCL55-iTET-Broccoli (positive control) was electroporated into RN4220 </w:t>
      </w:r>
      <w:bookmarkStart w:id="131" w:name="_Hlk125389616"/>
      <w:r w:rsidRPr="00523C1B">
        <w:rPr>
          <w:rFonts w:ascii="Times New Roman" w:hAnsi="Times New Roman" w:cs="Times New Roman"/>
        </w:rPr>
        <w:t>∆</w:t>
      </w:r>
      <w:r w:rsidRPr="00523C1B">
        <w:rPr>
          <w:rFonts w:ascii="Times New Roman" w:hAnsi="Times New Roman" w:cs="Times New Roman"/>
          <w:i/>
          <w:iCs/>
        </w:rPr>
        <w:t>spa</w:t>
      </w:r>
      <w:r>
        <w:rPr>
          <w:rFonts w:ascii="Times New Roman" w:hAnsi="Times New Roman" w:cs="Times New Roman"/>
        </w:rPr>
        <w:t xml:space="preserve"> </w:t>
      </w:r>
      <w:bookmarkEnd w:id="131"/>
      <w:r>
        <w:rPr>
          <w:rFonts w:ascii="Times New Roman" w:hAnsi="Times New Roman" w:cs="Times New Roman"/>
        </w:rPr>
        <w:t xml:space="preserve">and the successful insertion of the plasmid into the </w:t>
      </w:r>
      <w:r>
        <w:rPr>
          <w:rFonts w:ascii="Times New Roman" w:hAnsi="Times New Roman" w:cs="Times New Roman"/>
          <w:i/>
          <w:iCs/>
        </w:rPr>
        <w:t xml:space="preserve">geh </w:t>
      </w:r>
      <w:r>
        <w:rPr>
          <w:rFonts w:ascii="Times New Roman" w:hAnsi="Times New Roman" w:cs="Times New Roman"/>
        </w:rPr>
        <w:t xml:space="preserve">lipase gene </w:t>
      </w:r>
      <w:r w:rsidRPr="00730230">
        <w:rPr>
          <w:rFonts w:ascii="Times New Roman" w:hAnsi="Times New Roman" w:cs="Times New Roman"/>
        </w:rPr>
        <w:t>is</w:t>
      </w:r>
      <w:r>
        <w:rPr>
          <w:rFonts w:ascii="Times New Roman" w:hAnsi="Times New Roman" w:cs="Times New Roman"/>
        </w:rPr>
        <w:t xml:space="preserve"> shown in </w:t>
      </w:r>
      <w:r w:rsidRPr="00730230">
        <w:rPr>
          <w:rFonts w:ascii="Times New Roman" w:hAnsi="Times New Roman" w:cs="Times New Roman"/>
          <w:b/>
          <w:bCs/>
        </w:rPr>
        <w:t>Figure 3.4.</w:t>
      </w:r>
      <w:r>
        <w:rPr>
          <w:rFonts w:ascii="Times New Roman" w:hAnsi="Times New Roman" w:cs="Times New Roman"/>
          <w:b/>
          <w:bCs/>
        </w:rPr>
        <w:t>2c</w:t>
      </w:r>
      <w:r>
        <w:rPr>
          <w:rFonts w:ascii="Times New Roman" w:hAnsi="Times New Roman" w:cs="Times New Roman"/>
        </w:rPr>
        <w:t>.</w:t>
      </w:r>
    </w:p>
    <w:p w14:paraId="733AE54F" w14:textId="4BB8308B"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The riboswitch-Broccoli molecular (p)ppGpp biosensor itself was designed to contain the (p)ppGpp-binding </w:t>
      </w:r>
      <w:r>
        <w:rPr>
          <w:rFonts w:ascii="Times New Roman" w:hAnsi="Times New Roman" w:cs="Times New Roman"/>
          <w:i/>
          <w:iCs/>
        </w:rPr>
        <w:t>ykkc</w:t>
      </w:r>
      <w:r>
        <w:rPr>
          <w:rFonts w:ascii="Times New Roman" w:hAnsi="Times New Roman" w:cs="Times New Roman"/>
        </w:rPr>
        <w:t xml:space="preserve"> subtype 2a riboswitch from </w:t>
      </w:r>
      <w:r>
        <w:rPr>
          <w:rFonts w:ascii="Times New Roman" w:hAnsi="Times New Roman" w:cs="Times New Roman"/>
          <w:i/>
          <w:iCs/>
        </w:rPr>
        <w:t>T. oceani</w:t>
      </w:r>
      <w:r>
        <w:rPr>
          <w:rFonts w:ascii="Times New Roman" w:hAnsi="Times New Roman" w:cs="Times New Roman"/>
        </w:rPr>
        <w:t>, the Broccoli aptamer and two 2-nucleotide length transducers (named S2 accordingly</w:t>
      </w:r>
      <w:r w:rsidRPr="001931DE">
        <w:rPr>
          <w:rFonts w:ascii="Times New Roman" w:hAnsi="Times New Roman" w:cs="Times New Roman"/>
        </w:rPr>
        <w:t xml:space="preserve">) </w:t>
      </w:r>
      <w:r w:rsidRPr="001931DE">
        <w:rPr>
          <w:rFonts w:ascii="Times New Roman" w:hAnsi="Times New Roman" w:cs="Times New Roman"/>
          <w:b/>
          <w:bCs/>
          <w:color w:val="000000" w:themeColor="text1"/>
        </w:rPr>
        <w:t>(Table 5)</w:t>
      </w:r>
      <w:r w:rsidRPr="00063220">
        <w:rPr>
          <w:rFonts w:ascii="Times New Roman" w:hAnsi="Times New Roman" w:cs="Times New Roman"/>
          <w:color w:val="000000" w:themeColor="text1"/>
        </w:rPr>
        <w:t xml:space="preserve"> </w:t>
      </w:r>
      <w:r w:rsidRPr="00F00306">
        <w:rPr>
          <w:rFonts w:ascii="Times New Roman" w:hAnsi="Times New Roman" w:cs="Times New Roman"/>
          <w:b/>
          <w:bCs/>
        </w:rPr>
        <w:fldChar w:fldCharType="begin"/>
      </w:r>
      <w:r w:rsidRPr="00F00306">
        <w:rPr>
          <w:rFonts w:ascii="Times New Roman" w:hAnsi="Times New Roman" w:cs="Times New Roman"/>
          <w:b/>
          <w:bCs/>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format="utc"&gt;1663624413&lt;/last-updated-date&gt;&lt;accession-num&gt;WOS:000703547600001&lt;/accession-num&gt;&lt;electronic-resource-num&gt;10.1002/anie.202111170&lt;/electronic-resource-num&gt;&lt;volume&gt;60&lt;/volume&gt;&lt;/record&gt;&lt;/Cite&gt;&lt;/EndNote&gt;</w:instrText>
      </w:r>
      <w:r w:rsidRPr="00F00306">
        <w:rPr>
          <w:rFonts w:ascii="Times New Roman" w:hAnsi="Times New Roman" w:cs="Times New Roman"/>
          <w:b/>
          <w:bCs/>
        </w:rPr>
        <w:fldChar w:fldCharType="separate"/>
      </w:r>
      <w:r w:rsidRPr="00F00306">
        <w:rPr>
          <w:rFonts w:ascii="Times New Roman" w:hAnsi="Times New Roman" w:cs="Times New Roman"/>
          <w:b/>
          <w:bCs/>
          <w:noProof/>
        </w:rPr>
        <w:t>(Sun</w:t>
      </w:r>
      <w:r w:rsidRPr="00F00306">
        <w:rPr>
          <w:rFonts w:ascii="Times New Roman" w:hAnsi="Times New Roman" w:cs="Times New Roman"/>
          <w:b/>
          <w:bCs/>
          <w:i/>
          <w:noProof/>
        </w:rPr>
        <w:t xml:space="preserve"> et al.</w:t>
      </w:r>
      <w:r w:rsidRPr="00F00306">
        <w:rPr>
          <w:rFonts w:ascii="Times New Roman" w:hAnsi="Times New Roman" w:cs="Times New Roman"/>
          <w:b/>
          <w:bCs/>
          <w:noProof/>
        </w:rPr>
        <w:t>, 2021)</w:t>
      </w:r>
      <w:r w:rsidRPr="00F00306">
        <w:rPr>
          <w:rFonts w:ascii="Times New Roman" w:hAnsi="Times New Roman" w:cs="Times New Roman"/>
          <w:b/>
          <w:bCs/>
        </w:rPr>
        <w:fldChar w:fldCharType="end"/>
      </w:r>
      <w:r>
        <w:rPr>
          <w:rFonts w:ascii="Times New Roman" w:hAnsi="Times New Roman" w:cs="Times New Roman"/>
        </w:rPr>
        <w:t xml:space="preserve">. This molecular (p)ppGpp biosensor was shown to demonstrate the highest fluorescence levels in the presence of (p)ppGpp in comparison to other sensors with different length transducer sequences and was therefore utilised in this study </w:t>
      </w:r>
      <w:r w:rsidRPr="003402EE">
        <w:rPr>
          <w:rFonts w:ascii="Times New Roman" w:hAnsi="Times New Roman" w:cs="Times New Roman"/>
          <w:b/>
          <w:bCs/>
        </w:rPr>
        <w:fldChar w:fldCharType="begin"/>
      </w:r>
      <w:r w:rsidRPr="003402EE">
        <w:rPr>
          <w:rFonts w:ascii="Times New Roman" w:hAnsi="Times New Roman" w:cs="Times New Roman"/>
          <w:b/>
          <w:bCs/>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format="utc"&gt;1663624413&lt;/last-updated-date&gt;&lt;accession-num&gt;WOS:000703547600001&lt;/accession-num&gt;&lt;electronic-resource-num&gt;10.1002/anie.202111170&lt;/electronic-resource-num&gt;&lt;volume&gt;60&lt;/volume&gt;&lt;/record&gt;&lt;/Cite&gt;&lt;/EndNote&gt;</w:instrText>
      </w:r>
      <w:r w:rsidRPr="003402EE">
        <w:rPr>
          <w:rFonts w:ascii="Times New Roman" w:hAnsi="Times New Roman" w:cs="Times New Roman"/>
          <w:b/>
          <w:bCs/>
        </w:rPr>
        <w:fldChar w:fldCharType="separate"/>
      </w:r>
      <w:r w:rsidRPr="003402EE">
        <w:rPr>
          <w:rFonts w:ascii="Times New Roman" w:hAnsi="Times New Roman" w:cs="Times New Roman"/>
          <w:b/>
          <w:bCs/>
          <w:noProof/>
        </w:rPr>
        <w:t>(Sun</w:t>
      </w:r>
      <w:r w:rsidRPr="003402EE">
        <w:rPr>
          <w:rFonts w:ascii="Times New Roman" w:hAnsi="Times New Roman" w:cs="Times New Roman"/>
          <w:b/>
          <w:bCs/>
          <w:i/>
          <w:noProof/>
        </w:rPr>
        <w:t xml:space="preserve"> et al.</w:t>
      </w:r>
      <w:r w:rsidRPr="003402EE">
        <w:rPr>
          <w:rFonts w:ascii="Times New Roman" w:hAnsi="Times New Roman" w:cs="Times New Roman"/>
          <w:b/>
          <w:bCs/>
          <w:noProof/>
        </w:rPr>
        <w:t>, 2021)</w:t>
      </w:r>
      <w:r w:rsidRPr="003402EE">
        <w:rPr>
          <w:rFonts w:ascii="Times New Roman" w:hAnsi="Times New Roman" w:cs="Times New Roman"/>
          <w:b/>
          <w:bCs/>
        </w:rPr>
        <w:fldChar w:fldCharType="end"/>
      </w:r>
      <w:r>
        <w:rPr>
          <w:rFonts w:ascii="Times New Roman" w:hAnsi="Times New Roman" w:cs="Times New Roman"/>
        </w:rPr>
        <w:t xml:space="preserve">. The synthesised riboswitch-Broccoli oligonucleotide </w:t>
      </w:r>
      <w:r w:rsidRPr="001931DE">
        <w:rPr>
          <w:rFonts w:ascii="Times New Roman" w:hAnsi="Times New Roman" w:cs="Times New Roman"/>
          <w:b/>
          <w:bCs/>
          <w:color w:val="000000" w:themeColor="text1"/>
        </w:rPr>
        <w:t>(Table 5)</w:t>
      </w:r>
      <w:r w:rsidRPr="00730230">
        <w:rPr>
          <w:rFonts w:ascii="Times New Roman" w:hAnsi="Times New Roman" w:cs="Times New Roman"/>
          <w:color w:val="000000" w:themeColor="text1"/>
        </w:rPr>
        <w:t xml:space="preserve"> </w:t>
      </w:r>
      <w:r>
        <w:rPr>
          <w:rFonts w:ascii="Times New Roman" w:hAnsi="Times New Roman" w:cs="Times New Roman"/>
        </w:rPr>
        <w:t>was amplified by PCR with primers RMC848/849 to produce a 148 bp double-stranded product</w:t>
      </w:r>
      <w:r w:rsidR="00D00B15">
        <w:rPr>
          <w:rFonts w:ascii="Times New Roman" w:hAnsi="Times New Roman" w:cs="Times New Roman"/>
        </w:rPr>
        <w:t xml:space="preserve"> and</w:t>
      </w:r>
      <w:r>
        <w:rPr>
          <w:rFonts w:ascii="Times New Roman" w:hAnsi="Times New Roman" w:cs="Times New Roman"/>
        </w:rPr>
        <w:t xml:space="preserve"> was digested with EcoRV and NheI along with the pCL55-iTET-Broccoli– this digestion liberates the Broccoli fluorophore from pCL55-iTET-Broccoli but retains the T7 terminator </w:t>
      </w:r>
      <w:r>
        <w:rPr>
          <w:rFonts w:ascii="Times New Roman" w:hAnsi="Times New Roman" w:cs="Times New Roman"/>
          <w:b/>
          <w:bCs/>
        </w:rPr>
        <w:t>(Fig. 3.4.2b)</w:t>
      </w:r>
      <w:r>
        <w:rPr>
          <w:rFonts w:ascii="Times New Roman" w:hAnsi="Times New Roman" w:cs="Times New Roman"/>
        </w:rPr>
        <w:t xml:space="preserve">. The backbone containing only the T7 terminator was gel-extracted, and both the backbone and the riboswitch-Broccoli insert were digested with EcoRV and NheI, ligated and transformed into </w:t>
      </w:r>
      <w:r>
        <w:rPr>
          <w:rFonts w:ascii="Times New Roman" w:hAnsi="Times New Roman" w:cs="Times New Roman"/>
          <w:i/>
          <w:iCs/>
        </w:rPr>
        <w:t>E. coli</w:t>
      </w:r>
      <w:r>
        <w:rPr>
          <w:rFonts w:ascii="Times New Roman" w:hAnsi="Times New Roman" w:cs="Times New Roman"/>
        </w:rPr>
        <w:t xml:space="preserve"> XL1 Blue. This plasmid was extracted from </w:t>
      </w:r>
      <w:r>
        <w:rPr>
          <w:rFonts w:ascii="Times New Roman" w:hAnsi="Times New Roman" w:cs="Times New Roman"/>
          <w:i/>
          <w:iCs/>
        </w:rPr>
        <w:t>E. coli</w:t>
      </w:r>
      <w:r>
        <w:rPr>
          <w:rFonts w:ascii="Times New Roman" w:hAnsi="Times New Roman" w:cs="Times New Roman"/>
        </w:rPr>
        <w:t xml:space="preserve"> and electroporated into RN4220 </w:t>
      </w:r>
      <w:r w:rsidRPr="00523C1B">
        <w:rPr>
          <w:rFonts w:ascii="Times New Roman" w:hAnsi="Times New Roman" w:cs="Times New Roman"/>
        </w:rPr>
        <w:t>∆</w:t>
      </w:r>
      <w:r w:rsidRPr="00523C1B">
        <w:rPr>
          <w:rFonts w:ascii="Times New Roman" w:hAnsi="Times New Roman" w:cs="Times New Roman"/>
          <w:i/>
          <w:iCs/>
        </w:rPr>
        <w:t>spa</w:t>
      </w:r>
      <w:r>
        <w:rPr>
          <w:rFonts w:ascii="Times New Roman" w:hAnsi="Times New Roman" w:cs="Times New Roman"/>
        </w:rPr>
        <w:t xml:space="preserve"> and plasmid insertion was confirmed in lipase-negative clones by PCR </w:t>
      </w:r>
      <w:r w:rsidRPr="00730230">
        <w:rPr>
          <w:rFonts w:ascii="Times New Roman" w:hAnsi="Times New Roman" w:cs="Times New Roman"/>
          <w:b/>
          <w:bCs/>
          <w:color w:val="000000" w:themeColor="text1"/>
        </w:rPr>
        <w:t>(Fig. 3.4.</w:t>
      </w:r>
      <w:r>
        <w:rPr>
          <w:rFonts w:ascii="Times New Roman" w:hAnsi="Times New Roman" w:cs="Times New Roman"/>
          <w:b/>
          <w:bCs/>
          <w:color w:val="000000" w:themeColor="text1"/>
        </w:rPr>
        <w:t>2d</w:t>
      </w:r>
      <w:r w:rsidRPr="00730230">
        <w:rPr>
          <w:rFonts w:ascii="Times New Roman" w:hAnsi="Times New Roman" w:cs="Times New Roman"/>
          <w:b/>
          <w:bCs/>
          <w:color w:val="000000" w:themeColor="text1"/>
        </w:rPr>
        <w:t>)</w:t>
      </w:r>
      <w:r>
        <w:rPr>
          <w:rFonts w:ascii="Times New Roman" w:hAnsi="Times New Roman" w:cs="Times New Roman"/>
        </w:rPr>
        <w:t xml:space="preserve">. </w:t>
      </w:r>
    </w:p>
    <w:p w14:paraId="357C014F" w14:textId="77777777" w:rsidR="00187693" w:rsidRPr="005C1061" w:rsidRDefault="00187693" w:rsidP="00187693">
      <w:pPr>
        <w:spacing w:line="360" w:lineRule="auto"/>
        <w:ind w:firstLine="720"/>
        <w:jc w:val="both"/>
        <w:rPr>
          <w:rFonts w:ascii="Times New Roman" w:hAnsi="Times New Roman" w:cs="Times New Roman"/>
        </w:rPr>
      </w:pPr>
    </w:p>
    <w:p w14:paraId="714B060B" w14:textId="77777777" w:rsidR="00187693" w:rsidRDefault="00187693" w:rsidP="00187693">
      <w:pPr>
        <w:spacing w:line="360" w:lineRule="auto"/>
        <w:ind w:firstLine="720"/>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6B35B34E" w14:textId="77777777" w:rsidTr="00A74445">
        <w:tc>
          <w:tcPr>
            <w:tcW w:w="9016" w:type="dxa"/>
          </w:tcPr>
          <w:p w14:paraId="6633C5BC"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C8537F2" wp14:editId="3FF26AB4">
                  <wp:extent cx="5742199" cy="4146550"/>
                  <wp:effectExtent l="0" t="0" r="0" b="6350"/>
                  <wp:docPr id="1972027244" name="Picture 197202724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27244" name="Picture 1972027244" descr="Applicatio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4273" cy="4162490"/>
                          </a:xfrm>
                          <a:prstGeom prst="rect">
                            <a:avLst/>
                          </a:prstGeom>
                          <a:noFill/>
                        </pic:spPr>
                      </pic:pic>
                    </a:graphicData>
                  </a:graphic>
                </wp:inline>
              </w:drawing>
            </w:r>
          </w:p>
        </w:tc>
      </w:tr>
      <w:tr w:rsidR="00187693" w14:paraId="5A411344" w14:textId="77777777" w:rsidTr="00A74445">
        <w:tc>
          <w:tcPr>
            <w:tcW w:w="9016" w:type="dxa"/>
          </w:tcPr>
          <w:p w14:paraId="062CBAC4" w14:textId="47F86B93" w:rsidR="00187693" w:rsidRPr="00082304" w:rsidRDefault="00187693" w:rsidP="00A74445">
            <w:pPr>
              <w:jc w:val="both"/>
              <w:rPr>
                <w:rFonts w:ascii="Times New Roman" w:hAnsi="Times New Roman" w:cs="Times New Roman"/>
                <w:sz w:val="18"/>
                <w:szCs w:val="18"/>
              </w:rPr>
            </w:pPr>
            <w:r w:rsidRPr="005C7E2B">
              <w:rPr>
                <w:rFonts w:ascii="Times New Roman" w:hAnsi="Times New Roman" w:cs="Times New Roman"/>
                <w:b/>
                <w:bCs/>
                <w:sz w:val="18"/>
                <w:szCs w:val="18"/>
              </w:rPr>
              <w:t>Figure 3.4.2. Construction of the Broccoli positive control and the riboswitch-Broccoli molecular (p)ppGpp biosensor using an integrative plasmid.</w:t>
            </w:r>
            <w:r>
              <w:rPr>
                <w:rFonts w:ascii="Times New Roman" w:hAnsi="Times New Roman" w:cs="Times New Roman"/>
                <w:sz w:val="18"/>
                <w:szCs w:val="18"/>
              </w:rPr>
              <w:t xml:space="preserve"> </w:t>
            </w:r>
            <w:r w:rsidRPr="00082304">
              <w:rPr>
                <w:rFonts w:ascii="Times New Roman" w:hAnsi="Times New Roman" w:cs="Times New Roman"/>
                <w:b/>
                <w:bCs/>
                <w:sz w:val="18"/>
                <w:szCs w:val="18"/>
              </w:rPr>
              <w:t>a)</w:t>
            </w:r>
            <w:r w:rsidRPr="00082304">
              <w:rPr>
                <w:rFonts w:ascii="Times New Roman" w:hAnsi="Times New Roman" w:cs="Times New Roman"/>
                <w:sz w:val="18"/>
                <w:szCs w:val="18"/>
              </w:rPr>
              <w:t xml:space="preserve"> Plasmid map of pCL55-iTET-riboswitch-Broccoli showing the riboswitch (pink), Broccoli (green) and the T7 terminator (orange). </w:t>
            </w:r>
            <w:r w:rsidRPr="00082304">
              <w:rPr>
                <w:rFonts w:ascii="Times New Roman" w:hAnsi="Times New Roman" w:cs="Times New Roman"/>
                <w:b/>
                <w:bCs/>
                <w:sz w:val="18"/>
                <w:szCs w:val="18"/>
              </w:rPr>
              <w:t>b)</w:t>
            </w:r>
            <w:r w:rsidRPr="00082304">
              <w:rPr>
                <w:rFonts w:ascii="Times New Roman" w:hAnsi="Times New Roman" w:cs="Times New Roman"/>
                <w:sz w:val="18"/>
                <w:szCs w:val="18"/>
              </w:rPr>
              <w:t xml:space="preserve"> Plasmid map of pCL55-iTET-Broccoli showing Broccoli (green) and the T7 terminator (orange).</w:t>
            </w:r>
            <w:r w:rsidR="00F87EB2">
              <w:rPr>
                <w:rFonts w:ascii="Times New Roman" w:hAnsi="Times New Roman" w:cs="Times New Roman"/>
                <w:sz w:val="18"/>
                <w:szCs w:val="18"/>
              </w:rPr>
              <w:t xml:space="preserve"> </w:t>
            </w:r>
            <w:r w:rsidRPr="00082304">
              <w:rPr>
                <w:rFonts w:ascii="Times New Roman" w:hAnsi="Times New Roman" w:cs="Times New Roman"/>
                <w:sz w:val="18"/>
                <w:szCs w:val="18"/>
              </w:rPr>
              <w:t xml:space="preserve">Integrase (yellow), CamR; chloramphenicol resistance in </w:t>
            </w:r>
            <w:r w:rsidRPr="00082304">
              <w:rPr>
                <w:rFonts w:ascii="Times New Roman" w:hAnsi="Times New Roman" w:cs="Times New Roman"/>
                <w:i/>
                <w:iCs/>
                <w:sz w:val="18"/>
                <w:szCs w:val="18"/>
              </w:rPr>
              <w:t>S. aureus</w:t>
            </w:r>
            <w:r w:rsidRPr="00082304">
              <w:rPr>
                <w:rFonts w:ascii="Times New Roman" w:hAnsi="Times New Roman" w:cs="Times New Roman"/>
                <w:sz w:val="18"/>
                <w:szCs w:val="18"/>
              </w:rPr>
              <w:t xml:space="preserve"> (blue), AmpR; ampicillin resistance in </w:t>
            </w:r>
            <w:r w:rsidRPr="00082304">
              <w:rPr>
                <w:rFonts w:ascii="Times New Roman" w:hAnsi="Times New Roman" w:cs="Times New Roman"/>
                <w:i/>
                <w:iCs/>
                <w:sz w:val="18"/>
                <w:szCs w:val="18"/>
              </w:rPr>
              <w:t>E. coli</w:t>
            </w:r>
            <w:r w:rsidRPr="00082304">
              <w:rPr>
                <w:rFonts w:ascii="Times New Roman" w:hAnsi="Times New Roman" w:cs="Times New Roman"/>
                <w:sz w:val="18"/>
                <w:szCs w:val="18"/>
              </w:rPr>
              <w:t xml:space="preserve"> (grey), TetR; tetracycline repressor (lilac). </w:t>
            </w:r>
            <w:r w:rsidRPr="00082304">
              <w:rPr>
                <w:rFonts w:ascii="Times New Roman" w:hAnsi="Times New Roman" w:cs="Times New Roman"/>
                <w:b/>
                <w:bCs/>
                <w:sz w:val="18"/>
                <w:szCs w:val="18"/>
              </w:rPr>
              <w:t>c)</w:t>
            </w:r>
            <w:r w:rsidRPr="00082304">
              <w:rPr>
                <w:rFonts w:ascii="Times New Roman" w:hAnsi="Times New Roman" w:cs="Times New Roman"/>
                <w:sz w:val="18"/>
                <w:szCs w:val="18"/>
              </w:rPr>
              <w:t xml:space="preserve"> Primers specific for pCL55-iTET</w:t>
            </w:r>
            <w:r w:rsidRPr="00082304">
              <w:rPr>
                <w:rFonts w:ascii="Times New Roman" w:hAnsi="Times New Roman" w:cs="Times New Roman"/>
                <w:sz w:val="18"/>
                <w:szCs w:val="18"/>
                <w:vertAlign w:val="subscript"/>
              </w:rPr>
              <w:t xml:space="preserve"> </w:t>
            </w:r>
            <w:r w:rsidRPr="00082304">
              <w:rPr>
                <w:rFonts w:ascii="Times New Roman" w:hAnsi="Times New Roman" w:cs="Times New Roman"/>
                <w:sz w:val="18"/>
                <w:szCs w:val="18"/>
              </w:rPr>
              <w:t xml:space="preserve">(RMC006/007) were used to conduct PCR on genomic DNA extracted from lipase-negative clones of RN4220 pCL55-iTET-Broccoli (477 bp) (lanes 1-3). </w:t>
            </w:r>
            <w:r w:rsidRPr="00082304">
              <w:rPr>
                <w:rFonts w:ascii="Times New Roman" w:hAnsi="Times New Roman" w:cs="Times New Roman"/>
                <w:b/>
                <w:bCs/>
                <w:sz w:val="18"/>
                <w:szCs w:val="18"/>
              </w:rPr>
              <w:t xml:space="preserve">d) </w:t>
            </w:r>
            <w:r w:rsidRPr="00082304">
              <w:rPr>
                <w:rFonts w:ascii="Times New Roman" w:hAnsi="Times New Roman" w:cs="Times New Roman"/>
                <w:sz w:val="18"/>
                <w:szCs w:val="18"/>
              </w:rPr>
              <w:t xml:space="preserve">Primers RMC006/007 were used to conduct PCR on genomic DNA extracted from lipase-negative clones of RN4220 pCL55-iTET-riboswitch-Broccoli (446 bp) (lanes 1-4). PCR products were run on 1% agarose gels. Ladder sizes are shown. </w:t>
            </w:r>
          </w:p>
          <w:p w14:paraId="7D059564" w14:textId="77777777" w:rsidR="00187693" w:rsidRDefault="00187693" w:rsidP="00A74445">
            <w:pPr>
              <w:jc w:val="both"/>
              <w:rPr>
                <w:rFonts w:ascii="Times New Roman" w:hAnsi="Times New Roman" w:cs="Times New Roman"/>
              </w:rPr>
            </w:pPr>
          </w:p>
        </w:tc>
      </w:tr>
    </w:tbl>
    <w:p w14:paraId="0D8CEDF3" w14:textId="77777777" w:rsidR="00187693" w:rsidRDefault="00187693" w:rsidP="00187693">
      <w:pPr>
        <w:spacing w:line="360" w:lineRule="auto"/>
        <w:jc w:val="both"/>
        <w:rPr>
          <w:rFonts w:ascii="Times New Roman" w:hAnsi="Times New Roman" w:cs="Times New Roman"/>
        </w:rPr>
      </w:pPr>
    </w:p>
    <w:p w14:paraId="7291395F" w14:textId="77777777" w:rsidR="00187693" w:rsidRDefault="00187693" w:rsidP="00187693">
      <w:pPr>
        <w:pStyle w:val="Heading3"/>
      </w:pPr>
      <w:bookmarkStart w:id="132" w:name="_Toc142043634"/>
      <w:r>
        <w:t>3.4.2. Characterisation of the riboswitch-Broccoli molecular (p)ppGpp biosensor</w:t>
      </w:r>
      <w:bookmarkEnd w:id="132"/>
    </w:p>
    <w:p w14:paraId="4852F742" w14:textId="77777777" w:rsidR="00187693" w:rsidRPr="00333DAE" w:rsidRDefault="00187693" w:rsidP="00187693"/>
    <w:p w14:paraId="31E481A9" w14:textId="77777777" w:rsidR="00187693" w:rsidRDefault="00187693" w:rsidP="00187693">
      <w:pPr>
        <w:pStyle w:val="Heading4"/>
      </w:pPr>
      <w:r w:rsidRPr="00333DAE">
        <w:t>3.4.2.1.</w:t>
      </w:r>
      <w:r>
        <w:t xml:space="preserve"> </w:t>
      </w:r>
      <w:r w:rsidRPr="00CD7D7D">
        <w:rPr>
          <w:i/>
          <w:iCs w:val="0"/>
        </w:rPr>
        <w:t>In vitro</w:t>
      </w:r>
      <w:r>
        <w:t xml:space="preserve"> characterisation</w:t>
      </w:r>
    </w:p>
    <w:p w14:paraId="264EEC57" w14:textId="77777777" w:rsidR="00187693" w:rsidRPr="00AC598D" w:rsidRDefault="00187693" w:rsidP="00187693"/>
    <w:p w14:paraId="3CCD8512" w14:textId="77777777" w:rsidR="00187693" w:rsidRPr="00FC6D87" w:rsidRDefault="00187693" w:rsidP="00187693">
      <w:pPr>
        <w:spacing w:line="360" w:lineRule="auto"/>
        <w:jc w:val="both"/>
        <w:rPr>
          <w:rFonts w:ascii="Times New Roman" w:hAnsi="Times New Roman" w:cs="Times New Roman"/>
        </w:rPr>
      </w:pPr>
      <w:r w:rsidRPr="00CD7D7D">
        <w:rPr>
          <w:rFonts w:ascii="Times New Roman" w:hAnsi="Times New Roman" w:cs="Times New Roman"/>
        </w:rPr>
        <w:t xml:space="preserve">To confirm whether the resulting RNA secondary structure for the riboswitch-Broccoli molecular (p)ppGpp biosensor is folded correctly upon transcription, and is able to fluoresce upon ppGpp binding, an </w:t>
      </w:r>
      <w:r w:rsidRPr="00F6207F">
        <w:rPr>
          <w:rFonts w:ascii="Times New Roman" w:hAnsi="Times New Roman" w:cs="Times New Roman"/>
          <w:i/>
          <w:iCs/>
        </w:rPr>
        <w:t xml:space="preserve">in vitro </w:t>
      </w:r>
      <w:r w:rsidRPr="00CD7D7D">
        <w:rPr>
          <w:rFonts w:ascii="Times New Roman" w:hAnsi="Times New Roman" w:cs="Times New Roman"/>
        </w:rPr>
        <w:t xml:space="preserve">transcription assay was </w:t>
      </w:r>
      <w:r>
        <w:rPr>
          <w:rFonts w:ascii="Times New Roman" w:hAnsi="Times New Roman" w:cs="Times New Roman"/>
        </w:rPr>
        <w:t>performed by RMC</w:t>
      </w:r>
      <w:r w:rsidRPr="00CD7D7D">
        <w:rPr>
          <w:rFonts w:ascii="Times New Roman" w:hAnsi="Times New Roman" w:cs="Times New Roman"/>
        </w:rPr>
        <w:t>. RNA was transcribed from the synthesised</w:t>
      </w:r>
      <w:r>
        <w:rPr>
          <w:rFonts w:ascii="Times New Roman" w:hAnsi="Times New Roman" w:cs="Times New Roman"/>
        </w:rPr>
        <w:t xml:space="preserve"> single-stranded</w:t>
      </w:r>
      <w:r w:rsidRPr="00CD7D7D">
        <w:rPr>
          <w:rFonts w:ascii="Times New Roman" w:hAnsi="Times New Roman" w:cs="Times New Roman"/>
        </w:rPr>
        <w:t xml:space="preserve"> DNA in </w:t>
      </w:r>
      <w:r w:rsidRPr="001931DE">
        <w:rPr>
          <w:rFonts w:ascii="Times New Roman" w:hAnsi="Times New Roman" w:cs="Times New Roman"/>
          <w:b/>
          <w:bCs/>
        </w:rPr>
        <w:t>Table 5</w:t>
      </w:r>
      <w:r w:rsidRPr="00CD7D7D">
        <w:rPr>
          <w:rFonts w:ascii="Times New Roman" w:hAnsi="Times New Roman" w:cs="Times New Roman"/>
        </w:rPr>
        <w:t xml:space="preserve"> </w:t>
      </w:r>
      <w:r>
        <w:rPr>
          <w:rFonts w:ascii="Times New Roman" w:hAnsi="Times New Roman" w:cs="Times New Roman"/>
        </w:rPr>
        <w:t xml:space="preserve">(Riboswitch-Broccoli) </w:t>
      </w:r>
      <w:r w:rsidRPr="00CD7D7D">
        <w:rPr>
          <w:rFonts w:ascii="Times New Roman" w:hAnsi="Times New Roman" w:cs="Times New Roman"/>
        </w:rPr>
        <w:t xml:space="preserve">and was incubated in a buffer with DFHBI-1T and various nucleotides (ppGpp, GTP, GDP, ATP) in order to determine its selectivity. </w:t>
      </w:r>
      <w:r w:rsidRPr="00CD7D7D">
        <w:rPr>
          <w:rFonts w:ascii="Times New Roman" w:hAnsi="Times New Roman" w:cs="Times New Roman"/>
          <w:b/>
          <w:bCs/>
        </w:rPr>
        <w:t>Figure 3.4.</w:t>
      </w:r>
      <w:r>
        <w:rPr>
          <w:rFonts w:ascii="Times New Roman" w:hAnsi="Times New Roman" w:cs="Times New Roman"/>
          <w:b/>
          <w:bCs/>
        </w:rPr>
        <w:t>3a</w:t>
      </w:r>
      <w:r w:rsidRPr="00CD7D7D">
        <w:rPr>
          <w:rFonts w:ascii="Times New Roman" w:hAnsi="Times New Roman" w:cs="Times New Roman"/>
        </w:rPr>
        <w:t xml:space="preserve"> shows that after approximately 15 minutes incubation, the fluorescence increases substantially in the presence of ppGpp while this is not the case for the other nucleotide conditions. This suggests that the </w:t>
      </w:r>
      <w:r>
        <w:rPr>
          <w:rFonts w:ascii="Times New Roman" w:hAnsi="Times New Roman" w:cs="Times New Roman"/>
        </w:rPr>
        <w:t>r</w:t>
      </w:r>
      <w:r w:rsidRPr="00CD7D7D">
        <w:rPr>
          <w:rFonts w:ascii="Times New Roman" w:hAnsi="Times New Roman" w:cs="Times New Roman"/>
        </w:rPr>
        <w:t xml:space="preserve">iboswitch-Broccoli aptamer is </w:t>
      </w:r>
      <w:r>
        <w:rPr>
          <w:rFonts w:ascii="Times New Roman" w:hAnsi="Times New Roman" w:cs="Times New Roman"/>
        </w:rPr>
        <w:t>able to form the desired secondary structure once transcribed and bind to (p)ppGpp, demonstrating its selectivity</w:t>
      </w:r>
      <w:r w:rsidRPr="00CD7D7D">
        <w:rPr>
          <w:rFonts w:ascii="Times New Roman" w:hAnsi="Times New Roman" w:cs="Times New Roman"/>
        </w:rPr>
        <w:t xml:space="preserve"> for ppGpp.</w:t>
      </w:r>
      <w:r>
        <w:rPr>
          <w:rFonts w:ascii="Times New Roman" w:hAnsi="Times New Roman" w:cs="Times New Roman"/>
        </w:rPr>
        <w:t xml:space="preserve"> </w:t>
      </w:r>
    </w:p>
    <w:p w14:paraId="3376D79C" w14:textId="77777777" w:rsidR="00187693" w:rsidRDefault="00187693" w:rsidP="00187693">
      <w:pPr>
        <w:pStyle w:val="Heading4"/>
      </w:pPr>
      <w:r>
        <w:t xml:space="preserve">3.4.2.2. Live-cell characterisation – integrative vector </w:t>
      </w:r>
    </w:p>
    <w:p w14:paraId="713A4DDE" w14:textId="77777777" w:rsidR="00187693" w:rsidRPr="00CD7D7D" w:rsidRDefault="00187693" w:rsidP="00187693"/>
    <w:p w14:paraId="64CA2173" w14:textId="77777777"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After confirming the selectivity of the riboswitch-Broccoli molecular (p)ppGpp biosensor </w:t>
      </w:r>
      <w:r>
        <w:rPr>
          <w:rFonts w:ascii="Times New Roman" w:hAnsi="Times New Roman" w:cs="Times New Roman"/>
          <w:i/>
          <w:iCs/>
        </w:rPr>
        <w:t>in vitro</w:t>
      </w:r>
      <w:r>
        <w:rPr>
          <w:rFonts w:ascii="Times New Roman" w:hAnsi="Times New Roman" w:cs="Times New Roman"/>
        </w:rPr>
        <w:t xml:space="preserve">, the next step was to test whether the construct can fold correctly and fluoresce within a live bacterial cell. </w:t>
      </w:r>
      <w:r>
        <w:rPr>
          <w:rFonts w:ascii="Times New Roman" w:hAnsi="Times New Roman" w:cs="Times New Roman"/>
          <w:i/>
          <w:iCs/>
        </w:rPr>
        <w:t xml:space="preserve">S. aureus </w:t>
      </w:r>
      <w:r>
        <w:rPr>
          <w:rFonts w:ascii="Times New Roman" w:hAnsi="Times New Roman" w:cs="Times New Roman"/>
        </w:rPr>
        <w:t>containing the riboswitch-Broccoli construct, the positive (Broccoli-containing) and negative (empty vector) controls were grown in CDM to early exponential phase (~OD</w:t>
      </w:r>
      <w:r>
        <w:rPr>
          <w:rFonts w:ascii="Times New Roman" w:hAnsi="Times New Roman" w:cs="Times New Roman"/>
          <w:vertAlign w:val="subscript"/>
        </w:rPr>
        <w:t>600</w:t>
      </w:r>
      <w:r>
        <w:rPr>
          <w:rFonts w:ascii="Times New Roman" w:hAnsi="Times New Roman" w:cs="Times New Roman"/>
        </w:rPr>
        <w:t xml:space="preserve"> 0.3-0.4) Cultures were then washed twice with complete CDM or CDM excluding leucine and valine (CDM-L/V). The absence of leucine and valine induces the SR due to amino acid starvation as these amino acids are essential for </w:t>
      </w:r>
      <w:r>
        <w:rPr>
          <w:rFonts w:ascii="Times New Roman" w:hAnsi="Times New Roman" w:cs="Times New Roman"/>
          <w:i/>
          <w:iCs/>
        </w:rPr>
        <w:t xml:space="preserve">S. aureus </w:t>
      </w:r>
      <w:r>
        <w:rPr>
          <w:rFonts w:ascii="Times New Roman" w:hAnsi="Times New Roman" w:cs="Times New Roman"/>
        </w:rPr>
        <w:t xml:space="preserve">growth </w:t>
      </w:r>
      <w:r w:rsidRPr="004929B8">
        <w:rPr>
          <w:rFonts w:ascii="Times New Roman" w:hAnsi="Times New Roman" w:cs="Times New Roman"/>
          <w:b/>
          <w:bCs/>
        </w:rPr>
        <w:fldChar w:fldCharType="begin"/>
      </w:r>
      <w:r w:rsidRPr="004929B8">
        <w:rPr>
          <w:rFonts w:ascii="Times New Roman" w:hAnsi="Times New Roman" w:cs="Times New Roman"/>
          <w:b/>
          <w:bCs/>
        </w:rPr>
        <w:instrText xml:space="preserve"> ADDIN EN.CITE &lt;EndNote&gt;&lt;Cite&gt;&lt;Author&gt;Lincoln&lt;/Author&gt;&lt;Year&gt;1995&lt;/Year&gt;&lt;IDText&gt;THE AMINO-ACID-REQUIREMENTS OF STAPHYLOCOCCUS-AUREUS ISOLATED FROM CASES OF BOVINE MASTITIS&lt;/IDText&gt;&lt;DisplayText&gt;(Lincoln, Leigh and Jones, 1995)&lt;/DisplayText&gt;&lt;record&gt;&lt;dates&gt;&lt;pub-dates&gt;&lt;date&gt;Jul&lt;/date&gt;&lt;/pub-dates&gt;&lt;year&gt;1995&lt;/year&gt;&lt;/dates&gt;&lt;urls&gt;&lt;related-urls&gt;&lt;url&gt;&amp;lt;Go to ISI&amp;gt;://WOS:A1995RM17000018&lt;/url&gt;&lt;/related-urls&gt;&lt;/urls&gt;&lt;isbn&gt;0378-1135&lt;/isbn&gt;&lt;work-type&gt;Note&lt;/work-type&gt;&lt;titles&gt;&lt;title&gt;THE AMINO-ACID-REQUIREMENTS OF STAPHYLOCOCCUS-AUREUS ISOLATED FROM CASES OF BOVINE MASTITIS&lt;/title&gt;&lt;secondary-title&gt;Veterinary Microbiology&lt;/secondary-title&gt;&lt;/titles&gt;&lt;pages&gt;275-279&lt;/pages&gt;&lt;number&gt;2-3&lt;/number&gt;&lt;contributors&gt;&lt;authors&gt;&lt;author&gt;Lincoln, R. A.&lt;/author&gt;&lt;author&gt;Leigh, J. A.&lt;/author&gt;&lt;author&gt;Jones, N. C.&lt;/author&gt;&lt;/authors&gt;&lt;/contributors&gt;&lt;added-date format="utc"&gt;1669723197&lt;/added-date&gt;&lt;ref-type name="Journal Article"&gt;17&lt;/ref-type&gt;&lt;rec-number&gt;184&lt;/rec-number&gt;&lt;last-updated-date format="utc"&gt;1669723197&lt;/last-updated-date&gt;&lt;accession-num&gt;WOS:A1995RM17000018&lt;/accession-num&gt;&lt;electronic-resource-num&gt;10.1016/0378-1135(95)00041-8&lt;/electronic-resource-num&gt;&lt;volume&gt;45&lt;/volume&gt;&lt;/record&gt;&lt;/Cite&gt;&lt;/EndNote&gt;</w:instrText>
      </w:r>
      <w:r w:rsidRPr="004929B8">
        <w:rPr>
          <w:rFonts w:ascii="Times New Roman" w:hAnsi="Times New Roman" w:cs="Times New Roman"/>
          <w:b/>
          <w:bCs/>
        </w:rPr>
        <w:fldChar w:fldCharType="separate"/>
      </w:r>
      <w:r w:rsidRPr="004929B8">
        <w:rPr>
          <w:rFonts w:ascii="Times New Roman" w:hAnsi="Times New Roman" w:cs="Times New Roman"/>
          <w:b/>
          <w:bCs/>
          <w:noProof/>
        </w:rPr>
        <w:t>(Lincoln, Leigh and Jones, 1995)</w:t>
      </w:r>
      <w:r w:rsidRPr="004929B8">
        <w:rPr>
          <w:rFonts w:ascii="Times New Roman" w:hAnsi="Times New Roman" w:cs="Times New Roman"/>
          <w:b/>
          <w:bCs/>
        </w:rPr>
        <w:fldChar w:fldCharType="end"/>
      </w:r>
      <w:r>
        <w:rPr>
          <w:rFonts w:ascii="Times New Roman" w:hAnsi="Times New Roman" w:cs="Times New Roman"/>
        </w:rPr>
        <w:t xml:space="preserve">. After the addition of DFHBI-1T and Atc 100 ng/ml to induce plasmid expression via the tetracycline-inducible promoter, fluorescence was measured at 485/520 nm for 20 hours </w:t>
      </w:r>
      <w:r w:rsidRPr="00B23489">
        <w:rPr>
          <w:rFonts w:ascii="Times New Roman" w:hAnsi="Times New Roman" w:cs="Times New Roman"/>
          <w:b/>
          <w:bCs/>
        </w:rPr>
        <w:t>(Fig. 3.4.</w:t>
      </w:r>
      <w:r>
        <w:rPr>
          <w:rFonts w:ascii="Times New Roman" w:hAnsi="Times New Roman" w:cs="Times New Roman"/>
          <w:b/>
          <w:bCs/>
        </w:rPr>
        <w:t>3b</w:t>
      </w:r>
      <w:r w:rsidRPr="00B23489">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In the absence of L/V (open symbols), fluorescence levels are higher than when L/V are present (closed symbols). A difference was observed between the presence and absence of L/V with the negative control which is unexpected as this construct does not contain a riboswitch-fluorophore aptamer. While the positive control RN4220 pCL55-iTET-Broccoli had the highest fluorescence levels, the biosensor itself did not fluoresce in a similar manner and in fact, demonstrated lower levels of fluorescence than the negative control. </w:t>
      </w:r>
    </w:p>
    <w:p w14:paraId="397236E2" w14:textId="77777777"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To ensure that transcription of the plasmids was indeed being induced, Atc (100 ng/ml) was added during growth of the strains instead of after the cultures had been grown. Once ~OD</w:t>
      </w:r>
      <w:r>
        <w:rPr>
          <w:rFonts w:ascii="Times New Roman" w:hAnsi="Times New Roman" w:cs="Times New Roman"/>
          <w:vertAlign w:val="subscript"/>
        </w:rPr>
        <w:t>600</w:t>
      </w:r>
      <w:r>
        <w:rPr>
          <w:rFonts w:ascii="Times New Roman" w:hAnsi="Times New Roman" w:cs="Times New Roman"/>
        </w:rPr>
        <w:t xml:space="preserve"> 0.3-0.4 had been reached, cultures were washed in either complete CDM or CDM-L/V and after the addition of Atc (100 ng/ml) and DFHBI-1T, fluorescence was measured for 20 hours. </w:t>
      </w:r>
      <w:r>
        <w:rPr>
          <w:rFonts w:ascii="Times New Roman" w:hAnsi="Times New Roman" w:cs="Times New Roman"/>
          <w:b/>
          <w:bCs/>
        </w:rPr>
        <w:t>Figure 3.4.3c</w:t>
      </w:r>
      <w:r>
        <w:rPr>
          <w:rFonts w:ascii="Times New Roman" w:hAnsi="Times New Roman" w:cs="Times New Roman"/>
        </w:rPr>
        <w:t xml:space="preserve"> shows the same trend as in </w:t>
      </w:r>
      <w:r w:rsidRPr="00163681">
        <w:rPr>
          <w:rFonts w:ascii="Times New Roman" w:hAnsi="Times New Roman" w:cs="Times New Roman"/>
          <w:b/>
          <w:bCs/>
        </w:rPr>
        <w:t>Figure 3.4.</w:t>
      </w:r>
      <w:r>
        <w:rPr>
          <w:rFonts w:ascii="Times New Roman" w:hAnsi="Times New Roman" w:cs="Times New Roman"/>
          <w:b/>
          <w:bCs/>
        </w:rPr>
        <w:t>3b</w:t>
      </w:r>
      <w:r>
        <w:rPr>
          <w:rFonts w:ascii="Times New Roman" w:hAnsi="Times New Roman" w:cs="Times New Roman"/>
        </w:rPr>
        <w:t xml:space="preserve"> in that strains in the absence of L/V display higher levels of fluorescence than in the presence of L/V, but there was no difference in the amount of fluorescence of the strain containing the riboswitch-Broccoli construct in comparison to its controls.</w:t>
      </w:r>
    </w:p>
    <w:p w14:paraId="6DB04A79" w14:textId="77777777" w:rsidR="00187693" w:rsidRDefault="00187693" w:rsidP="00187693">
      <w:pPr>
        <w:spacing w:line="360" w:lineRule="auto"/>
        <w:ind w:firstLine="720"/>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1074AAE7" w14:textId="77777777" w:rsidTr="00A74445">
        <w:tc>
          <w:tcPr>
            <w:tcW w:w="9016" w:type="dxa"/>
          </w:tcPr>
          <w:p w14:paraId="1F260403"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B604E5C" wp14:editId="08AAE230">
                  <wp:extent cx="5844647" cy="6943060"/>
                  <wp:effectExtent l="0" t="0" r="0" b="0"/>
                  <wp:docPr id="557858659" name="Picture 55785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2669" cy="6952590"/>
                          </a:xfrm>
                          <a:prstGeom prst="rect">
                            <a:avLst/>
                          </a:prstGeom>
                          <a:noFill/>
                        </pic:spPr>
                      </pic:pic>
                    </a:graphicData>
                  </a:graphic>
                </wp:inline>
              </w:drawing>
            </w:r>
          </w:p>
        </w:tc>
      </w:tr>
      <w:tr w:rsidR="00187693" w14:paraId="41B4D4A3" w14:textId="77777777" w:rsidTr="00A74445">
        <w:tc>
          <w:tcPr>
            <w:tcW w:w="9016" w:type="dxa"/>
          </w:tcPr>
          <w:p w14:paraId="66CD2227" w14:textId="1C29BF1A" w:rsidR="00187693" w:rsidRPr="004E5361" w:rsidRDefault="00187693" w:rsidP="00A74445">
            <w:pPr>
              <w:jc w:val="both"/>
              <w:rPr>
                <w:rFonts w:ascii="Times New Roman" w:hAnsi="Times New Roman" w:cs="Times New Roman"/>
                <w:sz w:val="18"/>
                <w:szCs w:val="18"/>
              </w:rPr>
            </w:pPr>
            <w:r w:rsidRPr="005C7E2B">
              <w:rPr>
                <w:rFonts w:ascii="Times New Roman" w:hAnsi="Times New Roman" w:cs="Times New Roman"/>
                <w:b/>
                <w:bCs/>
                <w:sz w:val="18"/>
                <w:szCs w:val="18"/>
              </w:rPr>
              <w:t xml:space="preserve">Figure 3.4.3. </w:t>
            </w:r>
            <w:r w:rsidRPr="005C7E2B">
              <w:rPr>
                <w:rFonts w:ascii="Times New Roman" w:hAnsi="Times New Roman" w:cs="Times New Roman"/>
                <w:b/>
                <w:bCs/>
                <w:i/>
                <w:iCs/>
                <w:sz w:val="18"/>
                <w:szCs w:val="18"/>
              </w:rPr>
              <w:t>In vitro</w:t>
            </w:r>
            <w:r w:rsidRPr="005C7E2B">
              <w:rPr>
                <w:rFonts w:ascii="Times New Roman" w:hAnsi="Times New Roman" w:cs="Times New Roman"/>
                <w:b/>
                <w:bCs/>
                <w:sz w:val="18"/>
                <w:szCs w:val="18"/>
              </w:rPr>
              <w:t xml:space="preserve"> and </w:t>
            </w:r>
            <w:r w:rsidRPr="005C7E2B">
              <w:rPr>
                <w:rFonts w:ascii="Times New Roman" w:hAnsi="Times New Roman" w:cs="Times New Roman"/>
                <w:b/>
                <w:bCs/>
                <w:i/>
                <w:iCs/>
                <w:sz w:val="18"/>
                <w:szCs w:val="18"/>
              </w:rPr>
              <w:t>in vivo</w:t>
            </w:r>
            <w:r w:rsidRPr="005C7E2B">
              <w:rPr>
                <w:rFonts w:ascii="Times New Roman" w:hAnsi="Times New Roman" w:cs="Times New Roman"/>
                <w:b/>
                <w:bCs/>
                <w:sz w:val="18"/>
                <w:szCs w:val="18"/>
              </w:rPr>
              <w:t xml:space="preserve"> characterisation of the riboswitch-Broccoli molecular (p)ppGpp biosensor using an integrative plasmid.</w:t>
            </w:r>
            <w:r w:rsidRPr="004E5361">
              <w:rPr>
                <w:rFonts w:ascii="Times New Roman" w:hAnsi="Times New Roman" w:cs="Times New Roman"/>
                <w:sz w:val="18"/>
                <w:szCs w:val="18"/>
              </w:rPr>
              <w:t xml:space="preserve"> </w:t>
            </w:r>
            <w:r w:rsidRPr="004E5361">
              <w:rPr>
                <w:rFonts w:ascii="Times New Roman" w:hAnsi="Times New Roman" w:cs="Times New Roman"/>
                <w:b/>
                <w:bCs/>
                <w:sz w:val="18"/>
                <w:szCs w:val="18"/>
              </w:rPr>
              <w:t>a)</w:t>
            </w:r>
            <w:r w:rsidRPr="004E5361">
              <w:rPr>
                <w:rFonts w:ascii="Times New Roman" w:hAnsi="Times New Roman" w:cs="Times New Roman"/>
                <w:sz w:val="18"/>
                <w:szCs w:val="18"/>
              </w:rPr>
              <w:t xml:space="preserve"> </w:t>
            </w:r>
            <w:r w:rsidRPr="004E5361">
              <w:rPr>
                <w:rFonts w:ascii="Times New Roman" w:hAnsi="Times New Roman" w:cs="Times New Roman"/>
                <w:i/>
                <w:iCs/>
                <w:sz w:val="18"/>
                <w:szCs w:val="18"/>
              </w:rPr>
              <w:t xml:space="preserve">In vitro </w:t>
            </w:r>
            <w:r w:rsidRPr="004E5361">
              <w:rPr>
                <w:rFonts w:ascii="Times New Roman" w:hAnsi="Times New Roman" w:cs="Times New Roman"/>
                <w:sz w:val="18"/>
                <w:szCs w:val="18"/>
              </w:rPr>
              <w:t xml:space="preserve">fluorescence activation of the riboswitch-Broccoli biosensor by various nucleotides. Nucleotides ppGpp (red), GTP (light blue), GDP (purple) and ATP (orange) were added at a final concentration of 100 </w:t>
            </w:r>
            <w:r w:rsidRPr="004E5361">
              <w:rPr>
                <w:rFonts w:ascii="Times New Roman" w:hAnsi="Times New Roman" w:cs="Times New Roman"/>
                <w:sz w:val="18"/>
                <w:szCs w:val="18"/>
                <w:lang w:val="el-GR"/>
              </w:rPr>
              <w:t>μ</w:t>
            </w:r>
            <w:r w:rsidRPr="004E5361">
              <w:rPr>
                <w:rFonts w:ascii="Times New Roman" w:hAnsi="Times New Roman" w:cs="Times New Roman"/>
                <w:sz w:val="18"/>
                <w:szCs w:val="18"/>
              </w:rPr>
              <w:t xml:space="preserve">M in a buffer containing </w:t>
            </w:r>
            <w:r w:rsidRPr="004E5361">
              <w:rPr>
                <w:rFonts w:ascii="Times New Roman" w:hAnsi="Times New Roman" w:cs="Times New Roman"/>
                <w:sz w:val="18"/>
                <w:szCs w:val="18"/>
                <w:lang w:val="fr-FR"/>
              </w:rPr>
              <w:t xml:space="preserve">1 M HEPES pH 7.5, </w:t>
            </w:r>
            <w:r w:rsidRPr="004E5361">
              <w:rPr>
                <w:rFonts w:ascii="Times New Roman" w:hAnsi="Times New Roman" w:cs="Times New Roman"/>
                <w:sz w:val="18"/>
                <w:szCs w:val="18"/>
                <w:lang w:val="nn-NO"/>
              </w:rPr>
              <w:t xml:space="preserve">2 M KCl, 1 M </w:t>
            </w:r>
            <w:r w:rsidRPr="004E5361">
              <w:rPr>
                <w:rFonts w:ascii="Times New Roman" w:hAnsi="Times New Roman" w:cs="Times New Roman"/>
                <w:sz w:val="18"/>
                <w:szCs w:val="18"/>
              </w:rPr>
              <w:t>MgCl</w:t>
            </w:r>
            <w:r w:rsidRPr="004E5361">
              <w:rPr>
                <w:rFonts w:ascii="Times New Roman" w:hAnsi="Times New Roman" w:cs="Times New Roman"/>
                <w:sz w:val="18"/>
                <w:szCs w:val="18"/>
                <w:vertAlign w:val="subscript"/>
              </w:rPr>
              <w:t>2</w:t>
            </w:r>
            <w:r w:rsidRPr="004E5361">
              <w:rPr>
                <w:rFonts w:ascii="Times New Roman" w:hAnsi="Times New Roman" w:cs="Times New Roman"/>
                <w:sz w:val="18"/>
                <w:szCs w:val="18"/>
              </w:rPr>
              <w:t xml:space="preserve"> and 100 </w:t>
            </w:r>
            <w:r w:rsidRPr="004E5361">
              <w:rPr>
                <w:rFonts w:ascii="Times New Roman" w:hAnsi="Times New Roman" w:cs="Times New Roman"/>
                <w:sz w:val="18"/>
                <w:szCs w:val="18"/>
                <w:lang w:val="el-GR"/>
              </w:rPr>
              <w:t>μ</w:t>
            </w:r>
            <w:r w:rsidRPr="004E5361">
              <w:rPr>
                <w:rFonts w:ascii="Times New Roman" w:hAnsi="Times New Roman" w:cs="Times New Roman"/>
                <w:sz w:val="18"/>
                <w:szCs w:val="18"/>
              </w:rPr>
              <w:t xml:space="preserve">M DFHBI-1T and fluorescence was measured for 2 hours at </w:t>
            </w:r>
            <w:r>
              <w:rPr>
                <w:rFonts w:ascii="Times New Roman" w:hAnsi="Times New Roman" w:cs="Times New Roman"/>
                <w:sz w:val="18"/>
                <w:szCs w:val="18"/>
              </w:rPr>
              <w:t>5-</w:t>
            </w:r>
            <w:r w:rsidRPr="004E5361">
              <w:rPr>
                <w:rFonts w:ascii="Times New Roman" w:hAnsi="Times New Roman" w:cs="Times New Roman"/>
                <w:sz w:val="18"/>
                <w:szCs w:val="18"/>
              </w:rPr>
              <w:t>minute intervals. H</w:t>
            </w:r>
            <w:r w:rsidRPr="004E5361">
              <w:rPr>
                <w:rFonts w:ascii="Times New Roman" w:hAnsi="Times New Roman" w:cs="Times New Roman"/>
                <w:sz w:val="18"/>
                <w:szCs w:val="18"/>
                <w:vertAlign w:val="subscript"/>
              </w:rPr>
              <w:t>2</w:t>
            </w:r>
            <w:r w:rsidRPr="004E5361">
              <w:rPr>
                <w:rFonts w:ascii="Times New Roman" w:hAnsi="Times New Roman" w:cs="Times New Roman"/>
                <w:sz w:val="18"/>
                <w:szCs w:val="18"/>
              </w:rPr>
              <w:t>O control did not include nucleotide and blank did not include DFHBI-1T. Performed by RMC.</w:t>
            </w:r>
            <w:r w:rsidRPr="004E5361">
              <w:rPr>
                <w:rFonts w:ascii="Times New Roman" w:hAnsi="Times New Roman" w:cs="Times New Roman"/>
                <w:b/>
                <w:bCs/>
                <w:sz w:val="18"/>
                <w:szCs w:val="18"/>
              </w:rPr>
              <w:t xml:space="preserve"> b) </w:t>
            </w:r>
            <w:r w:rsidRPr="004E5361">
              <w:rPr>
                <w:rFonts w:ascii="Times New Roman" w:hAnsi="Times New Roman" w:cs="Times New Roman"/>
                <w:sz w:val="18"/>
                <w:szCs w:val="18"/>
              </w:rPr>
              <w:t>Fluorescence curve of the riboswitch-Broccoli biosensor post amino acid stress. The negative control (RN4220 pCL55-iTET) (black), positive control (RN4220 pCL55-iTET-Broccoli) (pink) and biosensor-containing strain (RN4220 pCL55-iTET-riboswitch-Broccoli) (teal) were grown to ~OD</w:t>
            </w:r>
            <w:r w:rsidRPr="004E5361">
              <w:rPr>
                <w:rFonts w:ascii="Times New Roman" w:hAnsi="Times New Roman" w:cs="Times New Roman"/>
                <w:sz w:val="18"/>
                <w:szCs w:val="18"/>
                <w:vertAlign w:val="subscript"/>
              </w:rPr>
              <w:t>600</w:t>
            </w:r>
            <w:r w:rsidRPr="004E5361">
              <w:rPr>
                <w:rFonts w:ascii="Times New Roman" w:hAnsi="Times New Roman" w:cs="Times New Roman"/>
                <w:sz w:val="18"/>
                <w:szCs w:val="18"/>
              </w:rPr>
              <w:t xml:space="preserve"> 0.3-0.4 in CDM. Cultures were split, washed twice in either complete CDM (closed symbols) or CDM-L/V (open symbols) and then induced for 1 hour with Atc 100 ng/ml. DFHBI-1T (200 μM) was added and cultures were incubated at 37 ˚C for 20 hours, with fluorescence measurements taken every 30 minutes. </w:t>
            </w:r>
            <w:r w:rsidRPr="004E5361">
              <w:rPr>
                <w:rFonts w:ascii="Times New Roman" w:hAnsi="Times New Roman" w:cs="Times New Roman"/>
                <w:b/>
                <w:bCs/>
                <w:sz w:val="18"/>
                <w:szCs w:val="18"/>
              </w:rPr>
              <w:t>c)</w:t>
            </w:r>
            <w:r w:rsidRPr="004E5361">
              <w:rPr>
                <w:rFonts w:ascii="Times New Roman" w:hAnsi="Times New Roman" w:cs="Times New Roman"/>
                <w:sz w:val="18"/>
                <w:szCs w:val="18"/>
              </w:rPr>
              <w:t xml:space="preserve"> Fluorescence curve of the riboswitch-Broccoli biosensor post amino acid stress. The negative control (RN4220 pCL55-iTET) (black), positive control (RN4220 pCL55-iTET-Broccoli) (pink) and biosensor-containing strain (RN4220 pCL55-iTET-riboswitch-Broccoli) (teal) were grown to ~OD</w:t>
            </w:r>
            <w:r w:rsidRPr="004E5361">
              <w:rPr>
                <w:rFonts w:ascii="Times New Roman" w:hAnsi="Times New Roman" w:cs="Times New Roman"/>
                <w:sz w:val="18"/>
                <w:szCs w:val="18"/>
                <w:vertAlign w:val="subscript"/>
              </w:rPr>
              <w:t>600</w:t>
            </w:r>
            <w:r w:rsidRPr="004E5361">
              <w:rPr>
                <w:rFonts w:ascii="Times New Roman" w:hAnsi="Times New Roman" w:cs="Times New Roman"/>
                <w:sz w:val="18"/>
                <w:szCs w:val="18"/>
              </w:rPr>
              <w:t xml:space="preserve"> 0.3-0.4 in CDM in the presence of Atc 100 ng/ml. Cultures were split, washed twice in either complete CDM (closed symbols) or CDM-L/V (open symbols)</w:t>
            </w:r>
            <w:r w:rsidR="00B52234">
              <w:rPr>
                <w:rFonts w:ascii="Times New Roman" w:hAnsi="Times New Roman" w:cs="Times New Roman"/>
                <w:sz w:val="18"/>
                <w:szCs w:val="18"/>
              </w:rPr>
              <w:t xml:space="preserve"> with </w:t>
            </w:r>
            <w:r w:rsidR="00B52234" w:rsidRPr="004E5361">
              <w:rPr>
                <w:rFonts w:ascii="Times New Roman" w:hAnsi="Times New Roman" w:cs="Times New Roman"/>
                <w:sz w:val="18"/>
                <w:szCs w:val="18"/>
              </w:rPr>
              <w:t>Atc 100 ng/ml</w:t>
            </w:r>
            <w:r w:rsidRPr="004E5361">
              <w:rPr>
                <w:rFonts w:ascii="Times New Roman" w:hAnsi="Times New Roman" w:cs="Times New Roman"/>
                <w:sz w:val="18"/>
                <w:szCs w:val="18"/>
              </w:rPr>
              <w:t>, DFHBI-1T (200 μM) was added and cultures were incubated at 37 ˚C for 20 hours, with fluorescence measurements taken every 30 minutes. Fluorescence (at 485/520 nm) and OD</w:t>
            </w:r>
            <w:r w:rsidRPr="004E5361">
              <w:rPr>
                <w:rFonts w:ascii="Times New Roman" w:hAnsi="Times New Roman" w:cs="Times New Roman"/>
                <w:sz w:val="18"/>
                <w:szCs w:val="18"/>
                <w:vertAlign w:val="subscript"/>
              </w:rPr>
              <w:t xml:space="preserve">600 </w:t>
            </w:r>
            <w:r w:rsidRPr="004E5361">
              <w:rPr>
                <w:rFonts w:ascii="Times New Roman" w:hAnsi="Times New Roman" w:cs="Times New Roman"/>
                <w:sz w:val="18"/>
                <w:szCs w:val="18"/>
              </w:rPr>
              <w:t>were measured using a Hidex Sense Platereader. All experiments were performed once.</w:t>
            </w:r>
          </w:p>
          <w:p w14:paraId="66A421E2" w14:textId="77777777" w:rsidR="00187693" w:rsidRPr="004E5361" w:rsidRDefault="00187693" w:rsidP="00A74445">
            <w:pPr>
              <w:jc w:val="both"/>
              <w:rPr>
                <w:rFonts w:ascii="Times New Roman" w:hAnsi="Times New Roman" w:cs="Times New Roman"/>
                <w:b/>
                <w:bCs/>
                <w:sz w:val="18"/>
                <w:szCs w:val="18"/>
              </w:rPr>
            </w:pPr>
          </w:p>
        </w:tc>
      </w:tr>
    </w:tbl>
    <w:p w14:paraId="514E3C84" w14:textId="77777777" w:rsidR="00187693" w:rsidRDefault="00187693" w:rsidP="00187693">
      <w:pPr>
        <w:pStyle w:val="Heading3"/>
      </w:pPr>
      <w:bookmarkStart w:id="133" w:name="_Toc142043635"/>
      <w:r>
        <w:t>3.4.3. Construction of a riboswitch-Broccoli molecular (p)ppGpp biosensor using a multicopy vector</w:t>
      </w:r>
      <w:bookmarkEnd w:id="133"/>
    </w:p>
    <w:p w14:paraId="417482D9" w14:textId="77777777" w:rsidR="00187693" w:rsidRDefault="00187693" w:rsidP="00187693"/>
    <w:p w14:paraId="2DCC9214" w14:textId="288B1ACE" w:rsidR="00187693" w:rsidRDefault="00187693" w:rsidP="00187693">
      <w:pPr>
        <w:spacing w:line="360" w:lineRule="auto"/>
        <w:jc w:val="both"/>
        <w:rPr>
          <w:rFonts w:ascii="Times New Roman" w:hAnsi="Times New Roman" w:cs="Times New Roman"/>
        </w:rPr>
      </w:pPr>
      <w:r>
        <w:rPr>
          <w:rFonts w:ascii="Times New Roman" w:hAnsi="Times New Roman" w:cs="Times New Roman"/>
        </w:rPr>
        <w:t xml:space="preserve">As the riboswitch-Broccoli molecular (p)ppGpp biosensor in pCL55-iTET did not fluoresce, the design of the construct was reconsidered. pCL55-iTET is an integrative vector and thus, each bacterium will contain one copy of the plasmid, which may explain why low levels of fluorescence were observed. Accordingly, the riboswitch-Broccoli aptamer and the T7 terminator was amplified from the integrative vector and inserted into the multicopy vector pRN12 </w:t>
      </w:r>
      <w:r w:rsidRPr="003E7CD7">
        <w:rPr>
          <w:rFonts w:ascii="Times New Roman" w:hAnsi="Times New Roman" w:cs="Times New Roman"/>
          <w:b/>
          <w:bCs/>
        </w:rPr>
        <w:fldChar w:fldCharType="begin"/>
      </w:r>
      <w:r w:rsidR="00276090">
        <w:rPr>
          <w:rFonts w:ascii="Times New Roman" w:hAnsi="Times New Roman" w:cs="Times New Roman"/>
          <w:b/>
          <w:bCs/>
        </w:rPr>
        <w:instrText xml:space="preserve"> ADDIN EN.CITE &lt;EndNote&gt;&lt;Cite&gt;&lt;Author&gt;de Jong&lt;/Author&gt;&lt;Year&gt;2017&lt;/Year&gt;&lt;IDText&gt;Fluorescent reporters for markerless genomic integration in Staphylococcus aureus&lt;/IDText&gt;&lt;DisplayText&gt;(de Jong&lt;style face="italic"&gt; et al.&lt;/style&gt;, 2017b)&lt;/DisplayText&gt;&lt;record&gt;&lt;dates&gt;&lt;pub-dates&gt;&lt;date&gt;Mar 7&lt;/date&gt;&lt;/pub-dates&gt;&lt;year&gt;2017&lt;/year&gt;&lt;/dates&gt;&lt;urls&gt;&lt;related-urls&gt;&lt;url&gt;&amp;lt;Go to ISI&amp;gt;://WOS:000395654700001&lt;/url&gt;&lt;/related-urls&gt;&lt;/urls&gt;&lt;isbn&gt;2045-2322&lt;/isbn&gt;&lt;work-type&gt;Article&lt;/work-type&gt;&lt;titles&gt;&lt;title&gt;Fluorescent reporters for markerless genomic integration in Staphylococcus aureus&lt;/title&gt;&lt;secondary-title&gt;Scientific Reports&lt;/secondary-title&gt;&lt;/titles&gt;&lt;contributors&gt;&lt;authors&gt;&lt;author&gt;de Jong, Nienke W. M.&lt;/author&gt;&lt;author&gt;van der Horst, Thijs&lt;/author&gt;&lt;author&gt;van Strijp, Jos A. G.&lt;/author&gt;&lt;author&gt;Nijland, Reindert&lt;/author&gt;&lt;/authors&gt;&lt;/contributors&gt;&lt;custom7&gt;43889&lt;/custom7&gt;&lt;added-date format="utc"&gt;1669752312&lt;/added-date&gt;&lt;ref-type name="Journal Article"&gt;17&lt;/ref-type&gt;&lt;rec-number&gt;185&lt;/rec-number&gt;&lt;last-updated-date format="utc"&gt;1669752312&lt;/last-updated-date&gt;&lt;accession-num&gt;WOS:000395654700001&lt;/accession-num&gt;&lt;electronic-resource-num&gt;10.1038/srep43889&lt;/electronic-resource-num&gt;&lt;volume&gt;7&lt;/volume&gt;&lt;/record&gt;&lt;/Cite&gt;&lt;/EndNote&gt;</w:instrText>
      </w:r>
      <w:r w:rsidRPr="003E7CD7">
        <w:rPr>
          <w:rFonts w:ascii="Times New Roman" w:hAnsi="Times New Roman" w:cs="Times New Roman"/>
          <w:b/>
          <w:bCs/>
        </w:rPr>
        <w:fldChar w:fldCharType="separate"/>
      </w:r>
      <w:r w:rsidR="00276090">
        <w:rPr>
          <w:rFonts w:ascii="Times New Roman" w:hAnsi="Times New Roman" w:cs="Times New Roman"/>
          <w:b/>
          <w:bCs/>
          <w:noProof/>
        </w:rPr>
        <w:t>(de Jong</w:t>
      </w:r>
      <w:r w:rsidR="00276090" w:rsidRPr="00276090">
        <w:rPr>
          <w:rFonts w:ascii="Times New Roman" w:hAnsi="Times New Roman" w:cs="Times New Roman"/>
          <w:b/>
          <w:bCs/>
          <w:i/>
          <w:noProof/>
        </w:rPr>
        <w:t xml:space="preserve"> et al.</w:t>
      </w:r>
      <w:r w:rsidR="00276090">
        <w:rPr>
          <w:rFonts w:ascii="Times New Roman" w:hAnsi="Times New Roman" w:cs="Times New Roman"/>
          <w:b/>
          <w:bCs/>
          <w:noProof/>
        </w:rPr>
        <w:t>, 2017b)</w:t>
      </w:r>
      <w:r w:rsidRPr="003E7CD7">
        <w:rPr>
          <w:rFonts w:ascii="Times New Roman" w:hAnsi="Times New Roman" w:cs="Times New Roman"/>
          <w:b/>
          <w:bCs/>
        </w:rPr>
        <w:fldChar w:fldCharType="end"/>
      </w:r>
      <w:r>
        <w:rPr>
          <w:rFonts w:ascii="Times New Roman" w:hAnsi="Times New Roman" w:cs="Times New Roman"/>
        </w:rPr>
        <w:t>. This plasmid contains a constitutive promoter p</w:t>
      </w:r>
      <w:r>
        <w:rPr>
          <w:rFonts w:ascii="Times New Roman" w:hAnsi="Times New Roman" w:cs="Times New Roman"/>
          <w:i/>
          <w:iCs/>
        </w:rPr>
        <w:t>sarA</w:t>
      </w:r>
      <w:r>
        <w:rPr>
          <w:rFonts w:ascii="Times New Roman" w:hAnsi="Times New Roman" w:cs="Times New Roman"/>
        </w:rPr>
        <w:t xml:space="preserve">. SarA is the staphylococcal accessory regulator, a DNA-binding protein that regulates the expression of virulence factors </w:t>
      </w:r>
      <w:r w:rsidRPr="00391815">
        <w:rPr>
          <w:rFonts w:ascii="Times New Roman" w:hAnsi="Times New Roman" w:cs="Times New Roman"/>
          <w:b/>
          <w:bCs/>
        </w:rPr>
        <w:fldChar w:fldCharType="begin"/>
      </w:r>
      <w:r w:rsidRPr="00391815">
        <w:rPr>
          <w:rFonts w:ascii="Times New Roman" w:hAnsi="Times New Roman" w:cs="Times New Roman"/>
          <w:b/>
          <w:bCs/>
        </w:rPr>
        <w:instrText xml:space="preserve"> ADDIN EN.CITE &lt;EndNote&gt;&lt;Cite&gt;&lt;Author&gt;Morrison&lt;/Author&gt;&lt;Year&gt;2012&lt;/Year&gt;&lt;IDText&gt;The staphylococcal accessory regulator, SarA, is an RNA-binding protein that modulates the mRNA turnover properties of late-exponential and stationary phase Staphylococcus aureus cells&lt;/IDText&gt;&lt;DisplayText&gt;(Morrison&lt;style face="italic"&gt; et al.&lt;/style&gt;, 2012)&lt;/DisplayText&gt;&lt;record&gt;&lt;dates&gt;&lt;pub-dates&gt;&lt;date&gt;Mar&lt;/date&gt;&lt;/pub-dates&gt;&lt;year&gt;2012&lt;/year&gt;&lt;/dates&gt;&lt;urls&gt;&lt;related-urls&gt;&lt;url&gt;&amp;lt;Go to ISI&amp;gt;://WOS:000324626500008&lt;/url&gt;&lt;/related-urls&gt;&lt;/urls&gt;&lt;isbn&gt;2235-2988&lt;/isbn&gt;&lt;work-type&gt;Article&lt;/work-type&gt;&lt;titles&gt;&lt;title&gt;The staphylococcal accessory regulator, SarA, is an RNA-binding protein that modulates the mRNA turnover properties of late-exponential and stationary phase Staphylococcus aureus cells&lt;/title&gt;&lt;secondary-title&gt;Frontiers in Cellular and Infection Microbiology&lt;/secondary-title&gt;&lt;/titles&gt;&lt;contributors&gt;&lt;authors&gt;&lt;author&gt;Morrison, John M.&lt;/author&gt;&lt;author&gt;Anderson, Kelsi L.&lt;/author&gt;&lt;author&gt;Beenken, Karen E.&lt;/author&gt;&lt;author&gt;Smeltzer, Mark S.&lt;/author&gt;&lt;author&gt;Dunman, Paul M.&lt;/author&gt;&lt;/authors&gt;&lt;/contributors&gt;&lt;custom7&gt;26&lt;/custom7&gt;&lt;added-date format="utc"&gt;1669752565&lt;/added-date&gt;&lt;ref-type name="Journal Article"&gt;17&lt;/ref-type&gt;&lt;rec-number&gt;186&lt;/rec-number&gt;&lt;last-updated-date format="utc"&gt;1669752565&lt;/last-updated-date&gt;&lt;accession-num&gt;WOS:000324626500008&lt;/accession-num&gt;&lt;electronic-resource-num&gt;10.3389/fcimb.2012.00026&lt;/electronic-resource-num&gt;&lt;volume&gt;2&lt;/volume&gt;&lt;/record&gt;&lt;/Cite&gt;&lt;/EndNote&gt;</w:instrText>
      </w:r>
      <w:r w:rsidRPr="00391815">
        <w:rPr>
          <w:rFonts w:ascii="Times New Roman" w:hAnsi="Times New Roman" w:cs="Times New Roman"/>
          <w:b/>
          <w:bCs/>
        </w:rPr>
        <w:fldChar w:fldCharType="separate"/>
      </w:r>
      <w:r w:rsidRPr="00391815">
        <w:rPr>
          <w:rFonts w:ascii="Times New Roman" w:hAnsi="Times New Roman" w:cs="Times New Roman"/>
          <w:b/>
          <w:bCs/>
          <w:noProof/>
        </w:rPr>
        <w:t>(Morrison</w:t>
      </w:r>
      <w:r w:rsidRPr="00391815">
        <w:rPr>
          <w:rFonts w:ascii="Times New Roman" w:hAnsi="Times New Roman" w:cs="Times New Roman"/>
          <w:b/>
          <w:bCs/>
          <w:i/>
          <w:noProof/>
        </w:rPr>
        <w:t xml:space="preserve"> et al.</w:t>
      </w:r>
      <w:r w:rsidRPr="00391815">
        <w:rPr>
          <w:rFonts w:ascii="Times New Roman" w:hAnsi="Times New Roman" w:cs="Times New Roman"/>
          <w:b/>
          <w:bCs/>
          <w:noProof/>
        </w:rPr>
        <w:t>, 2012)</w:t>
      </w:r>
      <w:r w:rsidRPr="00391815">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The advantage of a constitutive promoter is that an inducer is not necessary for transcription. </w:t>
      </w:r>
    </w:p>
    <w:p w14:paraId="1C0CDB8A" w14:textId="77777777" w:rsidR="00187693"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To construct the positive control and the biosensor, the Broccoli aptamer and T7 promoter, as well as the riboswitch-Broccoli aptamer were PCR-amplified from pCL55-iTET-Broccoli (primers RMC891/892) and pCL55-iTET-riboswitch-Broccoli (primers 893/894) respectively. These primers introduced a 5’ KpnI site and a 3’ EcoRI site into both products. These products were ligated to the pRN12 backbone that had been digested with KpnI and EcoRI and transformed into </w:t>
      </w:r>
      <w:r>
        <w:rPr>
          <w:rFonts w:ascii="Times New Roman" w:hAnsi="Times New Roman" w:cs="Times New Roman"/>
          <w:i/>
          <w:iCs/>
        </w:rPr>
        <w:t xml:space="preserve">E. coli </w:t>
      </w:r>
      <w:r>
        <w:rPr>
          <w:rFonts w:ascii="Times New Roman" w:hAnsi="Times New Roman" w:cs="Times New Roman"/>
        </w:rPr>
        <w:t xml:space="preserve">XL1 Blue. A positive colony PCR product was identified, and the plasmid was then electroporated into RN4220 </w:t>
      </w:r>
      <w:r w:rsidRPr="00A23194">
        <w:rPr>
          <w:rFonts w:ascii="Times New Roman" w:hAnsi="Times New Roman" w:cs="Times New Roman"/>
        </w:rPr>
        <w:t>Δ</w:t>
      </w:r>
      <w:r w:rsidRPr="00A23194">
        <w:rPr>
          <w:rFonts w:ascii="Times New Roman" w:hAnsi="Times New Roman" w:cs="Times New Roman"/>
          <w:i/>
          <w:iCs/>
        </w:rPr>
        <w:t>spa</w:t>
      </w:r>
      <w:r>
        <w:rPr>
          <w:rFonts w:ascii="Times New Roman" w:hAnsi="Times New Roman" w:cs="Times New Roman"/>
          <w:sz w:val="32"/>
          <w:szCs w:val="32"/>
        </w:rPr>
        <w:t xml:space="preserve"> </w:t>
      </w:r>
      <w:r>
        <w:rPr>
          <w:rFonts w:ascii="Times New Roman" w:hAnsi="Times New Roman" w:cs="Times New Roman"/>
        </w:rPr>
        <w:t xml:space="preserve">with PCR conducted to confirm the presence of the correct plasmid </w:t>
      </w:r>
      <w:r>
        <w:rPr>
          <w:rFonts w:ascii="Times New Roman" w:hAnsi="Times New Roman" w:cs="Times New Roman"/>
          <w:b/>
          <w:bCs/>
        </w:rPr>
        <w:t>(Figure 3.4.4c).</w:t>
      </w:r>
      <w:r>
        <w:rPr>
          <w:rFonts w:ascii="Times New Roman" w:hAnsi="Times New Roman" w:cs="Times New Roman"/>
        </w:rPr>
        <w:t xml:space="preserve"> To construct the negative control, the pRN12 backbone was transformed into </w:t>
      </w:r>
      <w:r>
        <w:rPr>
          <w:rFonts w:ascii="Times New Roman" w:hAnsi="Times New Roman" w:cs="Times New Roman"/>
          <w:i/>
          <w:iCs/>
        </w:rPr>
        <w:t xml:space="preserve">E. </w:t>
      </w:r>
      <w:r w:rsidRPr="00A81B42">
        <w:rPr>
          <w:rFonts w:ascii="Times New Roman" w:hAnsi="Times New Roman" w:cs="Times New Roman"/>
          <w:i/>
          <w:iCs/>
        </w:rPr>
        <w:t>coli</w:t>
      </w:r>
      <w:r>
        <w:rPr>
          <w:rFonts w:ascii="Times New Roman" w:hAnsi="Times New Roman" w:cs="Times New Roman"/>
        </w:rPr>
        <w:t xml:space="preserve"> XL1 Blue </w:t>
      </w:r>
      <w:r w:rsidRPr="00A23194">
        <w:rPr>
          <w:rFonts w:ascii="Times New Roman" w:hAnsi="Times New Roman" w:cs="Times New Roman"/>
        </w:rPr>
        <w:t>to</w:t>
      </w:r>
      <w:r>
        <w:rPr>
          <w:rFonts w:ascii="Times New Roman" w:hAnsi="Times New Roman" w:cs="Times New Roman"/>
        </w:rPr>
        <w:t xml:space="preserve"> form the negative control. pRN12 was also electroporated into RN4220 </w:t>
      </w:r>
      <w:r w:rsidRPr="00A23194">
        <w:rPr>
          <w:rFonts w:ascii="Times New Roman" w:hAnsi="Times New Roman" w:cs="Times New Roman"/>
        </w:rPr>
        <w:t>Δ</w:t>
      </w:r>
      <w:r w:rsidRPr="00A23194">
        <w:rPr>
          <w:rFonts w:ascii="Times New Roman" w:hAnsi="Times New Roman" w:cs="Times New Roman"/>
          <w:i/>
          <w:iCs/>
        </w:rPr>
        <w:t>spa</w:t>
      </w:r>
      <w:r>
        <w:rPr>
          <w:rFonts w:ascii="Times New Roman" w:hAnsi="Times New Roman" w:cs="Times New Roman"/>
        </w:rPr>
        <w:t xml:space="preserve"> and the presence was confirmed via PCR on isolated plasmid DNA </w:t>
      </w:r>
      <w:r>
        <w:rPr>
          <w:rFonts w:ascii="Times New Roman" w:hAnsi="Times New Roman" w:cs="Times New Roman"/>
          <w:b/>
          <w:bCs/>
        </w:rPr>
        <w:t>(Figure 3.4.4d)</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55FB051D" w14:textId="77777777" w:rsidTr="00A74445">
        <w:tc>
          <w:tcPr>
            <w:tcW w:w="9016" w:type="dxa"/>
          </w:tcPr>
          <w:p w14:paraId="344F018B" w14:textId="77777777" w:rsidR="00187693" w:rsidRPr="00760622"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EB3F8D9" wp14:editId="795E5327">
                  <wp:extent cx="5976627" cy="6565900"/>
                  <wp:effectExtent l="0" t="0" r="0" b="6350"/>
                  <wp:docPr id="2014548602" name="Picture 201454860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48602" name="Picture 2014548602" descr="Graphical user interfac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6119" cy="6587314"/>
                          </a:xfrm>
                          <a:prstGeom prst="rect">
                            <a:avLst/>
                          </a:prstGeom>
                          <a:noFill/>
                        </pic:spPr>
                      </pic:pic>
                    </a:graphicData>
                  </a:graphic>
                </wp:inline>
              </w:drawing>
            </w:r>
          </w:p>
        </w:tc>
      </w:tr>
      <w:tr w:rsidR="00187693" w14:paraId="7313A373" w14:textId="77777777" w:rsidTr="00A74445">
        <w:tc>
          <w:tcPr>
            <w:tcW w:w="9016" w:type="dxa"/>
          </w:tcPr>
          <w:p w14:paraId="1A001EA7" w14:textId="77777777" w:rsidR="00187693" w:rsidRPr="005C7E2B" w:rsidRDefault="00187693" w:rsidP="00A74445">
            <w:pPr>
              <w:jc w:val="both"/>
              <w:rPr>
                <w:rFonts w:ascii="Times New Roman" w:hAnsi="Times New Roman" w:cs="Times New Roman"/>
                <w:sz w:val="18"/>
                <w:szCs w:val="18"/>
              </w:rPr>
            </w:pPr>
            <w:r w:rsidRPr="005C7E2B">
              <w:rPr>
                <w:rFonts w:ascii="Times New Roman" w:hAnsi="Times New Roman" w:cs="Times New Roman"/>
                <w:b/>
                <w:bCs/>
                <w:sz w:val="18"/>
                <w:szCs w:val="18"/>
              </w:rPr>
              <w:t xml:space="preserve">Figure 3.4.4. Construction of the Broccoli positive control and the riboswitch-Broccoli molecular (p)ppGpp biosensor using an multicopy plasmid. </w:t>
            </w:r>
            <w:r w:rsidRPr="005C7E2B">
              <w:rPr>
                <w:rFonts w:ascii="Times New Roman" w:hAnsi="Times New Roman" w:cs="Times New Roman"/>
                <w:sz w:val="18"/>
                <w:szCs w:val="18"/>
              </w:rPr>
              <w:t xml:space="preserve">Plasmid maps of </w:t>
            </w:r>
            <w:r w:rsidRPr="005C7E2B">
              <w:rPr>
                <w:rFonts w:ascii="Times New Roman" w:hAnsi="Times New Roman" w:cs="Times New Roman"/>
                <w:b/>
                <w:bCs/>
                <w:sz w:val="18"/>
                <w:szCs w:val="18"/>
              </w:rPr>
              <w:t>a)</w:t>
            </w:r>
            <w:r w:rsidRPr="005C7E2B">
              <w:rPr>
                <w:rFonts w:ascii="Times New Roman" w:hAnsi="Times New Roman" w:cs="Times New Roman"/>
                <w:sz w:val="18"/>
                <w:szCs w:val="18"/>
              </w:rPr>
              <w:t xml:space="preserve"> pRN12-Broccoli with the Broccoli fluorophore under the control of p</w:t>
            </w:r>
            <w:r w:rsidRPr="005C7E2B">
              <w:rPr>
                <w:rFonts w:ascii="Times New Roman" w:hAnsi="Times New Roman" w:cs="Times New Roman"/>
                <w:i/>
                <w:iCs/>
                <w:sz w:val="18"/>
                <w:szCs w:val="18"/>
              </w:rPr>
              <w:t>sarA</w:t>
            </w:r>
            <w:r w:rsidRPr="005C7E2B">
              <w:rPr>
                <w:rFonts w:ascii="Times New Roman" w:hAnsi="Times New Roman" w:cs="Times New Roman"/>
                <w:sz w:val="18"/>
                <w:szCs w:val="18"/>
              </w:rPr>
              <w:t xml:space="preserve"> and </w:t>
            </w:r>
            <w:r w:rsidRPr="005C7E2B">
              <w:rPr>
                <w:rFonts w:ascii="Times New Roman" w:hAnsi="Times New Roman" w:cs="Times New Roman"/>
                <w:b/>
                <w:bCs/>
                <w:sz w:val="18"/>
                <w:szCs w:val="18"/>
              </w:rPr>
              <w:t>b)</w:t>
            </w:r>
            <w:r w:rsidRPr="005C7E2B">
              <w:rPr>
                <w:rFonts w:ascii="Times New Roman" w:hAnsi="Times New Roman" w:cs="Times New Roman"/>
                <w:sz w:val="18"/>
                <w:szCs w:val="18"/>
              </w:rPr>
              <w:t xml:space="preserve"> pRN12-riboswitch-Broccoli with the riboswitch-Broccoli aptamer under the control of p</w:t>
            </w:r>
            <w:r w:rsidRPr="005C7E2B">
              <w:rPr>
                <w:rFonts w:ascii="Times New Roman" w:hAnsi="Times New Roman" w:cs="Times New Roman"/>
                <w:i/>
                <w:iCs/>
                <w:sz w:val="18"/>
                <w:szCs w:val="18"/>
              </w:rPr>
              <w:t>sarA</w:t>
            </w:r>
            <w:r w:rsidRPr="005C7E2B">
              <w:rPr>
                <w:rFonts w:ascii="Times New Roman" w:hAnsi="Times New Roman" w:cs="Times New Roman"/>
                <w:sz w:val="18"/>
                <w:szCs w:val="18"/>
              </w:rPr>
              <w:t>. p</w:t>
            </w:r>
            <w:r w:rsidRPr="005C7E2B">
              <w:rPr>
                <w:rFonts w:ascii="Times New Roman" w:hAnsi="Times New Roman" w:cs="Times New Roman"/>
                <w:i/>
                <w:iCs/>
                <w:sz w:val="18"/>
                <w:szCs w:val="18"/>
              </w:rPr>
              <w:t>sarA</w:t>
            </w:r>
            <w:r w:rsidRPr="005C7E2B">
              <w:rPr>
                <w:rFonts w:ascii="Times New Roman" w:hAnsi="Times New Roman" w:cs="Times New Roman"/>
                <w:sz w:val="18"/>
                <w:szCs w:val="18"/>
              </w:rPr>
              <w:t xml:space="preserve">; orange, mAmetrine; light green, Broccoli; green, riboswitch; peach, T7 terminator; light blue, CamR; chloramphenicol resistance in </w:t>
            </w:r>
            <w:r w:rsidRPr="005C7E2B">
              <w:rPr>
                <w:rFonts w:ascii="Times New Roman" w:hAnsi="Times New Roman" w:cs="Times New Roman"/>
                <w:i/>
                <w:iCs/>
                <w:sz w:val="18"/>
                <w:szCs w:val="18"/>
              </w:rPr>
              <w:t>S. aureus</w:t>
            </w:r>
            <w:r w:rsidRPr="005C7E2B">
              <w:rPr>
                <w:rFonts w:ascii="Times New Roman" w:hAnsi="Times New Roman" w:cs="Times New Roman"/>
                <w:sz w:val="18"/>
                <w:szCs w:val="18"/>
              </w:rPr>
              <w:t xml:space="preserve"> (blue), AmpR; ampicillin resistance in </w:t>
            </w:r>
            <w:r w:rsidRPr="005C7E2B">
              <w:rPr>
                <w:rFonts w:ascii="Times New Roman" w:hAnsi="Times New Roman" w:cs="Times New Roman"/>
                <w:i/>
                <w:iCs/>
                <w:sz w:val="18"/>
                <w:szCs w:val="18"/>
              </w:rPr>
              <w:t>E. coli</w:t>
            </w:r>
            <w:r w:rsidRPr="005C7E2B">
              <w:rPr>
                <w:rFonts w:ascii="Times New Roman" w:hAnsi="Times New Roman" w:cs="Times New Roman"/>
                <w:sz w:val="18"/>
                <w:szCs w:val="18"/>
              </w:rPr>
              <w:t xml:space="preserve"> (grey). </w:t>
            </w:r>
            <w:r w:rsidRPr="005C7E2B">
              <w:rPr>
                <w:rFonts w:ascii="Times New Roman" w:hAnsi="Times New Roman" w:cs="Times New Roman"/>
                <w:b/>
                <w:bCs/>
                <w:sz w:val="18"/>
                <w:szCs w:val="18"/>
              </w:rPr>
              <w:t>c)</w:t>
            </w:r>
            <w:r w:rsidRPr="005C7E2B">
              <w:rPr>
                <w:rFonts w:ascii="Times New Roman" w:hAnsi="Times New Roman" w:cs="Times New Roman"/>
                <w:sz w:val="18"/>
                <w:szCs w:val="18"/>
              </w:rPr>
              <w:t xml:space="preserve"> PCR of plasmid DNA isolated from RN4220 pRN12-Broccoli (lanes 1-4) (543 bp) and RN4220 pRN12-riboswitch-Broccoli (lanes 5-7) (580 bp) to confirm presence of the plasmid. d) PCR on plasmid DNA isolated from RN4220 pRN12 (no mAmetrine) using primers RMC889/890 to confirm its presence. PCR products were run on 1% agarose gels. Ladder sizes are shown. </w:t>
            </w:r>
          </w:p>
          <w:p w14:paraId="11A49C7A" w14:textId="77777777" w:rsidR="00187693" w:rsidRPr="00760622" w:rsidRDefault="00187693" w:rsidP="00A74445">
            <w:pPr>
              <w:jc w:val="both"/>
              <w:rPr>
                <w:rFonts w:ascii="Times New Roman" w:hAnsi="Times New Roman" w:cs="Times New Roman"/>
                <w:sz w:val="18"/>
                <w:szCs w:val="18"/>
              </w:rPr>
            </w:pPr>
          </w:p>
        </w:tc>
      </w:tr>
    </w:tbl>
    <w:p w14:paraId="53725648" w14:textId="77777777" w:rsidR="00187693" w:rsidRPr="00A23194" w:rsidRDefault="00187693" w:rsidP="00187693">
      <w:pPr>
        <w:spacing w:line="360" w:lineRule="auto"/>
        <w:jc w:val="both"/>
        <w:rPr>
          <w:rFonts w:ascii="Times New Roman" w:hAnsi="Times New Roman" w:cs="Times New Roman"/>
          <w:i/>
          <w:iCs/>
        </w:rPr>
      </w:pPr>
    </w:p>
    <w:p w14:paraId="6464EA63" w14:textId="77777777" w:rsidR="00187693" w:rsidRDefault="00187693" w:rsidP="00187693">
      <w:pPr>
        <w:pStyle w:val="Heading4"/>
      </w:pPr>
      <w:r>
        <w:t>3.4.3.1 Live-cell characterisation – multicopy vector</w:t>
      </w:r>
    </w:p>
    <w:p w14:paraId="0E80B6D4" w14:textId="77777777" w:rsidR="00187693" w:rsidRDefault="00187693" w:rsidP="00187693"/>
    <w:p w14:paraId="7AF294D7" w14:textId="76563DA9" w:rsidR="00187693" w:rsidRDefault="00187693" w:rsidP="0018769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To assess whether the multicopy biosensor construct was functional, a similar fluorescence assay was conducted as with the integrative vector biosensor. The biosensor-containing </w:t>
      </w:r>
      <w:r>
        <w:rPr>
          <w:rFonts w:ascii="Times New Roman" w:hAnsi="Times New Roman" w:cs="Times New Roman"/>
          <w:i/>
          <w:iCs/>
          <w:color w:val="000000" w:themeColor="text1"/>
        </w:rPr>
        <w:t xml:space="preserve">S. </w:t>
      </w:r>
      <w:r w:rsidRPr="00944EE9">
        <w:rPr>
          <w:rFonts w:ascii="Times New Roman" w:hAnsi="Times New Roman" w:cs="Times New Roman"/>
          <w:i/>
          <w:iCs/>
          <w:color w:val="000000" w:themeColor="text1"/>
        </w:rPr>
        <w:t>aureus</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strain </w:t>
      </w:r>
      <w:r w:rsidRPr="00944EE9">
        <w:rPr>
          <w:rFonts w:ascii="Times New Roman" w:hAnsi="Times New Roman" w:cs="Times New Roman"/>
          <w:color w:val="000000" w:themeColor="text1"/>
        </w:rPr>
        <w:t>and</w:t>
      </w:r>
      <w:r>
        <w:rPr>
          <w:rFonts w:ascii="Times New Roman" w:hAnsi="Times New Roman" w:cs="Times New Roman"/>
          <w:color w:val="000000" w:themeColor="text1"/>
        </w:rPr>
        <w:t xml:space="preserve"> its relevant controls were grown in CDM in the presence of chloramphenicol to maintain the plasmid to mid-exponential phase and the culture was subject to two washes in</w:t>
      </w:r>
      <w:r w:rsidR="003230FA">
        <w:rPr>
          <w:rFonts w:ascii="Times New Roman" w:hAnsi="Times New Roman" w:cs="Times New Roman"/>
          <w:color w:val="000000" w:themeColor="text1"/>
        </w:rPr>
        <w:t xml:space="preserve"> complete CDM or</w:t>
      </w:r>
      <w:r>
        <w:rPr>
          <w:rFonts w:ascii="Times New Roman" w:hAnsi="Times New Roman" w:cs="Times New Roman"/>
          <w:color w:val="000000" w:themeColor="text1"/>
        </w:rPr>
        <w:t xml:space="preserve"> CDM-L/V. DFHBI-1T was added to samples taken before and after washing in CDM-L/V and the cultures were incubated at room temperature for 30 minutes in the absence of light as DFHBI-1T is light-sensitive. Fluorescence measurements were taken post incubation as demonstrated in </w:t>
      </w:r>
      <w:r w:rsidRPr="006948E7">
        <w:rPr>
          <w:rFonts w:ascii="Times New Roman" w:hAnsi="Times New Roman" w:cs="Times New Roman"/>
          <w:b/>
          <w:bCs/>
          <w:color w:val="000000" w:themeColor="text1"/>
        </w:rPr>
        <w:t>Figure 3.4.</w:t>
      </w:r>
      <w:r>
        <w:rPr>
          <w:rFonts w:ascii="Times New Roman" w:hAnsi="Times New Roman" w:cs="Times New Roman"/>
          <w:b/>
          <w:bCs/>
          <w:color w:val="000000" w:themeColor="text1"/>
        </w:rPr>
        <w:t>5</w:t>
      </w:r>
      <w:r w:rsidRPr="006948E7">
        <w:rPr>
          <w:rFonts w:ascii="Times New Roman" w:hAnsi="Times New Roman" w:cs="Times New Roman"/>
          <w:b/>
          <w:bCs/>
          <w:color w:val="000000" w:themeColor="text1"/>
        </w:rPr>
        <w:t>.</w:t>
      </w:r>
      <w:r>
        <w:rPr>
          <w:rFonts w:ascii="Times New Roman" w:hAnsi="Times New Roman" w:cs="Times New Roman"/>
          <w:color w:val="000000" w:themeColor="text1"/>
        </w:rPr>
        <w:t xml:space="preserve"> This protocol was developed to mimic a fluorescence microscopy protocol taken from </w:t>
      </w:r>
      <w:r w:rsidRPr="004F66B1">
        <w:rPr>
          <w:rFonts w:ascii="Times New Roman" w:hAnsi="Times New Roman" w:cs="Times New Roman"/>
          <w:b/>
          <w:bCs/>
          <w:color w:val="000000" w:themeColor="text1"/>
        </w:rPr>
        <w:fldChar w:fldCharType="begin"/>
      </w:r>
      <w:r w:rsidRPr="004F66B1">
        <w:rPr>
          <w:rFonts w:ascii="Times New Roman" w:hAnsi="Times New Roman" w:cs="Times New Roman"/>
          <w:b/>
          <w:bCs/>
          <w:color w:val="000000" w:themeColor="text1"/>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format="utc"&gt;1663624413&lt;/last-updated-date&gt;&lt;accession-num&gt;WOS:000703547600001&lt;/accession-num&gt;&lt;electronic-resource-num&gt;10.1002/anie.202111170&lt;/electronic-resource-num&gt;&lt;volume&gt;60&lt;/volume&gt;&lt;/record&gt;&lt;/Cite&gt;&lt;/EndNote&gt;</w:instrText>
      </w:r>
      <w:r w:rsidRPr="004F66B1">
        <w:rPr>
          <w:rFonts w:ascii="Times New Roman" w:hAnsi="Times New Roman" w:cs="Times New Roman"/>
          <w:b/>
          <w:bCs/>
          <w:color w:val="000000" w:themeColor="text1"/>
        </w:rPr>
        <w:fldChar w:fldCharType="separate"/>
      </w:r>
      <w:r w:rsidRPr="004F66B1">
        <w:rPr>
          <w:rFonts w:ascii="Times New Roman" w:hAnsi="Times New Roman" w:cs="Times New Roman"/>
          <w:b/>
          <w:bCs/>
          <w:noProof/>
          <w:color w:val="000000" w:themeColor="text1"/>
        </w:rPr>
        <w:t>(Sun</w:t>
      </w:r>
      <w:r w:rsidRPr="004F66B1">
        <w:rPr>
          <w:rFonts w:ascii="Times New Roman" w:hAnsi="Times New Roman" w:cs="Times New Roman"/>
          <w:b/>
          <w:bCs/>
          <w:i/>
          <w:noProof/>
          <w:color w:val="000000" w:themeColor="text1"/>
        </w:rPr>
        <w:t xml:space="preserve"> et al.</w:t>
      </w:r>
      <w:r w:rsidRPr="004F66B1">
        <w:rPr>
          <w:rFonts w:ascii="Times New Roman" w:hAnsi="Times New Roman" w:cs="Times New Roman"/>
          <w:b/>
          <w:bCs/>
          <w:noProof/>
          <w:color w:val="000000" w:themeColor="text1"/>
        </w:rPr>
        <w:t>, 2021)</w:t>
      </w:r>
      <w:r w:rsidRPr="004F66B1">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where cells were imaged before and after being washed in minimal media. However here, while the positive control pRN12-Broccoli displayed higher levels of fluorescence, the riboswitch-Broccoli biosensor fluoresced similar to the negative control. The data from experiments conducted with both the integrative vector and multicopy vector suggests that while the Broccoli positive control may fluoresce, albeit at a lower level than expected, the biosensor construct itself does not</w:t>
      </w:r>
      <w:r w:rsidR="007115EB">
        <w:rPr>
          <w:rFonts w:ascii="Times New Roman" w:hAnsi="Times New Roman" w:cs="Times New Roman"/>
          <w:color w:val="000000" w:themeColor="text1"/>
        </w:rPr>
        <w:t xml:space="preserve"> using these methods</w:t>
      </w:r>
      <w:r>
        <w:rPr>
          <w:rFonts w:ascii="Times New Roman" w:hAnsi="Times New Roman" w:cs="Times New Roman"/>
          <w:color w:val="000000" w:themeColor="text1"/>
        </w:rPr>
        <w:t>, for reasons that have yet to be elucidated.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3B5CA236" w14:textId="77777777" w:rsidTr="00A74445">
        <w:tc>
          <w:tcPr>
            <w:tcW w:w="9016" w:type="dxa"/>
          </w:tcPr>
          <w:p w14:paraId="4744F44A" w14:textId="77777777" w:rsidR="00187693" w:rsidRDefault="00187693" w:rsidP="00A74445">
            <w:pPr>
              <w:spacing w:line="360" w:lineRule="auto"/>
              <w:jc w:val="both"/>
              <w:rPr>
                <w:rFonts w:ascii="Times New Roman" w:hAnsi="Times New Roman" w:cs="Times New Roman"/>
                <w:color w:val="000000" w:themeColor="text1"/>
              </w:rPr>
            </w:pPr>
            <w:r w:rsidRPr="00760622">
              <w:rPr>
                <w:rFonts w:ascii="Times New Roman" w:hAnsi="Times New Roman" w:cs="Times New Roman"/>
                <w:noProof/>
                <w:color w:val="000000" w:themeColor="text1"/>
              </w:rPr>
              <w:drawing>
                <wp:inline distT="0" distB="0" distL="0" distR="0" wp14:anchorId="32A8F375" wp14:editId="1690A5C0">
                  <wp:extent cx="5106035" cy="2136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6035" cy="2136775"/>
                          </a:xfrm>
                          <a:prstGeom prst="rect">
                            <a:avLst/>
                          </a:prstGeom>
                          <a:noFill/>
                          <a:ln>
                            <a:noFill/>
                          </a:ln>
                        </pic:spPr>
                      </pic:pic>
                    </a:graphicData>
                  </a:graphic>
                </wp:inline>
              </w:drawing>
            </w:r>
          </w:p>
        </w:tc>
      </w:tr>
      <w:tr w:rsidR="00187693" w14:paraId="67DB5B72" w14:textId="77777777" w:rsidTr="00A74445">
        <w:tc>
          <w:tcPr>
            <w:tcW w:w="9016" w:type="dxa"/>
          </w:tcPr>
          <w:p w14:paraId="6BC7B799" w14:textId="77777777" w:rsidR="00187693" w:rsidRDefault="00187693" w:rsidP="00A74445">
            <w:pPr>
              <w:jc w:val="both"/>
              <w:rPr>
                <w:rFonts w:ascii="Times New Roman" w:hAnsi="Times New Roman" w:cs="Times New Roman"/>
                <w:color w:val="000000" w:themeColor="text1"/>
              </w:rPr>
            </w:pPr>
            <w:r w:rsidRPr="00760622">
              <w:rPr>
                <w:rFonts w:ascii="Times New Roman" w:hAnsi="Times New Roman" w:cs="Times New Roman"/>
                <w:b/>
                <w:bCs/>
                <w:color w:val="000000" w:themeColor="text1"/>
                <w:sz w:val="18"/>
                <w:szCs w:val="18"/>
              </w:rPr>
              <w:t xml:space="preserve">Figure 3.4.5. The riboswitch-Broccoli molecular (p)ppGpp biosensor (multicopy plasmid) does not fluoresce in response to amino acid stress. </w:t>
            </w:r>
            <w:r w:rsidRPr="00760622">
              <w:rPr>
                <w:rFonts w:ascii="Times New Roman" w:hAnsi="Times New Roman" w:cs="Times New Roman"/>
                <w:color w:val="000000" w:themeColor="text1"/>
                <w:sz w:val="18"/>
                <w:szCs w:val="18"/>
              </w:rPr>
              <w:t>The negative control (RN4220 pRN12) (black), positive control (RN4220 pRN12-Broccoli) (pink) and biosensor (RN4220 pRN12-riboswitch-Broccoli) (teal) were grown to ~OD</w:t>
            </w:r>
            <w:r w:rsidRPr="00760622">
              <w:rPr>
                <w:rFonts w:ascii="Times New Roman" w:hAnsi="Times New Roman" w:cs="Times New Roman"/>
                <w:color w:val="000000" w:themeColor="text1"/>
                <w:sz w:val="18"/>
                <w:szCs w:val="18"/>
                <w:vertAlign w:val="subscript"/>
              </w:rPr>
              <w:t>600</w:t>
            </w:r>
            <w:r w:rsidRPr="00760622">
              <w:rPr>
                <w:rFonts w:ascii="Times New Roman" w:hAnsi="Times New Roman" w:cs="Times New Roman"/>
                <w:color w:val="000000" w:themeColor="text1"/>
                <w:sz w:val="18"/>
                <w:szCs w:val="18"/>
              </w:rPr>
              <w:t xml:space="preserve"> 0.3-0.4 in CDM. Samples were taken before (closed symbols) and after (open symbols) washes in CDM-L/V (open symbols). DFHBI-1T (200 μM) was added and cultures were incubated at room temperature for 30 minutes with fluorescence measurements (485/520 nm) taken at 0, 15, 30 and 60 minutes post incubation using a Hidex Sense Platereader. This experiment was performed once.</w:t>
            </w:r>
          </w:p>
        </w:tc>
      </w:tr>
    </w:tbl>
    <w:p w14:paraId="65500FC9" w14:textId="77777777" w:rsidR="00187693" w:rsidRDefault="00187693" w:rsidP="00187693">
      <w:pPr>
        <w:spacing w:line="360" w:lineRule="auto"/>
        <w:jc w:val="both"/>
        <w:rPr>
          <w:rFonts w:ascii="Times New Roman" w:hAnsi="Times New Roman" w:cs="Times New Roman"/>
          <w:color w:val="000000" w:themeColor="text1"/>
        </w:rPr>
      </w:pPr>
    </w:p>
    <w:p w14:paraId="4B7A7706" w14:textId="77777777" w:rsidR="00187693" w:rsidRDefault="00187693" w:rsidP="00187693">
      <w:pPr>
        <w:pStyle w:val="Heading3"/>
      </w:pPr>
      <w:bookmarkStart w:id="134" w:name="_Toc142043636"/>
      <w:r>
        <w:t>3.4.4. Construction of a dual promoter-reporter fusion</w:t>
      </w:r>
      <w:bookmarkEnd w:id="134"/>
      <w:r>
        <w:t xml:space="preserve"> </w:t>
      </w:r>
    </w:p>
    <w:p w14:paraId="3434F553" w14:textId="77777777" w:rsidR="00187693" w:rsidRDefault="00187693" w:rsidP="00187693"/>
    <w:p w14:paraId="6EB44A51" w14:textId="5593E6EA" w:rsidR="00187693" w:rsidRDefault="00187693" w:rsidP="0018769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As transcriptional-reporter fusions have been constructed to measure (p)ppGpp levels via fluorescence previously </w:t>
      </w:r>
      <w:r w:rsidRPr="008050C3">
        <w:rPr>
          <w:rFonts w:ascii="Times New Roman" w:hAnsi="Times New Roman" w:cs="Times New Roman"/>
          <w:b/>
          <w:bCs/>
          <w:color w:val="000000" w:themeColor="text1"/>
        </w:rPr>
        <w:fldChar w:fldCharType="begin">
          <w:fldData xml:space="preserve">PEVuZE5vdGU+PENpdGU+PEF1dGhvcj5HYXdpbjwvQXV0aG9yPjxZZWFyPjIwMTk8L1llYXI+PElE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</w:fldData>
        </w:fldChar>
      </w:r>
      <w:r w:rsidRPr="008050C3">
        <w:rPr>
          <w:rFonts w:ascii="Times New Roman" w:hAnsi="Times New Roman" w:cs="Times New Roman"/>
          <w:b/>
          <w:bCs/>
          <w:color w:val="000000" w:themeColor="text1"/>
        </w:rPr>
        <w:instrText xml:space="preserve"> ADDIN EN.CITE </w:instrText>
      </w:r>
      <w:r w:rsidRPr="008050C3">
        <w:rPr>
          <w:rFonts w:ascii="Times New Roman" w:hAnsi="Times New Roman" w:cs="Times New Roman"/>
          <w:b/>
          <w:bCs/>
          <w:color w:val="000000" w:themeColor="text1"/>
        </w:rPr>
        <w:fldChar w:fldCharType="begin">
          <w:fldData xml:space="preserve">PEVuZE5vdGU+PENpdGU+PEF1dGhvcj5HYXdpbjwvQXV0aG9yPjxZZWFyPjIwMTk8L1llYXI+PElE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</w:fldData>
        </w:fldChar>
      </w:r>
      <w:r w:rsidRPr="008050C3">
        <w:rPr>
          <w:rFonts w:ascii="Times New Roman" w:hAnsi="Times New Roman" w:cs="Times New Roman"/>
          <w:b/>
          <w:bCs/>
          <w:color w:val="000000" w:themeColor="text1"/>
        </w:rPr>
        <w:instrText xml:space="preserve"> ADDIN EN.CITE.DATA </w:instrText>
      </w:r>
      <w:r w:rsidRPr="008050C3">
        <w:rPr>
          <w:rFonts w:ascii="Times New Roman" w:hAnsi="Times New Roman" w:cs="Times New Roman"/>
          <w:b/>
          <w:bCs/>
          <w:color w:val="000000" w:themeColor="text1"/>
        </w:rPr>
      </w:r>
      <w:r w:rsidRPr="008050C3">
        <w:rPr>
          <w:rFonts w:ascii="Times New Roman" w:hAnsi="Times New Roman" w:cs="Times New Roman"/>
          <w:b/>
          <w:bCs/>
          <w:color w:val="000000" w:themeColor="text1"/>
        </w:rPr>
        <w:fldChar w:fldCharType="end"/>
      </w:r>
      <w:r w:rsidRPr="008050C3">
        <w:rPr>
          <w:rFonts w:ascii="Times New Roman" w:hAnsi="Times New Roman" w:cs="Times New Roman"/>
          <w:b/>
          <w:bCs/>
          <w:color w:val="000000" w:themeColor="text1"/>
        </w:rPr>
      </w:r>
      <w:r w:rsidRPr="008050C3">
        <w:rPr>
          <w:rFonts w:ascii="Times New Roman" w:hAnsi="Times New Roman" w:cs="Times New Roman"/>
          <w:b/>
          <w:bCs/>
          <w:color w:val="000000" w:themeColor="text1"/>
        </w:rPr>
        <w:fldChar w:fldCharType="separate"/>
      </w:r>
      <w:r w:rsidRPr="008050C3">
        <w:rPr>
          <w:rFonts w:ascii="Times New Roman" w:hAnsi="Times New Roman" w:cs="Times New Roman"/>
          <w:b/>
          <w:bCs/>
          <w:noProof/>
          <w:color w:val="000000" w:themeColor="text1"/>
        </w:rPr>
        <w:t>(Gawin</w:t>
      </w:r>
      <w:r w:rsidRPr="008050C3">
        <w:rPr>
          <w:rFonts w:ascii="Times New Roman" w:hAnsi="Times New Roman" w:cs="Times New Roman"/>
          <w:b/>
          <w:bCs/>
          <w:i/>
          <w:noProof/>
          <w:color w:val="000000" w:themeColor="text1"/>
        </w:rPr>
        <w:t xml:space="preserve"> et al.</w:t>
      </w:r>
      <w:r w:rsidRPr="008050C3">
        <w:rPr>
          <w:rFonts w:ascii="Times New Roman" w:hAnsi="Times New Roman" w:cs="Times New Roman"/>
          <w:b/>
          <w:bCs/>
          <w:noProof/>
          <w:color w:val="000000" w:themeColor="text1"/>
        </w:rPr>
        <w:t>, 2019; Goormaghtigh</w:t>
      </w:r>
      <w:r w:rsidRPr="008050C3">
        <w:rPr>
          <w:rFonts w:ascii="Times New Roman" w:hAnsi="Times New Roman" w:cs="Times New Roman"/>
          <w:b/>
          <w:bCs/>
          <w:i/>
          <w:noProof/>
          <w:color w:val="000000" w:themeColor="text1"/>
        </w:rPr>
        <w:t xml:space="preserve"> et al.</w:t>
      </w:r>
      <w:r w:rsidRPr="008050C3">
        <w:rPr>
          <w:rFonts w:ascii="Times New Roman" w:hAnsi="Times New Roman" w:cs="Times New Roman"/>
          <w:b/>
          <w:bCs/>
          <w:noProof/>
          <w:color w:val="000000" w:themeColor="text1"/>
        </w:rPr>
        <w:t xml:space="preserve">, 2018; Bartoli </w:t>
      </w:r>
      <w:r w:rsidRPr="008050C3">
        <w:rPr>
          <w:rFonts w:ascii="Times New Roman" w:hAnsi="Times New Roman" w:cs="Times New Roman"/>
          <w:b/>
          <w:bCs/>
          <w:i/>
          <w:noProof/>
          <w:color w:val="000000" w:themeColor="text1"/>
        </w:rPr>
        <w:t xml:space="preserve"> et al.</w:t>
      </w:r>
      <w:r w:rsidRPr="008050C3">
        <w:rPr>
          <w:rFonts w:ascii="Times New Roman" w:hAnsi="Times New Roman" w:cs="Times New Roman"/>
          <w:b/>
          <w:bCs/>
          <w:noProof/>
          <w:color w:val="000000" w:themeColor="text1"/>
        </w:rPr>
        <w:t>, 2020)</w:t>
      </w:r>
      <w:r w:rsidRPr="008050C3">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a transcriptional-reporter fusion using the promoters of genes that are known to be regulated by (p)ppGpp, was developed. The promoters </w:t>
      </w:r>
      <w:r w:rsidR="00C63CAB">
        <w:rPr>
          <w:rFonts w:ascii="Times New Roman" w:hAnsi="Times New Roman" w:cs="Times New Roman"/>
          <w:color w:val="000000" w:themeColor="text1"/>
        </w:rPr>
        <w:t>of</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S. aureus</w:t>
      </w:r>
      <w:r>
        <w:rPr>
          <w:rFonts w:ascii="Times New Roman" w:hAnsi="Times New Roman" w:cs="Times New Roman"/>
          <w:color w:val="000000" w:themeColor="text1"/>
        </w:rPr>
        <w:t xml:space="preserve"> genes </w:t>
      </w:r>
      <w:r>
        <w:rPr>
          <w:rFonts w:ascii="Times New Roman" w:hAnsi="Times New Roman" w:cs="Times New Roman"/>
          <w:i/>
          <w:iCs/>
          <w:color w:val="000000" w:themeColor="text1"/>
        </w:rPr>
        <w:t>ilvD</w:t>
      </w:r>
      <w:r>
        <w:rPr>
          <w:rFonts w:ascii="Times New Roman" w:hAnsi="Times New Roman" w:cs="Times New Roman"/>
          <w:color w:val="000000" w:themeColor="text1"/>
        </w:rPr>
        <w:t xml:space="preserve"> and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were used to design a dual reporter plasmid </w:t>
      </w:r>
      <w:r>
        <w:rPr>
          <w:rFonts w:ascii="Times New Roman" w:hAnsi="Times New Roman" w:cs="Times New Roman"/>
          <w:b/>
          <w:bCs/>
          <w:color w:val="000000" w:themeColor="text1"/>
        </w:rPr>
        <w:t>(Fig. 3.4.6a)</w:t>
      </w:r>
      <w:r>
        <w:rPr>
          <w:rFonts w:ascii="Times New Roman" w:hAnsi="Times New Roman" w:cs="Times New Roman"/>
          <w:i/>
          <w:iCs/>
          <w:color w:val="000000" w:themeColor="text1"/>
        </w:rPr>
        <w:t>.</w:t>
      </w:r>
      <w:r>
        <w:rPr>
          <w:rFonts w:ascii="Times New Roman" w:hAnsi="Times New Roman" w:cs="Times New Roman"/>
          <w:color w:val="000000" w:themeColor="text1"/>
        </w:rPr>
        <w:t xml:space="preserve"> The </w:t>
      </w:r>
      <w:r>
        <w:rPr>
          <w:rFonts w:ascii="Times New Roman" w:hAnsi="Times New Roman" w:cs="Times New Roman"/>
          <w:i/>
          <w:iCs/>
          <w:color w:val="000000" w:themeColor="text1"/>
        </w:rPr>
        <w:t xml:space="preserve">ilvD </w:t>
      </w:r>
      <w:r>
        <w:rPr>
          <w:rFonts w:ascii="Times New Roman" w:hAnsi="Times New Roman" w:cs="Times New Roman"/>
          <w:color w:val="000000" w:themeColor="text1"/>
        </w:rPr>
        <w:t xml:space="preserve">gene encodes for a dihydroxy-acid dehydratase involved in branched-chain amino acid (BCAA) synthesis </w:t>
      </w:r>
      <w:r w:rsidRPr="003944C7">
        <w:rPr>
          <w:rFonts w:ascii="Times New Roman" w:hAnsi="Times New Roman" w:cs="Times New Roman"/>
          <w:b/>
          <w:bCs/>
          <w:color w:val="000000" w:themeColor="text1"/>
        </w:rPr>
        <w:fldChar w:fldCharType="begin"/>
      </w:r>
      <w:r w:rsidRPr="003944C7">
        <w:rPr>
          <w:rFonts w:ascii="Times New Roman" w:hAnsi="Times New Roman" w:cs="Times New Roman"/>
          <w:b/>
          <w:bCs/>
          <w:color w:val="000000" w:themeColor="text1"/>
        </w:rPr>
        <w:instrText xml:space="preserve"> ADDIN EN.CITE &lt;EndNote&gt;&lt;Cite&gt;&lt;Author&gt;Horvatek&lt;/Author&gt;&lt;Year&gt;2020&lt;/Year&gt;&lt;IDText&gt;Inducible expression of (pp)pGpp synthetases in Staphylococcus aureus is associated with activation of stress response genes&lt;/IDText&gt;&lt;DisplayText&gt;(Horvatek&lt;style face="italic"&gt; et al.&lt;/style&gt;, 2020)&lt;/DisplayText&gt;&lt;record&gt;&lt;dates&gt;&lt;pub-dates&gt;&lt;date&gt;Dec&lt;/date&gt;&lt;/pub-dates&gt;&lt;year&gt;2020&lt;/year&gt;&lt;/dates&gt;&lt;urls&gt;&lt;related-urls&gt;&lt;url&gt;&amp;lt;Go to ISI&amp;gt;://WOS:000605323700002&lt;/url&gt;&lt;/related-urls&gt;&lt;/urls&gt;&lt;isbn&gt;1553-7404&lt;/isbn&gt;&lt;work-type&gt;Article&lt;/work-type&gt;&lt;titles&gt;&lt;title&gt;Inducible expression of (pp)pGpp synthetases in Staphylococcus aureus is associated with activation of stress response genes&lt;/title&gt;&lt;secondary-title&gt;Plos Genetics&lt;/secondary-title&gt;&lt;/titles&gt;&lt;number&gt;12&lt;/number&gt;&lt;contributors&gt;&lt;authors&gt;&lt;author&gt;Horvatek, Petra&lt;/author&gt;&lt;author&gt;Salzer, Andrea&lt;/author&gt;&lt;author&gt;Hanna, Andrew Magdy Fekry&lt;/author&gt;&lt;author&gt;Gratani, Fabio Lino&lt;/author&gt;&lt;author&gt;Keinhoerster, Daniela&lt;/author&gt;&lt;author&gt;Korn, Natalya&lt;/author&gt;&lt;author&gt;Borisova, Marina&lt;/author&gt;&lt;author&gt;Mayer, Christoph&lt;/author&gt;&lt;author&gt;Rejman, Dominik&lt;/author&gt;&lt;author&gt;Maeder, Ulrike&lt;/author&gt;&lt;author&gt;Wolz, Christiane&lt;/author&gt;&lt;/authors&gt;&lt;/contributors&gt;&lt;custom7&gt;e1009282&lt;/custom7&gt;&lt;added-date format="utc"&gt;1674489920&lt;/added-date&gt;&lt;ref-type name="Journal Article"&gt;17&lt;/ref-type&gt;&lt;rec-number&gt;243&lt;/rec-number&gt;&lt;last-updated-date format="utc"&gt;1674489920&lt;/last-updated-date&gt;&lt;accession-num&gt;WOS:000605323700002&lt;/accession-num&gt;&lt;electronic-resource-num&gt;10.1371/journal.pgen.1009282&lt;/electronic-resource-num&gt;&lt;volume&gt;16&lt;/volume&gt;&lt;/record&gt;&lt;/Cite&gt;&lt;/EndNote&gt;</w:instrText>
      </w:r>
      <w:r w:rsidRPr="003944C7">
        <w:rPr>
          <w:rFonts w:ascii="Times New Roman" w:hAnsi="Times New Roman" w:cs="Times New Roman"/>
          <w:b/>
          <w:bCs/>
          <w:color w:val="000000" w:themeColor="text1"/>
        </w:rPr>
        <w:fldChar w:fldCharType="separate"/>
      </w:r>
      <w:r w:rsidRPr="003944C7">
        <w:rPr>
          <w:rFonts w:ascii="Times New Roman" w:hAnsi="Times New Roman" w:cs="Times New Roman"/>
          <w:b/>
          <w:bCs/>
          <w:noProof/>
          <w:color w:val="000000" w:themeColor="text1"/>
        </w:rPr>
        <w:t>(Horvatek</w:t>
      </w:r>
      <w:r w:rsidRPr="003944C7">
        <w:rPr>
          <w:rFonts w:ascii="Times New Roman" w:hAnsi="Times New Roman" w:cs="Times New Roman"/>
          <w:b/>
          <w:bCs/>
          <w:i/>
          <w:noProof/>
          <w:color w:val="000000" w:themeColor="text1"/>
        </w:rPr>
        <w:t xml:space="preserve"> et al.</w:t>
      </w:r>
      <w:r w:rsidRPr="003944C7">
        <w:rPr>
          <w:rFonts w:ascii="Times New Roman" w:hAnsi="Times New Roman" w:cs="Times New Roman"/>
          <w:b/>
          <w:bCs/>
          <w:noProof/>
          <w:color w:val="000000" w:themeColor="text1"/>
        </w:rPr>
        <w:t>, 2020)</w:t>
      </w:r>
      <w:r w:rsidRPr="003944C7">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that is necessary during the SR when nutrients are depleted. In contrast,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encodes for a 30S ribosomal protein S15 </w:t>
      </w:r>
      <w:r w:rsidRPr="003944C7">
        <w:rPr>
          <w:rFonts w:ascii="Times New Roman" w:hAnsi="Times New Roman" w:cs="Times New Roman"/>
          <w:b/>
          <w:bCs/>
          <w:color w:val="000000" w:themeColor="text1"/>
        </w:rPr>
        <w:fldChar w:fldCharType="begin"/>
      </w:r>
      <w:r w:rsidRPr="003944C7">
        <w:rPr>
          <w:rFonts w:ascii="Times New Roman" w:hAnsi="Times New Roman" w:cs="Times New Roman"/>
          <w:b/>
          <w:bCs/>
          <w:color w:val="000000" w:themeColor="text1"/>
        </w:rPr>
        <w:instrText xml:space="preserve"> ADDIN EN.CITE &lt;EndNote&gt;&lt;Cite&gt;&lt;Author&gt;Horvatek&lt;/Author&gt;&lt;Year&gt;2020&lt;/Year&gt;&lt;IDText&gt;Inducible expression of (pp)pGpp synthetases in Staphylococcus aureus is associated with activation of stress response genes&lt;/IDText&gt;&lt;DisplayText&gt;(Horvatek&lt;style face="italic"&gt; et al.&lt;/style&gt;, 2020)&lt;/DisplayText&gt;&lt;record&gt;&lt;dates&gt;&lt;pub-dates&gt;&lt;date&gt;Dec&lt;/date&gt;&lt;/pub-dates&gt;&lt;year&gt;2020&lt;/year&gt;&lt;/dates&gt;&lt;urls&gt;&lt;related-urls&gt;&lt;url&gt;&amp;lt;Go to ISI&amp;gt;://WOS:000605323700002&lt;/url&gt;&lt;/related-urls&gt;&lt;/urls&gt;&lt;isbn&gt;1553-7404&lt;/isbn&gt;&lt;work-type&gt;Article&lt;/work-type&gt;&lt;titles&gt;&lt;title&gt;Inducible expression of (pp)pGpp synthetases in Staphylococcus aureus is associated with activation of stress response genes&lt;/title&gt;&lt;secondary-title&gt;Plos Genetics&lt;/secondary-title&gt;&lt;/titles&gt;&lt;number&gt;12&lt;/number&gt;&lt;contributors&gt;&lt;authors&gt;&lt;author&gt;Horvatek, Petra&lt;/author&gt;&lt;author&gt;Salzer, Andrea&lt;/author&gt;&lt;author&gt;Hanna, Andrew Magdy Fekry&lt;/author&gt;&lt;author&gt;Gratani, Fabio Lino&lt;/author&gt;&lt;author&gt;Keinhoerster, Daniela&lt;/author&gt;&lt;author&gt;Korn, Natalya&lt;/author&gt;&lt;author&gt;Borisova, Marina&lt;/author&gt;&lt;author&gt;Mayer, Christoph&lt;/author&gt;&lt;author&gt;Rejman, Dominik&lt;/author&gt;&lt;author&gt;Maeder, Ulrike&lt;/author&gt;&lt;author&gt;Wolz, Christiane&lt;/author&gt;&lt;/authors&gt;&lt;/contributors&gt;&lt;custom7&gt;e1009282&lt;/custom7&gt;&lt;added-date format="utc"&gt;1674489920&lt;/added-date&gt;&lt;ref-type name="Journal Article"&gt;17&lt;/ref-type&gt;&lt;rec-number&gt;243&lt;/rec-number&gt;&lt;last-updated-date format="utc"&gt;1674489920&lt;/last-updated-date&gt;&lt;accession-num&gt;WOS:000605323700002&lt;/accession-num&gt;&lt;electronic-resource-num&gt;10.1371/journal.pgen.1009282&lt;/electronic-resource-num&gt;&lt;volume&gt;16&lt;/volume&gt;&lt;/record&gt;&lt;/Cite&gt;&lt;/EndNote&gt;</w:instrText>
      </w:r>
      <w:r w:rsidRPr="003944C7">
        <w:rPr>
          <w:rFonts w:ascii="Times New Roman" w:hAnsi="Times New Roman" w:cs="Times New Roman"/>
          <w:b/>
          <w:bCs/>
          <w:color w:val="000000" w:themeColor="text1"/>
        </w:rPr>
        <w:fldChar w:fldCharType="separate"/>
      </w:r>
      <w:r w:rsidRPr="003944C7">
        <w:rPr>
          <w:rFonts w:ascii="Times New Roman" w:hAnsi="Times New Roman" w:cs="Times New Roman"/>
          <w:b/>
          <w:bCs/>
          <w:noProof/>
          <w:color w:val="000000" w:themeColor="text1"/>
        </w:rPr>
        <w:t>(Horvatek</w:t>
      </w:r>
      <w:r w:rsidRPr="003944C7">
        <w:rPr>
          <w:rFonts w:ascii="Times New Roman" w:hAnsi="Times New Roman" w:cs="Times New Roman"/>
          <w:b/>
          <w:bCs/>
          <w:i/>
          <w:noProof/>
          <w:color w:val="000000" w:themeColor="text1"/>
        </w:rPr>
        <w:t xml:space="preserve"> et al.</w:t>
      </w:r>
      <w:r w:rsidRPr="003944C7">
        <w:rPr>
          <w:rFonts w:ascii="Times New Roman" w:hAnsi="Times New Roman" w:cs="Times New Roman"/>
          <w:b/>
          <w:bCs/>
          <w:noProof/>
          <w:color w:val="000000" w:themeColor="text1"/>
        </w:rPr>
        <w:t>, 2020)</w:t>
      </w:r>
      <w:r w:rsidRPr="003944C7">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and it is well known that cellular translation decreases resulting in decreased growth during stressful conditions. Therefore when (p)ppGpp accumulation occurs, ribosomal proteins such as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are classically downregulated due to the repression of ribosomal RNA promoters. The </w:t>
      </w:r>
      <w:r>
        <w:rPr>
          <w:rFonts w:ascii="Times New Roman" w:hAnsi="Times New Roman" w:cs="Times New Roman"/>
          <w:i/>
          <w:iCs/>
          <w:color w:val="000000" w:themeColor="text1"/>
        </w:rPr>
        <w:t>ilvD</w:t>
      </w:r>
      <w:r>
        <w:rPr>
          <w:rFonts w:ascii="Times New Roman" w:hAnsi="Times New Roman" w:cs="Times New Roman"/>
          <w:color w:val="000000" w:themeColor="text1"/>
        </w:rPr>
        <w:t xml:space="preserve"> and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promoters were fused to sGFP and dsRED respectively so that changes in fluorescence can be observed. This would couple promoter activity to fluorescence, which would serve as an indirect measure of intracellular (p)ppGpp levels.</w:t>
      </w:r>
    </w:p>
    <w:p w14:paraId="1593E51D" w14:textId="260E740E" w:rsidR="00187693" w:rsidRDefault="00187693" w:rsidP="00187693">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Neither one of the promoter-reporter fusions alone may be sufficient to act as an output for (p)ppGpp detection individually. The benefit of using two different promoter-reporter fusions individually and using promoters opposingly regulated by (p)ppGpp, is that it will give a broader perspective of (p)ppGpp’s regulatory capacity as the increase (</w:t>
      </w:r>
      <w:r>
        <w:rPr>
          <w:rFonts w:ascii="Times New Roman" w:hAnsi="Times New Roman" w:cs="Times New Roman"/>
          <w:i/>
          <w:iCs/>
          <w:color w:val="000000" w:themeColor="text1"/>
        </w:rPr>
        <w:t>ilvD</w:t>
      </w:r>
      <w:r>
        <w:rPr>
          <w:rFonts w:ascii="Times New Roman" w:hAnsi="Times New Roman" w:cs="Times New Roman"/>
          <w:color w:val="000000" w:themeColor="text1"/>
        </w:rPr>
        <w:t>) and concurrent decrease (</w:t>
      </w:r>
      <w:r w:rsidRPr="00371991">
        <w:rPr>
          <w:rFonts w:ascii="Times New Roman" w:hAnsi="Times New Roman" w:cs="Times New Roman"/>
          <w:i/>
          <w:iCs/>
          <w:color w:val="000000" w:themeColor="text1"/>
        </w:rPr>
        <w:t>rpsO</w:t>
      </w:r>
      <w:r>
        <w:rPr>
          <w:rFonts w:ascii="Times New Roman" w:hAnsi="Times New Roman" w:cs="Times New Roman"/>
          <w:color w:val="000000" w:themeColor="text1"/>
        </w:rPr>
        <w:t xml:space="preserve">) in promoter activity in the presence of (p)ppGpp can be observed. To this end, the </w:t>
      </w:r>
      <w:r>
        <w:rPr>
          <w:rFonts w:ascii="Times New Roman" w:hAnsi="Times New Roman" w:cs="Times New Roman"/>
          <w:i/>
          <w:iCs/>
          <w:color w:val="000000" w:themeColor="text1"/>
        </w:rPr>
        <w:t xml:space="preserve">ilvD </w:t>
      </w:r>
      <w:r>
        <w:rPr>
          <w:rFonts w:ascii="Times New Roman" w:hAnsi="Times New Roman" w:cs="Times New Roman"/>
          <w:color w:val="000000" w:themeColor="text1"/>
        </w:rPr>
        <w:t xml:space="preserve">and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promoters were amplified from </w:t>
      </w:r>
      <w:r>
        <w:rPr>
          <w:rFonts w:ascii="Times New Roman" w:hAnsi="Times New Roman" w:cs="Times New Roman"/>
          <w:i/>
          <w:iCs/>
          <w:color w:val="000000" w:themeColor="text1"/>
        </w:rPr>
        <w:t>S. aureus</w:t>
      </w:r>
      <w:r>
        <w:rPr>
          <w:rFonts w:ascii="Times New Roman" w:hAnsi="Times New Roman" w:cs="Times New Roman"/>
          <w:color w:val="000000" w:themeColor="text1"/>
        </w:rPr>
        <w:t xml:space="preserve"> LAC* genomic DNA and codon-optimised fluorophores sGFP and dsRED were amplified from RN4220 pGFP and RN4220 pRFP respectively. The </w:t>
      </w:r>
      <w:r>
        <w:rPr>
          <w:rFonts w:ascii="Times New Roman" w:hAnsi="Times New Roman" w:cs="Times New Roman"/>
          <w:i/>
          <w:iCs/>
          <w:color w:val="000000" w:themeColor="text1"/>
        </w:rPr>
        <w:t xml:space="preserve">ilvD </w:t>
      </w:r>
      <w:r>
        <w:rPr>
          <w:rFonts w:ascii="Times New Roman" w:hAnsi="Times New Roman" w:cs="Times New Roman"/>
          <w:color w:val="000000" w:themeColor="text1"/>
        </w:rPr>
        <w:t xml:space="preserve">and sGFP fragments were spliced to produce </w:t>
      </w:r>
      <w:r>
        <w:rPr>
          <w:rFonts w:ascii="Times New Roman" w:hAnsi="Times New Roman" w:cs="Times New Roman"/>
          <w:i/>
          <w:iCs/>
          <w:color w:val="000000" w:themeColor="text1"/>
        </w:rPr>
        <w:t>ilvD</w:t>
      </w:r>
      <w:r>
        <w:rPr>
          <w:rFonts w:ascii="Times New Roman" w:hAnsi="Times New Roman" w:cs="Times New Roman"/>
          <w:color w:val="000000" w:themeColor="text1"/>
        </w:rPr>
        <w:t xml:space="preserve">-sGFP. </w:t>
      </w:r>
    </w:p>
    <w:p w14:paraId="65C93B5C" w14:textId="3D30ECED"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color w:val="000000" w:themeColor="text1"/>
        </w:rPr>
        <w:t xml:space="preserve">As shown in </w:t>
      </w:r>
      <w:r>
        <w:rPr>
          <w:rFonts w:ascii="Times New Roman" w:hAnsi="Times New Roman" w:cs="Times New Roman"/>
          <w:b/>
          <w:bCs/>
          <w:color w:val="000000" w:themeColor="text1"/>
        </w:rPr>
        <w:t>Figure 3.4.6a</w:t>
      </w:r>
      <w:r>
        <w:rPr>
          <w:rFonts w:ascii="Times New Roman" w:hAnsi="Times New Roman" w:cs="Times New Roman"/>
          <w:color w:val="000000" w:themeColor="text1"/>
        </w:rPr>
        <w:t>, the fluorophores were designed to be oriented in a convergent manner as e</w:t>
      </w:r>
      <w:r w:rsidRPr="00D934B5">
        <w:rPr>
          <w:rFonts w:ascii="Times New Roman" w:hAnsi="Times New Roman" w:cs="Times New Roman"/>
          <w:color w:val="000000" w:themeColor="text1"/>
        </w:rPr>
        <w:t>xpression levels are higher when genes are convergent rather than tandem/divergent</w:t>
      </w:r>
      <w:r>
        <w:rPr>
          <w:rFonts w:ascii="Times New Roman" w:hAnsi="Times New Roman" w:cs="Times New Roman"/>
          <w:color w:val="000000" w:themeColor="text1"/>
        </w:rPr>
        <w:t>. This is</w:t>
      </w:r>
      <w:r w:rsidRPr="00D934B5">
        <w:rPr>
          <w:rFonts w:ascii="Times New Roman" w:hAnsi="Times New Roman" w:cs="Times New Roman"/>
          <w:color w:val="000000" w:themeColor="text1"/>
        </w:rPr>
        <w:t xml:space="preserve"> due to the latter two</w:t>
      </w:r>
      <w:r w:rsidR="00C63CAB">
        <w:rPr>
          <w:rFonts w:ascii="Times New Roman" w:hAnsi="Times New Roman" w:cs="Times New Roman"/>
          <w:color w:val="000000" w:themeColor="text1"/>
        </w:rPr>
        <w:t xml:space="preserve"> types of expression</w:t>
      </w:r>
      <w:r w:rsidRPr="00D934B5">
        <w:rPr>
          <w:rFonts w:ascii="Times New Roman" w:hAnsi="Times New Roman" w:cs="Times New Roman"/>
          <w:color w:val="000000" w:themeColor="text1"/>
        </w:rPr>
        <w:t xml:space="preserve"> creating supercoils during transcription</w:t>
      </w:r>
      <w:r>
        <w:rPr>
          <w:rFonts w:ascii="Times New Roman" w:hAnsi="Times New Roman" w:cs="Times New Roman"/>
          <w:color w:val="000000" w:themeColor="text1"/>
        </w:rPr>
        <w:t xml:space="preserve"> </w:t>
      </w:r>
      <w:r w:rsidRPr="003A01F9">
        <w:rPr>
          <w:rFonts w:ascii="Times New Roman" w:hAnsi="Times New Roman" w:cs="Times New Roman"/>
          <w:b/>
          <w:bCs/>
          <w:color w:val="000000" w:themeColor="text1"/>
        </w:rPr>
        <w:fldChar w:fldCharType="begin"/>
      </w:r>
      <w:r w:rsidRPr="003A01F9">
        <w:rPr>
          <w:rFonts w:ascii="Times New Roman" w:hAnsi="Times New Roman" w:cs="Times New Roman"/>
          <w:b/>
          <w:bCs/>
          <w:color w:val="000000" w:themeColor="text1"/>
        </w:rPr>
        <w:instrText xml:space="preserve"> ADDIN EN.CITE &lt;EndNote&gt;&lt;Cite&gt;&lt;Author&gt;Yeung&lt;/Author&gt;&lt;Year&gt;2017&lt;/Year&gt;&lt;IDText&gt;Biophysical Constraints Arising from Compositional Context in Synthetic Gene Networks&lt;/IDText&gt;&lt;DisplayText&gt;(Yeung&lt;style face="italic"&gt; et al.&lt;/style&gt;, 2017)&lt;/DisplayText&gt;&lt;record&gt;&lt;dates&gt;&lt;pub-dates&gt;&lt;date&gt;Jul 26&lt;/date&gt;&lt;/pub-dates&gt;&lt;year&gt;2017&lt;/year&gt;&lt;/dates&gt;&lt;urls&gt;&lt;related-urls&gt;&lt;url&gt;&amp;lt;Go to ISI&amp;gt;://WOS:000406295900003&lt;/url&gt;&lt;/related-urls&gt;&lt;/urls&gt;&lt;isbn&gt;2405-4712&lt;/isbn&gt;&lt;titles&gt;&lt;title&gt;Biophysical Constraints Arising from Compositional Context in Synthetic Gene Networks&lt;/title&gt;&lt;secondary-title&gt;Cell Systems&lt;/secondary-title&gt;&lt;/titles&gt;&lt;pages&gt;11-+&lt;/pages&gt;&lt;number&gt;1&lt;/number&gt;&lt;contributors&gt;&lt;authors&gt;&lt;author&gt;Yeung, Enoch&lt;/author&gt;&lt;author&gt;Dy, Aaron J.&lt;/author&gt;&lt;author&gt;Martin, Kyle B.&lt;/author&gt;&lt;author&gt;Ng, Andrew H.&lt;/author&gt;&lt;author&gt;Del Vecchio, Domitilla&lt;/author&gt;&lt;author&gt;Beck, James L.&lt;/author&gt;&lt;author&gt;Collins, James J.&lt;/author&gt;&lt;author&gt;Murray, Richard M.&lt;/author&gt;&lt;/authors&gt;&lt;/contributors&gt;&lt;added-date format="utc"&gt;1663615452&lt;/added-date&gt;&lt;ref-type name="Journal Article"&gt;17&lt;/ref-type&gt;&lt;rec-number&gt;97&lt;/rec-number&gt;&lt;last-updated-date format="utc"&gt;1663624413&lt;/last-updated-date&gt;&lt;accession-num&gt;WOS:000406295900003&lt;/accession-num&gt;&lt;electronic-resource-num&gt;10.1016/j.cels.2017.06.001&lt;/electronic-resource-num&gt;&lt;volume&gt;5&lt;/volume&gt;&lt;/record&gt;&lt;/Cite&gt;&lt;/EndNote&gt;</w:instrText>
      </w:r>
      <w:r w:rsidRPr="003A01F9">
        <w:rPr>
          <w:rFonts w:ascii="Times New Roman" w:hAnsi="Times New Roman" w:cs="Times New Roman"/>
          <w:b/>
          <w:bCs/>
          <w:color w:val="000000" w:themeColor="text1"/>
        </w:rPr>
        <w:fldChar w:fldCharType="separate"/>
      </w:r>
      <w:r w:rsidRPr="003A01F9">
        <w:rPr>
          <w:rFonts w:ascii="Times New Roman" w:hAnsi="Times New Roman" w:cs="Times New Roman"/>
          <w:b/>
          <w:bCs/>
          <w:noProof/>
          <w:color w:val="000000" w:themeColor="text1"/>
        </w:rPr>
        <w:t>(Yeung</w:t>
      </w:r>
      <w:r w:rsidRPr="003A01F9">
        <w:rPr>
          <w:rFonts w:ascii="Times New Roman" w:hAnsi="Times New Roman" w:cs="Times New Roman"/>
          <w:b/>
          <w:bCs/>
          <w:i/>
          <w:noProof/>
          <w:color w:val="000000" w:themeColor="text1"/>
        </w:rPr>
        <w:t xml:space="preserve"> et al.</w:t>
      </w:r>
      <w:r w:rsidRPr="003A01F9">
        <w:rPr>
          <w:rFonts w:ascii="Times New Roman" w:hAnsi="Times New Roman" w:cs="Times New Roman"/>
          <w:b/>
          <w:bCs/>
          <w:noProof/>
          <w:color w:val="000000" w:themeColor="text1"/>
        </w:rPr>
        <w:t>, 2017)</w:t>
      </w:r>
      <w:r w:rsidRPr="003A01F9">
        <w:rPr>
          <w:rFonts w:ascii="Times New Roman" w:hAnsi="Times New Roman" w:cs="Times New Roman"/>
          <w:b/>
          <w:bCs/>
          <w:color w:val="000000" w:themeColor="text1"/>
        </w:rPr>
        <w:fldChar w:fldCharType="end"/>
      </w:r>
      <w:r w:rsidRPr="0095531F">
        <w:rPr>
          <w:rFonts w:ascii="Times New Roman" w:hAnsi="Times New Roman" w:cs="Times New Roman"/>
          <w:color w:val="000000" w:themeColor="text1"/>
        </w:rPr>
        <w:t>.</w:t>
      </w:r>
      <w:r>
        <w:rPr>
          <w:rFonts w:ascii="Times New Roman" w:hAnsi="Times New Roman" w:cs="Times New Roman"/>
          <w:color w:val="000000" w:themeColor="text1"/>
        </w:rPr>
        <w:t xml:space="preserve"> With convergent expression, a transcriptional terminator (TT) is required downstream of the reporters to control transcription of each fluorophore, preventing read-through transcripts </w:t>
      </w:r>
      <w:r w:rsidRPr="003A01F9">
        <w:rPr>
          <w:rFonts w:ascii="Times New Roman" w:hAnsi="Times New Roman" w:cs="Times New Roman"/>
          <w:b/>
          <w:bCs/>
          <w:color w:val="000000" w:themeColor="text1"/>
        </w:rPr>
        <w:fldChar w:fldCharType="begin"/>
      </w:r>
      <w:r w:rsidRPr="003A01F9">
        <w:rPr>
          <w:rFonts w:ascii="Times New Roman" w:hAnsi="Times New Roman" w:cs="Times New Roman"/>
          <w:b/>
          <w:bCs/>
          <w:color w:val="000000" w:themeColor="text1"/>
        </w:rPr>
        <w:instrText xml:space="preserve"> ADDIN EN.CITE &lt;EndNote&gt;&lt;Cite&gt;&lt;Author&gt;Cox&lt;/Author&gt;&lt;Year&gt;2010&lt;/Year&gt;&lt;IDText&gt;A synthetic three-color scaffold for monitoring genetic regulation and noise&lt;/IDText&gt;&lt;DisplayText&gt;(Cox, Dunlop and Elowitz, 2010)&lt;/DisplayText&gt;&lt;record&gt;&lt;dates&gt;&lt;pub-dates&gt;&lt;date&gt;2010 Jul&lt;/date&gt;&lt;/pub-dates&gt;&lt;year&gt;2010&lt;/year&gt;&lt;/dates&gt;&lt;urls&gt;&lt;related-urls&gt;&lt;url&gt;&amp;lt;Go to ISI&amp;gt;://MEDLINE:20646328&lt;/url&gt;&lt;/related-urls&gt;&lt;/urls&gt;&lt;titles&gt;&lt;title&gt;A synthetic three-color scaffold for monitoring genetic regulation and noise&lt;/title&gt;&lt;secondary-title&gt;Journal of biological engineering&lt;/secondary-title&gt;&lt;/titles&gt;&lt;pages&gt;10-10&lt;/pages&gt;&lt;contributors&gt;&lt;authors&gt;&lt;author&gt;Cox, Robert Sidney, 3rd&lt;/author&gt;&lt;author&gt;Dunlop, Mary J.&lt;/author&gt;&lt;author&gt;Elowitz, Michael B.&lt;/author&gt;&lt;/authors&gt;&lt;/contributors&gt;&lt;added-date format="utc"&gt;1663615474&lt;/added-date&gt;&lt;ref-type name="Journal Article"&gt;17&lt;/ref-type&gt;&lt;rec-number&gt;98&lt;/rec-number&gt;&lt;last-updated-date format="utc"&gt;1663624413&lt;/last-updated-date&gt;&lt;accession-num&gt;MEDLINE:20646328&lt;/accession-num&gt;&lt;electronic-resource-num&gt;10.1186/1754-1611-4-10&lt;/electronic-resource-num&gt;&lt;volume&gt;4&lt;/volume&gt;&lt;/record&gt;&lt;/Cite&gt;&lt;/EndNote&gt;</w:instrText>
      </w:r>
      <w:r w:rsidRPr="003A01F9">
        <w:rPr>
          <w:rFonts w:ascii="Times New Roman" w:hAnsi="Times New Roman" w:cs="Times New Roman"/>
          <w:b/>
          <w:bCs/>
          <w:color w:val="000000" w:themeColor="text1"/>
        </w:rPr>
        <w:fldChar w:fldCharType="separate"/>
      </w:r>
      <w:r w:rsidRPr="003A01F9">
        <w:rPr>
          <w:rFonts w:ascii="Times New Roman" w:hAnsi="Times New Roman" w:cs="Times New Roman"/>
          <w:b/>
          <w:bCs/>
          <w:noProof/>
          <w:color w:val="000000" w:themeColor="text1"/>
        </w:rPr>
        <w:t>(Cox, Dunlop and Elowitz, 2010)</w:t>
      </w:r>
      <w:r w:rsidRPr="003A01F9">
        <w:rPr>
          <w:rFonts w:ascii="Times New Roman" w:hAnsi="Times New Roman" w:cs="Times New Roman"/>
          <w:b/>
          <w:bCs/>
          <w:color w:val="000000" w:themeColor="text1"/>
        </w:rPr>
        <w:fldChar w:fldCharType="end"/>
      </w:r>
      <w:r w:rsidRPr="003A01F9">
        <w:rPr>
          <w:rFonts w:ascii="Times New Roman" w:hAnsi="Times New Roman" w:cs="Times New Roman"/>
          <w:color w:val="000000" w:themeColor="text1"/>
        </w:rPr>
        <w:t>.</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 xml:space="preserve">Thus, TT was amplified from an </w:t>
      </w:r>
      <w:r>
        <w:rPr>
          <w:rFonts w:ascii="Times New Roman" w:hAnsi="Times New Roman" w:cs="Times New Roman"/>
          <w:i/>
          <w:iCs/>
          <w:color w:val="000000" w:themeColor="text1"/>
        </w:rPr>
        <w:t>E. coli</w:t>
      </w:r>
      <w:r>
        <w:rPr>
          <w:rFonts w:ascii="Times New Roman" w:hAnsi="Times New Roman" w:cs="Times New Roman"/>
          <w:color w:val="000000" w:themeColor="text1"/>
        </w:rPr>
        <w:t xml:space="preserve"> strain containing the pCN49 plasmid which contains a TT and was spliced onto the </w:t>
      </w:r>
      <w:r>
        <w:rPr>
          <w:rFonts w:ascii="Times New Roman" w:hAnsi="Times New Roman" w:cs="Times New Roman"/>
          <w:i/>
          <w:iCs/>
          <w:color w:val="000000" w:themeColor="text1"/>
        </w:rPr>
        <w:t>ilvD</w:t>
      </w:r>
      <w:r>
        <w:rPr>
          <w:rFonts w:ascii="Times New Roman" w:hAnsi="Times New Roman" w:cs="Times New Roman"/>
          <w:color w:val="000000" w:themeColor="text1"/>
        </w:rPr>
        <w:t xml:space="preserve">-sGFP fragment to produce </w:t>
      </w:r>
      <w:r>
        <w:rPr>
          <w:rFonts w:ascii="Times New Roman" w:hAnsi="Times New Roman" w:cs="Times New Roman"/>
          <w:i/>
          <w:iCs/>
          <w:color w:val="000000" w:themeColor="text1"/>
        </w:rPr>
        <w:t>ilvD</w:t>
      </w:r>
      <w:r>
        <w:rPr>
          <w:rFonts w:ascii="Times New Roman" w:hAnsi="Times New Roman" w:cs="Times New Roman"/>
          <w:color w:val="000000" w:themeColor="text1"/>
        </w:rPr>
        <w:t>-sGFP-TT</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 xml:space="preserve">Similarly, to construct the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-dsRED fragment,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and dsRED were spliced.</w:t>
      </w:r>
    </w:p>
    <w:p w14:paraId="73F7309B" w14:textId="77777777" w:rsidR="00187693" w:rsidRDefault="00187693" w:rsidP="00187693">
      <w:pPr>
        <w:spacing w:line="360" w:lineRule="auto"/>
        <w:ind w:firstLine="720"/>
        <w:jc w:val="both"/>
        <w:rPr>
          <w:rFonts w:ascii="Times New Roman" w:hAnsi="Times New Roman" w:cs="Times New Roman"/>
          <w:b/>
          <w:bCs/>
          <w:color w:val="000000" w:themeColor="text1"/>
        </w:rPr>
      </w:pPr>
      <w:r>
        <w:rPr>
          <w:rFonts w:ascii="Times New Roman" w:hAnsi="Times New Roman" w:cs="Times New Roman"/>
          <w:color w:val="000000" w:themeColor="text1"/>
        </w:rPr>
        <w:t xml:space="preserve">The </w:t>
      </w:r>
      <w:r>
        <w:rPr>
          <w:rFonts w:ascii="Times New Roman" w:hAnsi="Times New Roman" w:cs="Times New Roman"/>
          <w:i/>
          <w:iCs/>
          <w:color w:val="000000" w:themeColor="text1"/>
        </w:rPr>
        <w:t>ilvD</w:t>
      </w:r>
      <w:r>
        <w:rPr>
          <w:rFonts w:ascii="Times New Roman" w:hAnsi="Times New Roman" w:cs="Times New Roman"/>
          <w:i/>
          <w:iCs/>
          <w:color w:val="000000" w:themeColor="text1"/>
        </w:rPr>
        <w:softHyphen/>
      </w:r>
      <w:r>
        <w:rPr>
          <w:rFonts w:ascii="Times New Roman" w:hAnsi="Times New Roman" w:cs="Times New Roman"/>
          <w:color w:val="000000" w:themeColor="text1"/>
        </w:rPr>
        <w:t xml:space="preserve">-sGFP-TT and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-dsRED fragments were designed such that they were flanked by EcoRI/KpnI and KpnI/BamHI restriction sites respectively </w:t>
      </w:r>
      <w:r>
        <w:rPr>
          <w:rFonts w:ascii="Times New Roman" w:hAnsi="Times New Roman" w:cs="Times New Roman"/>
          <w:b/>
          <w:bCs/>
          <w:color w:val="000000" w:themeColor="text1"/>
        </w:rPr>
        <w:t>(Fig. 3.4.6a)</w:t>
      </w:r>
      <w:r>
        <w:rPr>
          <w:rFonts w:ascii="Times New Roman" w:hAnsi="Times New Roman" w:cs="Times New Roman"/>
          <w:color w:val="000000" w:themeColor="text1"/>
        </w:rPr>
        <w:t xml:space="preserve">. These fragments and the integrative vector pCL55 were digested with their respective restriction enzymes, ligated to produce </w:t>
      </w:r>
      <w:r w:rsidRPr="00387BEF">
        <w:rPr>
          <w:rFonts w:ascii="Times New Roman" w:hAnsi="Times New Roman" w:cs="Times New Roman"/>
          <w:color w:val="000000" w:themeColor="text1"/>
        </w:rPr>
        <w:t>pCL55-P</w:t>
      </w:r>
      <w:r w:rsidRPr="00387BEF">
        <w:rPr>
          <w:rFonts w:ascii="Times New Roman" w:hAnsi="Times New Roman" w:cs="Times New Roman"/>
          <w:i/>
          <w:iCs/>
          <w:color w:val="000000" w:themeColor="text1"/>
        </w:rPr>
        <w:t>ilvD</w:t>
      </w:r>
      <w:r w:rsidRPr="00387BEF">
        <w:rPr>
          <w:rFonts w:ascii="Times New Roman" w:hAnsi="Times New Roman" w:cs="Times New Roman"/>
          <w:color w:val="000000" w:themeColor="text1"/>
        </w:rPr>
        <w:t xml:space="preserve">-sGFP-TT </w:t>
      </w:r>
      <w:r>
        <w:rPr>
          <w:rFonts w:ascii="Times New Roman" w:hAnsi="Times New Roman" w:cs="Times New Roman"/>
          <w:color w:val="000000" w:themeColor="text1"/>
        </w:rPr>
        <w:t xml:space="preserve">and </w:t>
      </w:r>
      <w:r w:rsidRPr="00387BEF">
        <w:rPr>
          <w:rFonts w:ascii="Times New Roman" w:hAnsi="Times New Roman" w:cs="Times New Roman"/>
          <w:color w:val="000000" w:themeColor="text1"/>
        </w:rPr>
        <w:t>pCL55-P</w:t>
      </w:r>
      <w:r w:rsidRPr="00387BEF">
        <w:rPr>
          <w:rFonts w:ascii="Times New Roman" w:hAnsi="Times New Roman" w:cs="Times New Roman"/>
          <w:i/>
          <w:iCs/>
          <w:color w:val="000000" w:themeColor="text1"/>
        </w:rPr>
        <w:t>rpsO</w:t>
      </w:r>
      <w:r w:rsidRPr="00387BEF">
        <w:rPr>
          <w:rFonts w:ascii="Times New Roman" w:hAnsi="Times New Roman" w:cs="Times New Roman"/>
          <w:color w:val="000000" w:themeColor="text1"/>
        </w:rPr>
        <w:t xml:space="preserve">-dsRED </w:t>
      </w:r>
      <w:r>
        <w:rPr>
          <w:rFonts w:ascii="Times New Roman" w:hAnsi="Times New Roman" w:cs="Times New Roman"/>
          <w:color w:val="000000" w:themeColor="text1"/>
        </w:rPr>
        <w:t>and transformed successfully into</w:t>
      </w:r>
      <w:r w:rsidRPr="00387BEF">
        <w:rPr>
          <w:rFonts w:ascii="Times New Roman" w:hAnsi="Times New Roman" w:cs="Times New Roman"/>
          <w:color w:val="000000" w:themeColor="text1"/>
        </w:rPr>
        <w:t xml:space="preserve"> </w:t>
      </w:r>
      <w:r w:rsidRPr="00382D79">
        <w:rPr>
          <w:rFonts w:ascii="Times New Roman" w:hAnsi="Times New Roman" w:cs="Times New Roman"/>
          <w:i/>
          <w:iCs/>
          <w:color w:val="000000" w:themeColor="text1"/>
        </w:rPr>
        <w:t xml:space="preserve">E. coli </w:t>
      </w:r>
      <w:r>
        <w:rPr>
          <w:rFonts w:ascii="Times New Roman" w:hAnsi="Times New Roman" w:cs="Times New Roman"/>
          <w:color w:val="000000" w:themeColor="text1"/>
        </w:rPr>
        <w:t xml:space="preserve">XL1-Blue.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2FAFE046" w14:textId="77777777" w:rsidTr="00A74445">
        <w:tc>
          <w:tcPr>
            <w:tcW w:w="9016" w:type="dxa"/>
          </w:tcPr>
          <w:p w14:paraId="6D1091A2" w14:textId="77777777" w:rsidR="00187693" w:rsidRDefault="00187693" w:rsidP="00A74445">
            <w:pPr>
              <w:spacing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6336CD9" wp14:editId="3DE3A037">
                  <wp:extent cx="5613400" cy="6306628"/>
                  <wp:effectExtent l="0" t="0" r="6350" b="0"/>
                  <wp:docPr id="1015284871" name="Picture 101528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6833" cy="6321720"/>
                          </a:xfrm>
                          <a:prstGeom prst="rect">
                            <a:avLst/>
                          </a:prstGeom>
                          <a:noFill/>
                        </pic:spPr>
                      </pic:pic>
                    </a:graphicData>
                  </a:graphic>
                </wp:inline>
              </w:drawing>
            </w:r>
          </w:p>
        </w:tc>
      </w:tr>
      <w:tr w:rsidR="00187693" w14:paraId="1265A43D" w14:textId="77777777" w:rsidTr="00A74445">
        <w:tc>
          <w:tcPr>
            <w:tcW w:w="9016" w:type="dxa"/>
          </w:tcPr>
          <w:p w14:paraId="093BB0FA" w14:textId="77777777" w:rsidR="00187693" w:rsidRPr="005C7E2B" w:rsidRDefault="00187693" w:rsidP="00A74445">
            <w:pPr>
              <w:jc w:val="both"/>
              <w:rPr>
                <w:rFonts w:ascii="Times New Roman" w:hAnsi="Times New Roman" w:cs="Times New Roman"/>
                <w:b/>
                <w:bCs/>
                <w:color w:val="000000" w:themeColor="text1"/>
                <w:sz w:val="20"/>
                <w:szCs w:val="20"/>
              </w:rPr>
            </w:pPr>
            <w:r w:rsidRPr="005C7E2B">
              <w:rPr>
                <w:rFonts w:ascii="Times New Roman" w:hAnsi="Times New Roman" w:cs="Times New Roman"/>
                <w:b/>
                <w:bCs/>
                <w:color w:val="000000" w:themeColor="text1"/>
                <w:sz w:val="20"/>
                <w:szCs w:val="20"/>
              </w:rPr>
              <w:t xml:space="preserve">Figure 3.4.6. Construction of the dual promoter-reporter fusion plasmids. a) </w:t>
            </w:r>
            <w:r w:rsidRPr="005C7E2B">
              <w:rPr>
                <w:rFonts w:ascii="Times New Roman" w:hAnsi="Times New Roman" w:cs="Times New Roman"/>
                <w:color w:val="000000" w:themeColor="text1"/>
                <w:sz w:val="20"/>
                <w:szCs w:val="20"/>
              </w:rPr>
              <w:t xml:space="preserve">Plasmid maps of the individual promoter-reporter fusions and the dual promoter-reporter fusion. The </w:t>
            </w:r>
            <w:r w:rsidRPr="005C7E2B">
              <w:rPr>
                <w:rFonts w:ascii="Times New Roman" w:hAnsi="Times New Roman" w:cs="Times New Roman"/>
                <w:i/>
                <w:iCs/>
                <w:color w:val="000000" w:themeColor="text1"/>
                <w:sz w:val="20"/>
                <w:szCs w:val="20"/>
              </w:rPr>
              <w:t>ilvD</w:t>
            </w:r>
            <w:r w:rsidRPr="005C7E2B">
              <w:rPr>
                <w:rFonts w:ascii="Times New Roman" w:hAnsi="Times New Roman" w:cs="Times New Roman"/>
                <w:color w:val="000000" w:themeColor="text1"/>
                <w:sz w:val="20"/>
                <w:szCs w:val="20"/>
              </w:rPr>
              <w:t xml:space="preserve"> (light green) and </w:t>
            </w:r>
            <w:r w:rsidRPr="005C7E2B">
              <w:rPr>
                <w:rFonts w:ascii="Times New Roman" w:hAnsi="Times New Roman" w:cs="Times New Roman"/>
                <w:i/>
                <w:iCs/>
                <w:color w:val="000000" w:themeColor="text1"/>
                <w:sz w:val="20"/>
                <w:szCs w:val="20"/>
              </w:rPr>
              <w:t>rpsO</w:t>
            </w:r>
            <w:r w:rsidRPr="005C7E2B">
              <w:rPr>
                <w:rFonts w:ascii="Times New Roman" w:hAnsi="Times New Roman" w:cs="Times New Roman"/>
                <w:color w:val="000000" w:themeColor="text1"/>
                <w:sz w:val="20"/>
                <w:szCs w:val="20"/>
              </w:rPr>
              <w:t xml:space="preserve"> (peach) promoters were translationally fused to the fluorophores sGFP (green) and dsRED (red) respectively by SOE PCR. A transcriptional terminator (TT) (blue) was also spliced on to the </w:t>
            </w:r>
            <w:r w:rsidRPr="005C7E2B">
              <w:rPr>
                <w:rFonts w:ascii="Times New Roman" w:hAnsi="Times New Roman" w:cs="Times New Roman"/>
                <w:i/>
                <w:iCs/>
                <w:color w:val="000000" w:themeColor="text1"/>
                <w:sz w:val="20"/>
                <w:szCs w:val="20"/>
              </w:rPr>
              <w:t>ilvD</w:t>
            </w:r>
            <w:r w:rsidRPr="005C7E2B">
              <w:rPr>
                <w:rFonts w:ascii="Times New Roman" w:hAnsi="Times New Roman" w:cs="Times New Roman"/>
                <w:color w:val="000000" w:themeColor="text1"/>
                <w:sz w:val="20"/>
                <w:szCs w:val="20"/>
              </w:rPr>
              <w:t>-sGFP fragment. Each promoter-reporter insert was cloned into pCL55 to make pCL55-P</w:t>
            </w:r>
            <w:r w:rsidRPr="005C7E2B">
              <w:rPr>
                <w:rFonts w:ascii="Times New Roman" w:hAnsi="Times New Roman" w:cs="Times New Roman"/>
                <w:i/>
                <w:iCs/>
                <w:color w:val="000000" w:themeColor="text1"/>
                <w:sz w:val="20"/>
                <w:szCs w:val="20"/>
              </w:rPr>
              <w:t>ilvD</w:t>
            </w:r>
            <w:r w:rsidRPr="005C7E2B">
              <w:rPr>
                <w:rFonts w:ascii="Times New Roman" w:hAnsi="Times New Roman" w:cs="Times New Roman"/>
                <w:color w:val="000000" w:themeColor="text1"/>
                <w:sz w:val="20"/>
                <w:szCs w:val="20"/>
              </w:rPr>
              <w:t>-sGFP-TT and pCL55-P</w:t>
            </w:r>
            <w:r w:rsidRPr="005C7E2B">
              <w:rPr>
                <w:rFonts w:ascii="Times New Roman" w:hAnsi="Times New Roman" w:cs="Times New Roman"/>
                <w:i/>
                <w:iCs/>
                <w:color w:val="000000" w:themeColor="text1"/>
                <w:sz w:val="20"/>
                <w:szCs w:val="20"/>
              </w:rPr>
              <w:t>rpsO</w:t>
            </w:r>
            <w:r w:rsidRPr="005C7E2B">
              <w:rPr>
                <w:rFonts w:ascii="Times New Roman" w:hAnsi="Times New Roman" w:cs="Times New Roman"/>
                <w:color w:val="000000" w:themeColor="text1"/>
                <w:sz w:val="20"/>
                <w:szCs w:val="20"/>
              </w:rPr>
              <w:t>-dsRED. pCL55-P</w:t>
            </w:r>
            <w:r w:rsidRPr="005C7E2B">
              <w:rPr>
                <w:rFonts w:ascii="Times New Roman" w:hAnsi="Times New Roman" w:cs="Times New Roman"/>
                <w:i/>
                <w:iCs/>
                <w:color w:val="000000" w:themeColor="text1"/>
                <w:sz w:val="20"/>
                <w:szCs w:val="20"/>
              </w:rPr>
              <w:t>rpsO</w:t>
            </w:r>
            <w:r w:rsidRPr="005C7E2B">
              <w:rPr>
                <w:rFonts w:ascii="Times New Roman" w:hAnsi="Times New Roman" w:cs="Times New Roman"/>
                <w:color w:val="000000" w:themeColor="text1"/>
                <w:sz w:val="20"/>
                <w:szCs w:val="20"/>
              </w:rPr>
              <w:t>-dsRED was digested with KpnI and BamHI to remove the insert for ligation into pCL55-P</w:t>
            </w:r>
            <w:r w:rsidRPr="005C7E2B">
              <w:rPr>
                <w:rFonts w:ascii="Times New Roman" w:hAnsi="Times New Roman" w:cs="Times New Roman"/>
                <w:i/>
                <w:iCs/>
                <w:color w:val="000000" w:themeColor="text1"/>
                <w:sz w:val="20"/>
                <w:szCs w:val="20"/>
              </w:rPr>
              <w:t>ilvD</w:t>
            </w:r>
            <w:r w:rsidRPr="005C7E2B">
              <w:rPr>
                <w:rFonts w:ascii="Times New Roman" w:hAnsi="Times New Roman" w:cs="Times New Roman"/>
                <w:color w:val="000000" w:themeColor="text1"/>
                <w:sz w:val="20"/>
                <w:szCs w:val="20"/>
              </w:rPr>
              <w:t>-sGFP-TT to make pCL55-P</w:t>
            </w:r>
            <w:r w:rsidRPr="005C7E2B">
              <w:rPr>
                <w:rFonts w:ascii="Times New Roman" w:hAnsi="Times New Roman" w:cs="Times New Roman"/>
                <w:i/>
                <w:iCs/>
                <w:color w:val="000000" w:themeColor="text1"/>
                <w:sz w:val="20"/>
                <w:szCs w:val="20"/>
              </w:rPr>
              <w:t>ilvD</w:t>
            </w:r>
            <w:r w:rsidRPr="005C7E2B">
              <w:rPr>
                <w:rFonts w:ascii="Times New Roman" w:hAnsi="Times New Roman" w:cs="Times New Roman"/>
                <w:color w:val="000000" w:themeColor="text1"/>
                <w:sz w:val="20"/>
                <w:szCs w:val="20"/>
              </w:rPr>
              <w:t>-sGFP-TT-P</w:t>
            </w:r>
            <w:r w:rsidRPr="005C7E2B">
              <w:rPr>
                <w:rFonts w:ascii="Times New Roman" w:hAnsi="Times New Roman" w:cs="Times New Roman"/>
                <w:i/>
                <w:iCs/>
                <w:color w:val="000000" w:themeColor="text1"/>
                <w:sz w:val="20"/>
                <w:szCs w:val="20"/>
              </w:rPr>
              <w:t>rpsO</w:t>
            </w:r>
            <w:r w:rsidRPr="005C7E2B">
              <w:rPr>
                <w:rFonts w:ascii="Times New Roman" w:hAnsi="Times New Roman" w:cs="Times New Roman"/>
                <w:color w:val="000000" w:themeColor="text1"/>
                <w:sz w:val="20"/>
                <w:szCs w:val="20"/>
              </w:rPr>
              <w:t xml:space="preserve">-dsRED. Plasmid-specific primers RMC006/007 were used to conduct PCR on genomic DNA extracted from lipase-negative clones of </w:t>
            </w:r>
            <w:r w:rsidRPr="005C7E2B">
              <w:rPr>
                <w:rFonts w:ascii="Times New Roman" w:hAnsi="Times New Roman" w:cs="Times New Roman"/>
                <w:b/>
                <w:bCs/>
                <w:color w:val="000000" w:themeColor="text1"/>
                <w:sz w:val="20"/>
                <w:szCs w:val="20"/>
              </w:rPr>
              <w:t>b)</w:t>
            </w:r>
            <w:r w:rsidRPr="005C7E2B">
              <w:rPr>
                <w:rFonts w:ascii="Times New Roman" w:hAnsi="Times New Roman" w:cs="Times New Roman"/>
                <w:color w:val="000000" w:themeColor="text1"/>
                <w:sz w:val="20"/>
                <w:szCs w:val="20"/>
              </w:rPr>
              <w:t xml:space="preserve"> RN4220 pCL55-P</w:t>
            </w:r>
            <w:r w:rsidRPr="005C7E2B">
              <w:rPr>
                <w:rFonts w:ascii="Times New Roman" w:hAnsi="Times New Roman" w:cs="Times New Roman"/>
                <w:i/>
                <w:iCs/>
                <w:color w:val="000000" w:themeColor="text1"/>
                <w:sz w:val="20"/>
                <w:szCs w:val="20"/>
              </w:rPr>
              <w:t>rpsO</w:t>
            </w:r>
            <w:r w:rsidRPr="005C7E2B">
              <w:rPr>
                <w:rFonts w:ascii="Times New Roman" w:hAnsi="Times New Roman" w:cs="Times New Roman"/>
                <w:color w:val="000000" w:themeColor="text1"/>
                <w:sz w:val="20"/>
                <w:szCs w:val="20"/>
              </w:rPr>
              <w:t>-dsRED</w:t>
            </w:r>
            <w:r w:rsidRPr="005C7E2B">
              <w:rPr>
                <w:rFonts w:ascii="Times New Roman" w:hAnsi="Times New Roman" w:cs="Times New Roman"/>
                <w:i/>
                <w:iCs/>
                <w:color w:val="000000" w:themeColor="text1"/>
                <w:sz w:val="20"/>
                <w:szCs w:val="20"/>
              </w:rPr>
              <w:t xml:space="preserve"> </w:t>
            </w:r>
            <w:r w:rsidRPr="005C7E2B">
              <w:rPr>
                <w:rFonts w:ascii="Times New Roman" w:hAnsi="Times New Roman" w:cs="Times New Roman"/>
                <w:color w:val="000000" w:themeColor="text1"/>
                <w:sz w:val="20"/>
                <w:szCs w:val="20"/>
              </w:rPr>
              <w:t xml:space="preserve">(1273 bp), </w:t>
            </w:r>
            <w:r w:rsidRPr="005C7E2B">
              <w:rPr>
                <w:rFonts w:ascii="Times New Roman" w:hAnsi="Times New Roman" w:cs="Times New Roman"/>
                <w:b/>
                <w:bCs/>
                <w:color w:val="000000" w:themeColor="text1"/>
                <w:sz w:val="20"/>
                <w:szCs w:val="20"/>
              </w:rPr>
              <w:t>c)</w:t>
            </w:r>
            <w:r w:rsidRPr="005C7E2B">
              <w:rPr>
                <w:rFonts w:ascii="Times New Roman" w:hAnsi="Times New Roman" w:cs="Times New Roman"/>
                <w:color w:val="000000" w:themeColor="text1"/>
                <w:sz w:val="20"/>
                <w:szCs w:val="20"/>
              </w:rPr>
              <w:t xml:space="preserve"> RN4220 pCL55-P</w:t>
            </w:r>
            <w:r w:rsidRPr="005C7E2B">
              <w:rPr>
                <w:rFonts w:ascii="Times New Roman" w:hAnsi="Times New Roman" w:cs="Times New Roman"/>
                <w:i/>
                <w:iCs/>
                <w:color w:val="000000" w:themeColor="text1"/>
                <w:sz w:val="20"/>
                <w:szCs w:val="20"/>
              </w:rPr>
              <w:t>ilvD</w:t>
            </w:r>
            <w:r w:rsidRPr="005C7E2B">
              <w:rPr>
                <w:rFonts w:ascii="Times New Roman" w:hAnsi="Times New Roman" w:cs="Times New Roman"/>
                <w:color w:val="000000" w:themeColor="text1"/>
                <w:sz w:val="20"/>
                <w:szCs w:val="20"/>
              </w:rPr>
              <w:t xml:space="preserve">-sGFP-TT (1800 bp) and </w:t>
            </w:r>
            <w:r w:rsidRPr="005C7E2B">
              <w:rPr>
                <w:rFonts w:ascii="Times New Roman" w:hAnsi="Times New Roman" w:cs="Times New Roman"/>
                <w:b/>
                <w:bCs/>
                <w:color w:val="000000" w:themeColor="text1"/>
                <w:sz w:val="20"/>
                <w:szCs w:val="20"/>
              </w:rPr>
              <w:t>d)</w:t>
            </w:r>
            <w:r w:rsidRPr="005C7E2B">
              <w:rPr>
                <w:rFonts w:ascii="Times New Roman" w:hAnsi="Times New Roman" w:cs="Times New Roman"/>
                <w:color w:val="000000" w:themeColor="text1"/>
                <w:sz w:val="20"/>
                <w:szCs w:val="20"/>
              </w:rPr>
              <w:t xml:space="preserve"> RN4220 pCL55-P</w:t>
            </w:r>
            <w:r w:rsidRPr="005C7E2B">
              <w:rPr>
                <w:rFonts w:ascii="Times New Roman" w:hAnsi="Times New Roman" w:cs="Times New Roman"/>
                <w:i/>
                <w:iCs/>
                <w:color w:val="000000" w:themeColor="text1"/>
                <w:sz w:val="20"/>
                <w:szCs w:val="20"/>
              </w:rPr>
              <w:t>ilvD</w:t>
            </w:r>
            <w:r w:rsidRPr="005C7E2B">
              <w:rPr>
                <w:rFonts w:ascii="Times New Roman" w:hAnsi="Times New Roman" w:cs="Times New Roman"/>
                <w:color w:val="000000" w:themeColor="text1"/>
                <w:sz w:val="20"/>
                <w:szCs w:val="20"/>
              </w:rPr>
              <w:t>-sGFP-TT-P</w:t>
            </w:r>
            <w:r w:rsidRPr="005C7E2B">
              <w:rPr>
                <w:rFonts w:ascii="Times New Roman" w:hAnsi="Times New Roman" w:cs="Times New Roman"/>
                <w:i/>
                <w:iCs/>
                <w:color w:val="000000" w:themeColor="text1"/>
                <w:sz w:val="20"/>
                <w:szCs w:val="20"/>
              </w:rPr>
              <w:t>rpsO</w:t>
            </w:r>
            <w:r w:rsidRPr="005C7E2B">
              <w:rPr>
                <w:rFonts w:ascii="Times New Roman" w:hAnsi="Times New Roman" w:cs="Times New Roman"/>
                <w:color w:val="000000" w:themeColor="text1"/>
                <w:sz w:val="20"/>
                <w:szCs w:val="20"/>
              </w:rPr>
              <w:t>-dsRED (2785 bp) to confirm integration into the lipase gene. PCR products were run on 1% agarose gels. Ladder sizes are shown.</w:t>
            </w:r>
          </w:p>
          <w:p w14:paraId="52012E9A" w14:textId="77777777" w:rsidR="00187693" w:rsidRPr="00760622" w:rsidRDefault="00187693" w:rsidP="00A74445">
            <w:pPr>
              <w:jc w:val="both"/>
              <w:rPr>
                <w:rFonts w:ascii="Times New Roman" w:hAnsi="Times New Roman" w:cs="Times New Roman"/>
                <w:color w:val="000000" w:themeColor="text1"/>
                <w:sz w:val="20"/>
                <w:szCs w:val="20"/>
              </w:rPr>
            </w:pPr>
          </w:p>
        </w:tc>
      </w:tr>
    </w:tbl>
    <w:p w14:paraId="605A66EA" w14:textId="77777777" w:rsidR="00187693" w:rsidRDefault="00187693" w:rsidP="00187693">
      <w:pPr>
        <w:spacing w:line="360" w:lineRule="auto"/>
        <w:jc w:val="both"/>
        <w:rPr>
          <w:rFonts w:ascii="Times New Roman" w:hAnsi="Times New Roman" w:cs="Times New Roman"/>
          <w:color w:val="000000" w:themeColor="text1"/>
        </w:rPr>
      </w:pPr>
    </w:p>
    <w:p w14:paraId="072B060A" w14:textId="77777777" w:rsidR="00187693" w:rsidRDefault="00187693" w:rsidP="00187693">
      <w:pPr>
        <w:spacing w:line="360" w:lineRule="auto"/>
        <w:ind w:firstLine="720"/>
        <w:jc w:val="both"/>
        <w:rPr>
          <w:rFonts w:ascii="Times New Roman" w:hAnsi="Times New Roman" w:cs="Times New Roman"/>
          <w:b/>
          <w:bCs/>
          <w:color w:val="000000" w:themeColor="text1"/>
        </w:rPr>
      </w:pPr>
      <w:r>
        <w:rPr>
          <w:rFonts w:ascii="Times New Roman" w:hAnsi="Times New Roman" w:cs="Times New Roman"/>
          <w:color w:val="000000" w:themeColor="text1"/>
        </w:rPr>
        <w:t xml:space="preserve">To produce the final dual promoter-reporter fusion, the </w:t>
      </w:r>
      <w:r w:rsidRPr="00387BEF">
        <w:rPr>
          <w:rFonts w:ascii="Times New Roman" w:hAnsi="Times New Roman" w:cs="Times New Roman"/>
          <w:i/>
          <w:iCs/>
          <w:color w:val="000000" w:themeColor="text1"/>
        </w:rPr>
        <w:t>rpsO</w:t>
      </w:r>
      <w:r w:rsidRPr="00387BEF">
        <w:rPr>
          <w:rFonts w:ascii="Times New Roman" w:hAnsi="Times New Roman" w:cs="Times New Roman"/>
          <w:color w:val="000000" w:themeColor="text1"/>
        </w:rPr>
        <w:t>-dsRED</w:t>
      </w:r>
      <w:r>
        <w:rPr>
          <w:rFonts w:ascii="Times New Roman" w:hAnsi="Times New Roman" w:cs="Times New Roman"/>
          <w:color w:val="000000" w:themeColor="text1"/>
        </w:rPr>
        <w:t xml:space="preserve"> fragment was isolated from its parent backbone by digestion with BamHI and KpnI and the </w:t>
      </w:r>
      <w:r w:rsidRPr="00387BEF">
        <w:rPr>
          <w:rFonts w:ascii="Times New Roman" w:hAnsi="Times New Roman" w:cs="Times New Roman"/>
          <w:color w:val="000000" w:themeColor="text1"/>
        </w:rPr>
        <w:t>pCL55-P</w:t>
      </w:r>
      <w:r w:rsidRPr="00387BEF">
        <w:rPr>
          <w:rFonts w:ascii="Times New Roman" w:hAnsi="Times New Roman" w:cs="Times New Roman"/>
          <w:i/>
          <w:iCs/>
          <w:color w:val="000000" w:themeColor="text1"/>
        </w:rPr>
        <w:t>ilvD</w:t>
      </w:r>
      <w:r w:rsidRPr="00387BEF">
        <w:rPr>
          <w:rFonts w:ascii="Times New Roman" w:hAnsi="Times New Roman" w:cs="Times New Roman"/>
          <w:color w:val="000000" w:themeColor="text1"/>
        </w:rPr>
        <w:t>-sGFP-TT</w:t>
      </w:r>
      <w:r>
        <w:rPr>
          <w:rFonts w:ascii="Times New Roman" w:hAnsi="Times New Roman" w:cs="Times New Roman"/>
          <w:color w:val="000000" w:themeColor="text1"/>
        </w:rPr>
        <w:t xml:space="preserve"> vector was also digested with the same restriction enzymes. Subsequent ligation and transformation enabled the construction of the dual promoter-reporter fusion </w:t>
      </w:r>
      <w:r w:rsidRPr="00387BEF">
        <w:rPr>
          <w:rFonts w:ascii="Times New Roman" w:hAnsi="Times New Roman" w:cs="Times New Roman"/>
          <w:color w:val="000000" w:themeColor="text1"/>
        </w:rPr>
        <w:t>pCL55-P</w:t>
      </w:r>
      <w:r w:rsidRPr="00387BEF">
        <w:rPr>
          <w:rFonts w:ascii="Times New Roman" w:hAnsi="Times New Roman" w:cs="Times New Roman"/>
          <w:i/>
          <w:iCs/>
          <w:color w:val="000000" w:themeColor="text1"/>
        </w:rPr>
        <w:t>ilvD</w:t>
      </w:r>
      <w:r w:rsidRPr="00387BEF">
        <w:rPr>
          <w:rFonts w:ascii="Times New Roman" w:hAnsi="Times New Roman" w:cs="Times New Roman"/>
          <w:color w:val="000000" w:themeColor="text1"/>
        </w:rPr>
        <w:t>-sGFP-TT</w:t>
      </w:r>
      <w:r>
        <w:rPr>
          <w:rFonts w:ascii="Times New Roman" w:hAnsi="Times New Roman" w:cs="Times New Roman"/>
          <w:color w:val="000000" w:themeColor="text1"/>
        </w:rPr>
        <w:t>-P</w:t>
      </w:r>
      <w:r w:rsidRPr="00387BEF">
        <w:rPr>
          <w:rFonts w:ascii="Times New Roman" w:hAnsi="Times New Roman" w:cs="Times New Roman"/>
          <w:i/>
          <w:iCs/>
          <w:color w:val="000000" w:themeColor="text1"/>
        </w:rPr>
        <w:t>rpsO</w:t>
      </w:r>
      <w:r w:rsidRPr="00387BEF">
        <w:rPr>
          <w:rFonts w:ascii="Times New Roman" w:hAnsi="Times New Roman" w:cs="Times New Roman"/>
          <w:color w:val="000000" w:themeColor="text1"/>
        </w:rPr>
        <w:t>-dsRED</w:t>
      </w:r>
      <w:r>
        <w:rPr>
          <w:rFonts w:ascii="Times New Roman" w:hAnsi="Times New Roman" w:cs="Times New Roman"/>
          <w:color w:val="000000" w:themeColor="text1"/>
        </w:rPr>
        <w:t xml:space="preserve"> in </w:t>
      </w:r>
      <w:r>
        <w:rPr>
          <w:rFonts w:ascii="Times New Roman" w:hAnsi="Times New Roman" w:cs="Times New Roman"/>
          <w:i/>
          <w:iCs/>
          <w:color w:val="000000" w:themeColor="text1"/>
        </w:rPr>
        <w:t>E. coli</w:t>
      </w:r>
      <w:r>
        <w:rPr>
          <w:rFonts w:ascii="Times New Roman" w:hAnsi="Times New Roman" w:cs="Times New Roman"/>
          <w:color w:val="000000" w:themeColor="text1"/>
        </w:rPr>
        <w:t xml:space="preserve"> XL1-Blue. Additionally, the presence of dsRED was clear as colonies appeared red on nutrient-rich media as expected as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is constitutively expressed. The dual promoter-reporter plasmid as well as the individual promoter-reporter plasmids were isolated from </w:t>
      </w:r>
      <w:r>
        <w:rPr>
          <w:rFonts w:ascii="Times New Roman" w:hAnsi="Times New Roman" w:cs="Times New Roman"/>
          <w:i/>
          <w:iCs/>
          <w:color w:val="000000" w:themeColor="text1"/>
        </w:rPr>
        <w:t>E. coli</w:t>
      </w:r>
      <w:r>
        <w:rPr>
          <w:rFonts w:ascii="Times New Roman" w:hAnsi="Times New Roman" w:cs="Times New Roman"/>
          <w:color w:val="000000" w:themeColor="text1"/>
        </w:rPr>
        <w:t xml:space="preserve"> and introduced to RN4220 </w:t>
      </w:r>
      <w:r w:rsidRPr="00A23194">
        <w:rPr>
          <w:rFonts w:ascii="Times New Roman" w:hAnsi="Times New Roman" w:cs="Times New Roman"/>
        </w:rPr>
        <w:t>Δ</w:t>
      </w:r>
      <w:r w:rsidRPr="00A23194">
        <w:rPr>
          <w:rFonts w:ascii="Times New Roman" w:hAnsi="Times New Roman" w:cs="Times New Roman"/>
          <w:i/>
          <w:iCs/>
        </w:rPr>
        <w:t>spa</w:t>
      </w:r>
      <w:r>
        <w:rPr>
          <w:rFonts w:ascii="Times New Roman" w:hAnsi="Times New Roman" w:cs="Times New Roman"/>
        </w:rPr>
        <w:t xml:space="preserve"> </w:t>
      </w:r>
      <w:r>
        <w:rPr>
          <w:rFonts w:ascii="Times New Roman" w:hAnsi="Times New Roman" w:cs="Times New Roman"/>
          <w:color w:val="000000" w:themeColor="text1"/>
        </w:rPr>
        <w:t xml:space="preserve">by electroporation. Genomic DNA from the RN4220 strains were extracted and plasmid insertion was confirmed via PCR </w:t>
      </w:r>
      <w:r>
        <w:rPr>
          <w:rFonts w:ascii="Times New Roman" w:hAnsi="Times New Roman" w:cs="Times New Roman"/>
          <w:b/>
          <w:bCs/>
          <w:color w:val="000000" w:themeColor="text1"/>
        </w:rPr>
        <w:t>(Fig. 3.4.6b-d).</w:t>
      </w:r>
    </w:p>
    <w:p w14:paraId="189357BF" w14:textId="77777777" w:rsidR="00187693" w:rsidRDefault="00187693" w:rsidP="00187693">
      <w:pPr>
        <w:pStyle w:val="Heading4"/>
      </w:pPr>
      <w:r>
        <w:t>3.4.4.1. Characterisation of the dual promoter-reporter fusion</w:t>
      </w:r>
    </w:p>
    <w:p w14:paraId="6799F102" w14:textId="77777777" w:rsidR="00187693" w:rsidRDefault="00187693" w:rsidP="00187693"/>
    <w:p w14:paraId="17BFC387" w14:textId="3A6DE99B" w:rsidR="00187693" w:rsidRDefault="00187693" w:rsidP="00187693">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To examine whether there are transcriptional changes associated with amino acid stress, GFP and RFP fluorescence were measured over time. During amino acid stress and thus, the induction of the stringent response, the BCAA-associated </w:t>
      </w:r>
      <w:r w:rsidRPr="00AC598D">
        <w:rPr>
          <w:rFonts w:ascii="Times New Roman" w:hAnsi="Times New Roman" w:cs="Times New Roman"/>
          <w:i/>
          <w:iCs/>
          <w:color w:val="000000" w:themeColor="text1"/>
        </w:rPr>
        <w:t>ilvD</w:t>
      </w:r>
      <w:r>
        <w:rPr>
          <w:rFonts w:ascii="Times New Roman" w:hAnsi="Times New Roman" w:cs="Times New Roman"/>
          <w:color w:val="000000" w:themeColor="text1"/>
        </w:rPr>
        <w:t xml:space="preserve"> gene is expected to be upregulated and the ribosomal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is expected to be downregulated, therefore an increase in GFP fluorescence and a decrease in RFP fluorescence is anticipated. The dual promoter-reporter fusion and the relevant controls were exposed to complete CDM and CDM-L/V and both GFP and RFP fluorescence were measured. </w:t>
      </w:r>
      <w:r w:rsidRPr="00AC598D">
        <w:rPr>
          <w:rFonts w:ascii="Times New Roman" w:hAnsi="Times New Roman" w:cs="Times New Roman"/>
          <w:b/>
          <w:bCs/>
          <w:color w:val="000000" w:themeColor="text1"/>
        </w:rPr>
        <w:t>Figure 3.4.7a</w:t>
      </w:r>
      <w:r>
        <w:rPr>
          <w:rFonts w:ascii="Times New Roman" w:hAnsi="Times New Roman" w:cs="Times New Roman"/>
          <w:color w:val="000000" w:themeColor="text1"/>
        </w:rPr>
        <w:t xml:space="preserve"> shows that the dual reporter exhibits an increase in green fluorescence over time in the absence of L/V after an initial decrease which could suggest that </w:t>
      </w:r>
      <w:r>
        <w:rPr>
          <w:rFonts w:ascii="Times New Roman" w:hAnsi="Times New Roman" w:cs="Times New Roman"/>
          <w:i/>
          <w:iCs/>
          <w:color w:val="000000" w:themeColor="text1"/>
        </w:rPr>
        <w:t xml:space="preserve">ilvD </w:t>
      </w:r>
      <w:r>
        <w:rPr>
          <w:rFonts w:ascii="Times New Roman" w:hAnsi="Times New Roman" w:cs="Times New Roman"/>
          <w:color w:val="000000" w:themeColor="text1"/>
        </w:rPr>
        <w:t xml:space="preserve">transcription is turned on after 5 hours. However, the negative control RN4220 pCL55 displays comparable fluorescence to the dual reporter and the same trend of lower fluorescence being observed for -L/V in comparison to +L/V is followed. In contrast, red fluorescence was similar for the dual reporter, regardless of the presence of L/V </w:t>
      </w:r>
      <w:r>
        <w:rPr>
          <w:rFonts w:ascii="Times New Roman" w:hAnsi="Times New Roman" w:cs="Times New Roman"/>
          <w:b/>
          <w:bCs/>
          <w:color w:val="000000" w:themeColor="text1"/>
        </w:rPr>
        <w:t xml:space="preserve">(Fig. 3.4.7b) </w:t>
      </w:r>
      <w:r>
        <w:rPr>
          <w:rFonts w:ascii="Times New Roman" w:hAnsi="Times New Roman" w:cs="Times New Roman"/>
          <w:color w:val="000000" w:themeColor="text1"/>
        </w:rPr>
        <w:t>which may be due to the 27-hour half-life of dsRED.</w:t>
      </w:r>
    </w:p>
    <w:p w14:paraId="32BCD7CD" w14:textId="77777777" w:rsidR="00187693" w:rsidRDefault="00187693" w:rsidP="00187693">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Mupirocin was then used as an alternative amino acid starvation inducer to determine whether a stronger transcriptional response could be observed. </w:t>
      </w:r>
      <w:r>
        <w:rPr>
          <w:rFonts w:ascii="Times New Roman" w:hAnsi="Times New Roman" w:cs="Times New Roman"/>
          <w:b/>
          <w:bCs/>
          <w:color w:val="000000" w:themeColor="text1"/>
        </w:rPr>
        <w:t>Figure 3.4.7c</w:t>
      </w:r>
      <w:r>
        <w:rPr>
          <w:rFonts w:ascii="Times New Roman" w:hAnsi="Times New Roman" w:cs="Times New Roman"/>
          <w:color w:val="000000" w:themeColor="text1"/>
        </w:rPr>
        <w:t xml:space="preserve"> shows that the strains did not produce notable green fluorescence as demonstrated by negative values. Unexpectedly, the dual reporter showed increasing levels of red fluorescence over time in the absence of mupirocin and in the presence, levels increased until approximately 2.5 hours, after which it plateaued </w:t>
      </w:r>
      <w:r>
        <w:rPr>
          <w:rFonts w:ascii="Times New Roman" w:hAnsi="Times New Roman" w:cs="Times New Roman"/>
          <w:b/>
          <w:bCs/>
          <w:color w:val="000000" w:themeColor="text1"/>
        </w:rPr>
        <w:t>(Fig. 3.4.7d)</w:t>
      </w:r>
      <w:r>
        <w:rPr>
          <w:rFonts w:ascii="Times New Roman" w:hAnsi="Times New Roman" w:cs="Times New Roman"/>
          <w:color w:val="000000" w:themeColor="text1"/>
        </w:rPr>
        <w:t>. From this transcriptional analysis, it is undetermined whether the dual promoter-reporter fusion is able to respond to amino acid stress. This could be due to various reasons, for example, whether all promoter elements are present to allow for transcription in the presence of stress.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1C36C0A0" w14:textId="77777777" w:rsidTr="00A74445">
        <w:tc>
          <w:tcPr>
            <w:tcW w:w="9016" w:type="dxa"/>
          </w:tcPr>
          <w:p w14:paraId="11AFB170" w14:textId="77777777" w:rsidR="00187693" w:rsidRDefault="00187693" w:rsidP="00A74445">
            <w:pPr>
              <w:spacing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0864096" wp14:editId="196895D5">
                  <wp:extent cx="5069514" cy="88509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8118" cy="8865958"/>
                          </a:xfrm>
                          <a:prstGeom prst="rect">
                            <a:avLst/>
                          </a:prstGeom>
                          <a:noFill/>
                        </pic:spPr>
                      </pic:pic>
                    </a:graphicData>
                  </a:graphic>
                </wp:inline>
              </w:drawing>
            </w:r>
          </w:p>
        </w:tc>
      </w:tr>
      <w:tr w:rsidR="00187693" w14:paraId="3C575951" w14:textId="77777777" w:rsidTr="00A74445">
        <w:tc>
          <w:tcPr>
            <w:tcW w:w="9016" w:type="dxa"/>
          </w:tcPr>
          <w:p w14:paraId="7B8870AB" w14:textId="77777777" w:rsidR="00187693" w:rsidRPr="00760622" w:rsidRDefault="00187693" w:rsidP="00A74445">
            <w:pPr>
              <w:jc w:val="both"/>
              <w:rPr>
                <w:rFonts w:ascii="Times New Roman" w:hAnsi="Times New Roman" w:cs="Times New Roman"/>
                <w:color w:val="000000" w:themeColor="text1"/>
                <w:sz w:val="18"/>
                <w:szCs w:val="18"/>
              </w:rPr>
            </w:pPr>
            <w:r w:rsidRPr="00760622">
              <w:rPr>
                <w:rFonts w:ascii="Times New Roman" w:hAnsi="Times New Roman" w:cs="Times New Roman"/>
                <w:b/>
                <w:bCs/>
                <w:color w:val="000000" w:themeColor="text1"/>
                <w:sz w:val="18"/>
                <w:szCs w:val="18"/>
              </w:rPr>
              <w:t xml:space="preserve">Figure 3.4.7. Transcriptional activity of the dual promoter-reporter fusion during amino acid stress. a) </w:t>
            </w:r>
            <w:r w:rsidRPr="00760622">
              <w:rPr>
                <w:rFonts w:ascii="Times New Roman" w:hAnsi="Times New Roman" w:cs="Times New Roman"/>
                <w:color w:val="000000" w:themeColor="text1"/>
                <w:sz w:val="18"/>
                <w:szCs w:val="18"/>
              </w:rPr>
              <w:t xml:space="preserve">and </w:t>
            </w:r>
            <w:r w:rsidRPr="00760622">
              <w:rPr>
                <w:rFonts w:ascii="Times New Roman" w:hAnsi="Times New Roman" w:cs="Times New Roman"/>
                <w:b/>
                <w:bCs/>
                <w:color w:val="000000" w:themeColor="text1"/>
                <w:sz w:val="18"/>
                <w:szCs w:val="18"/>
              </w:rPr>
              <w:t xml:space="preserve">b) </w:t>
            </w:r>
            <w:r w:rsidRPr="00760622">
              <w:rPr>
                <w:rFonts w:ascii="Times New Roman" w:hAnsi="Times New Roman" w:cs="Times New Roman"/>
                <w:color w:val="000000" w:themeColor="text1"/>
                <w:sz w:val="18"/>
                <w:szCs w:val="18"/>
              </w:rPr>
              <w:t>show fluorescence over time for strains exposed to CDM +/- L/V. Dual promoter-reporter fusions and the relevant controls were grown to ~OD</w:t>
            </w:r>
            <w:r w:rsidRPr="00760622">
              <w:rPr>
                <w:rFonts w:ascii="Times New Roman" w:hAnsi="Times New Roman" w:cs="Times New Roman"/>
                <w:color w:val="000000" w:themeColor="text1"/>
                <w:sz w:val="18"/>
                <w:szCs w:val="18"/>
                <w:vertAlign w:val="subscript"/>
              </w:rPr>
              <w:t>600</w:t>
            </w:r>
            <w:r w:rsidRPr="00760622">
              <w:rPr>
                <w:rFonts w:ascii="Times New Roman" w:hAnsi="Times New Roman" w:cs="Times New Roman"/>
                <w:color w:val="000000" w:themeColor="text1"/>
                <w:sz w:val="18"/>
                <w:szCs w:val="18"/>
              </w:rPr>
              <w:t xml:space="preserve"> 0.3-0.4 in CDM before splitting cultures, washing twice in complete CDM or CDM-L/V and measuring fluorescence over time. </w:t>
            </w:r>
            <w:r w:rsidRPr="00760622">
              <w:rPr>
                <w:rFonts w:ascii="Times New Roman" w:hAnsi="Times New Roman" w:cs="Times New Roman"/>
                <w:b/>
                <w:bCs/>
                <w:color w:val="000000" w:themeColor="text1"/>
                <w:sz w:val="18"/>
                <w:szCs w:val="18"/>
              </w:rPr>
              <w:t xml:space="preserve">a) </w:t>
            </w:r>
            <w:r w:rsidRPr="00760622">
              <w:rPr>
                <w:rFonts w:ascii="Times New Roman" w:hAnsi="Times New Roman" w:cs="Times New Roman"/>
                <w:color w:val="000000" w:themeColor="text1"/>
                <w:sz w:val="18"/>
                <w:szCs w:val="18"/>
              </w:rPr>
              <w:t>Green fluorescence of the dual promoter-reporter fusion in RN4220 (dual reporter; black), negative control (RN4220 pCL55; blue), the individual sGFP fusion positive control (pCL55-P</w:t>
            </w:r>
            <w:r w:rsidRPr="00760622">
              <w:rPr>
                <w:rFonts w:ascii="Times New Roman" w:hAnsi="Times New Roman" w:cs="Times New Roman"/>
                <w:i/>
                <w:iCs/>
                <w:color w:val="000000" w:themeColor="text1"/>
                <w:sz w:val="18"/>
                <w:szCs w:val="18"/>
              </w:rPr>
              <w:t>ilvD</w:t>
            </w:r>
            <w:r w:rsidRPr="00760622">
              <w:rPr>
                <w:rFonts w:ascii="Times New Roman" w:hAnsi="Times New Roman" w:cs="Times New Roman"/>
                <w:color w:val="000000" w:themeColor="text1"/>
                <w:sz w:val="18"/>
                <w:szCs w:val="18"/>
              </w:rPr>
              <w:t>-sGFP-TT; green) and the original sGFP positive control (RN4220 GFP; lime green) in complete CDM (+) and CDM-L/V (-) over 20 hours measured at 485/520 nm.</w:t>
            </w:r>
            <w:r w:rsidRPr="00760622">
              <w:rPr>
                <w:rFonts w:ascii="Times New Roman" w:hAnsi="Times New Roman" w:cs="Times New Roman"/>
                <w:b/>
                <w:bCs/>
                <w:color w:val="000000" w:themeColor="text1"/>
                <w:sz w:val="18"/>
                <w:szCs w:val="18"/>
              </w:rPr>
              <w:t xml:space="preserve"> b) </w:t>
            </w:r>
            <w:r w:rsidRPr="00760622">
              <w:rPr>
                <w:rFonts w:ascii="Times New Roman" w:hAnsi="Times New Roman" w:cs="Times New Roman"/>
                <w:color w:val="000000" w:themeColor="text1"/>
                <w:sz w:val="18"/>
                <w:szCs w:val="18"/>
              </w:rPr>
              <w:t>Red</w:t>
            </w:r>
            <w:r>
              <w:rPr>
                <w:rFonts w:ascii="Times New Roman" w:hAnsi="Times New Roman" w:cs="Times New Roman"/>
                <w:color w:val="000000" w:themeColor="text1"/>
                <w:sz w:val="18"/>
                <w:szCs w:val="18"/>
              </w:rPr>
              <w:t xml:space="preserve"> </w:t>
            </w:r>
            <w:r w:rsidRPr="00760622">
              <w:rPr>
                <w:rFonts w:ascii="Times New Roman" w:hAnsi="Times New Roman" w:cs="Times New Roman"/>
                <w:color w:val="000000" w:themeColor="text1"/>
                <w:sz w:val="18"/>
                <w:szCs w:val="18"/>
              </w:rPr>
              <w:t>fluorescence of the dual promoter-reporter fusion in RN4220 (dual reporter; black), negative control (RN4220 pCL55; blue), the individual dsRED fusion positive control (pCL55-P</w:t>
            </w:r>
            <w:r w:rsidRPr="00760622">
              <w:rPr>
                <w:rFonts w:ascii="Times New Roman" w:hAnsi="Times New Roman" w:cs="Times New Roman"/>
                <w:i/>
                <w:iCs/>
                <w:color w:val="000000" w:themeColor="text1"/>
                <w:sz w:val="18"/>
                <w:szCs w:val="18"/>
              </w:rPr>
              <w:t>rpsO</w:t>
            </w:r>
            <w:r w:rsidRPr="00760622">
              <w:rPr>
                <w:rFonts w:ascii="Times New Roman" w:hAnsi="Times New Roman" w:cs="Times New Roman"/>
                <w:color w:val="000000" w:themeColor="text1"/>
                <w:sz w:val="18"/>
                <w:szCs w:val="18"/>
              </w:rPr>
              <w:t xml:space="preserve">-dsRED; red), the original dsRED positive control (RN4220 RFP; peach) and the SH1000 positive control (SH1000 RFP; wine) in complete CDM (+) and CDM-L/V (-) over 20 hours measured at 575/610 nm. </w:t>
            </w:r>
            <w:r w:rsidRPr="00760622">
              <w:rPr>
                <w:rFonts w:ascii="Times New Roman" w:hAnsi="Times New Roman" w:cs="Times New Roman"/>
                <w:b/>
                <w:bCs/>
                <w:color w:val="000000" w:themeColor="text1"/>
                <w:sz w:val="18"/>
                <w:szCs w:val="18"/>
              </w:rPr>
              <w:t xml:space="preserve">c) </w:t>
            </w:r>
            <w:r w:rsidRPr="00760622">
              <w:rPr>
                <w:rFonts w:ascii="Times New Roman" w:hAnsi="Times New Roman" w:cs="Times New Roman"/>
                <w:color w:val="000000" w:themeColor="text1"/>
                <w:sz w:val="18"/>
                <w:szCs w:val="18"/>
              </w:rPr>
              <w:t xml:space="preserve">and </w:t>
            </w:r>
            <w:r w:rsidRPr="00760622">
              <w:rPr>
                <w:rFonts w:ascii="Times New Roman" w:hAnsi="Times New Roman" w:cs="Times New Roman"/>
                <w:b/>
                <w:bCs/>
                <w:color w:val="000000" w:themeColor="text1"/>
                <w:sz w:val="18"/>
                <w:szCs w:val="18"/>
              </w:rPr>
              <w:t xml:space="preserve">d) </w:t>
            </w:r>
            <w:r w:rsidRPr="00760622">
              <w:rPr>
                <w:rFonts w:ascii="Times New Roman" w:hAnsi="Times New Roman" w:cs="Times New Roman"/>
                <w:color w:val="000000" w:themeColor="text1"/>
                <w:sz w:val="18"/>
                <w:szCs w:val="18"/>
              </w:rPr>
              <w:t>show fluorescence over time for strains exposed to mupirocin. Dual promoter-reporter fusions and the relevant controls were grown to ~OD</w:t>
            </w:r>
            <w:r w:rsidRPr="00760622">
              <w:rPr>
                <w:rFonts w:ascii="Times New Roman" w:hAnsi="Times New Roman" w:cs="Times New Roman"/>
                <w:color w:val="000000" w:themeColor="text1"/>
                <w:sz w:val="18"/>
                <w:szCs w:val="18"/>
                <w:vertAlign w:val="subscript"/>
              </w:rPr>
              <w:t>600</w:t>
            </w:r>
            <w:r w:rsidRPr="00760622">
              <w:rPr>
                <w:rFonts w:ascii="Times New Roman" w:hAnsi="Times New Roman" w:cs="Times New Roman"/>
                <w:color w:val="000000" w:themeColor="text1"/>
                <w:sz w:val="18"/>
                <w:szCs w:val="18"/>
              </w:rPr>
              <w:t xml:space="preserve"> 0.3-0.4 in CDM before adding mupirocin and measuring fluorescence over time.</w:t>
            </w:r>
            <w:r w:rsidRPr="00760622">
              <w:rPr>
                <w:rFonts w:ascii="Times New Roman" w:hAnsi="Times New Roman" w:cs="Times New Roman"/>
                <w:b/>
                <w:bCs/>
                <w:color w:val="000000" w:themeColor="text1"/>
                <w:sz w:val="18"/>
                <w:szCs w:val="18"/>
              </w:rPr>
              <w:t xml:space="preserve"> c) </w:t>
            </w:r>
            <w:r w:rsidRPr="00760622">
              <w:rPr>
                <w:rFonts w:ascii="Times New Roman" w:hAnsi="Times New Roman" w:cs="Times New Roman"/>
                <w:color w:val="000000" w:themeColor="text1"/>
                <w:sz w:val="18"/>
                <w:szCs w:val="18"/>
              </w:rPr>
              <w:t>Green fluorescence of the dual promoter-reporter fusion in RN4220 (dual reporter; black), negative control (RN4220 pCL55; blue), the individual sGFP fusion positive control (pCL55-P</w:t>
            </w:r>
            <w:r w:rsidRPr="00760622">
              <w:rPr>
                <w:rFonts w:ascii="Times New Roman" w:hAnsi="Times New Roman" w:cs="Times New Roman"/>
                <w:i/>
                <w:iCs/>
                <w:color w:val="000000" w:themeColor="text1"/>
                <w:sz w:val="18"/>
                <w:szCs w:val="18"/>
              </w:rPr>
              <w:t>ilvD</w:t>
            </w:r>
            <w:r w:rsidRPr="00760622">
              <w:rPr>
                <w:rFonts w:ascii="Times New Roman" w:hAnsi="Times New Roman" w:cs="Times New Roman"/>
                <w:color w:val="000000" w:themeColor="text1"/>
                <w:sz w:val="18"/>
                <w:szCs w:val="18"/>
              </w:rPr>
              <w:t>-sGFP-TT; green) and the SH1000 positive control (SH1000 GFP; pastel green) in the presence of mupirocin 0 μg/ml (closed symbols) or 0.5 μg/ml (open symbols) over 20 hours measured at 485/520 nm.</w:t>
            </w:r>
            <w:r w:rsidRPr="00760622">
              <w:rPr>
                <w:rFonts w:ascii="Times New Roman" w:hAnsi="Times New Roman" w:cs="Times New Roman"/>
                <w:b/>
                <w:bCs/>
                <w:color w:val="000000" w:themeColor="text1"/>
                <w:sz w:val="18"/>
                <w:szCs w:val="18"/>
              </w:rPr>
              <w:t xml:space="preserve"> d) </w:t>
            </w:r>
            <w:r w:rsidRPr="00760622">
              <w:rPr>
                <w:rFonts w:ascii="Times New Roman" w:hAnsi="Times New Roman" w:cs="Times New Roman"/>
                <w:color w:val="000000" w:themeColor="text1"/>
                <w:sz w:val="18"/>
                <w:szCs w:val="18"/>
              </w:rPr>
              <w:t>Red fluorescence of the dual promoter-reporter fusion in RN4220 (dual reporter; black), negative control (RN4220 pCL55; blue), the individual dsRED fusion positive control (pCL55-P</w:t>
            </w:r>
            <w:r w:rsidRPr="00760622">
              <w:rPr>
                <w:rFonts w:ascii="Times New Roman" w:hAnsi="Times New Roman" w:cs="Times New Roman"/>
                <w:i/>
                <w:iCs/>
                <w:color w:val="000000" w:themeColor="text1"/>
                <w:sz w:val="18"/>
                <w:szCs w:val="18"/>
              </w:rPr>
              <w:t>rpsO</w:t>
            </w:r>
            <w:r w:rsidRPr="00760622">
              <w:rPr>
                <w:rFonts w:ascii="Times New Roman" w:hAnsi="Times New Roman" w:cs="Times New Roman"/>
                <w:color w:val="000000" w:themeColor="text1"/>
                <w:sz w:val="18"/>
                <w:szCs w:val="18"/>
              </w:rPr>
              <w:t>-dsRED; red) and the SH1000 positive control (SH1000 RFP; wine) in the presence of mupirocin 0 μg/ml (closed symbols) or 0.5 μg/ml (open symbols) over 20 hours measured at 575/610 nm. n=1 for each experiment.</w:t>
            </w:r>
          </w:p>
        </w:tc>
      </w:tr>
    </w:tbl>
    <w:p w14:paraId="7E0A4260" w14:textId="77777777" w:rsidR="00187693" w:rsidRDefault="00187693" w:rsidP="00187693">
      <w:pPr>
        <w:spacing w:line="360" w:lineRule="auto"/>
        <w:jc w:val="both"/>
        <w:rPr>
          <w:rFonts w:ascii="Times New Roman" w:hAnsi="Times New Roman" w:cs="Times New Roman"/>
          <w:color w:val="000000" w:themeColor="text1"/>
        </w:rPr>
      </w:pPr>
    </w:p>
    <w:p w14:paraId="6AA167CA" w14:textId="77777777" w:rsidR="00187693" w:rsidRDefault="00187693" w:rsidP="00187693">
      <w:pPr>
        <w:pStyle w:val="Heading3"/>
      </w:pPr>
      <w:bookmarkStart w:id="135" w:name="_Toc142043637"/>
      <w:r>
        <w:t>3.4.5. Construction and characterisation of synthetase-reporter fusions</w:t>
      </w:r>
      <w:bookmarkEnd w:id="135"/>
    </w:p>
    <w:p w14:paraId="4D17A798" w14:textId="77777777" w:rsidR="00187693" w:rsidRDefault="00187693" w:rsidP="00187693">
      <w:pPr>
        <w:spacing w:line="360" w:lineRule="auto"/>
        <w:jc w:val="both"/>
        <w:rPr>
          <w:rFonts w:ascii="Times New Roman" w:hAnsi="Times New Roman" w:cs="Times New Roman"/>
          <w:color w:val="000000" w:themeColor="text1"/>
        </w:rPr>
      </w:pPr>
    </w:p>
    <w:p w14:paraId="1F854BAF" w14:textId="77777777" w:rsidR="00187693" w:rsidRDefault="00187693" w:rsidP="00187693">
      <w:pPr>
        <w:spacing w:line="360" w:lineRule="auto"/>
        <w:jc w:val="both"/>
        <w:rPr>
          <w:rFonts w:ascii="Times New Roman" w:hAnsi="Times New Roman" w:cs="Times New Roman"/>
          <w:color w:val="000000" w:themeColor="text1"/>
        </w:rPr>
      </w:pPr>
      <w:r>
        <w:rPr>
          <w:rFonts w:ascii="Times New Roman" w:hAnsi="Times New Roman" w:cs="Times New Roman"/>
        </w:rPr>
        <w:t xml:space="preserve">The dual promoter-reporter fusion biosensor employs an indirect measure of (p)ppGpp production as promoter activity is detected by a fluorescence output. </w:t>
      </w:r>
      <w:r w:rsidRPr="006051CA">
        <w:rPr>
          <w:rFonts w:ascii="Times New Roman" w:hAnsi="Times New Roman" w:cs="Times New Roman"/>
          <w:color w:val="000000" w:themeColor="text1"/>
        </w:rPr>
        <w:t>The change</w:t>
      </w:r>
      <w:r>
        <w:rPr>
          <w:rFonts w:ascii="Times New Roman" w:hAnsi="Times New Roman" w:cs="Times New Roman"/>
          <w:color w:val="000000" w:themeColor="text1"/>
        </w:rPr>
        <w:t xml:space="preserve"> in promoter activity</w:t>
      </w:r>
      <w:r w:rsidRPr="006051CA">
        <w:rPr>
          <w:rFonts w:ascii="Times New Roman" w:hAnsi="Times New Roman" w:cs="Times New Roman"/>
          <w:color w:val="000000" w:themeColor="text1"/>
        </w:rPr>
        <w:t xml:space="preserve"> determine</w:t>
      </w:r>
      <w:r>
        <w:rPr>
          <w:rFonts w:ascii="Times New Roman" w:hAnsi="Times New Roman" w:cs="Times New Roman"/>
          <w:color w:val="000000" w:themeColor="text1"/>
        </w:rPr>
        <w:t>s</w:t>
      </w:r>
      <w:r w:rsidRPr="006051CA">
        <w:rPr>
          <w:rFonts w:ascii="Times New Roman" w:hAnsi="Times New Roman" w:cs="Times New Roman"/>
          <w:color w:val="000000" w:themeColor="text1"/>
        </w:rPr>
        <w:t xml:space="preserve"> how transcription is modified with the induction of the stringent response. In contrast, synthetase-reporter translational fusions act to investigate the expression of the synthetases</w:t>
      </w:r>
      <w:r>
        <w:rPr>
          <w:rFonts w:ascii="Times New Roman" w:hAnsi="Times New Roman" w:cs="Times New Roman"/>
          <w:color w:val="000000" w:themeColor="text1"/>
        </w:rPr>
        <w:t xml:space="preserve"> rather than just transcription</w:t>
      </w:r>
      <w:r w:rsidRPr="006051CA">
        <w:rPr>
          <w:rFonts w:ascii="Times New Roman" w:hAnsi="Times New Roman" w:cs="Times New Roman"/>
          <w:color w:val="000000" w:themeColor="text1"/>
        </w:rPr>
        <w:t xml:space="preserve">, so changes in fluorescence provide a more accurate insight into </w:t>
      </w:r>
      <w:r>
        <w:rPr>
          <w:rFonts w:ascii="Times New Roman" w:hAnsi="Times New Roman" w:cs="Times New Roman"/>
          <w:color w:val="000000" w:themeColor="text1"/>
        </w:rPr>
        <w:t xml:space="preserve">the necessity of each synthetase under a given condition. </w:t>
      </w:r>
    </w:p>
    <w:p w14:paraId="57B54DC4" w14:textId="50DF28C5" w:rsidR="00187693" w:rsidRPr="00B25A2D" w:rsidRDefault="00187693" w:rsidP="0018769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To this end, synthetase-GFP fusions were constructed. Phage transduction was employed to insert plasmids </w:t>
      </w:r>
      <w:r w:rsidRPr="00570A3A">
        <w:rPr>
          <w:rFonts w:ascii="Times New Roman" w:hAnsi="Times New Roman" w:cs="Times New Roman"/>
          <w:color w:val="000000" w:themeColor="text1"/>
        </w:rPr>
        <w:t>pCL55-P</w:t>
      </w:r>
      <w:r w:rsidRPr="00570A3A">
        <w:rPr>
          <w:rFonts w:ascii="Times New Roman" w:hAnsi="Times New Roman" w:cs="Times New Roman"/>
          <w:i/>
          <w:iCs/>
          <w:color w:val="000000" w:themeColor="text1"/>
        </w:rPr>
        <w:t>rel</w:t>
      </w:r>
      <w:r w:rsidRPr="00570A3A">
        <w:rPr>
          <w:rFonts w:ascii="Times New Roman" w:hAnsi="Times New Roman" w:cs="Times New Roman"/>
          <w:color w:val="000000" w:themeColor="text1"/>
        </w:rPr>
        <w:t>-</w:t>
      </w:r>
      <w:r w:rsidRPr="00570A3A">
        <w:rPr>
          <w:rFonts w:ascii="Times New Roman" w:hAnsi="Times New Roman" w:cs="Times New Roman"/>
          <w:i/>
          <w:iCs/>
          <w:color w:val="000000" w:themeColor="text1"/>
        </w:rPr>
        <w:t>rel</w:t>
      </w:r>
      <w:r w:rsidRPr="00570A3A">
        <w:rPr>
          <w:rFonts w:ascii="Times New Roman" w:hAnsi="Times New Roman" w:cs="Times New Roman"/>
          <w:color w:val="000000" w:themeColor="text1"/>
        </w:rPr>
        <w:t>-GFP</w:t>
      </w:r>
      <w:r>
        <w:rPr>
          <w:rFonts w:ascii="Times New Roman" w:hAnsi="Times New Roman" w:cs="Times New Roman"/>
          <w:color w:val="000000" w:themeColor="text1"/>
        </w:rPr>
        <w:t xml:space="preserve">, </w:t>
      </w:r>
      <w:r w:rsidRPr="00570A3A">
        <w:rPr>
          <w:rFonts w:ascii="Times New Roman" w:hAnsi="Times New Roman" w:cs="Times New Roman"/>
          <w:color w:val="000000" w:themeColor="text1"/>
        </w:rPr>
        <w:t>pCL55-P</w:t>
      </w:r>
      <w:r w:rsidRPr="00570A3A">
        <w:rPr>
          <w:rFonts w:ascii="Times New Roman" w:hAnsi="Times New Roman" w:cs="Times New Roman"/>
          <w:i/>
          <w:iCs/>
          <w:color w:val="000000" w:themeColor="text1"/>
        </w:rPr>
        <w:t>relP</w:t>
      </w:r>
      <w:r w:rsidRPr="00570A3A">
        <w:rPr>
          <w:rFonts w:ascii="Times New Roman" w:hAnsi="Times New Roman" w:cs="Times New Roman"/>
          <w:color w:val="000000" w:themeColor="text1"/>
        </w:rPr>
        <w:t>-</w:t>
      </w:r>
      <w:r w:rsidRPr="00570A3A">
        <w:rPr>
          <w:rFonts w:ascii="Times New Roman" w:hAnsi="Times New Roman" w:cs="Times New Roman"/>
          <w:i/>
          <w:iCs/>
          <w:color w:val="000000" w:themeColor="text1"/>
        </w:rPr>
        <w:t>relP</w:t>
      </w:r>
      <w:r w:rsidRPr="00570A3A">
        <w:rPr>
          <w:rFonts w:ascii="Times New Roman" w:hAnsi="Times New Roman" w:cs="Times New Roman"/>
          <w:color w:val="000000" w:themeColor="text1"/>
        </w:rPr>
        <w:t>-GFP</w:t>
      </w:r>
      <w:r>
        <w:rPr>
          <w:rFonts w:ascii="Times New Roman" w:hAnsi="Times New Roman" w:cs="Times New Roman"/>
          <w:color w:val="000000" w:themeColor="text1"/>
        </w:rPr>
        <w:t xml:space="preserve">, </w:t>
      </w:r>
      <w:r w:rsidRPr="00570A3A">
        <w:rPr>
          <w:rFonts w:ascii="Times New Roman" w:hAnsi="Times New Roman" w:cs="Times New Roman"/>
          <w:color w:val="000000" w:themeColor="text1"/>
        </w:rPr>
        <w:t>pCL55-P</w:t>
      </w:r>
      <w:r w:rsidRPr="00570A3A">
        <w:rPr>
          <w:rFonts w:ascii="Times New Roman" w:hAnsi="Times New Roman" w:cs="Times New Roman"/>
          <w:i/>
          <w:iCs/>
          <w:color w:val="000000" w:themeColor="text1"/>
        </w:rPr>
        <w:t>relQ</w:t>
      </w:r>
      <w:r w:rsidRPr="00570A3A">
        <w:rPr>
          <w:rFonts w:ascii="Times New Roman" w:hAnsi="Times New Roman" w:cs="Times New Roman"/>
          <w:color w:val="000000" w:themeColor="text1"/>
        </w:rPr>
        <w:t>-</w:t>
      </w:r>
      <w:r w:rsidRPr="00570A3A">
        <w:rPr>
          <w:rFonts w:ascii="Times New Roman" w:hAnsi="Times New Roman" w:cs="Times New Roman"/>
          <w:i/>
          <w:iCs/>
          <w:color w:val="000000" w:themeColor="text1"/>
        </w:rPr>
        <w:t>relQ</w:t>
      </w:r>
      <w:r w:rsidRPr="00570A3A">
        <w:rPr>
          <w:rFonts w:ascii="Times New Roman" w:hAnsi="Times New Roman" w:cs="Times New Roman"/>
          <w:color w:val="000000" w:themeColor="text1"/>
        </w:rPr>
        <w:t>-GFP</w:t>
      </w:r>
      <w:r>
        <w:rPr>
          <w:rFonts w:ascii="Times New Roman" w:hAnsi="Times New Roman" w:cs="Times New Roman"/>
          <w:color w:val="000000" w:themeColor="text1"/>
        </w:rPr>
        <w:t xml:space="preserve"> into the JE2 WT chromosome and insertions were confirmed via PCR </w:t>
      </w:r>
      <w:r>
        <w:rPr>
          <w:rFonts w:ascii="Times New Roman" w:hAnsi="Times New Roman" w:cs="Times New Roman"/>
          <w:b/>
          <w:bCs/>
          <w:color w:val="000000" w:themeColor="text1"/>
        </w:rPr>
        <w:t>(Fig. 3.4.8a and b). Figure 3.4.8c</w:t>
      </w:r>
      <w:r>
        <w:rPr>
          <w:rFonts w:ascii="Times New Roman" w:hAnsi="Times New Roman" w:cs="Times New Roman"/>
          <w:color w:val="000000" w:themeColor="text1"/>
        </w:rPr>
        <w:t xml:space="preserve"> illustrates the architecture of the synthetase-GFP fusions in the integrative vector pCL55. (p)ppGpp production by Rel is post-translationally regulated by stalled ribosomes and therefore amino acid stress </w:t>
      </w:r>
      <w:r w:rsidRPr="00674E9D">
        <w:rPr>
          <w:rFonts w:ascii="Times New Roman" w:hAnsi="Times New Roman" w:cs="Times New Roman"/>
          <w:b/>
          <w:bCs/>
          <w:color w:val="000000" w:themeColor="text1"/>
        </w:rPr>
        <w:fldChar w:fldCharType="begin"/>
      </w:r>
      <w:r w:rsidR="00276090">
        <w:rPr>
          <w:rFonts w:ascii="Times New Roman" w:hAnsi="Times New Roman" w:cs="Times New Roman"/>
          <w:b/>
          <w:bCs/>
          <w:color w:val="000000" w:themeColor="text1"/>
        </w:rPr>
        <w:instrText xml:space="preserve"> ADDIN EN.CITE &lt;EndNote&gt;&lt;Cite&gt;&lt;Author&gt;Haseltine&lt;/Author&gt;&lt;Year&gt;1973&lt;/Year&gt;&lt;IDText&gt;SYNTHESIS OF GUANOSINE TETRAPHOSPHATE AND PENTAPHOSPHATE REQUIRES PRESENCE OF A CODON-SPECIFIC, UNCHARGED TRANSFER RIBONUCLEIC-ACID IN ACCEPTOR SITE OF RIBOSOMES - (STRINGENT CONTROL PPGPP (MSI) AND PPPGPP (MSII) PROTEIN SYNTHESIS ESCHERICHIA-COLI)&lt;/IDText&gt;&lt;DisplayText&gt;(Haseltine and Block, 1973b)&lt;/DisplayText&gt;&lt;record&gt;&lt;dates&gt;&lt;pub-dates&gt;&lt;date&gt;1973&lt;/date&gt;&lt;/pub-dates&gt;&lt;year&gt;1973&lt;/year&gt;&lt;/dates&gt;&lt;urls&gt;&lt;related-urls&gt;&lt;url&gt;&amp;lt;Go to ISI&amp;gt;://WOS:A1973P622600062&lt;/url&gt;&lt;/related-urls&gt;&lt;/urls&gt;&lt;isbn&gt;0027-8424&lt;/isbn&gt;&lt;titles&gt;&lt;title&gt;SYNTHESIS OF GUANOSINE TETRAPHOSPHATE AND PENTAPHOSPHATE REQUIRES PRESENCE OF A CODON-SPECIFIC, UNCHARGED TRANSFER RIBONUCLEIC-ACID IN ACCEPTOR SITE OF RIBOSOMES - (STRINGENT CONTROL PPGPP (MSI) AND PPPGPP (MSII) PROTEIN SYNTHESIS ESCHERICHIA-COLI)&lt;/title&gt;&lt;secondary-title&gt;Proceedings of the National Academy of Sciences of the United States of America&lt;/secondary-title&gt;&lt;/titles&gt;&lt;pages&gt;1564-1568&lt;/pages&gt;&lt;number&gt;5&lt;/number&gt;&lt;contributors&gt;&lt;authors&gt;&lt;author&gt;Haseltine, W. A.&lt;/author&gt;&lt;author&gt;Block, R.&lt;/author&gt;&lt;/authors&gt;&lt;/contributors&gt;&lt;added-date format="utc"&gt;1663613051&lt;/added-date&gt;&lt;ref-type name="Journal Article"&gt;17&lt;/ref-type&gt;&lt;rec-number&gt;72&lt;/rec-number&gt;&lt;last-updated-date format="utc"&gt;1663624413&lt;/last-updated-date&gt;&lt;accession-num&gt;WOS:A1973P622600062&lt;/accession-num&gt;&lt;electronic-resource-num&gt;10.1073/pnas.70.5.1564&lt;/electronic-resource-num&gt;&lt;volume&gt;70&lt;/volume&gt;&lt;/record&gt;&lt;/Cite&gt;&lt;/EndNote&gt;</w:instrText>
      </w:r>
      <w:r w:rsidRPr="00674E9D">
        <w:rPr>
          <w:rFonts w:ascii="Times New Roman" w:hAnsi="Times New Roman" w:cs="Times New Roman"/>
          <w:b/>
          <w:bCs/>
          <w:color w:val="000000" w:themeColor="text1"/>
        </w:rPr>
        <w:fldChar w:fldCharType="separate"/>
      </w:r>
      <w:r w:rsidR="00276090">
        <w:rPr>
          <w:rFonts w:ascii="Times New Roman" w:hAnsi="Times New Roman" w:cs="Times New Roman"/>
          <w:b/>
          <w:bCs/>
          <w:noProof/>
          <w:color w:val="000000" w:themeColor="text1"/>
        </w:rPr>
        <w:t>(Haseltine and Block, 1973b)</w:t>
      </w:r>
      <w:r w:rsidRPr="00674E9D">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while </w:t>
      </w:r>
      <w:r w:rsidRPr="00BA1C86">
        <w:rPr>
          <w:rFonts w:ascii="Times New Roman" w:hAnsi="Times New Roman" w:cs="Times New Roman"/>
          <w:i/>
          <w:iCs/>
          <w:color w:val="000000" w:themeColor="text1"/>
        </w:rPr>
        <w:t xml:space="preserve">relP </w:t>
      </w:r>
      <w:r>
        <w:rPr>
          <w:rFonts w:ascii="Times New Roman" w:hAnsi="Times New Roman" w:cs="Times New Roman"/>
          <w:color w:val="000000" w:themeColor="text1"/>
        </w:rPr>
        <w:t xml:space="preserve">and </w:t>
      </w:r>
      <w:r w:rsidRPr="00BA1C86">
        <w:rPr>
          <w:rFonts w:ascii="Times New Roman" w:hAnsi="Times New Roman" w:cs="Times New Roman"/>
          <w:i/>
          <w:iCs/>
          <w:color w:val="000000" w:themeColor="text1"/>
        </w:rPr>
        <w:t>relQ</w:t>
      </w:r>
      <w:r>
        <w:rPr>
          <w:rFonts w:ascii="Times New Roman" w:hAnsi="Times New Roman" w:cs="Times New Roman"/>
          <w:color w:val="000000" w:themeColor="text1"/>
        </w:rPr>
        <w:t xml:space="preserve"> are transcriptionally induced upon administration of cell wall-targeting antibiotics </w:t>
      </w:r>
      <w:r w:rsidRPr="00674E9D">
        <w:rPr>
          <w:rFonts w:ascii="Times New Roman" w:hAnsi="Times New Roman" w:cs="Times New Roman"/>
          <w:b/>
          <w:bCs/>
          <w:color w:val="000000" w:themeColor="text1"/>
        </w:rPr>
        <w:fldChar w:fldCharType="begin"/>
      </w:r>
      <w:r w:rsidRPr="00674E9D">
        <w:rPr>
          <w:rFonts w:ascii="Times New Roman" w:hAnsi="Times New Roman" w:cs="Times New Roman"/>
          <w:b/>
          <w:bCs/>
          <w:color w:val="000000" w:themeColor="text1"/>
        </w:rPr>
        <w:instrText xml:space="preserve"> ADDIN EN.CITE &lt;EndNote&gt;&lt;Cite&gt;&lt;Author&gt;Geiger&lt;/Author&gt;&lt;Year&gt;2014&lt;/Year&gt;&lt;IDText&gt;Two Small (p)ppGpp Synthases in Staphylococcus aureus Mediate Tolerance against Cell Envelope Stress Conditions&lt;/IDText&gt;&lt;DisplayText&gt;(Geiger&lt;style face="italic"&gt; et al.&lt;/style&gt;, 2014)&lt;/DisplayText&gt;&lt;record&gt;&lt;dates&gt;&lt;pub-dates&gt;&lt;date&gt;Feb&lt;/date&gt;&lt;/pub-dates&gt;&lt;year&gt;2014&lt;/year&gt;&lt;/dates&gt;&lt;urls&gt;&lt;related-urls&gt;&lt;url&gt;&amp;lt;Go to ISI&amp;gt;://WOS:000332626300017&lt;/url&gt;&lt;/related-urls&gt;&lt;/urls&gt;&lt;isbn&gt;0021-9193&lt;/isbn&gt;&lt;titles&gt;&lt;title&gt;Two Small (p)ppGpp Synthases in Staphylococcus aureus Mediate Tolerance against Cell Envelope Stress Conditions&lt;/title&gt;&lt;secondary-title&gt;Journal of Bacteriology&lt;/secondary-title&gt;&lt;/titles&gt;&lt;pages&gt;894-902&lt;/pages&gt;&lt;number&gt;4&lt;/number&gt;&lt;contributors&gt;&lt;authors&gt;&lt;author&gt;Geiger, Tobias&lt;/author&gt;&lt;author&gt;Kaestle, Benjamin&lt;/author&gt;&lt;author&gt;Gratani, Fabio Lino&lt;/author&gt;&lt;author&gt;Goerke, Christiane&lt;/author&gt;&lt;author&gt;Wolz, Christiane&lt;/author&gt;&lt;/authors&gt;&lt;/contributors&gt;&lt;added-date format="utc"&gt;1663612805&lt;/added-date&gt;&lt;ref-type name="Journal Article"&gt;17&lt;/ref-type&gt;&lt;rec-number&gt;67&lt;/rec-number&gt;&lt;last-updated-date format="utc"&gt;1663624413&lt;/last-updated-date&gt;&lt;accession-num&gt;WOS:000332626300017&lt;/accession-num&gt;&lt;electronic-resource-num&gt;10.1128/jb.01201-13&lt;/electronic-resource-num&gt;&lt;volume&gt;196&lt;/volume&gt;&lt;/record&gt;&lt;/Cite&gt;&lt;/EndNote&gt;</w:instrText>
      </w:r>
      <w:r w:rsidRPr="00674E9D">
        <w:rPr>
          <w:rFonts w:ascii="Times New Roman" w:hAnsi="Times New Roman" w:cs="Times New Roman"/>
          <w:b/>
          <w:bCs/>
          <w:color w:val="000000" w:themeColor="text1"/>
        </w:rPr>
        <w:fldChar w:fldCharType="separate"/>
      </w:r>
      <w:r w:rsidRPr="00674E9D">
        <w:rPr>
          <w:rFonts w:ascii="Times New Roman" w:hAnsi="Times New Roman" w:cs="Times New Roman"/>
          <w:b/>
          <w:bCs/>
          <w:noProof/>
          <w:color w:val="000000" w:themeColor="text1"/>
        </w:rPr>
        <w:t>(Geiger</w:t>
      </w:r>
      <w:r w:rsidRPr="00674E9D">
        <w:rPr>
          <w:rFonts w:ascii="Times New Roman" w:hAnsi="Times New Roman" w:cs="Times New Roman"/>
          <w:b/>
          <w:bCs/>
          <w:i/>
          <w:noProof/>
          <w:color w:val="000000" w:themeColor="text1"/>
        </w:rPr>
        <w:t xml:space="preserve"> et al.</w:t>
      </w:r>
      <w:r w:rsidRPr="00674E9D">
        <w:rPr>
          <w:rFonts w:ascii="Times New Roman" w:hAnsi="Times New Roman" w:cs="Times New Roman"/>
          <w:b/>
          <w:bCs/>
          <w:noProof/>
          <w:color w:val="000000" w:themeColor="text1"/>
        </w:rPr>
        <w:t>, 2014)</w:t>
      </w:r>
      <w:r w:rsidRPr="00674E9D">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among other stresses. Accordingly, the synthetase-GFP fusions were exposed to these stresses and the level of fluorescence was measured. In the presence of mupirocin, the </w:t>
      </w:r>
      <w:r>
        <w:rPr>
          <w:rFonts w:ascii="Times New Roman" w:hAnsi="Times New Roman" w:cs="Times New Roman"/>
          <w:i/>
          <w:iCs/>
          <w:color w:val="000000" w:themeColor="text1"/>
        </w:rPr>
        <w:t>rel</w:t>
      </w:r>
      <w:r>
        <w:rPr>
          <w:rFonts w:ascii="Times New Roman" w:hAnsi="Times New Roman" w:cs="Times New Roman"/>
          <w:color w:val="000000" w:themeColor="text1"/>
        </w:rPr>
        <w:t xml:space="preserve">-GFP synthetase fusion exhibited higher levels of fluorescence than the negative control </w:t>
      </w:r>
      <w:r>
        <w:rPr>
          <w:rFonts w:ascii="Times New Roman" w:hAnsi="Times New Roman" w:cs="Times New Roman"/>
          <w:b/>
          <w:bCs/>
          <w:color w:val="000000" w:themeColor="text1"/>
        </w:rPr>
        <w:t>(Figure 3.4.8d)</w:t>
      </w:r>
      <w:r>
        <w:rPr>
          <w:rFonts w:ascii="Times New Roman" w:hAnsi="Times New Roman" w:cs="Times New Roman"/>
          <w:color w:val="000000" w:themeColor="text1"/>
        </w:rPr>
        <w:t>. Both vancomycin and ampicillin (cell wall-targeting antibiotics) were able to induce expression of R</w:t>
      </w:r>
      <w:r w:rsidRPr="00B25A2D">
        <w:rPr>
          <w:rFonts w:ascii="Times New Roman" w:hAnsi="Times New Roman" w:cs="Times New Roman"/>
          <w:color w:val="000000" w:themeColor="text1"/>
        </w:rPr>
        <w:t>elP</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and R</w:t>
      </w:r>
      <w:r w:rsidRPr="00B25A2D">
        <w:rPr>
          <w:rFonts w:ascii="Times New Roman" w:hAnsi="Times New Roman" w:cs="Times New Roman"/>
          <w:color w:val="000000" w:themeColor="text1"/>
        </w:rPr>
        <w:t>elQ</w:t>
      </w:r>
      <w:r>
        <w:rPr>
          <w:rFonts w:ascii="Times New Roman" w:hAnsi="Times New Roman" w:cs="Times New Roman"/>
          <w:color w:val="000000" w:themeColor="text1"/>
        </w:rPr>
        <w:t xml:space="preserve"> as demonstrated in </w:t>
      </w:r>
      <w:r w:rsidRPr="00885069">
        <w:rPr>
          <w:rFonts w:ascii="Times New Roman" w:hAnsi="Times New Roman" w:cs="Times New Roman"/>
          <w:b/>
          <w:bCs/>
          <w:color w:val="000000" w:themeColor="text1"/>
        </w:rPr>
        <w:t>Figures 3.</w:t>
      </w:r>
      <w:r>
        <w:rPr>
          <w:rFonts w:ascii="Times New Roman" w:hAnsi="Times New Roman" w:cs="Times New Roman"/>
          <w:b/>
          <w:bCs/>
          <w:color w:val="000000" w:themeColor="text1"/>
        </w:rPr>
        <w:t>4</w:t>
      </w:r>
      <w:r w:rsidRPr="00885069">
        <w:rPr>
          <w:rFonts w:ascii="Times New Roman" w:hAnsi="Times New Roman" w:cs="Times New Roman"/>
          <w:b/>
          <w:bCs/>
          <w:color w:val="000000" w:themeColor="text1"/>
        </w:rPr>
        <w:t>.</w:t>
      </w:r>
      <w:r>
        <w:rPr>
          <w:rFonts w:ascii="Times New Roman" w:hAnsi="Times New Roman" w:cs="Times New Roman"/>
          <w:b/>
          <w:bCs/>
          <w:color w:val="000000" w:themeColor="text1"/>
        </w:rPr>
        <w:t>8</w:t>
      </w:r>
      <w:r w:rsidRPr="00885069">
        <w:rPr>
          <w:rFonts w:ascii="Times New Roman" w:hAnsi="Times New Roman" w:cs="Times New Roman"/>
          <w:b/>
          <w:bCs/>
          <w:color w:val="000000" w:themeColor="text1"/>
        </w:rPr>
        <w:t>e and d</w:t>
      </w:r>
      <w:r>
        <w:rPr>
          <w:rFonts w:ascii="Times New Roman" w:hAnsi="Times New Roman" w:cs="Times New Roman"/>
          <w:color w:val="000000" w:themeColor="text1"/>
        </w:rPr>
        <w:t xml:space="preserve">, however ampicillin led to a more substantial increase in fluorescence. These results suggest that in response to the relevant stressors, the synthetase-GFP fusions are expressed and therefore fluoresce, providing insight into the levels of (p)ppGpp. These synthetase-GFP fusions can now be used to investigate when each synthetase is expressed, and therefore important, </w:t>
      </w:r>
      <w:r>
        <w:rPr>
          <w:rFonts w:ascii="Times New Roman" w:hAnsi="Times New Roman" w:cs="Times New Roman"/>
          <w:i/>
          <w:iCs/>
          <w:color w:val="000000" w:themeColor="text1"/>
        </w:rPr>
        <w:t>in vivo</w:t>
      </w:r>
      <w:r>
        <w:rPr>
          <w:rFonts w:ascii="Times New Roman" w:hAnsi="Times New Roman" w:cs="Times New Roman"/>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6B12DEE1" w14:textId="77777777" w:rsidTr="00A74445">
        <w:tc>
          <w:tcPr>
            <w:tcW w:w="9016" w:type="dxa"/>
          </w:tcPr>
          <w:p w14:paraId="61754632" w14:textId="77777777" w:rsidR="00187693" w:rsidRDefault="00187693" w:rsidP="00A74445">
            <w:pPr>
              <w:spacing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C48CFF6" wp14:editId="3D820479">
                  <wp:extent cx="5358094" cy="6352331"/>
                  <wp:effectExtent l="0" t="0" r="0" b="0"/>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8379" cy="6388236"/>
                          </a:xfrm>
                          <a:prstGeom prst="rect">
                            <a:avLst/>
                          </a:prstGeom>
                          <a:noFill/>
                        </pic:spPr>
                      </pic:pic>
                    </a:graphicData>
                  </a:graphic>
                </wp:inline>
              </w:drawing>
            </w:r>
          </w:p>
        </w:tc>
      </w:tr>
      <w:tr w:rsidR="00187693" w14:paraId="1E0CA4AF" w14:textId="77777777" w:rsidTr="00A74445">
        <w:tc>
          <w:tcPr>
            <w:tcW w:w="9016" w:type="dxa"/>
          </w:tcPr>
          <w:p w14:paraId="4DFD3B19" w14:textId="77777777" w:rsidR="00187693" w:rsidRPr="00D95768" w:rsidRDefault="00187693" w:rsidP="00A74445">
            <w:pPr>
              <w:jc w:val="both"/>
              <w:rPr>
                <w:rFonts w:ascii="Times New Roman" w:hAnsi="Times New Roman" w:cs="Times New Roman"/>
                <w:b/>
                <w:bCs/>
                <w:color w:val="000000" w:themeColor="text1"/>
                <w:sz w:val="18"/>
                <w:szCs w:val="18"/>
              </w:rPr>
            </w:pPr>
            <w:r w:rsidRPr="00D95768">
              <w:rPr>
                <w:rFonts w:ascii="Times New Roman" w:hAnsi="Times New Roman" w:cs="Times New Roman"/>
                <w:b/>
                <w:bCs/>
                <w:color w:val="000000" w:themeColor="text1"/>
                <w:sz w:val="18"/>
                <w:szCs w:val="18"/>
              </w:rPr>
              <w:t xml:space="preserve">Figure 3.4.8. Construction and characterisation of the synthetase-GFP fusions. </w:t>
            </w:r>
            <w:r w:rsidRPr="00D95768">
              <w:rPr>
                <w:rFonts w:ascii="Times New Roman" w:hAnsi="Times New Roman" w:cs="Times New Roman"/>
                <w:color w:val="000000" w:themeColor="text1"/>
                <w:sz w:val="18"/>
                <w:szCs w:val="18"/>
              </w:rPr>
              <w:t xml:space="preserve">Primers specific for each plasmid (RMC006/087) were used to conduct PCR on genomic DNA extracted from </w:t>
            </w:r>
            <w:r w:rsidRPr="00D95768">
              <w:rPr>
                <w:rFonts w:ascii="Times New Roman" w:hAnsi="Times New Roman" w:cs="Times New Roman"/>
                <w:b/>
                <w:bCs/>
                <w:color w:val="000000" w:themeColor="text1"/>
                <w:sz w:val="18"/>
                <w:szCs w:val="18"/>
              </w:rPr>
              <w:t>a)</w:t>
            </w:r>
            <w:r w:rsidRPr="00D95768">
              <w:rPr>
                <w:rFonts w:ascii="Times New Roman" w:hAnsi="Times New Roman" w:cs="Times New Roman"/>
                <w:color w:val="000000" w:themeColor="text1"/>
                <w:sz w:val="18"/>
                <w:szCs w:val="18"/>
              </w:rPr>
              <w:t xml:space="preserve"> JE2 pCL55-P</w:t>
            </w:r>
            <w:r w:rsidRPr="00D95768">
              <w:rPr>
                <w:rFonts w:ascii="Times New Roman" w:hAnsi="Times New Roman" w:cs="Times New Roman"/>
                <w:i/>
                <w:iCs/>
                <w:color w:val="000000" w:themeColor="text1"/>
                <w:sz w:val="18"/>
                <w:szCs w:val="18"/>
              </w:rPr>
              <w:t>rel</w:t>
            </w:r>
            <w:r w:rsidRPr="00D95768">
              <w:rPr>
                <w:rFonts w:ascii="Times New Roman" w:hAnsi="Times New Roman" w:cs="Times New Roman"/>
                <w:color w:val="000000" w:themeColor="text1"/>
                <w:sz w:val="18"/>
                <w:szCs w:val="18"/>
              </w:rPr>
              <w:t>-</w:t>
            </w:r>
            <w:r w:rsidRPr="00D95768">
              <w:rPr>
                <w:rFonts w:ascii="Times New Roman" w:hAnsi="Times New Roman" w:cs="Times New Roman"/>
                <w:i/>
                <w:iCs/>
                <w:color w:val="000000" w:themeColor="text1"/>
                <w:sz w:val="18"/>
                <w:szCs w:val="18"/>
              </w:rPr>
              <w:t>rel</w:t>
            </w:r>
            <w:r w:rsidRPr="00D95768">
              <w:rPr>
                <w:rFonts w:ascii="Times New Roman" w:hAnsi="Times New Roman" w:cs="Times New Roman"/>
                <w:color w:val="000000" w:themeColor="text1"/>
                <w:sz w:val="18"/>
                <w:szCs w:val="18"/>
              </w:rPr>
              <w:t xml:space="preserve">-GFP (lanes 1 and 3) (3665 bp) and </w:t>
            </w:r>
            <w:r w:rsidRPr="00D95768">
              <w:rPr>
                <w:rFonts w:ascii="Times New Roman" w:hAnsi="Times New Roman" w:cs="Times New Roman"/>
                <w:b/>
                <w:bCs/>
                <w:color w:val="000000" w:themeColor="text1"/>
                <w:sz w:val="18"/>
                <w:szCs w:val="18"/>
              </w:rPr>
              <w:t>b)</w:t>
            </w:r>
            <w:r w:rsidRPr="00D95768">
              <w:rPr>
                <w:rFonts w:ascii="Times New Roman" w:hAnsi="Times New Roman" w:cs="Times New Roman"/>
                <w:color w:val="000000" w:themeColor="text1"/>
                <w:sz w:val="18"/>
                <w:szCs w:val="18"/>
              </w:rPr>
              <w:t xml:space="preserve"> JE2 pCL55-P</w:t>
            </w:r>
            <w:r w:rsidRPr="00D95768">
              <w:rPr>
                <w:rFonts w:ascii="Times New Roman" w:hAnsi="Times New Roman" w:cs="Times New Roman"/>
                <w:i/>
                <w:iCs/>
                <w:color w:val="000000" w:themeColor="text1"/>
                <w:sz w:val="18"/>
                <w:szCs w:val="18"/>
              </w:rPr>
              <w:t>relP</w:t>
            </w:r>
            <w:r w:rsidRPr="00D95768">
              <w:rPr>
                <w:rFonts w:ascii="Times New Roman" w:hAnsi="Times New Roman" w:cs="Times New Roman"/>
                <w:color w:val="000000" w:themeColor="text1"/>
                <w:sz w:val="18"/>
                <w:szCs w:val="18"/>
              </w:rPr>
              <w:t>-</w:t>
            </w:r>
            <w:r w:rsidRPr="00D95768">
              <w:rPr>
                <w:rFonts w:ascii="Times New Roman" w:hAnsi="Times New Roman" w:cs="Times New Roman"/>
                <w:i/>
                <w:iCs/>
                <w:color w:val="000000" w:themeColor="text1"/>
                <w:sz w:val="18"/>
                <w:szCs w:val="18"/>
              </w:rPr>
              <w:t>relP</w:t>
            </w:r>
            <w:r w:rsidRPr="00D95768">
              <w:rPr>
                <w:rFonts w:ascii="Times New Roman" w:hAnsi="Times New Roman" w:cs="Times New Roman"/>
                <w:color w:val="000000" w:themeColor="text1"/>
                <w:sz w:val="18"/>
                <w:szCs w:val="18"/>
              </w:rPr>
              <w:t>-GFP (lanes 1 and 2) (1946 bp) and JE2 pCL55-P</w:t>
            </w:r>
            <w:r w:rsidRPr="00D95768">
              <w:rPr>
                <w:rFonts w:ascii="Times New Roman" w:hAnsi="Times New Roman" w:cs="Times New Roman"/>
                <w:i/>
                <w:iCs/>
                <w:color w:val="000000" w:themeColor="text1"/>
                <w:sz w:val="18"/>
                <w:szCs w:val="18"/>
              </w:rPr>
              <w:t>relQ</w:t>
            </w:r>
            <w:r w:rsidRPr="00D95768">
              <w:rPr>
                <w:rFonts w:ascii="Times New Roman" w:hAnsi="Times New Roman" w:cs="Times New Roman"/>
                <w:color w:val="000000" w:themeColor="text1"/>
                <w:sz w:val="18"/>
                <w:szCs w:val="18"/>
              </w:rPr>
              <w:t>-</w:t>
            </w:r>
            <w:r w:rsidRPr="00D95768">
              <w:rPr>
                <w:rFonts w:ascii="Times New Roman" w:hAnsi="Times New Roman" w:cs="Times New Roman"/>
                <w:i/>
                <w:iCs/>
                <w:color w:val="000000" w:themeColor="text1"/>
                <w:sz w:val="18"/>
                <w:szCs w:val="18"/>
              </w:rPr>
              <w:t>relQ</w:t>
            </w:r>
            <w:r w:rsidRPr="00D95768">
              <w:rPr>
                <w:rFonts w:ascii="Times New Roman" w:hAnsi="Times New Roman" w:cs="Times New Roman"/>
                <w:color w:val="000000" w:themeColor="text1"/>
                <w:sz w:val="18"/>
                <w:szCs w:val="18"/>
              </w:rPr>
              <w:t xml:space="preserve">-GFP (lanes 3 and 4) (2208 bp). </w:t>
            </w:r>
            <w:r w:rsidRPr="00D95768">
              <w:rPr>
                <w:rFonts w:ascii="Times New Roman" w:hAnsi="Times New Roman" w:cs="Times New Roman"/>
                <w:b/>
                <w:bCs/>
                <w:color w:val="000000" w:themeColor="text1"/>
                <w:sz w:val="18"/>
                <w:szCs w:val="18"/>
              </w:rPr>
              <w:t>c)</w:t>
            </w:r>
            <w:r w:rsidRPr="00D95768">
              <w:rPr>
                <w:rFonts w:ascii="Times New Roman" w:hAnsi="Times New Roman" w:cs="Times New Roman"/>
                <w:color w:val="000000" w:themeColor="text1"/>
                <w:sz w:val="18"/>
                <w:szCs w:val="18"/>
              </w:rPr>
              <w:t xml:space="preserve"> Plasmid map schematic of the synthetase-GFP fusions with P</w:t>
            </w:r>
            <w:r w:rsidRPr="00D95768">
              <w:rPr>
                <w:rFonts w:ascii="Times New Roman" w:hAnsi="Times New Roman" w:cs="Times New Roman"/>
                <w:i/>
                <w:iCs/>
                <w:color w:val="000000" w:themeColor="text1"/>
                <w:sz w:val="18"/>
                <w:szCs w:val="18"/>
              </w:rPr>
              <w:t>x</w:t>
            </w:r>
            <w:r w:rsidRPr="00D95768">
              <w:rPr>
                <w:rFonts w:ascii="Times New Roman" w:hAnsi="Times New Roman" w:cs="Times New Roman"/>
                <w:color w:val="000000" w:themeColor="text1"/>
                <w:sz w:val="18"/>
                <w:szCs w:val="18"/>
              </w:rPr>
              <w:t xml:space="preserve"> representing the synthetase promoter, </w:t>
            </w:r>
            <w:r w:rsidRPr="00D95768">
              <w:rPr>
                <w:rFonts w:ascii="Times New Roman" w:hAnsi="Times New Roman" w:cs="Times New Roman"/>
                <w:i/>
                <w:iCs/>
                <w:color w:val="000000" w:themeColor="text1"/>
                <w:sz w:val="18"/>
                <w:szCs w:val="18"/>
              </w:rPr>
              <w:t>X</w:t>
            </w:r>
            <w:r w:rsidRPr="00D95768">
              <w:rPr>
                <w:rFonts w:ascii="Times New Roman" w:hAnsi="Times New Roman" w:cs="Times New Roman"/>
                <w:color w:val="000000" w:themeColor="text1"/>
                <w:sz w:val="18"/>
                <w:szCs w:val="18"/>
              </w:rPr>
              <w:t xml:space="preserve"> representing the synthetase gene and GFP (green). The synthetase-GFP fusions JE2 pCL55-P</w:t>
            </w:r>
            <w:r w:rsidRPr="00D95768">
              <w:rPr>
                <w:rFonts w:ascii="Times New Roman" w:hAnsi="Times New Roman" w:cs="Times New Roman"/>
                <w:i/>
                <w:iCs/>
                <w:color w:val="000000" w:themeColor="text1"/>
                <w:sz w:val="18"/>
                <w:szCs w:val="18"/>
              </w:rPr>
              <w:t>rel</w:t>
            </w:r>
            <w:r w:rsidRPr="00D95768">
              <w:rPr>
                <w:rFonts w:ascii="Times New Roman" w:hAnsi="Times New Roman" w:cs="Times New Roman"/>
                <w:color w:val="000000" w:themeColor="text1"/>
                <w:sz w:val="18"/>
                <w:szCs w:val="18"/>
              </w:rPr>
              <w:t>-</w:t>
            </w:r>
            <w:r w:rsidRPr="00D95768">
              <w:rPr>
                <w:rFonts w:ascii="Times New Roman" w:hAnsi="Times New Roman" w:cs="Times New Roman"/>
                <w:i/>
                <w:iCs/>
                <w:color w:val="000000" w:themeColor="text1"/>
                <w:sz w:val="18"/>
                <w:szCs w:val="18"/>
              </w:rPr>
              <w:t>rel</w:t>
            </w:r>
            <w:r w:rsidRPr="00D95768">
              <w:rPr>
                <w:rFonts w:ascii="Times New Roman" w:hAnsi="Times New Roman" w:cs="Times New Roman"/>
                <w:color w:val="000000" w:themeColor="text1"/>
                <w:sz w:val="18"/>
                <w:szCs w:val="18"/>
              </w:rPr>
              <w:t>-GFP (green), JE2 pCL55-P</w:t>
            </w:r>
            <w:r w:rsidRPr="00D95768">
              <w:rPr>
                <w:rFonts w:ascii="Times New Roman" w:hAnsi="Times New Roman" w:cs="Times New Roman"/>
                <w:i/>
                <w:iCs/>
                <w:color w:val="000000" w:themeColor="text1"/>
                <w:sz w:val="18"/>
                <w:szCs w:val="18"/>
              </w:rPr>
              <w:t>relP</w:t>
            </w:r>
            <w:r w:rsidRPr="00D95768">
              <w:rPr>
                <w:rFonts w:ascii="Times New Roman" w:hAnsi="Times New Roman" w:cs="Times New Roman"/>
                <w:color w:val="000000" w:themeColor="text1"/>
                <w:sz w:val="18"/>
                <w:szCs w:val="18"/>
              </w:rPr>
              <w:t>-</w:t>
            </w:r>
            <w:r w:rsidRPr="00D95768">
              <w:rPr>
                <w:rFonts w:ascii="Times New Roman" w:hAnsi="Times New Roman" w:cs="Times New Roman"/>
                <w:i/>
                <w:iCs/>
                <w:color w:val="000000" w:themeColor="text1"/>
                <w:sz w:val="18"/>
                <w:szCs w:val="18"/>
              </w:rPr>
              <w:t>relP</w:t>
            </w:r>
            <w:r w:rsidRPr="00D95768">
              <w:rPr>
                <w:rFonts w:ascii="Times New Roman" w:hAnsi="Times New Roman" w:cs="Times New Roman"/>
                <w:color w:val="000000" w:themeColor="text1"/>
                <w:sz w:val="18"/>
                <w:szCs w:val="18"/>
              </w:rPr>
              <w:t>-GFP (blue), JE2 pCL55-P</w:t>
            </w:r>
            <w:r w:rsidRPr="00D95768">
              <w:rPr>
                <w:rFonts w:ascii="Times New Roman" w:hAnsi="Times New Roman" w:cs="Times New Roman"/>
                <w:i/>
                <w:iCs/>
                <w:color w:val="000000" w:themeColor="text1"/>
                <w:sz w:val="18"/>
                <w:szCs w:val="18"/>
              </w:rPr>
              <w:t>relQ</w:t>
            </w:r>
            <w:r w:rsidRPr="00D95768">
              <w:rPr>
                <w:rFonts w:ascii="Times New Roman" w:hAnsi="Times New Roman" w:cs="Times New Roman"/>
                <w:color w:val="000000" w:themeColor="text1"/>
                <w:sz w:val="18"/>
                <w:szCs w:val="18"/>
              </w:rPr>
              <w:t>-</w:t>
            </w:r>
            <w:r w:rsidRPr="00D95768">
              <w:rPr>
                <w:rFonts w:ascii="Times New Roman" w:hAnsi="Times New Roman" w:cs="Times New Roman"/>
                <w:i/>
                <w:iCs/>
                <w:color w:val="000000" w:themeColor="text1"/>
                <w:sz w:val="18"/>
                <w:szCs w:val="18"/>
              </w:rPr>
              <w:t>relQ</w:t>
            </w:r>
            <w:r w:rsidRPr="00D95768">
              <w:rPr>
                <w:rFonts w:ascii="Times New Roman" w:hAnsi="Times New Roman" w:cs="Times New Roman"/>
                <w:color w:val="000000" w:themeColor="text1"/>
                <w:sz w:val="18"/>
                <w:szCs w:val="18"/>
              </w:rPr>
              <w:t>-GFP (purple) and the negative control JE2 pCL55-iTET (black) were grown to ~OD</w:t>
            </w:r>
            <w:r w:rsidRPr="00D95768">
              <w:rPr>
                <w:rFonts w:ascii="Times New Roman" w:hAnsi="Times New Roman" w:cs="Times New Roman"/>
                <w:color w:val="000000" w:themeColor="text1"/>
                <w:sz w:val="18"/>
                <w:szCs w:val="18"/>
                <w:vertAlign w:val="subscript"/>
              </w:rPr>
              <w:t>600</w:t>
            </w:r>
            <w:r w:rsidRPr="00D95768">
              <w:rPr>
                <w:rFonts w:ascii="Times New Roman" w:hAnsi="Times New Roman" w:cs="Times New Roman"/>
                <w:color w:val="000000" w:themeColor="text1"/>
                <w:sz w:val="18"/>
                <w:szCs w:val="18"/>
              </w:rPr>
              <w:t xml:space="preserve"> 0.3-0.4 in CDM before adding mupirocin (60 μg/ml) to the </w:t>
            </w:r>
            <w:r w:rsidRPr="00D95768">
              <w:rPr>
                <w:rFonts w:ascii="Times New Roman" w:hAnsi="Times New Roman" w:cs="Times New Roman"/>
                <w:i/>
                <w:iCs/>
                <w:color w:val="000000" w:themeColor="text1"/>
                <w:sz w:val="18"/>
                <w:szCs w:val="18"/>
              </w:rPr>
              <w:t>rel</w:t>
            </w:r>
            <w:r w:rsidRPr="00D95768">
              <w:rPr>
                <w:rFonts w:ascii="Times New Roman" w:hAnsi="Times New Roman" w:cs="Times New Roman"/>
                <w:color w:val="000000" w:themeColor="text1"/>
                <w:sz w:val="18"/>
                <w:szCs w:val="18"/>
              </w:rPr>
              <w:t xml:space="preserve">-GFP fusion </w:t>
            </w:r>
            <w:r w:rsidRPr="00D95768">
              <w:rPr>
                <w:rFonts w:ascii="Times New Roman" w:hAnsi="Times New Roman" w:cs="Times New Roman"/>
                <w:b/>
                <w:bCs/>
                <w:color w:val="000000" w:themeColor="text1"/>
                <w:sz w:val="18"/>
                <w:szCs w:val="18"/>
              </w:rPr>
              <w:t>(d)</w:t>
            </w:r>
            <w:r w:rsidRPr="00D95768">
              <w:rPr>
                <w:rFonts w:ascii="Times New Roman" w:hAnsi="Times New Roman" w:cs="Times New Roman"/>
                <w:color w:val="000000" w:themeColor="text1"/>
                <w:sz w:val="18"/>
                <w:szCs w:val="18"/>
              </w:rPr>
              <w:t xml:space="preserve"> and vancomycin at 5X MIC (10 μg/ml) </w:t>
            </w:r>
            <w:r w:rsidRPr="00D95768">
              <w:rPr>
                <w:rFonts w:ascii="Times New Roman" w:hAnsi="Times New Roman" w:cs="Times New Roman"/>
                <w:b/>
                <w:bCs/>
                <w:color w:val="000000" w:themeColor="text1"/>
                <w:sz w:val="18"/>
                <w:szCs w:val="18"/>
              </w:rPr>
              <w:t>(e)</w:t>
            </w:r>
            <w:r w:rsidRPr="00D95768">
              <w:rPr>
                <w:rFonts w:ascii="Times New Roman" w:hAnsi="Times New Roman" w:cs="Times New Roman"/>
                <w:color w:val="000000" w:themeColor="text1"/>
                <w:sz w:val="18"/>
                <w:szCs w:val="18"/>
              </w:rPr>
              <w:t xml:space="preserve"> and ampicillin at 5X MIC (640 μg/ml) </w:t>
            </w:r>
            <w:r w:rsidRPr="00D95768">
              <w:rPr>
                <w:rFonts w:ascii="Times New Roman" w:hAnsi="Times New Roman" w:cs="Times New Roman"/>
                <w:b/>
                <w:bCs/>
                <w:color w:val="000000" w:themeColor="text1"/>
                <w:sz w:val="18"/>
                <w:szCs w:val="18"/>
              </w:rPr>
              <w:t>(f)</w:t>
            </w:r>
            <w:r w:rsidRPr="00D95768">
              <w:rPr>
                <w:rFonts w:ascii="Times New Roman" w:hAnsi="Times New Roman" w:cs="Times New Roman"/>
                <w:color w:val="000000" w:themeColor="text1"/>
                <w:sz w:val="18"/>
                <w:szCs w:val="18"/>
              </w:rPr>
              <w:t xml:space="preserve"> to the </w:t>
            </w:r>
            <w:r w:rsidRPr="00D95768">
              <w:rPr>
                <w:rFonts w:ascii="Times New Roman" w:hAnsi="Times New Roman" w:cs="Times New Roman"/>
                <w:i/>
                <w:iCs/>
                <w:color w:val="000000" w:themeColor="text1"/>
                <w:sz w:val="18"/>
                <w:szCs w:val="18"/>
              </w:rPr>
              <w:t>relP/Q-</w:t>
            </w:r>
            <w:r w:rsidRPr="00D95768">
              <w:rPr>
                <w:rFonts w:ascii="Times New Roman" w:hAnsi="Times New Roman" w:cs="Times New Roman"/>
                <w:color w:val="000000" w:themeColor="text1"/>
                <w:sz w:val="18"/>
                <w:szCs w:val="18"/>
              </w:rPr>
              <w:t xml:space="preserve">GFP fusions and measuring the fluorescence at 485/520 nm for 15 hours. PCR products were run on 1% agarose gels. Ladder sizes are shown. </w:t>
            </w:r>
          </w:p>
          <w:p w14:paraId="06D11483" w14:textId="77777777" w:rsidR="00187693" w:rsidRPr="00760622" w:rsidRDefault="00187693" w:rsidP="00A74445">
            <w:pPr>
              <w:jc w:val="both"/>
              <w:rPr>
                <w:rFonts w:ascii="Times New Roman" w:hAnsi="Times New Roman" w:cs="Times New Roman"/>
                <w:color w:val="000000" w:themeColor="text1"/>
                <w:sz w:val="18"/>
                <w:szCs w:val="18"/>
              </w:rPr>
            </w:pPr>
          </w:p>
        </w:tc>
      </w:tr>
    </w:tbl>
    <w:p w14:paraId="66167ECD" w14:textId="77777777" w:rsidR="00187693" w:rsidRPr="00885069" w:rsidRDefault="00187693" w:rsidP="00187693">
      <w:pPr>
        <w:spacing w:line="360" w:lineRule="auto"/>
        <w:jc w:val="both"/>
        <w:rPr>
          <w:rFonts w:ascii="Times New Roman" w:hAnsi="Times New Roman" w:cs="Times New Roman"/>
          <w:color w:val="000000" w:themeColor="text1"/>
        </w:rPr>
      </w:pPr>
    </w:p>
    <w:p w14:paraId="080B6547" w14:textId="3062B319" w:rsidR="00187693" w:rsidRPr="00AC598D" w:rsidRDefault="00187693" w:rsidP="00187693">
      <w:pPr>
        <w:pStyle w:val="Heading2"/>
      </w:pPr>
      <w:bookmarkStart w:id="136" w:name="_Toc142043638"/>
      <w:r>
        <w:t>3.</w:t>
      </w:r>
      <w:r w:rsidR="00E315F1">
        <w:t>5</w:t>
      </w:r>
      <w:r>
        <w:t>. Discussion</w:t>
      </w:r>
      <w:bookmarkEnd w:id="136"/>
    </w:p>
    <w:p w14:paraId="3839105D" w14:textId="77777777" w:rsidR="00187693" w:rsidRDefault="00187693" w:rsidP="00187693">
      <w:pPr>
        <w:spacing w:line="360" w:lineRule="auto"/>
        <w:jc w:val="both"/>
        <w:rPr>
          <w:rFonts w:ascii="Times New Roman" w:hAnsi="Times New Roman" w:cs="Times New Roman"/>
        </w:rPr>
      </w:pPr>
    </w:p>
    <w:p w14:paraId="003582C6" w14:textId="2BCD7721" w:rsidR="00187693" w:rsidRDefault="00187693" w:rsidP="00187693">
      <w:pPr>
        <w:spacing w:line="360" w:lineRule="auto"/>
        <w:jc w:val="both"/>
        <w:rPr>
          <w:rFonts w:ascii="Times New Roman" w:hAnsi="Times New Roman" w:cs="Times New Roman"/>
        </w:rPr>
      </w:pPr>
      <w:r w:rsidRPr="00DE1BF7">
        <w:rPr>
          <w:rFonts w:ascii="Times New Roman" w:hAnsi="Times New Roman" w:cs="Times New Roman"/>
        </w:rPr>
        <w:t xml:space="preserve">This chapter </w:t>
      </w:r>
      <w:r>
        <w:rPr>
          <w:rFonts w:ascii="Times New Roman" w:hAnsi="Times New Roman" w:cs="Times New Roman"/>
        </w:rPr>
        <w:t>outlines</w:t>
      </w:r>
      <w:r w:rsidRPr="00DE1BF7">
        <w:rPr>
          <w:rFonts w:ascii="Times New Roman" w:hAnsi="Times New Roman" w:cs="Times New Roman"/>
        </w:rPr>
        <w:t xml:space="preserve"> the</w:t>
      </w:r>
      <w:r>
        <w:rPr>
          <w:rFonts w:ascii="Times New Roman" w:hAnsi="Times New Roman" w:cs="Times New Roman"/>
        </w:rPr>
        <w:t xml:space="preserve"> construction and characterisation</w:t>
      </w:r>
      <w:r w:rsidRPr="00DE1BF7">
        <w:rPr>
          <w:rFonts w:ascii="Times New Roman" w:hAnsi="Times New Roman" w:cs="Times New Roman"/>
        </w:rPr>
        <w:t xml:space="preserve"> </w:t>
      </w:r>
      <w:r>
        <w:rPr>
          <w:rFonts w:ascii="Times New Roman" w:hAnsi="Times New Roman" w:cs="Times New Roman"/>
        </w:rPr>
        <w:t>of genetic tools</w:t>
      </w:r>
      <w:r w:rsidRPr="00DE1BF7">
        <w:rPr>
          <w:rFonts w:ascii="Times New Roman" w:hAnsi="Times New Roman" w:cs="Times New Roman"/>
        </w:rPr>
        <w:t xml:space="preserve"> </w:t>
      </w:r>
      <w:r>
        <w:rPr>
          <w:rFonts w:ascii="Times New Roman" w:hAnsi="Times New Roman" w:cs="Times New Roman"/>
        </w:rPr>
        <w:t xml:space="preserve">that are necessary </w:t>
      </w:r>
      <w:r w:rsidRPr="00DE1BF7">
        <w:rPr>
          <w:rFonts w:ascii="Times New Roman" w:hAnsi="Times New Roman" w:cs="Times New Roman"/>
        </w:rPr>
        <w:t xml:space="preserve">to investigate the importance of (p)ppGpp and the </w:t>
      </w:r>
      <w:r>
        <w:rPr>
          <w:rFonts w:ascii="Times New Roman" w:hAnsi="Times New Roman" w:cs="Times New Roman"/>
        </w:rPr>
        <w:t>SR</w:t>
      </w:r>
      <w:r w:rsidRPr="00DE1BF7">
        <w:rPr>
          <w:rFonts w:ascii="Times New Roman" w:hAnsi="Times New Roman" w:cs="Times New Roman"/>
        </w:rPr>
        <w:t xml:space="preserve"> in </w:t>
      </w:r>
      <w:r w:rsidRPr="00DE1BF7">
        <w:rPr>
          <w:rFonts w:ascii="Times New Roman" w:hAnsi="Times New Roman" w:cs="Times New Roman"/>
          <w:i/>
          <w:iCs/>
        </w:rPr>
        <w:t xml:space="preserve">S. aureus </w:t>
      </w:r>
      <w:r w:rsidRPr="00DE1BF7">
        <w:rPr>
          <w:rFonts w:ascii="Times New Roman" w:hAnsi="Times New Roman" w:cs="Times New Roman"/>
        </w:rPr>
        <w:t>pathogenicity.</w:t>
      </w:r>
      <w:r>
        <w:rPr>
          <w:rFonts w:ascii="Times New Roman" w:hAnsi="Times New Roman" w:cs="Times New Roman"/>
        </w:rPr>
        <w:t xml:space="preserve"> These include (p)ppGpp synthetase-deletion mutants, (p)ppGpp overproduction strain</w:t>
      </w:r>
      <w:r w:rsidR="00E2681B">
        <w:rPr>
          <w:rFonts w:ascii="Times New Roman" w:hAnsi="Times New Roman" w:cs="Times New Roman"/>
        </w:rPr>
        <w:t>s</w:t>
      </w:r>
      <w:r>
        <w:rPr>
          <w:rFonts w:ascii="Times New Roman" w:hAnsi="Times New Roman" w:cs="Times New Roman"/>
        </w:rPr>
        <w:t xml:space="preserve"> and a range of (p)ppGpp probes: riboswitch-based molecular (p)ppGpp biosensors, transcriptional promoter-reporter fusions and translational synthetase-reporter fusions.</w:t>
      </w:r>
    </w:p>
    <w:p w14:paraId="1FE6A83E" w14:textId="77777777" w:rsidR="00187693" w:rsidRPr="00091EF9" w:rsidRDefault="00187693" w:rsidP="00187693">
      <w:pPr>
        <w:spacing w:line="360" w:lineRule="auto"/>
        <w:jc w:val="both"/>
        <w:rPr>
          <w:rFonts w:ascii="Times New Roman" w:hAnsi="Times New Roman" w:cs="Times New Roman"/>
        </w:rPr>
      </w:pPr>
      <w:r>
        <w:rPr>
          <w:rFonts w:ascii="Times New Roman" w:hAnsi="Times New Roman" w:cs="Times New Roman"/>
        </w:rPr>
        <w:tab/>
        <w:t>The synthetase-deletion mutants were successfully characterised. A method to distinguish between WT and the (p)ppGpp</w:t>
      </w:r>
      <w:r>
        <w:rPr>
          <w:rFonts w:ascii="Times New Roman" w:hAnsi="Times New Roman" w:cs="Times New Roman"/>
          <w:vertAlign w:val="superscript"/>
        </w:rPr>
        <w:t>0</w:t>
      </w:r>
      <w:r>
        <w:rPr>
          <w:rFonts w:ascii="Times New Roman" w:hAnsi="Times New Roman" w:cs="Times New Roman"/>
        </w:rPr>
        <w:t xml:space="preserve"> was established (growth in the presence of 0.05 </w:t>
      </w:r>
      <w:r w:rsidRPr="00C54372">
        <w:rPr>
          <w:rFonts w:ascii="Times New Roman" w:hAnsi="Times New Roman" w:cs="Times New Roman"/>
        </w:rPr>
        <w:t>μ</w:t>
      </w:r>
      <w:r>
        <w:rPr>
          <w:rFonts w:ascii="Times New Roman" w:hAnsi="Times New Roman" w:cs="Times New Roman"/>
        </w:rPr>
        <w:t>g/ml mupirocin) which is an easy method of strain determination. The synthetase genes from the (p)ppGpp</w:t>
      </w:r>
      <w:r>
        <w:rPr>
          <w:rFonts w:ascii="Times New Roman" w:hAnsi="Times New Roman" w:cs="Times New Roman"/>
          <w:vertAlign w:val="superscript"/>
        </w:rPr>
        <w:t xml:space="preserve">0 </w:t>
      </w:r>
      <w:r>
        <w:rPr>
          <w:rFonts w:ascii="Times New Roman" w:hAnsi="Times New Roman" w:cs="Times New Roman"/>
        </w:rPr>
        <w:t xml:space="preserve">mutant were sequenced in order to verify the size and nature of the deletions which revealed the catalytic motifs that were absent </w:t>
      </w:r>
      <w:r>
        <w:rPr>
          <w:rFonts w:ascii="Times New Roman" w:hAnsi="Times New Roman" w:cs="Times New Roman"/>
          <w:b/>
          <w:bCs/>
        </w:rPr>
        <w:t>(Fig. 3.2.2e-g)</w:t>
      </w:r>
      <w:r>
        <w:rPr>
          <w:rFonts w:ascii="Times New Roman" w:hAnsi="Times New Roman" w:cs="Times New Roman"/>
        </w:rPr>
        <w:t xml:space="preserve">. Here, all deletions were silent and in-frame which decreases the likelihood of the mutation affecting downstream genes. Rel was thought to be essential as </w:t>
      </w:r>
      <w:r>
        <w:rPr>
          <w:rFonts w:ascii="Times New Roman" w:hAnsi="Times New Roman" w:cs="Times New Roman"/>
          <w:i/>
          <w:iCs/>
        </w:rPr>
        <w:t xml:space="preserve">rel </w:t>
      </w:r>
      <w:r>
        <w:rPr>
          <w:rFonts w:ascii="Times New Roman" w:hAnsi="Times New Roman" w:cs="Times New Roman"/>
        </w:rPr>
        <w:t xml:space="preserve">deletion leads to lethality </w:t>
      </w:r>
      <w:r w:rsidRPr="007C309A">
        <w:rPr>
          <w:rFonts w:ascii="Times New Roman" w:hAnsi="Times New Roman" w:cs="Times New Roman"/>
          <w:b/>
          <w:bCs/>
        </w:rPr>
        <w:fldChar w:fldCharType="begin"/>
      </w:r>
      <w:r w:rsidRPr="007C309A">
        <w:rPr>
          <w:rFonts w:ascii="Times New Roman" w:hAnsi="Times New Roman" w:cs="Times New Roman"/>
          <w:b/>
          <w:bCs/>
        </w:rPr>
        <w:instrText xml:space="preserve"> ADDIN EN.CITE &lt;EndNote&gt;&lt;Cite&gt;&lt;Author&gt;Gentry&lt;/Author&gt;&lt;Year&gt;2000&lt;/Year&gt;&lt;IDText&gt;The rel gene is essential for in vitro growth of Staphylococcus aureus&lt;/IDText&gt;&lt;DisplayText&gt;(Gentry&lt;style face="italic"&gt; et al.&lt;/style&gt;, 2000)&lt;/DisplayText&gt;&lt;record&gt;&lt;dates&gt;&lt;pub-dates&gt;&lt;date&gt;Sep&lt;/date&gt;&lt;/pub-dates&gt;&lt;year&gt;2000&lt;/year&gt;&lt;/dates&gt;&lt;urls&gt;&lt;related-urls&gt;&lt;url&gt;&amp;lt;Go to ISI&amp;gt;://WOS:000088703400042&lt;/url&gt;&lt;/related-urls&gt;&lt;/urls&gt;&lt;isbn&gt;0021-9193&lt;/isbn&gt;&lt;work-type&gt;Article&lt;/work-type&gt;&lt;titles&gt;&lt;title&gt;&lt;style font="default" size="100%"&gt;The rel gene is essential for in vitro growth of &lt;/style&gt;&lt;style face="italic" font="default" size="100%"&gt;Staphylococcus aureus&lt;/style&gt;&lt;/title&gt;&lt;secondary-title&gt;Journal of Bacteriology&lt;/secondary-title&gt;&lt;/titles&gt;&lt;pages&gt;4995-4997&lt;/pages&gt;&lt;number&gt;17&lt;/number&gt;&lt;contributors&gt;&lt;authors&gt;&lt;author&gt;Gentry, D.&lt;/author&gt;&lt;author&gt;Li, T.&lt;/author&gt;&lt;author&gt;Rosenberg, M.&lt;/author&gt;&lt;author&gt;McDevitt, D.&lt;/author&gt;&lt;/authors&gt;&lt;/contributors&gt;&lt;added-date format="utc"&gt;1675947274&lt;/added-date&gt;&lt;ref-type name="Journal Article"&gt;17&lt;/ref-type&gt;&lt;rec-number&gt;310&lt;/rec-number&gt;&lt;last-updated-date format="utc"&gt;1675947318&lt;/last-updated-date&gt;&lt;accession-num&gt;WOS:000088703400042&lt;/accession-num&gt;&lt;electronic-resource-num&gt;10.1128/jb.182.17.4995-4997.2000&lt;/electronic-resource-num&gt;&lt;volume&gt;182&lt;/volume&gt;&lt;/record&gt;&lt;/Cite&gt;&lt;/EndNote&gt;</w:instrText>
      </w:r>
      <w:r w:rsidRPr="007C309A">
        <w:rPr>
          <w:rFonts w:ascii="Times New Roman" w:hAnsi="Times New Roman" w:cs="Times New Roman"/>
          <w:b/>
          <w:bCs/>
        </w:rPr>
        <w:fldChar w:fldCharType="separate"/>
      </w:r>
      <w:r w:rsidRPr="007C309A">
        <w:rPr>
          <w:rFonts w:ascii="Times New Roman" w:hAnsi="Times New Roman" w:cs="Times New Roman"/>
          <w:b/>
          <w:bCs/>
          <w:noProof/>
        </w:rPr>
        <w:t>(Gentry</w:t>
      </w:r>
      <w:r w:rsidRPr="007C309A">
        <w:rPr>
          <w:rFonts w:ascii="Times New Roman" w:hAnsi="Times New Roman" w:cs="Times New Roman"/>
          <w:b/>
          <w:bCs/>
          <w:i/>
          <w:noProof/>
        </w:rPr>
        <w:t xml:space="preserve"> et al.</w:t>
      </w:r>
      <w:r w:rsidRPr="007C309A">
        <w:rPr>
          <w:rFonts w:ascii="Times New Roman" w:hAnsi="Times New Roman" w:cs="Times New Roman"/>
          <w:b/>
          <w:bCs/>
          <w:noProof/>
        </w:rPr>
        <w:t>, 2000)</w:t>
      </w:r>
      <w:r w:rsidRPr="007C309A">
        <w:rPr>
          <w:rFonts w:ascii="Times New Roman" w:hAnsi="Times New Roman" w:cs="Times New Roman"/>
          <w:b/>
          <w:bCs/>
        </w:rPr>
        <w:fldChar w:fldCharType="end"/>
      </w:r>
      <w:r>
        <w:rPr>
          <w:rFonts w:ascii="Times New Roman" w:hAnsi="Times New Roman" w:cs="Times New Roman"/>
        </w:rPr>
        <w:t xml:space="preserve">. Excess (p)ppGpp production leads to toxic accumulation and thus, </w:t>
      </w:r>
      <w:r>
        <w:rPr>
          <w:rFonts w:ascii="Times New Roman" w:hAnsi="Times New Roman" w:cs="Times New Roman"/>
          <w:i/>
          <w:iCs/>
        </w:rPr>
        <w:t xml:space="preserve">rel </w:t>
      </w:r>
      <w:r>
        <w:rPr>
          <w:rFonts w:ascii="Times New Roman" w:hAnsi="Times New Roman" w:cs="Times New Roman"/>
        </w:rPr>
        <w:t xml:space="preserve">deletion in a WT background is lethal due to lack of a functional hydrolase domain, and uncontrolled surplus (p)ppGpp produced by RelP and RelQ when in the absence of Rel </w:t>
      </w:r>
      <w:r w:rsidRPr="00BF39CF">
        <w:rPr>
          <w:rFonts w:ascii="Times New Roman" w:hAnsi="Times New Roman" w:cs="Times New Roman"/>
          <w:b/>
          <w:bCs/>
        </w:rPr>
        <w:fldChar w:fldCharType="begin">
          <w:fldData xml:space="preserve">PEVuZE5vdGU+PENpdGU+PEF1dGhvcj5UYWthZGE8L0F1dGhvcj48WWVhcj4yMDIwPC9ZZWFyPjxJ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PEVuZE5vdGU+PENpdGU+PEF1dGhvcj5UYWthZGE8L0F1dGhvcj48WWVhcj4yMDIwPC9ZZWFyPjxJ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BF39CF">
        <w:rPr>
          <w:rFonts w:ascii="Times New Roman" w:hAnsi="Times New Roman" w:cs="Times New Roman"/>
          <w:b/>
          <w:bCs/>
        </w:rPr>
      </w:r>
      <w:r w:rsidRPr="00BF39CF">
        <w:rPr>
          <w:rFonts w:ascii="Times New Roman" w:hAnsi="Times New Roman" w:cs="Times New Roman"/>
          <w:b/>
          <w:bCs/>
        </w:rPr>
        <w:fldChar w:fldCharType="separate"/>
      </w:r>
      <w:r>
        <w:rPr>
          <w:rFonts w:ascii="Times New Roman" w:hAnsi="Times New Roman" w:cs="Times New Roman"/>
          <w:b/>
          <w:bCs/>
          <w:noProof/>
        </w:rPr>
        <w:t>(Takada</w:t>
      </w:r>
      <w:r w:rsidRPr="00BF39CF">
        <w:rPr>
          <w:rFonts w:ascii="Times New Roman" w:hAnsi="Times New Roman" w:cs="Times New Roman"/>
          <w:b/>
          <w:bCs/>
          <w:i/>
          <w:noProof/>
        </w:rPr>
        <w:t xml:space="preserve"> et al.</w:t>
      </w:r>
      <w:r>
        <w:rPr>
          <w:rFonts w:ascii="Times New Roman" w:hAnsi="Times New Roman" w:cs="Times New Roman"/>
          <w:b/>
          <w:bCs/>
          <w:noProof/>
        </w:rPr>
        <w:t>, 2020; Gratani</w:t>
      </w:r>
      <w:r w:rsidRPr="00BF39CF">
        <w:rPr>
          <w:rFonts w:ascii="Times New Roman" w:hAnsi="Times New Roman" w:cs="Times New Roman"/>
          <w:b/>
          <w:bCs/>
          <w:i/>
          <w:noProof/>
        </w:rPr>
        <w:t xml:space="preserve"> et al.</w:t>
      </w:r>
      <w:r>
        <w:rPr>
          <w:rFonts w:ascii="Times New Roman" w:hAnsi="Times New Roman" w:cs="Times New Roman"/>
          <w:b/>
          <w:bCs/>
          <w:noProof/>
        </w:rPr>
        <w:t>, 2018)</w:t>
      </w:r>
      <w:r w:rsidRPr="00BF39CF">
        <w:rPr>
          <w:rFonts w:ascii="Times New Roman" w:hAnsi="Times New Roman" w:cs="Times New Roman"/>
          <w:b/>
          <w:bCs/>
        </w:rPr>
        <w:fldChar w:fldCharType="end"/>
      </w:r>
      <w:r>
        <w:rPr>
          <w:rFonts w:ascii="Times New Roman" w:hAnsi="Times New Roman" w:cs="Times New Roman"/>
        </w:rPr>
        <w:t>.Therefore, in order to construct a (p)ppGpp</w:t>
      </w:r>
      <w:r>
        <w:rPr>
          <w:rFonts w:ascii="Times New Roman" w:hAnsi="Times New Roman" w:cs="Times New Roman"/>
          <w:vertAlign w:val="superscript"/>
        </w:rPr>
        <w:t>0</w:t>
      </w:r>
      <w:r>
        <w:rPr>
          <w:rFonts w:ascii="Times New Roman" w:hAnsi="Times New Roman" w:cs="Times New Roman"/>
        </w:rPr>
        <w:t xml:space="preserve"> mutant, </w:t>
      </w:r>
      <w:r>
        <w:rPr>
          <w:rFonts w:ascii="Times New Roman" w:hAnsi="Times New Roman" w:cs="Times New Roman"/>
          <w:i/>
          <w:iCs/>
        </w:rPr>
        <w:t xml:space="preserve">relP and relQ </w:t>
      </w:r>
      <w:r>
        <w:rPr>
          <w:rFonts w:ascii="Times New Roman" w:hAnsi="Times New Roman" w:cs="Times New Roman"/>
        </w:rPr>
        <w:t xml:space="preserve">must be deleted first to remove the essentiality of the HD domain, after which, </w:t>
      </w:r>
      <w:r>
        <w:rPr>
          <w:rFonts w:ascii="Times New Roman" w:hAnsi="Times New Roman" w:cs="Times New Roman"/>
          <w:i/>
          <w:iCs/>
        </w:rPr>
        <w:t>rel</w:t>
      </w:r>
      <w:r>
        <w:rPr>
          <w:rFonts w:ascii="Times New Roman" w:hAnsi="Times New Roman" w:cs="Times New Roman"/>
        </w:rPr>
        <w:t xml:space="preserve"> can be deleted. (p)ppGpp</w:t>
      </w:r>
      <w:r>
        <w:rPr>
          <w:rFonts w:ascii="Times New Roman" w:hAnsi="Times New Roman" w:cs="Times New Roman"/>
          <w:vertAlign w:val="superscript"/>
        </w:rPr>
        <w:t>0</w:t>
      </w:r>
      <w:r>
        <w:rPr>
          <w:rFonts w:ascii="Times New Roman" w:hAnsi="Times New Roman" w:cs="Times New Roman"/>
        </w:rPr>
        <w:t xml:space="preserve"> mutants are able to grow similarly to wildtype in rich media </w:t>
      </w:r>
      <w:r>
        <w:rPr>
          <w:rFonts w:ascii="Times New Roman" w:hAnsi="Times New Roman" w:cs="Times New Roman"/>
          <w:b/>
          <w:bCs/>
        </w:rPr>
        <w:t xml:space="preserve">(Fig. 3.2.1b) </w:t>
      </w:r>
      <w:r>
        <w:rPr>
          <w:rFonts w:ascii="Times New Roman" w:hAnsi="Times New Roman" w:cs="Times New Roman"/>
        </w:rPr>
        <w:t>so the absence of (p)ppGpp does not affect growth until grown in nutrient-limited media due to bacteria being unable to mount a stringent response</w:t>
      </w:r>
      <w:r w:rsidRPr="0093523C">
        <w:rPr>
          <w:rFonts w:ascii="Times New Roman" w:hAnsi="Times New Roman" w:cs="Times New Roman"/>
          <w:b/>
          <w:bCs/>
        </w:rPr>
        <w:t xml:space="preserve"> </w:t>
      </w:r>
      <w:r w:rsidRPr="0093523C">
        <w:rPr>
          <w:rFonts w:ascii="Times New Roman" w:hAnsi="Times New Roman" w:cs="Times New Roman"/>
          <w:b/>
          <w:bCs/>
        </w:rPr>
        <w:fldChar w:fldCharType="begin"/>
      </w:r>
      <w:r w:rsidRPr="0093523C">
        <w:rPr>
          <w:rFonts w:ascii="Times New Roman" w:hAnsi="Times New Roman" w:cs="Times New Roman"/>
          <w:b/>
          <w:bCs/>
        </w:rPr>
        <w:instrText xml:space="preserve"> ADDIN EN.CITE &lt;EndNote&gt;&lt;Cite&gt;&lt;Author&gt;Gratani&lt;/Author&gt;&lt;Year&gt;2018&lt;/Year&gt;&lt;IDText&gt;Regulation of the opposing (p)ppGpp synthetase and hydrolase activities in a bifunctional RelA/SpoT homologue from Staphylococcus aureus&lt;/IDText&gt;&lt;DisplayText&gt;(Gratani&lt;style face="italic"&gt; et al.&lt;/style&gt;, 2018)&lt;/DisplayText&gt;&lt;record&gt;&lt;dates&gt;&lt;pub-dates&gt;&lt;date&gt;Jul&lt;/date&gt;&lt;/pub-dates&gt;&lt;year&gt;2018&lt;/year&gt;&lt;/dates&gt;&lt;urls&gt;&lt;related-urls&gt;&lt;url&gt;&amp;lt;Go to ISI&amp;gt;://WOS:000440556300027&lt;/url&gt;&lt;/related-urls&gt;&lt;/urls&gt;&lt;isbn&gt;1553-7404&lt;/isbn&gt;&lt;titles&gt;&lt;title&gt;Regulation of the opposing (p)ppGpp synthetase and hydrolase activities in a bifunctional RelA/SpoT homologue from Staphylococcus aureus&lt;/title&gt;&lt;secondary-title&gt;Plos Genetics&lt;/secondary-title&gt;&lt;/titles&gt;&lt;number&gt;7&lt;/number&gt;&lt;contributors&gt;&lt;authors&gt;&lt;author&gt;Gratani, F. L.&lt;/author&gt;&lt;author&gt;Horvatek, P.&lt;/author&gt;&lt;author&gt;Geiger, T.&lt;/author&gt;&lt;author&gt;Borisova, M.&lt;/author&gt;&lt;author&gt;Mayer, C.&lt;/author&gt;&lt;author&gt;Grin, I.&lt;/author&gt;&lt;author&gt;Wagner, S.&lt;/author&gt;&lt;author&gt;Steinchen, W.&lt;/author&gt;&lt;author&gt;Bange, G.&lt;/author&gt;&lt;author&gt;Velic, A.&lt;/author&gt;&lt;author&gt;Macek, B.&lt;/author&gt;&lt;author&gt;Wolz, C.&lt;/author&gt;&lt;/authors&gt;&lt;/contributors&gt;&lt;custom7&gt;e1007514&lt;/custom7&gt;&lt;added-date format="utc"&gt;1677470615&lt;/added-date&gt;&lt;ref-type name="Journal Article"&gt;17&lt;/ref-type&gt;&lt;rec-number&gt;565&lt;/rec-number&gt;&lt;last-updated-date format="utc"&gt;1677470615&lt;/last-updated-date&gt;&lt;accession-num&gt;WOS:000440556300027&lt;/accession-num&gt;&lt;electronic-resource-num&gt;10.1371/journal.pgen.1007514&lt;/electronic-resource-num&gt;&lt;volume&gt;14&lt;/volume&gt;&lt;/record&gt;&lt;/Cite&gt;&lt;/EndNote&gt;</w:instrText>
      </w:r>
      <w:r w:rsidRPr="0093523C">
        <w:rPr>
          <w:rFonts w:ascii="Times New Roman" w:hAnsi="Times New Roman" w:cs="Times New Roman"/>
          <w:b/>
          <w:bCs/>
        </w:rPr>
        <w:fldChar w:fldCharType="separate"/>
      </w:r>
      <w:r w:rsidRPr="0093523C">
        <w:rPr>
          <w:rFonts w:ascii="Times New Roman" w:hAnsi="Times New Roman" w:cs="Times New Roman"/>
          <w:b/>
          <w:bCs/>
          <w:noProof/>
        </w:rPr>
        <w:t>(Gratani</w:t>
      </w:r>
      <w:r w:rsidRPr="0093523C">
        <w:rPr>
          <w:rFonts w:ascii="Times New Roman" w:hAnsi="Times New Roman" w:cs="Times New Roman"/>
          <w:b/>
          <w:bCs/>
          <w:i/>
          <w:noProof/>
        </w:rPr>
        <w:t xml:space="preserve"> et al.</w:t>
      </w:r>
      <w:r w:rsidRPr="0093523C">
        <w:rPr>
          <w:rFonts w:ascii="Times New Roman" w:hAnsi="Times New Roman" w:cs="Times New Roman"/>
          <w:b/>
          <w:bCs/>
          <w:noProof/>
        </w:rPr>
        <w:t>, 2018)</w:t>
      </w:r>
      <w:r w:rsidRPr="0093523C">
        <w:rPr>
          <w:rFonts w:ascii="Times New Roman" w:hAnsi="Times New Roman" w:cs="Times New Roman"/>
          <w:b/>
          <w:bCs/>
        </w:rPr>
        <w:fldChar w:fldCharType="end"/>
      </w:r>
      <w:r>
        <w:rPr>
          <w:rFonts w:ascii="Times New Roman" w:hAnsi="Times New Roman" w:cs="Times New Roman"/>
        </w:rPr>
        <w:t>. This highlights the importance of regulating cellular (p)ppGpp levels as both the absence of (p)ppGpp and toxic accumulation can have detrimental effects on growth. The deleted regions of the synthetases of the (p)ppGpp</w:t>
      </w:r>
      <w:r>
        <w:rPr>
          <w:rFonts w:ascii="Times New Roman" w:hAnsi="Times New Roman" w:cs="Times New Roman"/>
          <w:vertAlign w:val="superscript"/>
        </w:rPr>
        <w:t xml:space="preserve">0 </w:t>
      </w:r>
      <w:r>
        <w:rPr>
          <w:rFonts w:ascii="Times New Roman" w:hAnsi="Times New Roman" w:cs="Times New Roman"/>
        </w:rPr>
        <w:t xml:space="preserve">mutant utilised in this study was achieved by allelic exchange, deleting </w:t>
      </w:r>
      <w:r>
        <w:rPr>
          <w:rFonts w:ascii="Times New Roman" w:hAnsi="Times New Roman" w:cs="Times New Roman"/>
          <w:i/>
          <w:iCs/>
        </w:rPr>
        <w:t xml:space="preserve">relQ </w:t>
      </w:r>
      <w:r>
        <w:rPr>
          <w:rFonts w:ascii="Times New Roman" w:hAnsi="Times New Roman" w:cs="Times New Roman"/>
        </w:rPr>
        <w:t xml:space="preserve">first, then </w:t>
      </w:r>
      <w:r>
        <w:rPr>
          <w:rFonts w:ascii="Times New Roman" w:hAnsi="Times New Roman" w:cs="Times New Roman"/>
          <w:i/>
          <w:iCs/>
        </w:rPr>
        <w:t xml:space="preserve">relP </w:t>
      </w:r>
      <w:r>
        <w:rPr>
          <w:rFonts w:ascii="Times New Roman" w:hAnsi="Times New Roman" w:cs="Times New Roman"/>
        </w:rPr>
        <w:t xml:space="preserve">and </w:t>
      </w:r>
      <w:r>
        <w:rPr>
          <w:rFonts w:ascii="Times New Roman" w:hAnsi="Times New Roman" w:cs="Times New Roman"/>
          <w:i/>
          <w:iCs/>
        </w:rPr>
        <w:t xml:space="preserve">rel. </w:t>
      </w:r>
      <w:r>
        <w:rPr>
          <w:rFonts w:ascii="Times New Roman" w:hAnsi="Times New Roman" w:cs="Times New Roman"/>
        </w:rPr>
        <w:t>Producing a (p)ppGpp</w:t>
      </w:r>
      <w:r>
        <w:rPr>
          <w:rFonts w:ascii="Times New Roman" w:hAnsi="Times New Roman" w:cs="Times New Roman"/>
          <w:vertAlign w:val="superscript"/>
        </w:rPr>
        <w:t xml:space="preserve">0 </w:t>
      </w:r>
      <w:r>
        <w:rPr>
          <w:rFonts w:ascii="Times New Roman" w:hAnsi="Times New Roman" w:cs="Times New Roman"/>
        </w:rPr>
        <w:t xml:space="preserve">mutant with silent, in-frame deletions, is advantageous in comparison to marked deletions as the introduction of an antibiotic resistant cassette may lead to polar effects, affecting downstream genes </w:t>
      </w:r>
      <w:r w:rsidRPr="00F25AB1">
        <w:rPr>
          <w:rFonts w:ascii="Times New Roman" w:hAnsi="Times New Roman" w:cs="Times New Roman"/>
          <w:b/>
          <w:bCs/>
        </w:rPr>
        <w:fldChar w:fldCharType="begin"/>
      </w:r>
      <w:r w:rsidRPr="00F25AB1">
        <w:rPr>
          <w:rFonts w:ascii="Times New Roman" w:hAnsi="Times New Roman" w:cs="Times New Roman"/>
          <w:b/>
          <w:bCs/>
        </w:rPr>
        <w:instrText xml:space="preserve"> ADDIN EN.CITE &lt;EndNote&gt;&lt;Cite&gt;&lt;Author&gt;Ishikawa&lt;/Author&gt;&lt;Year&gt;2013&lt;/Year&gt;&lt;IDText&gt;A new simple method for introducing an unmarked mutation into a large gene of non-competent Gram-negative bacteria by FLP/FRT recombination&lt;/IDText&gt;&lt;DisplayText&gt;(Ishikawa and Hori, 2013)&lt;/DisplayText&gt;&lt;record&gt;&lt;dates&gt;&lt;pub-dates&gt;&lt;date&gt;Apr 17&lt;/date&gt;&lt;/pub-dates&gt;&lt;year&gt;2013&lt;/year&gt;&lt;/dates&gt;&lt;urls&gt;&lt;related-urls&gt;&lt;url&gt;&amp;lt;Go to ISI&amp;gt;://WOS:000318945200001&lt;/url&gt;&lt;/related-urls&gt;&lt;/urls&gt;&lt;isbn&gt;1471-2180&lt;/isbn&gt;&lt;work-type&gt;Article&lt;/work-type&gt;&lt;titles&gt;&lt;title&gt;A new simple method for introducing an unmarked mutation into a large gene of non-competent Gram-negative bacteria by FLP/FRT recombination&lt;/title&gt;&lt;secondary-title&gt;Bmc Microbiology&lt;/secondary-title&gt;&lt;/titles&gt;&lt;contributors&gt;&lt;authors&gt;&lt;author&gt;Ishikawa, Masahito&lt;/author&gt;&lt;author&gt;Hori, Katsutoshi&lt;/author&gt;&lt;/authors&gt;&lt;/contributors&gt;&lt;custom7&gt;86&lt;/custom7&gt;&lt;added-date format="utc"&gt;1675956056&lt;/added-date&gt;&lt;ref-type name="Journal Article"&gt;17&lt;/ref-type&gt;&lt;rec-number&gt;311&lt;/rec-number&gt;&lt;last-updated-date format="utc"&gt;1675956056&lt;/last-updated-date&gt;&lt;accession-num&gt;WOS:000318945200001&lt;/accession-num&gt;&lt;electronic-resource-num&gt;10.1186/1471-2180-13-86&lt;/electronic-resource-num&gt;&lt;volume&gt;13&lt;/volume&gt;&lt;/record&gt;&lt;/Cite&gt;&lt;/EndNote&gt;</w:instrText>
      </w:r>
      <w:r w:rsidRPr="00F25AB1">
        <w:rPr>
          <w:rFonts w:ascii="Times New Roman" w:hAnsi="Times New Roman" w:cs="Times New Roman"/>
          <w:b/>
          <w:bCs/>
        </w:rPr>
        <w:fldChar w:fldCharType="separate"/>
      </w:r>
      <w:r w:rsidRPr="00F25AB1">
        <w:rPr>
          <w:rFonts w:ascii="Times New Roman" w:hAnsi="Times New Roman" w:cs="Times New Roman"/>
          <w:b/>
          <w:bCs/>
          <w:noProof/>
        </w:rPr>
        <w:t>(Ishikawa and Hori, 2013)</w:t>
      </w:r>
      <w:r w:rsidRPr="00F25AB1">
        <w:rPr>
          <w:rFonts w:ascii="Times New Roman" w:hAnsi="Times New Roman" w:cs="Times New Roman"/>
          <w:b/>
          <w:bCs/>
        </w:rPr>
        <w:fldChar w:fldCharType="end"/>
      </w:r>
      <w:r>
        <w:rPr>
          <w:rFonts w:ascii="Times New Roman" w:hAnsi="Times New Roman" w:cs="Times New Roman"/>
        </w:rPr>
        <w:t xml:space="preserve">. Additionally, the deletion of multiple genes is limited when using antibiotics due to the antibiotic markers available and due to the ability of </w:t>
      </w:r>
      <w:r>
        <w:rPr>
          <w:rFonts w:ascii="Times New Roman" w:hAnsi="Times New Roman" w:cs="Times New Roman"/>
          <w:i/>
          <w:iCs/>
        </w:rPr>
        <w:t xml:space="preserve">S. aureus </w:t>
      </w:r>
      <w:r>
        <w:rPr>
          <w:rFonts w:ascii="Times New Roman" w:hAnsi="Times New Roman" w:cs="Times New Roman"/>
        </w:rPr>
        <w:t xml:space="preserve">to be multi-drug resistant </w:t>
      </w:r>
      <w:r w:rsidRPr="003E79B2">
        <w:rPr>
          <w:rFonts w:ascii="Times New Roman" w:hAnsi="Times New Roman" w:cs="Times New Roman"/>
          <w:b/>
          <w:bCs/>
        </w:rPr>
        <w:fldChar w:fldCharType="begin"/>
      </w:r>
      <w:r w:rsidRPr="003E79B2">
        <w:rPr>
          <w:rFonts w:ascii="Times New Roman" w:hAnsi="Times New Roman" w:cs="Times New Roman"/>
          <w:b/>
          <w:bCs/>
        </w:rPr>
        <w:instrText xml:space="preserve"> ADDIN EN.CITE &lt;EndNote&gt;&lt;Cite&gt;&lt;Author&gt;Kato&lt;/Author&gt;&lt;Year&gt;2011&lt;/Year&gt;&lt;IDText&gt;A simple method of markerless gene deletion in Staphylococcus aureus&lt;/IDText&gt;&lt;DisplayText&gt;(Kato and Sugai, 2011)&lt;/DisplayText&gt;&lt;record&gt;&lt;dates&gt;&lt;pub-dates&gt;&lt;date&gt;Oct&lt;/date&gt;&lt;/pub-dates&gt;&lt;year&gt;2011&lt;/year&gt;&lt;/dates&gt;&lt;urls&gt;&lt;related-urls&gt;&lt;url&gt;&amp;lt;Go to ISI&amp;gt;://WOS:000296946400012&lt;/url&gt;&lt;/related-urls&gt;&lt;/urls&gt;&lt;isbn&gt;0167-7012&lt;/isbn&gt;&lt;work-type&gt;Article&lt;/work-type&gt;&lt;titles&gt;&lt;title&gt;A simple method of markerless gene deletion in Staphylococcus aureus&lt;/title&gt;&lt;secondary-title&gt;Journal of Microbiological Methods&lt;/secondary-title&gt;&lt;/titles&gt;&lt;pages&gt;76-81&lt;/pages&gt;&lt;number&gt;1&lt;/number&gt;&lt;contributors&gt;&lt;authors&gt;&lt;author&gt;Kato, Fuminori&lt;/author&gt;&lt;author&gt;Sugai, Motoyuki&lt;/author&gt;&lt;/authors&gt;&lt;/contributors&gt;&lt;added-date format="utc"&gt;1675956236&lt;/added-date&gt;&lt;ref-type name="Journal Article"&gt;17&lt;/ref-type&gt;&lt;rec-number&gt;312&lt;/rec-number&gt;&lt;last-updated-date format="utc"&gt;1675956236&lt;/last-updated-date&gt;&lt;accession-num&gt;WOS:000296946400012&lt;/accession-num&gt;&lt;electronic-resource-num&gt;10.1016/j.mimet.2011.07.010&lt;/electronic-resource-num&gt;&lt;volume&gt;87&lt;/volume&gt;&lt;/record&gt;&lt;/Cite&gt;&lt;/EndNote&gt;</w:instrText>
      </w:r>
      <w:r w:rsidRPr="003E79B2">
        <w:rPr>
          <w:rFonts w:ascii="Times New Roman" w:hAnsi="Times New Roman" w:cs="Times New Roman"/>
          <w:b/>
          <w:bCs/>
        </w:rPr>
        <w:fldChar w:fldCharType="separate"/>
      </w:r>
      <w:r w:rsidRPr="003E79B2">
        <w:rPr>
          <w:rFonts w:ascii="Times New Roman" w:hAnsi="Times New Roman" w:cs="Times New Roman"/>
          <w:b/>
          <w:bCs/>
          <w:noProof/>
        </w:rPr>
        <w:t>(Kato and Sugai, 2011)</w:t>
      </w:r>
      <w:r w:rsidRPr="003E79B2">
        <w:rPr>
          <w:rFonts w:ascii="Times New Roman" w:hAnsi="Times New Roman" w:cs="Times New Roman"/>
          <w:b/>
          <w:bCs/>
        </w:rPr>
        <w:fldChar w:fldCharType="end"/>
      </w:r>
      <w:r>
        <w:rPr>
          <w:rFonts w:ascii="Times New Roman" w:hAnsi="Times New Roman" w:cs="Times New Roman"/>
          <w:b/>
          <w:bCs/>
        </w:rPr>
        <w:t>.</w:t>
      </w:r>
      <w:r>
        <w:rPr>
          <w:rFonts w:ascii="Times New Roman" w:hAnsi="Times New Roman" w:cs="Times New Roman"/>
        </w:rPr>
        <w:t xml:space="preserve">  </w:t>
      </w:r>
    </w:p>
    <w:p w14:paraId="6ED122D8" w14:textId="3DD276FD" w:rsidR="00187693" w:rsidRDefault="00187693" w:rsidP="00187693">
      <w:pPr>
        <w:spacing w:line="360" w:lineRule="auto"/>
        <w:ind w:firstLine="720"/>
        <w:jc w:val="both"/>
        <w:rPr>
          <w:rFonts w:ascii="Times New Roman" w:hAnsi="Times New Roman" w:cs="Times New Roman"/>
          <w:b/>
          <w:bCs/>
        </w:rPr>
      </w:pPr>
      <w:r>
        <w:rPr>
          <w:rFonts w:ascii="Times New Roman" w:hAnsi="Times New Roman" w:cs="Times New Roman"/>
        </w:rPr>
        <w:t xml:space="preserve">In this chapter, the overproduction strain was initially designed to overproduce (p)ppGpp by taking advantage of the fact that truncating the CTD of Rel relieves the negative regulatory effects that the CTD has on the NTD </w:t>
      </w:r>
      <w:r w:rsidRPr="0093523C">
        <w:rPr>
          <w:rFonts w:ascii="Times New Roman" w:hAnsi="Times New Roman" w:cs="Times New Roman"/>
          <w:b/>
          <w:bCs/>
        </w:rPr>
        <w:fldChar w:fldCharType="begin"/>
      </w:r>
      <w:r w:rsidRPr="0093523C">
        <w:rPr>
          <w:rFonts w:ascii="Times New Roman" w:hAnsi="Times New Roman" w:cs="Times New Roman"/>
          <w:b/>
          <w:bCs/>
        </w:rPr>
        <w:instrText xml:space="preserve"> ADDIN EN.CITE &lt;EndNote&gt;&lt;Cite&gt;&lt;Author&gt;Gratani&lt;/Author&gt;&lt;Year&gt;2018&lt;/Year&gt;&lt;IDText&gt;Regulation of the opposing (p)ppGpp synthetase and hydrolase activities in a bifunctional RelA/SpoT homologue from Staphylococcus aureus&lt;/IDText&gt;&lt;DisplayText&gt;(Gratani&lt;style face="italic"&gt; et al.&lt;/style&gt;, 2018)&lt;/DisplayText&gt;&lt;record&gt;&lt;dates&gt;&lt;pub-dates&gt;&lt;date&gt;Jul&lt;/date&gt;&lt;/pub-dates&gt;&lt;year&gt;2018&lt;/year&gt;&lt;/dates&gt;&lt;urls&gt;&lt;related-urls&gt;&lt;url&gt;&amp;lt;Go to ISI&amp;gt;://WOS:000440556300027&lt;/url&gt;&lt;/related-urls&gt;&lt;/urls&gt;&lt;isbn&gt;1553-7404&lt;/isbn&gt;&lt;titles&gt;&lt;title&gt;Regulation of the opposing (p)ppGpp synthetase and hydrolase activities in a bifunctional RelA/SpoT homologue from Staphylococcus aureus&lt;/title&gt;&lt;secondary-title&gt;Plos Genetics&lt;/secondary-title&gt;&lt;/titles&gt;&lt;number&gt;7&lt;/number&gt;&lt;contributors&gt;&lt;authors&gt;&lt;author&gt;Gratani, F. L.&lt;/author&gt;&lt;author&gt;Horvatek, P.&lt;/author&gt;&lt;author&gt;Geiger, T.&lt;/author&gt;&lt;author&gt;Borisova, M.&lt;/author&gt;&lt;author&gt;Mayer, C.&lt;/author&gt;&lt;author&gt;Grin, I.&lt;/author&gt;&lt;author&gt;Wagner, S.&lt;/author&gt;&lt;author&gt;Steinchen, W.&lt;/author&gt;&lt;author&gt;Bange, G.&lt;/author&gt;&lt;author&gt;Velic, A.&lt;/author&gt;&lt;author&gt;Macek, B.&lt;/author&gt;&lt;author&gt;Wolz, C.&lt;/author&gt;&lt;/authors&gt;&lt;/contributors&gt;&lt;custom7&gt;e1007514&lt;/custom7&gt;&lt;added-date format="utc"&gt;1677470615&lt;/added-date&gt;&lt;ref-type name="Journal Article"&gt;17&lt;/ref-type&gt;&lt;rec-number&gt;565&lt;/rec-number&gt;&lt;last-updated-date format="utc"&gt;1677470615&lt;/last-updated-date&gt;&lt;accession-num&gt;WOS:000440556300027&lt;/accession-num&gt;&lt;electronic-resource-num&gt;10.1371/journal.pgen.1007514&lt;/electronic-resource-num&gt;&lt;volume&gt;14&lt;/volume&gt;&lt;/record&gt;&lt;/Cite&gt;&lt;/EndNote&gt;</w:instrText>
      </w:r>
      <w:r w:rsidRPr="0093523C">
        <w:rPr>
          <w:rFonts w:ascii="Times New Roman" w:hAnsi="Times New Roman" w:cs="Times New Roman"/>
          <w:b/>
          <w:bCs/>
        </w:rPr>
        <w:fldChar w:fldCharType="separate"/>
      </w:r>
      <w:r w:rsidRPr="0093523C">
        <w:rPr>
          <w:rFonts w:ascii="Times New Roman" w:hAnsi="Times New Roman" w:cs="Times New Roman"/>
          <w:b/>
          <w:bCs/>
          <w:noProof/>
        </w:rPr>
        <w:t>(Gratani</w:t>
      </w:r>
      <w:r w:rsidRPr="0093523C">
        <w:rPr>
          <w:rFonts w:ascii="Times New Roman" w:hAnsi="Times New Roman" w:cs="Times New Roman"/>
          <w:b/>
          <w:bCs/>
          <w:i/>
          <w:noProof/>
        </w:rPr>
        <w:t xml:space="preserve"> et al.</w:t>
      </w:r>
      <w:r w:rsidRPr="0093523C">
        <w:rPr>
          <w:rFonts w:ascii="Times New Roman" w:hAnsi="Times New Roman" w:cs="Times New Roman"/>
          <w:b/>
          <w:bCs/>
          <w:noProof/>
        </w:rPr>
        <w:t>, 2018)</w:t>
      </w:r>
      <w:r w:rsidRPr="0093523C">
        <w:rPr>
          <w:rFonts w:ascii="Times New Roman" w:hAnsi="Times New Roman" w:cs="Times New Roman"/>
          <w:b/>
          <w:bCs/>
        </w:rPr>
        <w:fldChar w:fldCharType="end"/>
      </w:r>
      <w:r>
        <w:rPr>
          <w:rFonts w:ascii="Times New Roman" w:hAnsi="Times New Roman" w:cs="Times New Roman"/>
        </w:rPr>
        <w:t xml:space="preserve">. </w:t>
      </w:r>
      <w:r w:rsidRPr="00FB7CC5">
        <w:rPr>
          <w:rFonts w:ascii="Times New Roman" w:hAnsi="Times New Roman" w:cs="Times New Roman"/>
        </w:rPr>
        <w:t>Gratani and colleagues</w:t>
      </w:r>
      <w:r>
        <w:rPr>
          <w:rFonts w:ascii="Times New Roman" w:hAnsi="Times New Roman" w:cs="Times New Roman"/>
        </w:rPr>
        <w:t xml:space="preserve"> demonstrated that this then led to (p)ppGpp overproduction when the expression of the NTD was induced on an inducible plasmid </w:t>
      </w:r>
      <w:r w:rsidRPr="0093523C">
        <w:rPr>
          <w:rFonts w:ascii="Times New Roman" w:hAnsi="Times New Roman" w:cs="Times New Roman"/>
          <w:b/>
          <w:bCs/>
        </w:rPr>
        <w:fldChar w:fldCharType="begin"/>
      </w:r>
      <w:r w:rsidRPr="0093523C">
        <w:rPr>
          <w:rFonts w:ascii="Times New Roman" w:hAnsi="Times New Roman" w:cs="Times New Roman"/>
          <w:b/>
          <w:bCs/>
        </w:rPr>
        <w:instrText xml:space="preserve"> ADDIN EN.CITE &lt;EndNote&gt;&lt;Cite&gt;&lt;Author&gt;Gratani&lt;/Author&gt;&lt;Year&gt;2018&lt;/Year&gt;&lt;IDText&gt;Regulation of the opposing (p)ppGpp synthetase and hydrolase activities in a bifunctional RelA/SpoT homologue from Staphylococcus aureus&lt;/IDText&gt;&lt;DisplayText&gt;(Gratani&lt;style face="italic"&gt; et al.&lt;/style&gt;, 2018)&lt;/DisplayText&gt;&lt;record&gt;&lt;dates&gt;&lt;pub-dates&gt;&lt;date&gt;Jul&lt;/date&gt;&lt;/pub-dates&gt;&lt;year&gt;2018&lt;/year&gt;&lt;/dates&gt;&lt;urls&gt;&lt;related-urls&gt;&lt;url&gt;&amp;lt;Go to ISI&amp;gt;://WOS:000440556300027&lt;/url&gt;&lt;/related-urls&gt;&lt;/urls&gt;&lt;isbn&gt;1553-7404&lt;/isbn&gt;&lt;titles&gt;&lt;title&gt;Regulation of the opposing (p)ppGpp synthetase and hydrolase activities in a bifunctional RelA/SpoT homologue from Staphylococcus aureus&lt;/title&gt;&lt;secondary-title&gt;Plos Genetics&lt;/secondary-title&gt;&lt;/titles&gt;&lt;number&gt;7&lt;/number&gt;&lt;contributors&gt;&lt;authors&gt;&lt;author&gt;Gratani, F. L.&lt;/author&gt;&lt;author&gt;Horvatek, P.&lt;/author&gt;&lt;author&gt;Geiger, T.&lt;/author&gt;&lt;author&gt;Borisova, M.&lt;/author&gt;&lt;author&gt;Mayer, C.&lt;/author&gt;&lt;author&gt;Grin, I.&lt;/author&gt;&lt;author&gt;Wagner, S.&lt;/author&gt;&lt;author&gt;Steinchen, W.&lt;/author&gt;&lt;author&gt;Bange, G.&lt;/author&gt;&lt;author&gt;Velic, A.&lt;/author&gt;&lt;author&gt;Macek, B.&lt;/author&gt;&lt;author&gt;Wolz, C.&lt;/author&gt;&lt;/authors&gt;&lt;/contributors&gt;&lt;custom7&gt;e1007514&lt;/custom7&gt;&lt;added-date format="utc"&gt;1677470615&lt;/added-date&gt;&lt;ref-type name="Journal Article"&gt;17&lt;/ref-type&gt;&lt;rec-number&gt;565&lt;/rec-number&gt;&lt;last-updated-date format="utc"&gt;1677470615&lt;/last-updated-date&gt;&lt;accession-num&gt;WOS:000440556300027&lt;/accession-num&gt;&lt;electronic-resource-num&gt;10.1371/journal.pgen.1007514&lt;/electronic-resource-num&gt;&lt;volume&gt;14&lt;/volume&gt;&lt;/record&gt;&lt;/Cite&gt;&lt;/EndNote&gt;</w:instrText>
      </w:r>
      <w:r w:rsidRPr="0093523C">
        <w:rPr>
          <w:rFonts w:ascii="Times New Roman" w:hAnsi="Times New Roman" w:cs="Times New Roman"/>
          <w:b/>
          <w:bCs/>
        </w:rPr>
        <w:fldChar w:fldCharType="separate"/>
      </w:r>
      <w:r w:rsidRPr="0093523C">
        <w:rPr>
          <w:rFonts w:ascii="Times New Roman" w:hAnsi="Times New Roman" w:cs="Times New Roman"/>
          <w:b/>
          <w:bCs/>
          <w:noProof/>
        </w:rPr>
        <w:t>(Gratani</w:t>
      </w:r>
      <w:r w:rsidRPr="0093523C">
        <w:rPr>
          <w:rFonts w:ascii="Times New Roman" w:hAnsi="Times New Roman" w:cs="Times New Roman"/>
          <w:b/>
          <w:bCs/>
          <w:i/>
          <w:noProof/>
        </w:rPr>
        <w:t xml:space="preserve"> et al.</w:t>
      </w:r>
      <w:r w:rsidRPr="0093523C">
        <w:rPr>
          <w:rFonts w:ascii="Times New Roman" w:hAnsi="Times New Roman" w:cs="Times New Roman"/>
          <w:b/>
          <w:bCs/>
          <w:noProof/>
        </w:rPr>
        <w:t>, 2018)</w:t>
      </w:r>
      <w:r w:rsidRPr="0093523C">
        <w:rPr>
          <w:rFonts w:ascii="Times New Roman" w:hAnsi="Times New Roman" w:cs="Times New Roman"/>
          <w:b/>
          <w:bCs/>
        </w:rPr>
        <w:fldChar w:fldCharType="end"/>
      </w:r>
      <w:r>
        <w:rPr>
          <w:rFonts w:ascii="Times New Roman" w:hAnsi="Times New Roman" w:cs="Times New Roman"/>
        </w:rPr>
        <w:t xml:space="preserve">. In this study, as described in section 3.3, the same construct was produced and confirmed by sequencing. As reported by </w:t>
      </w:r>
      <w:r w:rsidRPr="00FB7CC5">
        <w:rPr>
          <w:rFonts w:ascii="Times New Roman" w:hAnsi="Times New Roman" w:cs="Times New Roman"/>
        </w:rPr>
        <w:t>Gratani and colleagues</w:t>
      </w:r>
      <w:r>
        <w:rPr>
          <w:rFonts w:ascii="Times New Roman" w:hAnsi="Times New Roman" w:cs="Times New Roman"/>
        </w:rPr>
        <w:t xml:space="preserve">, the construct displayed a growth defect in rich media and this phenotype was also observed in </w:t>
      </w:r>
      <w:r>
        <w:rPr>
          <w:rFonts w:ascii="Times New Roman" w:hAnsi="Times New Roman" w:cs="Times New Roman"/>
          <w:b/>
          <w:bCs/>
        </w:rPr>
        <w:t>Figure 3.3.3a</w:t>
      </w:r>
      <w:r>
        <w:rPr>
          <w:rFonts w:ascii="Times New Roman" w:hAnsi="Times New Roman" w:cs="Times New Roman"/>
        </w:rPr>
        <w:t xml:space="preserve">. Moreover Northern blot analysis revealed that induction of (p)ppGpp synthesis caused a decrease in ribosomal </w:t>
      </w:r>
      <w:r>
        <w:rPr>
          <w:rFonts w:ascii="Times New Roman" w:hAnsi="Times New Roman" w:cs="Times New Roman"/>
          <w:i/>
          <w:iCs/>
        </w:rPr>
        <w:t xml:space="preserve">rpsL </w:t>
      </w:r>
      <w:r>
        <w:rPr>
          <w:rFonts w:ascii="Times New Roman" w:hAnsi="Times New Roman" w:cs="Times New Roman"/>
        </w:rPr>
        <w:t xml:space="preserve">transcripts and an increase in amino acid transporter transcripts </w:t>
      </w:r>
      <w:r w:rsidRPr="0093523C">
        <w:rPr>
          <w:rFonts w:ascii="Times New Roman" w:hAnsi="Times New Roman" w:cs="Times New Roman"/>
          <w:b/>
          <w:bCs/>
        </w:rPr>
        <w:fldChar w:fldCharType="begin"/>
      </w:r>
      <w:r w:rsidRPr="0093523C">
        <w:rPr>
          <w:rFonts w:ascii="Times New Roman" w:hAnsi="Times New Roman" w:cs="Times New Roman"/>
          <w:b/>
          <w:bCs/>
        </w:rPr>
        <w:instrText xml:space="preserve"> ADDIN EN.CITE &lt;EndNote&gt;&lt;Cite&gt;&lt;Author&gt;Gratani&lt;/Author&gt;&lt;Year&gt;2018&lt;/Year&gt;&lt;IDText&gt;Regulation of the opposing (p)ppGpp synthetase and hydrolase activities in a bifunctional RelA/SpoT homologue from Staphylococcus aureus&lt;/IDText&gt;&lt;DisplayText&gt;(Gratani&lt;style face="italic"&gt; et al.&lt;/style&gt;, 2018)&lt;/DisplayText&gt;&lt;record&gt;&lt;dates&gt;&lt;pub-dates&gt;&lt;date&gt;Jul&lt;/date&gt;&lt;/pub-dates&gt;&lt;year&gt;2018&lt;/year&gt;&lt;/dates&gt;&lt;urls&gt;&lt;related-urls&gt;&lt;url&gt;&amp;lt;Go to ISI&amp;gt;://WOS:000440556300027&lt;/url&gt;&lt;/related-urls&gt;&lt;/urls&gt;&lt;isbn&gt;1553-7404&lt;/isbn&gt;&lt;titles&gt;&lt;title&gt;Regulation of the opposing (p)ppGpp synthetase and hydrolase activities in a bifunctional RelA/SpoT homologue from Staphylococcus aureus&lt;/title&gt;&lt;secondary-title&gt;Plos Genetics&lt;/secondary-title&gt;&lt;/titles&gt;&lt;number&gt;7&lt;/number&gt;&lt;contributors&gt;&lt;authors&gt;&lt;author&gt;Gratani, F. L.&lt;/author&gt;&lt;author&gt;Horvatek, P.&lt;/author&gt;&lt;author&gt;Geiger, T.&lt;/author&gt;&lt;author&gt;Borisova, M.&lt;/author&gt;&lt;author&gt;Mayer, C.&lt;/author&gt;&lt;author&gt;Grin, I.&lt;/author&gt;&lt;author&gt;Wagner, S.&lt;/author&gt;&lt;author&gt;Steinchen, W.&lt;/author&gt;&lt;author&gt;Bange, G.&lt;/author&gt;&lt;author&gt;Velic, A.&lt;/author&gt;&lt;author&gt;Macek, B.&lt;/author&gt;&lt;author&gt;Wolz, C.&lt;/author&gt;&lt;/authors&gt;&lt;/contributors&gt;&lt;custom7&gt;e1007514&lt;/custom7&gt;&lt;added-date format="utc"&gt;1677470615&lt;/added-date&gt;&lt;ref-type name="Journal Article"&gt;17&lt;/ref-type&gt;&lt;rec-number&gt;565&lt;/rec-number&gt;&lt;last-updated-date format="utc"&gt;1677470615&lt;/last-updated-date&gt;&lt;accession-num&gt;WOS:000440556300027&lt;/accession-num&gt;&lt;electronic-resource-num&gt;10.1371/journal.pgen.1007514&lt;/electronic-resource-num&gt;&lt;volume&gt;14&lt;/volume&gt;&lt;/record&gt;&lt;/Cite&gt;&lt;/EndNote&gt;</w:instrText>
      </w:r>
      <w:r w:rsidRPr="0093523C">
        <w:rPr>
          <w:rFonts w:ascii="Times New Roman" w:hAnsi="Times New Roman" w:cs="Times New Roman"/>
          <w:b/>
          <w:bCs/>
        </w:rPr>
        <w:fldChar w:fldCharType="separate"/>
      </w:r>
      <w:r w:rsidRPr="0093523C">
        <w:rPr>
          <w:rFonts w:ascii="Times New Roman" w:hAnsi="Times New Roman" w:cs="Times New Roman"/>
          <w:b/>
          <w:bCs/>
          <w:noProof/>
        </w:rPr>
        <w:t>(Gratani</w:t>
      </w:r>
      <w:r w:rsidRPr="0093523C">
        <w:rPr>
          <w:rFonts w:ascii="Times New Roman" w:hAnsi="Times New Roman" w:cs="Times New Roman"/>
          <w:b/>
          <w:bCs/>
          <w:i/>
          <w:noProof/>
        </w:rPr>
        <w:t xml:space="preserve"> et al.</w:t>
      </w:r>
      <w:r w:rsidRPr="0093523C">
        <w:rPr>
          <w:rFonts w:ascii="Times New Roman" w:hAnsi="Times New Roman" w:cs="Times New Roman"/>
          <w:b/>
          <w:bCs/>
          <w:noProof/>
        </w:rPr>
        <w:t>, 2018)</w:t>
      </w:r>
      <w:r w:rsidRPr="0093523C">
        <w:rPr>
          <w:rFonts w:ascii="Times New Roman" w:hAnsi="Times New Roman" w:cs="Times New Roman"/>
          <w:b/>
          <w:bCs/>
        </w:rPr>
        <w:fldChar w:fldCharType="end"/>
      </w:r>
      <w:r w:rsidRPr="00974BE6">
        <w:rPr>
          <w:rFonts w:ascii="Times New Roman" w:hAnsi="Times New Roman" w:cs="Times New Roman"/>
        </w:rPr>
        <w:t>, suggesting that (p)ppGpp is in fact being overproduced by this construct.</w:t>
      </w:r>
      <w:r>
        <w:rPr>
          <w:rFonts w:ascii="Times New Roman" w:hAnsi="Times New Roman" w:cs="Times New Roman"/>
        </w:rPr>
        <w:t xml:space="preserve"> While a growth defect shown in </w:t>
      </w:r>
      <w:r w:rsidRPr="000B0161">
        <w:rPr>
          <w:rFonts w:ascii="Times New Roman" w:hAnsi="Times New Roman" w:cs="Times New Roman"/>
          <w:b/>
          <w:bCs/>
        </w:rPr>
        <w:t>Figure 3.3.3</w:t>
      </w:r>
      <w:r>
        <w:rPr>
          <w:rFonts w:ascii="Times New Roman" w:hAnsi="Times New Roman" w:cs="Times New Roman"/>
          <w:b/>
          <w:bCs/>
        </w:rPr>
        <w:t xml:space="preserve">a-d </w:t>
      </w:r>
      <w:r>
        <w:rPr>
          <w:rFonts w:ascii="Times New Roman" w:hAnsi="Times New Roman" w:cs="Times New Roman"/>
        </w:rPr>
        <w:t xml:space="preserve">suggested that the </w:t>
      </w:r>
      <w:r>
        <w:rPr>
          <w:rFonts w:ascii="Times New Roman" w:hAnsi="Times New Roman" w:cs="Times New Roman"/>
          <w:color w:val="000000" w:themeColor="text1"/>
        </w:rPr>
        <w:t>(p)ppGpp</w:t>
      </w:r>
      <w:r>
        <w:rPr>
          <w:rFonts w:ascii="Times New Roman" w:hAnsi="Times New Roman" w:cs="Times New Roman"/>
          <w:color w:val="000000" w:themeColor="text1"/>
          <w:vertAlign w:val="superscript"/>
        </w:rPr>
        <w:t>0</w:t>
      </w:r>
      <w:r>
        <w:rPr>
          <w:rFonts w:ascii="Times New Roman" w:hAnsi="Times New Roman" w:cs="Times New Roman"/>
        </w:rPr>
        <w:t xml:space="preserve"> pCL55-iTET</w:t>
      </w:r>
      <w:r w:rsidRPr="008A5394">
        <w:rPr>
          <w:rFonts w:ascii="Times New Roman" w:hAnsi="Times New Roman" w:cs="Times New Roman"/>
          <w:vertAlign w:val="subscript"/>
        </w:rPr>
        <w:t>r862</w:t>
      </w:r>
      <w:r>
        <w:rPr>
          <w:rFonts w:ascii="Times New Roman" w:hAnsi="Times New Roman" w:cs="Times New Roman"/>
        </w:rPr>
        <w:t>-NTD-his-</w:t>
      </w:r>
      <w:r w:rsidRPr="00640606">
        <w:rPr>
          <w:rFonts w:ascii="Times New Roman" w:hAnsi="Times New Roman" w:cs="Times New Roman"/>
        </w:rPr>
        <w:t>Δ</w:t>
      </w:r>
      <w:r>
        <w:rPr>
          <w:rFonts w:ascii="Times New Roman" w:hAnsi="Times New Roman" w:cs="Times New Roman"/>
        </w:rPr>
        <w:t>HD overproduction strain did overproduce (p)ppGpp, phenotypic analysis and analysis of nucleotide pools by TLC confirmed that this was not the case. It could be that the amount of (p)ppGpp produced was below the limit of detection using</w:t>
      </w:r>
      <w:r w:rsidRPr="005F2E08">
        <w:rPr>
          <w:rFonts w:ascii="Times New Roman" w:hAnsi="Times New Roman" w:cs="Times New Roman"/>
        </w:rPr>
        <w:t xml:space="preserve"> </w:t>
      </w:r>
      <w:r>
        <w:rPr>
          <w:rFonts w:ascii="Times New Roman" w:hAnsi="Times New Roman" w:cs="Times New Roman"/>
        </w:rPr>
        <w:t xml:space="preserve">this method </w:t>
      </w:r>
      <w:r>
        <w:rPr>
          <w:rFonts w:ascii="Times New Roman" w:hAnsi="Times New Roman" w:cs="Times New Roman"/>
          <w:b/>
          <w:bCs/>
        </w:rPr>
        <w:t>(Fig. 3.3.3e-g)</w:t>
      </w:r>
      <w:r>
        <w:rPr>
          <w:rFonts w:ascii="Times New Roman" w:hAnsi="Times New Roman" w:cs="Times New Roman"/>
        </w:rPr>
        <w:t xml:space="preserve">. </w:t>
      </w:r>
      <w:r w:rsidR="00303AE1">
        <w:rPr>
          <w:rFonts w:ascii="Times New Roman" w:hAnsi="Times New Roman" w:cs="Times New Roman"/>
        </w:rPr>
        <w:t xml:space="preserve">Perhaps </w:t>
      </w:r>
      <w:r>
        <w:rPr>
          <w:rFonts w:ascii="Times New Roman" w:hAnsi="Times New Roman" w:cs="Times New Roman"/>
        </w:rPr>
        <w:t>measuring (p)ppGpp production via TLC is not a sensitive enough method for this strain and</w:t>
      </w:r>
      <w:r w:rsidR="00303AE1">
        <w:rPr>
          <w:rFonts w:ascii="Times New Roman" w:hAnsi="Times New Roman" w:cs="Times New Roman"/>
        </w:rPr>
        <w:t xml:space="preserve"> using</w:t>
      </w:r>
      <w:r>
        <w:rPr>
          <w:rFonts w:ascii="Times New Roman" w:hAnsi="Times New Roman" w:cs="Times New Roman"/>
        </w:rPr>
        <w:t xml:space="preserve"> HPLC </w:t>
      </w:r>
      <w:r w:rsidR="00303AE1">
        <w:rPr>
          <w:rFonts w:ascii="Times New Roman" w:hAnsi="Times New Roman" w:cs="Times New Roman"/>
        </w:rPr>
        <w:t>instead would be</w:t>
      </w:r>
      <w:r>
        <w:rPr>
          <w:rFonts w:ascii="Times New Roman" w:hAnsi="Times New Roman" w:cs="Times New Roman"/>
        </w:rPr>
        <w:t xml:space="preserve"> a more accurate method of for nucleotide detection. Thus, characterisation of existing laboratory strains and construction of WT strains with an additional copy of each synthetase has led to the creation of a panel of (p)ppGpp overproduction strains that can be used for both </w:t>
      </w:r>
      <w:r>
        <w:rPr>
          <w:rFonts w:ascii="Times New Roman" w:hAnsi="Times New Roman" w:cs="Times New Roman"/>
          <w:i/>
          <w:iCs/>
        </w:rPr>
        <w:t xml:space="preserve">in vitro </w:t>
      </w:r>
      <w:r>
        <w:rPr>
          <w:rFonts w:ascii="Times New Roman" w:hAnsi="Times New Roman" w:cs="Times New Roman"/>
        </w:rPr>
        <w:t xml:space="preserve">and </w:t>
      </w:r>
      <w:r>
        <w:rPr>
          <w:rFonts w:ascii="Times New Roman" w:hAnsi="Times New Roman" w:cs="Times New Roman"/>
          <w:i/>
          <w:iCs/>
        </w:rPr>
        <w:t>in vivo</w:t>
      </w:r>
      <w:r>
        <w:rPr>
          <w:rFonts w:ascii="Times New Roman" w:hAnsi="Times New Roman" w:cs="Times New Roman"/>
        </w:rPr>
        <w:t xml:space="preserve"> studies </w:t>
      </w:r>
      <w:r>
        <w:rPr>
          <w:rFonts w:ascii="Times New Roman" w:hAnsi="Times New Roman" w:cs="Times New Roman"/>
          <w:b/>
          <w:bCs/>
        </w:rPr>
        <w:t>(Fig. 3.3.4)</w:t>
      </w:r>
      <w:r>
        <w:rPr>
          <w:rFonts w:ascii="Times New Roman" w:hAnsi="Times New Roman" w:cs="Times New Roman"/>
        </w:rPr>
        <w:t xml:space="preserve"> including JE2 pALC2073</w:t>
      </w:r>
      <w:r w:rsidR="00303AE1">
        <w:rPr>
          <w:rFonts w:ascii="Times New Roman" w:hAnsi="Times New Roman" w:cs="Times New Roman"/>
        </w:rPr>
        <w:t>-</w:t>
      </w:r>
      <w:r w:rsidR="00303AE1">
        <w:rPr>
          <w:rFonts w:ascii="Times New Roman" w:hAnsi="Times New Roman" w:cs="Times New Roman"/>
          <w:i/>
          <w:iCs/>
        </w:rPr>
        <w:t>relQ</w:t>
      </w:r>
      <w:r>
        <w:rPr>
          <w:rFonts w:ascii="Times New Roman" w:hAnsi="Times New Roman" w:cs="Times New Roman"/>
        </w:rPr>
        <w:t xml:space="preserve"> and JE2 pCL55-iTET</w:t>
      </w:r>
      <w:r>
        <w:rPr>
          <w:rFonts w:ascii="Times New Roman" w:hAnsi="Times New Roman" w:cs="Times New Roman"/>
          <w:vertAlign w:val="subscript"/>
        </w:rPr>
        <w:t>r862</w:t>
      </w:r>
      <w:r>
        <w:rPr>
          <w:rFonts w:ascii="Times New Roman" w:hAnsi="Times New Roman" w:cs="Times New Roman"/>
        </w:rPr>
        <w:t>-</w:t>
      </w:r>
      <w:r>
        <w:rPr>
          <w:rFonts w:ascii="Times New Roman" w:hAnsi="Times New Roman" w:cs="Times New Roman"/>
          <w:i/>
          <w:iCs/>
        </w:rPr>
        <w:t>rel/relP/relQ</w:t>
      </w:r>
      <w:r>
        <w:rPr>
          <w:rFonts w:ascii="Times New Roman" w:hAnsi="Times New Roman" w:cs="Times New Roman"/>
          <w:b/>
          <w:bCs/>
        </w:rPr>
        <w:t xml:space="preserve">. </w:t>
      </w:r>
    </w:p>
    <w:p w14:paraId="6832BC44" w14:textId="410ECEF0"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(p)ppGpp overproduction has previously been documented to occur naturally in a clinical MRSA isolate with an F128Y amino acid substitution leading to an impairment of the HD domain </w:t>
      </w:r>
      <w:r w:rsidRPr="004346AA">
        <w:rPr>
          <w:rFonts w:ascii="Times New Roman" w:hAnsi="Times New Roman" w:cs="Times New Roman"/>
          <w:b/>
          <w:bCs/>
        </w:rPr>
        <w:fldChar w:fldCharType="begin"/>
      </w:r>
      <w:r w:rsidRPr="004346AA">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2010)&lt;/DisplayText&gt;&lt;record&gt;&lt;dates&gt;&lt;pub-dates&gt;&lt;date&gt;Jun&lt;/date&gt;&lt;/pub-dates&gt;&lt;year&gt;2010&lt;/year&gt;&lt;/dates&gt;&lt;urls&gt;&lt;related-urls&gt;&lt;url&gt;&amp;lt;Go to ISI&amp;gt;://WOS:000279806300018&lt;/url&gt;&lt;/related-urls&gt;&lt;/urls&gt;&lt;isbn&gt;1553-7366&lt;/isbn&gt;&lt;titles&gt;&lt;title&gt;Two Novel Point Mutations in Clinical Staphylococcus aureus Reduce Linezolid Susceptibility and Switch on the Stringent Response to Promote Persistent Infection&lt;/title&gt;&lt;secondary-title&gt;Plos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format="utc"&gt;1663624413&lt;/last-updated-date&gt;&lt;accession-num&gt;WOS:000279806300018&lt;/accession-num&gt;&lt;electronic-resource-num&gt;10.1371/journal.ppat.1000944&lt;/electronic-resource-num&gt;&lt;volume&gt;6&lt;/volume&gt;&lt;/record&gt;&lt;/Cite&gt;&lt;/EndNote&gt;</w:instrText>
      </w:r>
      <w:r w:rsidRPr="004346AA">
        <w:rPr>
          <w:rFonts w:ascii="Times New Roman" w:hAnsi="Times New Roman" w:cs="Times New Roman"/>
          <w:b/>
          <w:bCs/>
        </w:rPr>
        <w:fldChar w:fldCharType="separate"/>
      </w:r>
      <w:r w:rsidRPr="004346AA">
        <w:rPr>
          <w:rFonts w:ascii="Times New Roman" w:hAnsi="Times New Roman" w:cs="Times New Roman"/>
          <w:b/>
          <w:bCs/>
          <w:noProof/>
        </w:rPr>
        <w:t>(Gao</w:t>
      </w:r>
      <w:r w:rsidRPr="004346AA">
        <w:rPr>
          <w:rFonts w:ascii="Times New Roman" w:hAnsi="Times New Roman" w:cs="Times New Roman"/>
          <w:b/>
          <w:bCs/>
          <w:i/>
          <w:noProof/>
        </w:rPr>
        <w:t xml:space="preserve"> et al.</w:t>
      </w:r>
      <w:r w:rsidRPr="004346AA">
        <w:rPr>
          <w:rFonts w:ascii="Times New Roman" w:hAnsi="Times New Roman" w:cs="Times New Roman"/>
          <w:b/>
          <w:bCs/>
          <w:noProof/>
        </w:rPr>
        <w:t>, 2010)</w:t>
      </w:r>
      <w:r w:rsidRPr="004346AA">
        <w:rPr>
          <w:rFonts w:ascii="Times New Roman" w:hAnsi="Times New Roman" w:cs="Times New Roman"/>
          <w:b/>
          <w:bCs/>
        </w:rPr>
        <w:fldChar w:fldCharType="end"/>
      </w:r>
      <w:r>
        <w:rPr>
          <w:rFonts w:ascii="Times New Roman" w:hAnsi="Times New Roman" w:cs="Times New Roman"/>
        </w:rPr>
        <w:t>, which contributed to the persistence of this strain.</w:t>
      </w:r>
      <w:r>
        <w:rPr>
          <w:rFonts w:ascii="Times New Roman" w:hAnsi="Times New Roman" w:cs="Times New Roman"/>
          <w:b/>
          <w:bCs/>
        </w:rPr>
        <w:t xml:space="preserve"> </w:t>
      </w:r>
      <w:r w:rsidRPr="00494286">
        <w:rPr>
          <w:rFonts w:ascii="Times New Roman" w:hAnsi="Times New Roman" w:cs="Times New Roman"/>
        </w:rPr>
        <w:t>In contrast, initially, this chapter detailed the production of a (p)ppGpp overproduction construct cloned into an inducible plasmid. This method of (p)ppGpp overproduction was chosen rather than</w:t>
      </w:r>
      <w:r>
        <w:rPr>
          <w:rFonts w:ascii="Times New Roman" w:hAnsi="Times New Roman" w:cs="Times New Roman"/>
          <w:b/>
          <w:bCs/>
        </w:rPr>
        <w:t xml:space="preserve"> </w:t>
      </w:r>
      <w:r>
        <w:rPr>
          <w:rFonts w:ascii="Times New Roman" w:hAnsi="Times New Roman" w:cs="Times New Roman"/>
        </w:rPr>
        <w:t xml:space="preserve">mimicking the F128Y mutation from the clinical isolate because but this type of mutation would not only require allelic exchange, which is a lengthy process, but a resistance cassette cannot be utilised as the mutation is a single amino acid substitution. A lack of an antibiotic resistance marker would add additional difficulties to identifying mutated strains during the process of strain construction. Additionally, in comparison to the construct designed by </w:t>
      </w:r>
      <w:r w:rsidRPr="00FB7CC5">
        <w:rPr>
          <w:rFonts w:ascii="Times New Roman" w:hAnsi="Times New Roman" w:cs="Times New Roman"/>
        </w:rPr>
        <w:t>Gratani and colleagues</w:t>
      </w:r>
      <w:r>
        <w:rPr>
          <w:rFonts w:ascii="Times New Roman" w:hAnsi="Times New Roman" w:cs="Times New Roman"/>
        </w:rPr>
        <w:t>, (p)ppGpp production from an F128Y substitution strain cannot be controlled</w:t>
      </w:r>
      <w:r w:rsidR="00303AE1">
        <w:rPr>
          <w:rFonts w:ascii="Times New Roman" w:hAnsi="Times New Roman" w:cs="Times New Roman"/>
        </w:rPr>
        <w:t xml:space="preserve">, </w:t>
      </w:r>
      <w:r>
        <w:rPr>
          <w:rFonts w:ascii="Times New Roman" w:hAnsi="Times New Roman" w:cs="Times New Roman"/>
        </w:rPr>
        <w:t xml:space="preserve">however, (p)ppGpp overproduction from this strain would be more representative of what has occurred naturally. </w:t>
      </w:r>
    </w:p>
    <w:p w14:paraId="7D6D6A05" w14:textId="12B71985" w:rsidR="00187693" w:rsidRDefault="00187693" w:rsidP="00187693">
      <w:pPr>
        <w:spacing w:line="360" w:lineRule="auto"/>
        <w:ind w:firstLine="720"/>
        <w:jc w:val="both"/>
        <w:rPr>
          <w:rFonts w:ascii="Times New Roman" w:hAnsi="Times New Roman" w:cs="Times New Roman"/>
          <w:b/>
          <w:bCs/>
        </w:rPr>
      </w:pPr>
      <w:r>
        <w:rPr>
          <w:rFonts w:ascii="Times New Roman" w:hAnsi="Times New Roman" w:cs="Times New Roman"/>
        </w:rPr>
        <w:t>Another focus of this chapter was to design and construct various (p)ppGpp probes to gain insight into how the production of (p)ppGpp changes during nutrient limitation. As current gold-standard methods to measure (p)ppGpp include HPLC and TLC</w:t>
      </w:r>
      <w:r w:rsidR="00303AE1">
        <w:rPr>
          <w:rFonts w:ascii="Times New Roman" w:hAnsi="Times New Roman" w:cs="Times New Roman"/>
        </w:rPr>
        <w:t xml:space="preserve"> which</w:t>
      </w:r>
      <w:r>
        <w:rPr>
          <w:rFonts w:ascii="Times New Roman" w:hAnsi="Times New Roman" w:cs="Times New Roman"/>
        </w:rPr>
        <w:t xml:space="preserve"> can be costly, the riboswitch-based molecular biosensor, the promoter-reporter fusion and the synthetase-GFP fusions were constructed. Methods such as HPLC/TLC also measure (p)ppGpp concentrations </w:t>
      </w:r>
      <w:r>
        <w:rPr>
          <w:rFonts w:ascii="Times New Roman" w:hAnsi="Times New Roman" w:cs="Times New Roman"/>
          <w:i/>
          <w:iCs/>
        </w:rPr>
        <w:t>in vitro</w:t>
      </w:r>
      <w:r>
        <w:rPr>
          <w:rFonts w:ascii="Times New Roman" w:hAnsi="Times New Roman" w:cs="Times New Roman"/>
        </w:rPr>
        <w:t>, requiring cell lysates to measure cellular (p)ppGpp levels, rather than in real-time</w:t>
      </w:r>
      <w:r w:rsidR="00303AE1">
        <w:rPr>
          <w:rFonts w:ascii="Times New Roman" w:hAnsi="Times New Roman" w:cs="Times New Roman"/>
        </w:rPr>
        <w:t xml:space="preserve"> within </w:t>
      </w:r>
      <w:r w:rsidR="00373FB6">
        <w:rPr>
          <w:rFonts w:ascii="Times New Roman" w:hAnsi="Times New Roman" w:cs="Times New Roman"/>
        </w:rPr>
        <w:t>bacteria</w:t>
      </w:r>
      <w:r>
        <w:rPr>
          <w:rFonts w:ascii="Times New Roman" w:hAnsi="Times New Roman" w:cs="Times New Roman"/>
        </w:rPr>
        <w:t xml:space="preserve">. Whilst the probes created were confirmed to contain the expected sequences which was examined by sequencing, only the synthetase-reporter fusions responded to their respective stressors as highlighted by increased fluorescence in comparison to controls </w:t>
      </w:r>
      <w:r w:rsidRPr="00D85B54">
        <w:rPr>
          <w:rFonts w:ascii="Times New Roman" w:hAnsi="Times New Roman" w:cs="Times New Roman"/>
          <w:b/>
          <w:bCs/>
        </w:rPr>
        <w:t>(Fig. 3.4.8d</w:t>
      </w:r>
      <w:r>
        <w:rPr>
          <w:rFonts w:ascii="Times New Roman" w:hAnsi="Times New Roman" w:cs="Times New Roman"/>
          <w:b/>
          <w:bCs/>
        </w:rPr>
        <w:t>-</w:t>
      </w:r>
      <w:r w:rsidRPr="00D85B54">
        <w:rPr>
          <w:rFonts w:ascii="Times New Roman" w:hAnsi="Times New Roman" w:cs="Times New Roman"/>
          <w:b/>
          <w:bCs/>
        </w:rPr>
        <w:t>f)</w:t>
      </w:r>
      <w:r>
        <w:rPr>
          <w:rFonts w:ascii="Times New Roman" w:hAnsi="Times New Roman" w:cs="Times New Roman"/>
          <w:b/>
          <w:bCs/>
        </w:rPr>
        <w:t xml:space="preserve">. </w:t>
      </w:r>
    </w:p>
    <w:p w14:paraId="6989428A" w14:textId="508651E9"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In this study, the Broccoli RNA aptamer was fused to the </w:t>
      </w:r>
      <w:r w:rsidRPr="00BA1C4B">
        <w:rPr>
          <w:rFonts w:ascii="Times New Roman" w:hAnsi="Times New Roman" w:cs="Times New Roman"/>
          <w:i/>
          <w:iCs/>
        </w:rPr>
        <w:t xml:space="preserve">ykkc </w:t>
      </w:r>
      <w:r>
        <w:rPr>
          <w:rFonts w:ascii="Times New Roman" w:hAnsi="Times New Roman" w:cs="Times New Roman"/>
        </w:rPr>
        <w:t>riboswitch which, in the presence of (p)ppGpp and DFHBI-1T, should</w:t>
      </w:r>
      <w:r w:rsidR="00373FB6">
        <w:rPr>
          <w:rFonts w:ascii="Times New Roman" w:hAnsi="Times New Roman" w:cs="Times New Roman"/>
        </w:rPr>
        <w:t xml:space="preserve"> </w:t>
      </w:r>
      <w:r>
        <w:rPr>
          <w:rFonts w:ascii="Times New Roman" w:hAnsi="Times New Roman" w:cs="Times New Roman"/>
        </w:rPr>
        <w:t xml:space="preserve">fluoresce. Riboswitches have been utilised as molecular biosensors for their ability to bind small ligands such as nucleotides including cyclic-di-AMP and cyclic-di-GMP </w:t>
      </w:r>
      <w:r w:rsidRPr="00B277EE">
        <w:rPr>
          <w:rFonts w:ascii="Times New Roman" w:hAnsi="Times New Roman" w:cs="Times New Roman"/>
          <w:b/>
          <w:bCs/>
        </w:rPr>
        <w:fldChar w:fldCharType="begin">
          <w:fldData xml:space="preserve">PEVuZE5vdGU+PENpdGU+PEF1dGhvcj5TeWVkPC9BdXRob3I+PFllYXI+MjAyMDwvWWVhcj48SURU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</w:fldData>
        </w:fldChar>
      </w:r>
      <w:r w:rsidRPr="00B277EE">
        <w:rPr>
          <w:rFonts w:ascii="Times New Roman" w:hAnsi="Times New Roman" w:cs="Times New Roman"/>
          <w:b/>
          <w:bCs/>
        </w:rPr>
        <w:instrText xml:space="preserve"> ADDIN EN.CITE </w:instrText>
      </w:r>
      <w:r w:rsidRPr="00B277EE">
        <w:rPr>
          <w:rFonts w:ascii="Times New Roman" w:hAnsi="Times New Roman" w:cs="Times New Roman"/>
          <w:b/>
          <w:bCs/>
        </w:rPr>
        <w:fldChar w:fldCharType="begin">
          <w:fldData xml:space="preserve">PEVuZE5vdGU+PENpdGU+PEF1dGhvcj5TeWVkPC9BdXRob3I+PFllYXI+MjAyMDwvWWVhcj48SURU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</w:fldData>
        </w:fldChar>
      </w:r>
      <w:r w:rsidRPr="00B277EE">
        <w:rPr>
          <w:rFonts w:ascii="Times New Roman" w:hAnsi="Times New Roman" w:cs="Times New Roman"/>
          <w:b/>
          <w:bCs/>
        </w:rPr>
        <w:instrText xml:space="preserve"> ADDIN EN.CITE.DATA </w:instrText>
      </w:r>
      <w:r w:rsidRPr="00B277EE">
        <w:rPr>
          <w:rFonts w:ascii="Times New Roman" w:hAnsi="Times New Roman" w:cs="Times New Roman"/>
          <w:b/>
          <w:bCs/>
        </w:rPr>
      </w:r>
      <w:r w:rsidRPr="00B277EE">
        <w:rPr>
          <w:rFonts w:ascii="Times New Roman" w:hAnsi="Times New Roman" w:cs="Times New Roman"/>
          <w:b/>
          <w:bCs/>
        </w:rPr>
        <w:fldChar w:fldCharType="end"/>
      </w:r>
      <w:r w:rsidRPr="00B277EE">
        <w:rPr>
          <w:rFonts w:ascii="Times New Roman" w:hAnsi="Times New Roman" w:cs="Times New Roman"/>
          <w:b/>
          <w:bCs/>
        </w:rPr>
      </w:r>
      <w:r w:rsidRPr="00B277EE">
        <w:rPr>
          <w:rFonts w:ascii="Times New Roman" w:hAnsi="Times New Roman" w:cs="Times New Roman"/>
          <w:b/>
          <w:bCs/>
        </w:rPr>
        <w:fldChar w:fldCharType="separate"/>
      </w:r>
      <w:r w:rsidRPr="00B277EE">
        <w:rPr>
          <w:rFonts w:ascii="Times New Roman" w:hAnsi="Times New Roman" w:cs="Times New Roman"/>
          <w:b/>
          <w:bCs/>
          <w:noProof/>
        </w:rPr>
        <w:t>(Syed</w:t>
      </w:r>
      <w:r w:rsidRPr="00B277EE">
        <w:rPr>
          <w:rFonts w:ascii="Times New Roman" w:hAnsi="Times New Roman" w:cs="Times New Roman"/>
          <w:b/>
          <w:bCs/>
          <w:i/>
          <w:noProof/>
        </w:rPr>
        <w:t xml:space="preserve"> et al.</w:t>
      </w:r>
      <w:r w:rsidRPr="00B277EE">
        <w:rPr>
          <w:rFonts w:ascii="Times New Roman" w:hAnsi="Times New Roman" w:cs="Times New Roman"/>
          <w:b/>
          <w:bCs/>
          <w:noProof/>
        </w:rPr>
        <w:t>, 2020; Kellenberger</w:t>
      </w:r>
      <w:r w:rsidRPr="00B277EE">
        <w:rPr>
          <w:rFonts w:ascii="Times New Roman" w:hAnsi="Times New Roman" w:cs="Times New Roman"/>
          <w:b/>
          <w:bCs/>
          <w:i/>
          <w:noProof/>
        </w:rPr>
        <w:t xml:space="preserve"> et al.</w:t>
      </w:r>
      <w:r w:rsidRPr="00B277EE">
        <w:rPr>
          <w:rFonts w:ascii="Times New Roman" w:hAnsi="Times New Roman" w:cs="Times New Roman"/>
          <w:b/>
          <w:bCs/>
          <w:noProof/>
        </w:rPr>
        <w:t>, 2015; Wang, Wilson and Hammond, 2016)</w:t>
      </w:r>
      <w:r w:rsidRPr="00B277EE">
        <w:rPr>
          <w:rFonts w:ascii="Times New Roman" w:hAnsi="Times New Roman" w:cs="Times New Roman"/>
          <w:b/>
          <w:bCs/>
        </w:rPr>
        <w:fldChar w:fldCharType="end"/>
      </w:r>
      <w:r>
        <w:rPr>
          <w:rFonts w:ascii="Times New Roman" w:hAnsi="Times New Roman" w:cs="Times New Roman"/>
        </w:rPr>
        <w:t xml:space="preserve"> but also (p)ppGpp </w:t>
      </w:r>
      <w:r w:rsidRPr="00A60FB9">
        <w:rPr>
          <w:rFonts w:ascii="Times New Roman" w:hAnsi="Times New Roman" w:cs="Times New Roman"/>
          <w:b/>
          <w:bCs/>
        </w:rPr>
        <w:fldChar w:fldCharType="begin">
          <w:fldData xml:space="preserve">PEVuZE5vdGU+PENpdGU+PEF1dGhvcj5TdW48L0F1dGhvcj48WWVhcj4yMDIxPC9ZZWFyPjxJRFRl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PEVuZE5vdGU+PENpdGU+PEF1dGhvcj5TdW48L0F1dGhvcj48WWVhcj4yMDIxPC9ZZWFyPjxJRFRl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A60FB9">
        <w:rPr>
          <w:rFonts w:ascii="Times New Roman" w:hAnsi="Times New Roman" w:cs="Times New Roman"/>
          <w:b/>
          <w:bCs/>
        </w:rPr>
      </w:r>
      <w:r w:rsidRPr="00A60FB9">
        <w:rPr>
          <w:rFonts w:ascii="Times New Roman" w:hAnsi="Times New Roman" w:cs="Times New Roman"/>
          <w:b/>
          <w:bCs/>
        </w:rPr>
        <w:fldChar w:fldCharType="separate"/>
      </w:r>
      <w:r>
        <w:rPr>
          <w:rFonts w:ascii="Times New Roman" w:hAnsi="Times New Roman" w:cs="Times New Roman"/>
          <w:b/>
          <w:bCs/>
          <w:noProof/>
        </w:rPr>
        <w:t>(Sun</w:t>
      </w:r>
      <w:r w:rsidRPr="00356337">
        <w:rPr>
          <w:rFonts w:ascii="Times New Roman" w:hAnsi="Times New Roman" w:cs="Times New Roman"/>
          <w:b/>
          <w:bCs/>
          <w:i/>
          <w:noProof/>
        </w:rPr>
        <w:t xml:space="preserve"> et al.</w:t>
      </w:r>
      <w:r>
        <w:rPr>
          <w:rFonts w:ascii="Times New Roman" w:hAnsi="Times New Roman" w:cs="Times New Roman"/>
          <w:b/>
          <w:bCs/>
          <w:noProof/>
        </w:rPr>
        <w:t>, 2021; Sherlock, Sudarsan and Breaker, 2018)</w:t>
      </w:r>
      <w:r w:rsidRPr="00A60FB9">
        <w:rPr>
          <w:rFonts w:ascii="Times New Roman" w:hAnsi="Times New Roman" w:cs="Times New Roman"/>
          <w:b/>
          <w:bCs/>
        </w:rPr>
        <w:fldChar w:fldCharType="end"/>
      </w:r>
      <w:r>
        <w:rPr>
          <w:rFonts w:ascii="Times New Roman" w:hAnsi="Times New Roman" w:cs="Times New Roman"/>
        </w:rPr>
        <w:t xml:space="preserve">. While riboswitches have been used in </w:t>
      </w:r>
      <w:r>
        <w:rPr>
          <w:rFonts w:ascii="Times New Roman" w:hAnsi="Times New Roman" w:cs="Times New Roman"/>
          <w:i/>
          <w:iCs/>
        </w:rPr>
        <w:t xml:space="preserve">S. aureus </w:t>
      </w:r>
      <w:r>
        <w:rPr>
          <w:rFonts w:ascii="Times New Roman" w:hAnsi="Times New Roman" w:cs="Times New Roman"/>
        </w:rPr>
        <w:t>to measure levels of cyclic-di-AMP</w:t>
      </w:r>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&lt;EndNote&gt;&lt;Cite&gt;&lt;Author&gt;Syed&lt;/Author&gt;&lt;Year&gt;2020&lt;/Year&gt;&lt;IDText&gt;Biofilm Formation by Staphylococcus aureus is Triggered by a Drop in the Levels of the Second Messenger cyclic-di-AMP&lt;/IDText&gt;&lt;DisplayText&gt;(Syed&lt;style face="italic"&gt; et al.&lt;/style&gt;, 2020)&lt;/DisplayText&gt;&lt;record&gt;&lt;titles&gt;&lt;title&gt;&lt;style font="default" size="100%"&gt;Biofilm Formation by &lt;/style&gt;&lt;style face="italic" font="default" size="100%"&gt;Staphylococcus aureus&lt;/style&gt;&lt;style font="default" size="100%"&gt; is Triggered by a Drop in the Levels of the Second Messenger cyclic-di-AMP&lt;/style&gt;&lt;/title&gt;&lt;secondary-title&gt;bioRxiv&lt;/secondary-title&gt;&lt;/titles&gt;&lt;contributors&gt;&lt;authors&gt;&lt;author&gt;Syed,  Adnan K&lt;/author&gt;&lt;author&gt;Vickery   , Christopher R&lt;/author&gt;&lt;author&gt;Lenhart   , Teliesin&lt;/author&gt;&lt;author&gt;Llewellyn   , Eliza   View ORCID Profile&lt;/author&gt;&lt;author&gt;Walker  , Suzanne&lt;/author&gt;&lt;author&gt;View ORCID Profile  Losick, Richard&lt;/author&gt;&lt;/authors&gt;&lt;/contributors&gt;&lt;added-date format="utc"&gt;1676070492&lt;/added-date&gt;&lt;ref-type name="Journal Article"&gt;17&lt;/ref-type&gt;&lt;dates&gt;&lt;year&gt;2020&lt;/year&gt;&lt;/dates&gt;&lt;rec-number&gt;313&lt;/rec-number&gt;&lt;last-updated-date format="utc"&gt;1678666370&lt;/last-updated-date&gt;&lt;/record&gt;&lt;/Cite&gt;&lt;/EndNote&gt;</w:instrText>
      </w:r>
      <w:r>
        <w:rPr>
          <w:rFonts w:ascii="Times New Roman" w:hAnsi="Times New Roman" w:cs="Times New Roman"/>
          <w:b/>
          <w:bCs/>
        </w:rPr>
        <w:fldChar w:fldCharType="separate"/>
      </w:r>
      <w:r>
        <w:rPr>
          <w:rFonts w:ascii="Times New Roman" w:hAnsi="Times New Roman" w:cs="Times New Roman"/>
          <w:b/>
          <w:bCs/>
          <w:noProof/>
        </w:rPr>
        <w:t>(Syed</w:t>
      </w:r>
      <w:r w:rsidRPr="00B277EE">
        <w:rPr>
          <w:rFonts w:ascii="Times New Roman" w:hAnsi="Times New Roman" w:cs="Times New Roman"/>
          <w:b/>
          <w:bCs/>
          <w:i/>
          <w:noProof/>
        </w:rPr>
        <w:t xml:space="preserve"> et al.</w:t>
      </w:r>
      <w:r>
        <w:rPr>
          <w:rFonts w:ascii="Times New Roman" w:hAnsi="Times New Roman" w:cs="Times New Roman"/>
          <w:b/>
          <w:bCs/>
          <w:noProof/>
        </w:rPr>
        <w:t>, 2020)</w:t>
      </w:r>
      <w:r>
        <w:rPr>
          <w:rFonts w:ascii="Times New Roman" w:hAnsi="Times New Roman" w:cs="Times New Roman"/>
          <w:b/>
          <w:bCs/>
        </w:rPr>
        <w:fldChar w:fldCharType="end"/>
      </w:r>
      <w:r>
        <w:rPr>
          <w:rFonts w:ascii="Times New Roman" w:hAnsi="Times New Roman" w:cs="Times New Roman"/>
        </w:rPr>
        <w:t xml:space="preserve">, this has not been achieved for (p)ppGpp. This could be because of the recent characterisation of the </w:t>
      </w:r>
      <w:r>
        <w:rPr>
          <w:rFonts w:ascii="Times New Roman" w:hAnsi="Times New Roman" w:cs="Times New Roman"/>
          <w:i/>
          <w:iCs/>
        </w:rPr>
        <w:t xml:space="preserve">ykkc </w:t>
      </w:r>
      <w:r>
        <w:rPr>
          <w:rFonts w:ascii="Times New Roman" w:hAnsi="Times New Roman" w:cs="Times New Roman"/>
        </w:rPr>
        <w:t xml:space="preserve">riboswitches </w:t>
      </w:r>
      <w:r w:rsidRPr="00356337">
        <w:rPr>
          <w:rFonts w:ascii="Times New Roman" w:hAnsi="Times New Roman" w:cs="Times New Roman"/>
          <w:b/>
          <w:bCs/>
        </w:rPr>
        <w:fldChar w:fldCharType="begin"/>
      </w:r>
      <w:r w:rsidRPr="00356337">
        <w:rPr>
          <w:rFonts w:ascii="Times New Roman" w:hAnsi="Times New Roman" w:cs="Times New Roman"/>
          <w:b/>
          <w:bCs/>
        </w:rPr>
        <w:instrText xml:space="preserve"> ADDIN EN.CITE &lt;EndNote&gt;&lt;Cite&gt;&lt;Author&gt;Sherlock&lt;/Author&gt;&lt;Year&gt;2018&lt;/Year&gt;&lt;IDText&gt;Riboswitches for the alarmone ppGpp expand the collection of RNA-based signaling systems&lt;/IDText&gt;&lt;DisplayText&gt;(Sherlock, Sudarsan and Breaker, 2018)&lt;/DisplayText&gt;&lt;record&gt;&lt;dates&gt;&lt;pub-dates&gt;&lt;date&gt;Jun 5&lt;/date&gt;&lt;/pub-dates&gt;&lt;year&gt;2018&lt;/year&gt;&lt;/dates&gt;&lt;urls&gt;&lt;related-urls&gt;&lt;url&gt;&amp;lt;Go to ISI&amp;gt;://WOS:000434114900065&lt;/url&gt;&lt;/related-urls&gt;&lt;/urls&gt;&lt;isbn&gt;0027-8424&lt;/isbn&gt;&lt;titles&gt;&lt;title&gt;Riboswitches for the alarmone ppGpp expand the collection of RNA-based signaling systems&lt;/title&gt;&lt;secondary-title&gt;Proceedings of the National Academy of Sciences of the United States of America&lt;/secondary-title&gt;&lt;/titles&gt;&lt;pages&gt;6052-6057&lt;/pages&gt;&lt;number&gt;23&lt;/number&gt;&lt;contributors&gt;&lt;authors&gt;&lt;author&gt;Sherlock, Madeline E.&lt;/author&gt;&lt;author&gt;Sudarsan, Narasimhan&lt;/author&gt;&lt;author&gt;Breaker, Ronald R.&lt;/author&gt;&lt;/authors&gt;&lt;/contributors&gt;&lt;added-date format="utc"&gt;1663615375&lt;/added-date&gt;&lt;ref-type name="Journal Article"&gt;17&lt;/ref-type&gt;&lt;rec-number&gt;95&lt;/rec-number&gt;&lt;last-updated-date format="utc"&gt;1663624413&lt;/last-updated-date&gt;&lt;accession-num&gt;WOS:000434114900065&lt;/accession-num&gt;&lt;electronic-resource-num&gt;10.1073/pnas.1720406115&lt;/electronic-resource-num&gt;&lt;volume&gt;115&lt;/volume&gt;&lt;/record&gt;&lt;/Cite&gt;&lt;/EndNote&gt;</w:instrText>
      </w:r>
      <w:r w:rsidRPr="00356337">
        <w:rPr>
          <w:rFonts w:ascii="Times New Roman" w:hAnsi="Times New Roman" w:cs="Times New Roman"/>
          <w:b/>
          <w:bCs/>
        </w:rPr>
        <w:fldChar w:fldCharType="separate"/>
      </w:r>
      <w:r w:rsidRPr="00356337">
        <w:rPr>
          <w:rFonts w:ascii="Times New Roman" w:hAnsi="Times New Roman" w:cs="Times New Roman"/>
          <w:b/>
          <w:bCs/>
          <w:noProof/>
        </w:rPr>
        <w:t>(Sherlock, Sudarsan and Breaker, 2018)</w:t>
      </w:r>
      <w:r w:rsidRPr="00356337">
        <w:rPr>
          <w:rFonts w:ascii="Times New Roman" w:hAnsi="Times New Roman" w:cs="Times New Roman"/>
          <w:b/>
          <w:bCs/>
        </w:rPr>
        <w:fldChar w:fldCharType="end"/>
      </w:r>
      <w:r>
        <w:rPr>
          <w:rFonts w:ascii="Times New Roman" w:hAnsi="Times New Roman" w:cs="Times New Roman"/>
        </w:rPr>
        <w:t xml:space="preserve">, that has led to the successful use of a riboswitch-based molecular biosensor in </w:t>
      </w:r>
      <w:r>
        <w:rPr>
          <w:rFonts w:ascii="Times New Roman" w:hAnsi="Times New Roman" w:cs="Times New Roman"/>
          <w:i/>
          <w:iCs/>
        </w:rPr>
        <w:t xml:space="preserve">E. coli </w:t>
      </w:r>
      <w:r w:rsidRPr="00356337">
        <w:rPr>
          <w:rFonts w:ascii="Times New Roman" w:hAnsi="Times New Roman" w:cs="Times New Roman"/>
          <w:b/>
          <w:bCs/>
        </w:rPr>
        <w:fldChar w:fldCharType="begin"/>
      </w:r>
      <w:r w:rsidRPr="00356337">
        <w:rPr>
          <w:rFonts w:ascii="Times New Roman" w:hAnsi="Times New Roman" w:cs="Times New Roman"/>
          <w:b/>
          <w:bCs/>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format="utc"&gt;1663624413&lt;/last-updated-date&gt;&lt;accession-num&gt;WOS:000703547600001&lt;/accession-num&gt;&lt;electronic-resource-num&gt;10.1002/anie.202111170&lt;/electronic-resource-num&gt;&lt;volume&gt;60&lt;/volume&gt;&lt;/record&gt;&lt;/Cite&gt;&lt;/EndNote&gt;</w:instrText>
      </w:r>
      <w:r w:rsidRPr="00356337">
        <w:rPr>
          <w:rFonts w:ascii="Times New Roman" w:hAnsi="Times New Roman" w:cs="Times New Roman"/>
          <w:b/>
          <w:bCs/>
        </w:rPr>
        <w:fldChar w:fldCharType="separate"/>
      </w:r>
      <w:r w:rsidRPr="00356337">
        <w:rPr>
          <w:rFonts w:ascii="Times New Roman" w:hAnsi="Times New Roman" w:cs="Times New Roman"/>
          <w:b/>
          <w:bCs/>
          <w:noProof/>
        </w:rPr>
        <w:t>(Sun et al., 2021)</w:t>
      </w:r>
      <w:r w:rsidRPr="00356337">
        <w:rPr>
          <w:rFonts w:ascii="Times New Roman" w:hAnsi="Times New Roman" w:cs="Times New Roman"/>
          <w:b/>
          <w:bCs/>
        </w:rPr>
        <w:fldChar w:fldCharType="end"/>
      </w:r>
      <w:r>
        <w:rPr>
          <w:rFonts w:ascii="Times New Roman" w:hAnsi="Times New Roman" w:cs="Times New Roman"/>
        </w:rPr>
        <w:t xml:space="preserve">. Therefore, the need for a riboswitch-based method of quantifying </w:t>
      </w:r>
      <w:r>
        <w:rPr>
          <w:rFonts w:ascii="Times New Roman" w:hAnsi="Times New Roman" w:cs="Times New Roman"/>
          <w:i/>
          <w:iCs/>
        </w:rPr>
        <w:t xml:space="preserve">S. aureus </w:t>
      </w:r>
      <w:r>
        <w:rPr>
          <w:rFonts w:ascii="Times New Roman" w:hAnsi="Times New Roman" w:cs="Times New Roman"/>
        </w:rPr>
        <w:t xml:space="preserve">cellular (p)ppGpp levels is necessary given its role in virulence and pathogenesis. </w:t>
      </w:r>
    </w:p>
    <w:p w14:paraId="51CAAABB" w14:textId="77777777" w:rsidR="00187693" w:rsidRPr="006F179C" w:rsidRDefault="00187693" w:rsidP="00187693">
      <w:pPr>
        <w:spacing w:line="360" w:lineRule="auto"/>
        <w:ind w:firstLine="720"/>
        <w:jc w:val="both"/>
        <w:rPr>
          <w:rFonts w:ascii="Times New Roman" w:hAnsi="Times New Roman" w:cs="Times New Roman"/>
        </w:rPr>
      </w:pPr>
      <w:r w:rsidRPr="00356337">
        <w:rPr>
          <w:rFonts w:ascii="Times New Roman" w:hAnsi="Times New Roman" w:cs="Times New Roman"/>
          <w:b/>
          <w:bCs/>
        </w:rPr>
        <w:t xml:space="preserve"> </w:t>
      </w:r>
      <w:r>
        <w:rPr>
          <w:rFonts w:ascii="Times New Roman" w:hAnsi="Times New Roman" w:cs="Times New Roman"/>
        </w:rPr>
        <w:t xml:space="preserve">Many types of RNA aptamers exist including Spinach and Mango however, the Broccoli RNA aptamer was utilised as the construct was available as reported by Sun and colleagues. The RNA aptamer Spinach was initially used to tag RNAs </w:t>
      </w:r>
      <w:r w:rsidRPr="006F179C">
        <w:rPr>
          <w:rFonts w:ascii="Times New Roman" w:hAnsi="Times New Roman" w:cs="Times New Roman"/>
          <w:b/>
          <w:bCs/>
        </w:rPr>
        <w:fldChar w:fldCharType="begin"/>
      </w:r>
      <w:r w:rsidRPr="006F179C">
        <w:rPr>
          <w:rFonts w:ascii="Times New Roman" w:hAnsi="Times New Roman" w:cs="Times New Roman"/>
          <w:b/>
          <w:bCs/>
        </w:rPr>
        <w:instrText xml:space="preserve"> ADDIN EN.CITE &lt;EndNote&gt;&lt;Cite&gt;&lt;Author&gt;Paige&lt;/Author&gt;&lt;Year&gt;2011&lt;/Year&gt;&lt;IDText&gt;RNA Mimics of Green Fluorescent Protein&lt;/IDText&gt;&lt;DisplayText&gt;(Paige, Wu and Jaffrey, 2011)&lt;/DisplayText&gt;&lt;record&gt;&lt;dates&gt;&lt;pub-dates&gt;&lt;date&gt;Jul 29&lt;/date&gt;&lt;/pub-dates&gt;&lt;year&gt;2011&lt;/year&gt;&lt;/dates&gt;&lt;urls&gt;&lt;related-urls&gt;&lt;url&gt;&amp;lt;Go to ISI&amp;gt;://WOS:000293222400065&lt;/url&gt;&lt;/related-urls&gt;&lt;/urls&gt;&lt;isbn&gt;0036-8075&lt;/isbn&gt;&lt;work-type&gt;Article&lt;/work-type&gt;&lt;titles&gt;&lt;title&gt;RNA Mimics of Green Fluorescent Protein&lt;/title&gt;&lt;secondary-title&gt;Science&lt;/secondary-title&gt;&lt;/titles&gt;&lt;pages&gt;642-646&lt;/pages&gt;&lt;number&gt;6042&lt;/number&gt;&lt;contributors&gt;&lt;authors&gt;&lt;author&gt;Paige, Jeremy S.&lt;/author&gt;&lt;author&gt;Wu, Karen Y.&lt;/author&gt;&lt;author&gt;Jaffrey, Samie R.&lt;/author&gt;&lt;/authors&gt;&lt;/contributors&gt;&lt;added-date format="utc"&gt;1672865535&lt;/added-date&gt;&lt;ref-type name="Journal Article"&gt;17&lt;/ref-type&gt;&lt;rec-number&gt;198&lt;/rec-number&gt;&lt;last-updated-date format="utc"&gt;1673092602&lt;/last-updated-date&gt;&lt;accession-num&gt;WOS:000293222400065&lt;/accession-num&gt;&lt;electronic-resource-num&gt;10.1126/science.1207339&lt;/electronic-resource-num&gt;&lt;volume&gt;333&lt;/volume&gt;&lt;/record&gt;&lt;/Cite&gt;&lt;/EndNote&gt;</w:instrText>
      </w:r>
      <w:r w:rsidRPr="006F179C">
        <w:rPr>
          <w:rFonts w:ascii="Times New Roman" w:hAnsi="Times New Roman" w:cs="Times New Roman"/>
          <w:b/>
          <w:bCs/>
        </w:rPr>
        <w:fldChar w:fldCharType="separate"/>
      </w:r>
      <w:r w:rsidRPr="006F179C">
        <w:rPr>
          <w:rFonts w:ascii="Times New Roman" w:hAnsi="Times New Roman" w:cs="Times New Roman"/>
          <w:b/>
          <w:bCs/>
          <w:noProof/>
        </w:rPr>
        <w:t>(Paige, Wu and Jaffrey, 2011)</w:t>
      </w:r>
      <w:r w:rsidRPr="006F179C">
        <w:rPr>
          <w:rFonts w:ascii="Times New Roman" w:hAnsi="Times New Roman" w:cs="Times New Roman"/>
          <w:b/>
          <w:bCs/>
        </w:rPr>
        <w:fldChar w:fldCharType="end"/>
      </w:r>
      <w:r>
        <w:rPr>
          <w:rFonts w:ascii="Times New Roman" w:hAnsi="Times New Roman" w:cs="Times New Roman"/>
        </w:rPr>
        <w:t xml:space="preserve"> until the development of Spinach2 which is more fluorescent than Spinach and folds more efficiently </w:t>
      </w:r>
      <w:r w:rsidRPr="006F179C">
        <w:rPr>
          <w:rFonts w:ascii="Times New Roman" w:hAnsi="Times New Roman" w:cs="Times New Roman"/>
          <w:b/>
          <w:bCs/>
        </w:rPr>
        <w:fldChar w:fldCharType="begin"/>
      </w:r>
      <w:r w:rsidRPr="006F179C">
        <w:rPr>
          <w:rFonts w:ascii="Times New Roman" w:hAnsi="Times New Roman" w:cs="Times New Roman"/>
          <w:b/>
          <w:bCs/>
        </w:rPr>
        <w:instrText xml:space="preserve"> ADDIN EN.CITE &lt;EndNote&gt;&lt;Cite&gt;&lt;Author&gt;Strack&lt;/Author&gt;&lt;Year&gt;2013&lt;/Year&gt;&lt;IDText&gt;A superfolding Spinach2 reveals the dynamic nature of trinucleotide repeat-containing RNA&lt;/IDText&gt;&lt;DisplayText&gt;(Strack, Disney and Jaffrey, 2013)&lt;/DisplayText&gt;&lt;record&gt;&lt;dates&gt;&lt;pub-dates&gt;&lt;date&gt;Dec&lt;/date&gt;&lt;/pub-dates&gt;&lt;year&gt;2013&lt;/year&gt;&lt;/dates&gt;&lt;urls&gt;&lt;related-urls&gt;&lt;url&gt;&amp;lt;Go to ISI&amp;gt;://WOS:000327698100026&lt;/url&gt;&lt;/related-urls&gt;&lt;/urls&gt;&lt;isbn&gt;1548-7091&lt;/isbn&gt;&lt;work-type&gt;Article&lt;/work-type&gt;&lt;titles&gt;&lt;title&gt;A superfolding Spinach2 reveals the dynamic nature of trinucleotide repeat-containing RNA&lt;/title&gt;&lt;secondary-title&gt;Nature Methods&lt;/secondary-title&gt;&lt;/titles&gt;&lt;pages&gt;1219-+&lt;/pages&gt;&lt;number&gt;12&lt;/number&gt;&lt;contributors&gt;&lt;authors&gt;&lt;author&gt;Strack, Rita L.&lt;/author&gt;&lt;author&gt;Disney, Matthew D.&lt;/author&gt;&lt;author&gt;Jaffrey, Samie R.&lt;/author&gt;&lt;/authors&gt;&lt;/contributors&gt;&lt;added-date format="utc"&gt;1676075548&lt;/added-date&gt;&lt;ref-type name="Journal Article"&gt;17&lt;/ref-type&gt;&lt;rec-number&gt;314&lt;/rec-number&gt;&lt;last-updated-date format="utc"&gt;1676075548&lt;/last-updated-date&gt;&lt;accession-num&gt;WOS:000327698100026&lt;/accession-num&gt;&lt;electronic-resource-num&gt;10.1038/nmeth.2701&lt;/electronic-resource-num&gt;&lt;volume&gt;10&lt;/volume&gt;&lt;/record&gt;&lt;/Cite&gt;&lt;/EndNote&gt;</w:instrText>
      </w:r>
      <w:r w:rsidRPr="006F179C">
        <w:rPr>
          <w:rFonts w:ascii="Times New Roman" w:hAnsi="Times New Roman" w:cs="Times New Roman"/>
          <w:b/>
          <w:bCs/>
        </w:rPr>
        <w:fldChar w:fldCharType="separate"/>
      </w:r>
      <w:r w:rsidRPr="006F179C">
        <w:rPr>
          <w:rFonts w:ascii="Times New Roman" w:hAnsi="Times New Roman" w:cs="Times New Roman"/>
          <w:b/>
          <w:bCs/>
          <w:noProof/>
        </w:rPr>
        <w:t>(Strack, Disney and Jaffrey, 2013)</w:t>
      </w:r>
      <w:r w:rsidRPr="006F179C">
        <w:rPr>
          <w:rFonts w:ascii="Times New Roman" w:hAnsi="Times New Roman" w:cs="Times New Roman"/>
          <w:b/>
          <w:bCs/>
        </w:rPr>
        <w:fldChar w:fldCharType="end"/>
      </w:r>
      <w:r>
        <w:rPr>
          <w:rFonts w:ascii="Times New Roman" w:hAnsi="Times New Roman" w:cs="Times New Roman"/>
        </w:rPr>
        <w:t xml:space="preserve">. Broccoli was then identified as an RNA tag that was superior to Spinach2, with multiple improvements including increased thermostability as well as an increased brightness during fluorescence </w:t>
      </w:r>
      <w:r w:rsidRPr="005001D6">
        <w:rPr>
          <w:rFonts w:ascii="Times New Roman" w:hAnsi="Times New Roman" w:cs="Times New Roman"/>
          <w:b/>
          <w:bCs/>
        </w:rPr>
        <w:fldChar w:fldCharType="begin"/>
      </w:r>
      <w:r w:rsidRPr="005001D6">
        <w:rPr>
          <w:rFonts w:ascii="Times New Roman" w:hAnsi="Times New Roman" w:cs="Times New Roman"/>
          <w:b/>
          <w:bCs/>
        </w:rPr>
        <w:instrText xml:space="preserve"> ADDIN EN.CITE &lt;EndNote&gt;&lt;Cite&gt;&lt;Author&gt;Filonov&lt;/Author&gt;&lt;Year&gt;2014&lt;/Year&gt;&lt;IDText&gt;Broccoli: Rapid Selection of an RNA Mimic of Green Fluorescent Protein by Fluorescence-Based Selection and Directed Evolution&lt;/IDText&gt;&lt;DisplayText&gt;(Filonov&lt;style face="italic"&gt; et al.&lt;/style&gt;, 2014)&lt;/DisplayText&gt;&lt;record&gt;&lt;dates&gt;&lt;pub-dates&gt;&lt;date&gt;Nov 19&lt;/date&gt;&lt;/pub-dates&gt;&lt;year&gt;2014&lt;/year&gt;&lt;/dates&gt;&lt;urls&gt;&lt;related-urls&gt;&lt;url&gt;&amp;lt;Go to ISI&amp;gt;://WOS:000345308700028&lt;/url&gt;&lt;/related-urls&gt;&lt;/urls&gt;&lt;isbn&gt;0002-7863&lt;/isbn&gt;&lt;titles&gt;&lt;title&gt;Broccoli: Rapid Selection of an RNA Mimic of Green Fluorescent Protein by Fluorescence-Based Selection and Directed Evolution&lt;/title&gt;&lt;secondary-title&gt;Journal of the American Chemical Society&lt;/secondary-title&gt;&lt;/titles&gt;&lt;pages&gt;16299-16308&lt;/pages&gt;&lt;number&gt;46&lt;/number&gt;&lt;contributors&gt;&lt;authors&gt;&lt;author&gt;Filonov, Grigory S.&lt;/author&gt;&lt;author&gt;Moon, Jared D.&lt;/author&gt;&lt;author&gt;Svensen, Nina&lt;/author&gt;&lt;author&gt;Jaffrey, Samie R.&lt;/author&gt;&lt;/authors&gt;&lt;/contributors&gt;&lt;added-date format="utc"&gt;1668957915&lt;/added-date&gt;&lt;ref-type name="Journal Article"&gt;17&lt;/ref-type&gt;&lt;rec-number&gt;179&lt;/rec-number&gt;&lt;last-updated-date format="utc"&gt;1669641625&lt;/last-updated-date&gt;&lt;accession-num&gt;WOS:000345308700028&lt;/accession-num&gt;&lt;electronic-resource-num&gt;10.1021/ja508478x&lt;/electronic-resource-num&gt;&lt;volume&gt;136&lt;/volume&gt;&lt;/record&gt;&lt;/Cite&gt;&lt;/EndNote&gt;</w:instrText>
      </w:r>
      <w:r w:rsidRPr="005001D6">
        <w:rPr>
          <w:rFonts w:ascii="Times New Roman" w:hAnsi="Times New Roman" w:cs="Times New Roman"/>
          <w:b/>
          <w:bCs/>
        </w:rPr>
        <w:fldChar w:fldCharType="separate"/>
      </w:r>
      <w:r w:rsidRPr="005001D6">
        <w:rPr>
          <w:rFonts w:ascii="Times New Roman" w:hAnsi="Times New Roman" w:cs="Times New Roman"/>
          <w:b/>
          <w:bCs/>
          <w:noProof/>
        </w:rPr>
        <w:t>(Filonov</w:t>
      </w:r>
      <w:r w:rsidRPr="005001D6">
        <w:rPr>
          <w:rFonts w:ascii="Times New Roman" w:hAnsi="Times New Roman" w:cs="Times New Roman"/>
          <w:b/>
          <w:bCs/>
          <w:i/>
          <w:noProof/>
        </w:rPr>
        <w:t xml:space="preserve"> et al.</w:t>
      </w:r>
      <w:r w:rsidRPr="005001D6">
        <w:rPr>
          <w:rFonts w:ascii="Times New Roman" w:hAnsi="Times New Roman" w:cs="Times New Roman"/>
          <w:b/>
          <w:bCs/>
          <w:noProof/>
        </w:rPr>
        <w:t>, 2014)</w:t>
      </w:r>
      <w:r w:rsidRPr="005001D6">
        <w:rPr>
          <w:rFonts w:ascii="Times New Roman" w:hAnsi="Times New Roman" w:cs="Times New Roman"/>
          <w:b/>
          <w:bCs/>
        </w:rPr>
        <w:fldChar w:fldCharType="end"/>
      </w:r>
      <w:r>
        <w:rPr>
          <w:rFonts w:ascii="Times New Roman" w:hAnsi="Times New Roman" w:cs="Times New Roman"/>
        </w:rPr>
        <w:t xml:space="preserve">. While studies have identified other RNA tags such as Mango for use in mammalian cells </w:t>
      </w:r>
      <w:r w:rsidRPr="005001D6">
        <w:rPr>
          <w:rFonts w:ascii="Times New Roman" w:hAnsi="Times New Roman" w:cs="Times New Roman"/>
          <w:b/>
          <w:bCs/>
        </w:rPr>
        <w:fldChar w:fldCharType="begin">
          <w:fldData xml:space="preserve">PEVuZE5vdGU+PENpdGU+PEF1dGhvcj5BdXRvdXI8L0F1dGhvcj48WWVhcj4yMDE4PC9ZZWFyPjxJ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==
</w:fldData>
        </w:fldChar>
      </w:r>
      <w:r w:rsidRPr="005001D6">
        <w:rPr>
          <w:rFonts w:ascii="Times New Roman" w:hAnsi="Times New Roman" w:cs="Times New Roman"/>
          <w:b/>
          <w:bCs/>
        </w:rPr>
        <w:instrText xml:space="preserve"> ADDIN EN.CITE </w:instrText>
      </w:r>
      <w:r w:rsidRPr="005001D6">
        <w:rPr>
          <w:rFonts w:ascii="Times New Roman" w:hAnsi="Times New Roman" w:cs="Times New Roman"/>
          <w:b/>
          <w:bCs/>
        </w:rPr>
        <w:fldChar w:fldCharType="begin">
          <w:fldData xml:space="preserve">PEVuZE5vdGU+PENpdGU+PEF1dGhvcj5BdXRvdXI8L0F1dGhvcj48WWVhcj4yMDE4PC9ZZWFyPjxJ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==
</w:fldData>
        </w:fldChar>
      </w:r>
      <w:r w:rsidRPr="005001D6">
        <w:rPr>
          <w:rFonts w:ascii="Times New Roman" w:hAnsi="Times New Roman" w:cs="Times New Roman"/>
          <w:b/>
          <w:bCs/>
        </w:rPr>
        <w:instrText xml:space="preserve"> ADDIN EN.CITE.DATA </w:instrText>
      </w:r>
      <w:r w:rsidRPr="005001D6">
        <w:rPr>
          <w:rFonts w:ascii="Times New Roman" w:hAnsi="Times New Roman" w:cs="Times New Roman"/>
          <w:b/>
          <w:bCs/>
        </w:rPr>
      </w:r>
      <w:r w:rsidRPr="005001D6">
        <w:rPr>
          <w:rFonts w:ascii="Times New Roman" w:hAnsi="Times New Roman" w:cs="Times New Roman"/>
          <w:b/>
          <w:bCs/>
        </w:rPr>
        <w:fldChar w:fldCharType="end"/>
      </w:r>
      <w:r w:rsidRPr="005001D6">
        <w:rPr>
          <w:rFonts w:ascii="Times New Roman" w:hAnsi="Times New Roman" w:cs="Times New Roman"/>
          <w:b/>
          <w:bCs/>
        </w:rPr>
      </w:r>
      <w:r w:rsidRPr="005001D6">
        <w:rPr>
          <w:rFonts w:ascii="Times New Roman" w:hAnsi="Times New Roman" w:cs="Times New Roman"/>
          <w:b/>
          <w:bCs/>
        </w:rPr>
        <w:fldChar w:fldCharType="separate"/>
      </w:r>
      <w:r w:rsidRPr="005001D6">
        <w:rPr>
          <w:rFonts w:ascii="Times New Roman" w:hAnsi="Times New Roman" w:cs="Times New Roman"/>
          <w:b/>
          <w:bCs/>
          <w:noProof/>
        </w:rPr>
        <w:t>(Autour</w:t>
      </w:r>
      <w:r w:rsidRPr="005001D6">
        <w:rPr>
          <w:rFonts w:ascii="Times New Roman" w:hAnsi="Times New Roman" w:cs="Times New Roman"/>
          <w:b/>
          <w:bCs/>
          <w:i/>
          <w:noProof/>
        </w:rPr>
        <w:t xml:space="preserve"> et al.</w:t>
      </w:r>
      <w:r w:rsidRPr="005001D6">
        <w:rPr>
          <w:rFonts w:ascii="Times New Roman" w:hAnsi="Times New Roman" w:cs="Times New Roman"/>
          <w:b/>
          <w:bCs/>
          <w:noProof/>
        </w:rPr>
        <w:t>, 2018; Cawte, Unrau and Rueda, 2020)</w:t>
      </w:r>
      <w:r w:rsidRPr="005001D6">
        <w:rPr>
          <w:rFonts w:ascii="Times New Roman" w:hAnsi="Times New Roman" w:cs="Times New Roman"/>
          <w:b/>
          <w:bCs/>
        </w:rPr>
        <w:fldChar w:fldCharType="end"/>
      </w:r>
      <w:r>
        <w:rPr>
          <w:rFonts w:ascii="Times New Roman" w:hAnsi="Times New Roman" w:cs="Times New Roman"/>
        </w:rPr>
        <w:t xml:space="preserve">, green RNA tags such as Spinach and Broccoli have been used mainly for measuring nucleotide levels within bacteria. </w:t>
      </w:r>
    </w:p>
    <w:p w14:paraId="6704B8C6" w14:textId="0779F01C"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i/>
          <w:iCs/>
        </w:rPr>
        <w:t xml:space="preserve">In vitro </w:t>
      </w:r>
      <w:r>
        <w:rPr>
          <w:rFonts w:ascii="Times New Roman" w:hAnsi="Times New Roman" w:cs="Times New Roman"/>
        </w:rPr>
        <w:t xml:space="preserve">transcription assays revealed that the riboswitch-Broccoli molecular (p)ppGpp biosensor was functional </w:t>
      </w:r>
      <w:r>
        <w:rPr>
          <w:rFonts w:ascii="Times New Roman" w:hAnsi="Times New Roman" w:cs="Times New Roman"/>
          <w:b/>
          <w:bCs/>
        </w:rPr>
        <w:t>(Fig. 3.4.3a)</w:t>
      </w:r>
      <w:r>
        <w:rPr>
          <w:rFonts w:ascii="Times New Roman" w:hAnsi="Times New Roman" w:cs="Times New Roman"/>
        </w:rPr>
        <w:t xml:space="preserve">, however this was not the case when fluorescence was measured in live cells. This then brings into question the functionality of the riboswitch-Broccoli aptamer within bacteria. It is important to note that the </w:t>
      </w:r>
      <w:r w:rsidRPr="009A5EF8">
        <w:rPr>
          <w:rFonts w:ascii="Times New Roman" w:hAnsi="Times New Roman" w:cs="Times New Roman"/>
          <w:i/>
          <w:iCs/>
        </w:rPr>
        <w:t>ykkc</w:t>
      </w:r>
      <w:r>
        <w:rPr>
          <w:rFonts w:ascii="Times New Roman" w:hAnsi="Times New Roman" w:cs="Times New Roman"/>
        </w:rPr>
        <w:t xml:space="preserve"> subtype 2a riboswitch sequence was taken from </w:t>
      </w:r>
      <w:r>
        <w:rPr>
          <w:rFonts w:ascii="Times New Roman" w:hAnsi="Times New Roman" w:cs="Times New Roman"/>
          <w:i/>
          <w:iCs/>
        </w:rPr>
        <w:t>T. oceani,</w:t>
      </w:r>
      <w:r>
        <w:rPr>
          <w:rFonts w:ascii="Times New Roman" w:hAnsi="Times New Roman" w:cs="Times New Roman"/>
        </w:rPr>
        <w:t xml:space="preserve"> a Gram-negative and thermophilic organism isolated from deep sea sediment. The </w:t>
      </w:r>
      <w:r>
        <w:rPr>
          <w:rFonts w:ascii="Times New Roman" w:hAnsi="Times New Roman" w:cs="Times New Roman"/>
          <w:i/>
          <w:iCs/>
        </w:rPr>
        <w:t xml:space="preserve">T. </w:t>
      </w:r>
      <w:r w:rsidRPr="00992445">
        <w:rPr>
          <w:rFonts w:ascii="Times New Roman" w:hAnsi="Times New Roman" w:cs="Times New Roman"/>
          <w:i/>
          <w:iCs/>
        </w:rPr>
        <w:t>oceani</w:t>
      </w:r>
      <w:r>
        <w:rPr>
          <w:rFonts w:ascii="Times New Roman" w:hAnsi="Times New Roman" w:cs="Times New Roman"/>
          <w:i/>
          <w:iCs/>
        </w:rPr>
        <w:t xml:space="preserve"> </w:t>
      </w:r>
      <w:r>
        <w:rPr>
          <w:rFonts w:ascii="Times New Roman" w:hAnsi="Times New Roman" w:cs="Times New Roman"/>
        </w:rPr>
        <w:t xml:space="preserve">riboswitch may not function in </w:t>
      </w:r>
      <w:r>
        <w:rPr>
          <w:rFonts w:ascii="Times New Roman" w:hAnsi="Times New Roman" w:cs="Times New Roman"/>
          <w:i/>
          <w:iCs/>
        </w:rPr>
        <w:t xml:space="preserve">S. </w:t>
      </w:r>
      <w:r w:rsidRPr="002C415A">
        <w:rPr>
          <w:rFonts w:ascii="Times New Roman" w:hAnsi="Times New Roman" w:cs="Times New Roman"/>
          <w:i/>
          <w:iCs/>
        </w:rPr>
        <w:t>aureus</w:t>
      </w:r>
      <w:r>
        <w:rPr>
          <w:rFonts w:ascii="Times New Roman" w:hAnsi="Times New Roman" w:cs="Times New Roman"/>
        </w:rPr>
        <w:t xml:space="preserve"> as it would in its native species, which may explain the results observed in </w:t>
      </w:r>
      <w:r>
        <w:rPr>
          <w:rFonts w:ascii="Times New Roman" w:hAnsi="Times New Roman" w:cs="Times New Roman"/>
          <w:b/>
          <w:bCs/>
        </w:rPr>
        <w:t>Figures 3.4.3b</w:t>
      </w:r>
      <w:r w:rsidRPr="00857D6B">
        <w:rPr>
          <w:rFonts w:ascii="Times New Roman" w:hAnsi="Times New Roman" w:cs="Times New Roman"/>
        </w:rPr>
        <w:t>-</w:t>
      </w:r>
      <w:r w:rsidRPr="00857D6B">
        <w:rPr>
          <w:rFonts w:ascii="Times New Roman" w:hAnsi="Times New Roman" w:cs="Times New Roman"/>
          <w:b/>
          <w:bCs/>
        </w:rPr>
        <w:t>d</w:t>
      </w:r>
      <w:r>
        <w:rPr>
          <w:rFonts w:ascii="Times New Roman" w:hAnsi="Times New Roman" w:cs="Times New Roman"/>
        </w:rPr>
        <w:t xml:space="preserve">. For example, </w:t>
      </w:r>
      <w:r w:rsidRPr="00FB7CC5">
        <w:rPr>
          <w:rFonts w:ascii="Times New Roman" w:hAnsi="Times New Roman" w:cs="Times New Roman"/>
        </w:rPr>
        <w:t>Gratani and colleagues</w:t>
      </w:r>
      <w:r>
        <w:rPr>
          <w:rFonts w:ascii="Times New Roman" w:hAnsi="Times New Roman" w:cs="Times New Roman"/>
        </w:rPr>
        <w:t xml:space="preserve"> showed that under nutrient-rich conditions, Rel</w:t>
      </w:r>
      <w:r>
        <w:rPr>
          <w:rFonts w:ascii="Times New Roman" w:hAnsi="Times New Roman" w:cs="Times New Roman"/>
          <w:i/>
          <w:iCs/>
          <w:vertAlign w:val="subscript"/>
        </w:rPr>
        <w:t>Sau</w:t>
      </w:r>
      <w:r>
        <w:rPr>
          <w:rFonts w:ascii="Times New Roman" w:hAnsi="Times New Roman" w:cs="Times New Roman"/>
        </w:rPr>
        <w:t xml:space="preserve">-NTD favoured hydrolase activity in </w:t>
      </w:r>
      <w:r>
        <w:rPr>
          <w:rFonts w:ascii="Times New Roman" w:hAnsi="Times New Roman" w:cs="Times New Roman"/>
          <w:i/>
          <w:iCs/>
        </w:rPr>
        <w:t xml:space="preserve">S. aureus </w:t>
      </w:r>
      <w:r>
        <w:rPr>
          <w:rFonts w:ascii="Times New Roman" w:hAnsi="Times New Roman" w:cs="Times New Roman"/>
        </w:rPr>
        <w:t xml:space="preserve">however when expressed in non-native </w:t>
      </w:r>
      <w:r>
        <w:rPr>
          <w:rFonts w:ascii="Times New Roman" w:hAnsi="Times New Roman" w:cs="Times New Roman"/>
          <w:i/>
          <w:iCs/>
        </w:rPr>
        <w:t>E. coli,</w:t>
      </w:r>
      <w:r>
        <w:rPr>
          <w:rFonts w:ascii="Times New Roman" w:hAnsi="Times New Roman" w:cs="Times New Roman"/>
        </w:rPr>
        <w:t xml:space="preserve"> synthetase activity was favoured. Similarly, as the NTD of Rel behaved differently when expressed in </w:t>
      </w:r>
      <w:r>
        <w:rPr>
          <w:rFonts w:ascii="Times New Roman" w:hAnsi="Times New Roman" w:cs="Times New Roman"/>
          <w:i/>
          <w:iCs/>
        </w:rPr>
        <w:t>S. aureus</w:t>
      </w:r>
      <w:r>
        <w:rPr>
          <w:rFonts w:ascii="Times New Roman" w:hAnsi="Times New Roman" w:cs="Times New Roman"/>
        </w:rPr>
        <w:t xml:space="preserve"> and </w:t>
      </w:r>
      <w:r>
        <w:rPr>
          <w:rFonts w:ascii="Times New Roman" w:hAnsi="Times New Roman" w:cs="Times New Roman"/>
          <w:i/>
          <w:iCs/>
        </w:rPr>
        <w:t>E. coli</w:t>
      </w:r>
      <w:r>
        <w:rPr>
          <w:rFonts w:ascii="Times New Roman" w:hAnsi="Times New Roman" w:cs="Times New Roman"/>
        </w:rPr>
        <w:t xml:space="preserve">, it may be that heterologous expression of the </w:t>
      </w:r>
      <w:r>
        <w:rPr>
          <w:rFonts w:ascii="Times New Roman" w:hAnsi="Times New Roman" w:cs="Times New Roman"/>
          <w:i/>
          <w:iCs/>
        </w:rPr>
        <w:t>ykkc</w:t>
      </w:r>
      <w:r>
        <w:rPr>
          <w:rFonts w:ascii="Times New Roman" w:hAnsi="Times New Roman" w:cs="Times New Roman"/>
        </w:rPr>
        <w:t xml:space="preserve"> riboswitch in </w:t>
      </w:r>
      <w:r>
        <w:rPr>
          <w:rFonts w:ascii="Times New Roman" w:hAnsi="Times New Roman" w:cs="Times New Roman"/>
          <w:i/>
          <w:iCs/>
        </w:rPr>
        <w:t>S. aureus</w:t>
      </w:r>
      <w:r>
        <w:rPr>
          <w:rFonts w:ascii="Times New Roman" w:hAnsi="Times New Roman" w:cs="Times New Roman"/>
        </w:rPr>
        <w:t xml:space="preserve"> may results in the riboswitch motif not functioning in the way that it would in its native organism. Sun and colleagues used this riboswitch-based biosensor in </w:t>
      </w:r>
      <w:r>
        <w:rPr>
          <w:rFonts w:ascii="Times New Roman" w:hAnsi="Times New Roman" w:cs="Times New Roman"/>
          <w:i/>
          <w:iCs/>
        </w:rPr>
        <w:t>E. coli,</w:t>
      </w:r>
      <w:r>
        <w:rPr>
          <w:rFonts w:ascii="Times New Roman" w:hAnsi="Times New Roman" w:cs="Times New Roman"/>
        </w:rPr>
        <w:t xml:space="preserve"> a Gram-negative organism, which may explain why (p)ppGpp production was detected, while this was not the case in </w:t>
      </w:r>
      <w:r>
        <w:rPr>
          <w:rFonts w:ascii="Times New Roman" w:hAnsi="Times New Roman" w:cs="Times New Roman"/>
          <w:i/>
          <w:iCs/>
        </w:rPr>
        <w:t>S. aureus</w:t>
      </w:r>
      <w:r>
        <w:rPr>
          <w:rFonts w:ascii="Times New Roman" w:hAnsi="Times New Roman" w:cs="Times New Roman"/>
        </w:rPr>
        <w:t xml:space="preserve">. DFHBI-1T </w:t>
      </w:r>
      <w:r>
        <w:rPr>
          <w:rFonts w:ascii="Times New Roman" w:hAnsi="Times New Roman" w:cs="Times New Roman"/>
          <w:b/>
          <w:bCs/>
        </w:rPr>
        <w:t>(Fig. 3.4.1e)</w:t>
      </w:r>
      <w:r>
        <w:rPr>
          <w:rFonts w:ascii="Times New Roman" w:hAnsi="Times New Roman" w:cs="Times New Roman"/>
        </w:rPr>
        <w:t xml:space="preserve"> is a small compound and has previously been used to detect (p)ppGpp in Gram-negative </w:t>
      </w:r>
      <w:r>
        <w:rPr>
          <w:rFonts w:ascii="Times New Roman" w:hAnsi="Times New Roman" w:cs="Times New Roman"/>
          <w:i/>
          <w:iCs/>
        </w:rPr>
        <w:t>E. coli</w:t>
      </w:r>
      <w:r>
        <w:rPr>
          <w:rFonts w:ascii="Times New Roman" w:hAnsi="Times New Roman" w:cs="Times New Roman"/>
        </w:rPr>
        <w:t xml:space="preserve"> </w:t>
      </w:r>
      <w:r w:rsidRPr="00ED2418">
        <w:rPr>
          <w:rFonts w:ascii="Times New Roman" w:hAnsi="Times New Roman" w:cs="Times New Roman"/>
          <w:b/>
          <w:bCs/>
        </w:rPr>
        <w:fldChar w:fldCharType="begin"/>
      </w:r>
      <w:r w:rsidRPr="00ED2418">
        <w:rPr>
          <w:rFonts w:ascii="Times New Roman" w:hAnsi="Times New Roman" w:cs="Times New Roman"/>
          <w:b/>
          <w:bCs/>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format="utc"&gt;1663624413&lt;/last-updated-date&gt;&lt;accession-num&gt;WOS:000703547600001&lt;/accession-num&gt;&lt;electronic-resource-num&gt;10.1002/anie.202111170&lt;/electronic-resource-num&gt;&lt;volume&gt;60&lt;/volume&gt;&lt;/record&gt;&lt;/Cite&gt;&lt;/EndNote&gt;</w:instrText>
      </w:r>
      <w:r w:rsidRPr="00ED2418">
        <w:rPr>
          <w:rFonts w:ascii="Times New Roman" w:hAnsi="Times New Roman" w:cs="Times New Roman"/>
          <w:b/>
          <w:bCs/>
        </w:rPr>
        <w:fldChar w:fldCharType="separate"/>
      </w:r>
      <w:r w:rsidRPr="00ED2418">
        <w:rPr>
          <w:rFonts w:ascii="Times New Roman" w:hAnsi="Times New Roman" w:cs="Times New Roman"/>
          <w:b/>
          <w:bCs/>
          <w:noProof/>
        </w:rPr>
        <w:t>(Sun</w:t>
      </w:r>
      <w:r w:rsidRPr="00ED2418">
        <w:rPr>
          <w:rFonts w:ascii="Times New Roman" w:hAnsi="Times New Roman" w:cs="Times New Roman"/>
          <w:b/>
          <w:bCs/>
          <w:i/>
          <w:noProof/>
        </w:rPr>
        <w:t xml:space="preserve"> et al.</w:t>
      </w:r>
      <w:r w:rsidRPr="00ED2418">
        <w:rPr>
          <w:rFonts w:ascii="Times New Roman" w:hAnsi="Times New Roman" w:cs="Times New Roman"/>
          <w:b/>
          <w:bCs/>
          <w:noProof/>
        </w:rPr>
        <w:t>, 2021)</w:t>
      </w:r>
      <w:r w:rsidRPr="00ED2418">
        <w:rPr>
          <w:rFonts w:ascii="Times New Roman" w:hAnsi="Times New Roman" w:cs="Times New Roman"/>
          <w:b/>
          <w:bCs/>
        </w:rPr>
        <w:fldChar w:fldCharType="end"/>
      </w:r>
      <w:r>
        <w:rPr>
          <w:rFonts w:ascii="Times New Roman" w:hAnsi="Times New Roman" w:cs="Times New Roman"/>
        </w:rPr>
        <w:t xml:space="preserve"> and Gram positive </w:t>
      </w:r>
      <w:r>
        <w:rPr>
          <w:rFonts w:ascii="Times New Roman" w:hAnsi="Times New Roman" w:cs="Times New Roman"/>
          <w:i/>
          <w:iCs/>
        </w:rPr>
        <w:t>S. aureus</w:t>
      </w:r>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&lt;EndNote&gt;&lt;Cite&gt;&lt;Author&gt;Syed&lt;/Author&gt;&lt;Year&gt;2020&lt;/Year&gt;&lt;IDText&gt;Biofilm Formation by Staphylococcus aureus is Triggered by a Drop in the Levels of the Second Messenger cyclic-di-AMP&lt;/IDText&gt;&lt;DisplayText&gt;(Syed&lt;style face="italic"&gt; et al.&lt;/style&gt;, 2020)&lt;/DisplayText&gt;&lt;record&gt;&lt;titles&gt;&lt;title&gt;&lt;style font="default" size="100%"&gt;Biofilm Formation by &lt;/style&gt;&lt;style face="italic" font="default" size="100%"&gt;Staphylococcus aureus&lt;/style&gt;&lt;style font="default" size="100%"&gt; is Triggered by a Drop in the Levels of the Second Messenger cyclic-di-AMP&lt;/style&gt;&lt;/title&gt;&lt;secondary-title&gt;bioRxiv&lt;/secondary-title&gt;&lt;/titles&gt;&lt;contributors&gt;&lt;authors&gt;&lt;author&gt;Syed,  Adnan K&lt;/author&gt;&lt;author&gt;Vickery   , Christopher R&lt;/author&gt;&lt;author&gt;Lenhart   , Teliesin&lt;/author&gt;&lt;author&gt;Llewellyn   , Eliza   View ORCID Profile&lt;/author&gt;&lt;author&gt;Walker  , Suzanne&lt;/author&gt;&lt;author&gt;View ORCID Profile  Losick, Richard&lt;/author&gt;&lt;/authors&gt;&lt;/contributors&gt;&lt;added-date format="utc"&gt;1676070492&lt;/added-date&gt;&lt;ref-type name="Journal Article"&gt;17&lt;/ref-type&gt;&lt;dates&gt;&lt;year&gt;2020&lt;/year&gt;&lt;/dates&gt;&lt;rec-number&gt;313&lt;/rec-number&gt;&lt;last-updated-date format="utc"&gt;1678666370&lt;/last-updated-date&gt;&lt;/record&gt;&lt;/Cite&gt;&lt;/EndNote&gt;</w:instrText>
      </w:r>
      <w:r>
        <w:rPr>
          <w:rFonts w:ascii="Times New Roman" w:hAnsi="Times New Roman" w:cs="Times New Roman"/>
          <w:b/>
          <w:bCs/>
        </w:rPr>
        <w:fldChar w:fldCharType="separate"/>
      </w:r>
      <w:r>
        <w:rPr>
          <w:rFonts w:ascii="Times New Roman" w:hAnsi="Times New Roman" w:cs="Times New Roman"/>
          <w:b/>
          <w:bCs/>
          <w:noProof/>
        </w:rPr>
        <w:t>(Syed</w:t>
      </w:r>
      <w:r w:rsidRPr="00B277EE">
        <w:rPr>
          <w:rFonts w:ascii="Times New Roman" w:hAnsi="Times New Roman" w:cs="Times New Roman"/>
          <w:b/>
          <w:bCs/>
          <w:i/>
          <w:noProof/>
        </w:rPr>
        <w:t xml:space="preserve"> et al.</w:t>
      </w:r>
      <w:r>
        <w:rPr>
          <w:rFonts w:ascii="Times New Roman" w:hAnsi="Times New Roman" w:cs="Times New Roman"/>
          <w:b/>
          <w:bCs/>
          <w:noProof/>
        </w:rPr>
        <w:t>, 2020)</w:t>
      </w:r>
      <w:r>
        <w:rPr>
          <w:rFonts w:ascii="Times New Roman" w:hAnsi="Times New Roman" w:cs="Times New Roman"/>
          <w:b/>
          <w:bCs/>
        </w:rPr>
        <w:fldChar w:fldCharType="end"/>
      </w:r>
      <w:r>
        <w:rPr>
          <w:rFonts w:ascii="Times New Roman" w:hAnsi="Times New Roman" w:cs="Times New Roman"/>
        </w:rPr>
        <w:t xml:space="preserve"> and </w:t>
      </w:r>
      <w:r>
        <w:rPr>
          <w:rFonts w:ascii="Times New Roman" w:hAnsi="Times New Roman" w:cs="Times New Roman"/>
          <w:i/>
          <w:iCs/>
        </w:rPr>
        <w:t xml:space="preserve">L. monocytogenes </w:t>
      </w:r>
      <w:r w:rsidRPr="005961D4">
        <w:rPr>
          <w:rFonts w:ascii="Times New Roman" w:hAnsi="Times New Roman" w:cs="Times New Roman"/>
          <w:b/>
          <w:bCs/>
        </w:rPr>
        <w:fldChar w:fldCharType="begin"/>
      </w:r>
      <w:r w:rsidRPr="005961D4">
        <w:rPr>
          <w:rFonts w:ascii="Times New Roman" w:hAnsi="Times New Roman" w:cs="Times New Roman"/>
          <w:b/>
          <w:bCs/>
        </w:rPr>
        <w:instrText xml:space="preserve"> ADDIN EN.CITE &lt;EndNote&gt;&lt;Cite&gt;&lt;Author&gt;Kellenberger&lt;/Author&gt;&lt;Year&gt;2015&lt;/Year&gt;&lt;IDText&gt;RNA-Based Fluorescent Biosensors for Live Cell Imaging of Second Messenger Cyclic di-AMP&lt;/IDText&gt;&lt;DisplayText&gt;(Kellenberger&lt;style face="italic"&gt; et al.&lt;/style&gt;, 2015)&lt;/DisplayText&gt;&lt;record&gt;&lt;dates&gt;&lt;pub-dates&gt;&lt;date&gt;May 27&lt;/date&gt;&lt;/pub-dates&gt;&lt;year&gt;2015&lt;/year&gt;&lt;/dates&gt;&lt;urls&gt;&lt;related-urls&gt;&lt;url&gt;&amp;lt;Go to ISI&amp;gt;://WOS:000355383500003&lt;/url&gt;&lt;/related-urls&gt;&lt;/urls&gt;&lt;isbn&gt;0002-7863&lt;/isbn&gt;&lt;titles&gt;&lt;title&gt;RNA-Based Fluorescent Biosensors for Live Cell Imaging of Second Messenger Cyclic di-AMP&lt;/title&gt;&lt;secondary-title&gt;Journal of the American Chemical Society&lt;/secondary-title&gt;&lt;/titles&gt;&lt;pages&gt;6432-6435&lt;/pages&gt;&lt;number&gt;20&lt;/number&gt;&lt;contributors&gt;&lt;authors&gt;&lt;author&gt;Kellenberger, Colleen A.&lt;/author&gt;&lt;author&gt;Chen, Chen&lt;/author&gt;&lt;author&gt;Whiteley, Aaron T.&lt;/author&gt;&lt;author&gt;Portnoy, Daniel A.&lt;/author&gt;&lt;author&gt;Hammond, Ming C.&lt;/author&gt;&lt;/authors&gt;&lt;/contributors&gt;&lt;added-date format="utc"&gt;1663615494&lt;/added-date&gt;&lt;ref-type name="Journal Article"&gt;17&lt;/ref-type&gt;&lt;rec-number&gt;99&lt;/rec-number&gt;&lt;last-updated-date format="utc"&gt;1663624413&lt;/last-updated-date&gt;&lt;accession-num&gt;WOS:000355383500003&lt;/accession-num&gt;&lt;electronic-resource-num&gt;10.1021/jacs.5b00275&lt;/electronic-resource-num&gt;&lt;volume&gt;137&lt;/volume&gt;&lt;/record&gt;&lt;/Cite&gt;&lt;/EndNote&gt;</w:instrText>
      </w:r>
      <w:r w:rsidRPr="005961D4">
        <w:rPr>
          <w:rFonts w:ascii="Times New Roman" w:hAnsi="Times New Roman" w:cs="Times New Roman"/>
          <w:b/>
          <w:bCs/>
        </w:rPr>
        <w:fldChar w:fldCharType="separate"/>
      </w:r>
      <w:r w:rsidRPr="005961D4">
        <w:rPr>
          <w:rFonts w:ascii="Times New Roman" w:hAnsi="Times New Roman" w:cs="Times New Roman"/>
          <w:b/>
          <w:bCs/>
          <w:noProof/>
        </w:rPr>
        <w:t>(Kellenberger et al., 2015)</w:t>
      </w:r>
      <w:r w:rsidRPr="005961D4">
        <w:rPr>
          <w:rFonts w:ascii="Times New Roman" w:hAnsi="Times New Roman" w:cs="Times New Roman"/>
          <w:b/>
          <w:bCs/>
        </w:rPr>
        <w:fldChar w:fldCharType="end"/>
      </w:r>
      <w:r>
        <w:rPr>
          <w:rFonts w:ascii="Times New Roman" w:hAnsi="Times New Roman" w:cs="Times New Roman"/>
        </w:rPr>
        <w:t xml:space="preserve"> </w:t>
      </w:r>
      <w:r w:rsidR="003031B1">
        <w:rPr>
          <w:rFonts w:ascii="Times New Roman" w:hAnsi="Times New Roman" w:cs="Times New Roman"/>
        </w:rPr>
        <w:t xml:space="preserve">and so </w:t>
      </w:r>
      <w:r>
        <w:rPr>
          <w:rFonts w:ascii="Times New Roman" w:hAnsi="Times New Roman" w:cs="Times New Roman"/>
        </w:rPr>
        <w:t>it is unlikely that the compound was unable to pass the cell wall and membrane</w:t>
      </w:r>
      <w:r w:rsidR="003031B1">
        <w:rPr>
          <w:rFonts w:ascii="Times New Roman" w:hAnsi="Times New Roman" w:cs="Times New Roman"/>
        </w:rPr>
        <w:t>,</w:t>
      </w:r>
      <w:r>
        <w:rPr>
          <w:rFonts w:ascii="Times New Roman" w:hAnsi="Times New Roman" w:cs="Times New Roman"/>
        </w:rPr>
        <w:t xml:space="preserve"> so low fluorescence levels are perhaps not attributed to this. </w:t>
      </w:r>
    </w:p>
    <w:p w14:paraId="3B3172E6" w14:textId="77777777" w:rsidR="00187693" w:rsidRDefault="00187693" w:rsidP="00187693">
      <w:pPr>
        <w:spacing w:line="360" w:lineRule="auto"/>
        <w:ind w:firstLine="720"/>
        <w:jc w:val="both"/>
        <w:rPr>
          <w:rFonts w:ascii="Times New Roman" w:hAnsi="Times New Roman" w:cs="Times New Roman"/>
        </w:rPr>
      </w:pPr>
      <w:r w:rsidRPr="007B6A77">
        <w:rPr>
          <w:rFonts w:ascii="Times New Roman" w:hAnsi="Times New Roman" w:cs="Times New Roman"/>
        </w:rPr>
        <w:t>Sun and colleagues</w:t>
      </w:r>
      <w:r w:rsidRPr="00F67EC7">
        <w:rPr>
          <w:rFonts w:ascii="Times New Roman" w:hAnsi="Times New Roman" w:cs="Times New Roman"/>
          <w:b/>
          <w:bCs/>
        </w:rPr>
        <w:t xml:space="preserve"> </w:t>
      </w:r>
      <w:r>
        <w:rPr>
          <w:rFonts w:ascii="Times New Roman" w:hAnsi="Times New Roman" w:cs="Times New Roman"/>
        </w:rPr>
        <w:t xml:space="preserve">detected (p)ppGpp using the riboswitch-based molecular biosensor using fluorescence microscopy by imaging live cells before and after amino acid stress. A platereader was used in this study </w:t>
      </w:r>
      <w:r>
        <w:rPr>
          <w:rFonts w:ascii="Times New Roman" w:hAnsi="Times New Roman" w:cs="Times New Roman"/>
          <w:b/>
          <w:bCs/>
        </w:rPr>
        <w:t xml:space="preserve">(Fig. 3.4.2-3.4.5) </w:t>
      </w:r>
      <w:r>
        <w:rPr>
          <w:rFonts w:ascii="Times New Roman" w:hAnsi="Times New Roman" w:cs="Times New Roman"/>
        </w:rPr>
        <w:t>however, microscopy would be a superior method of visualisation in comparison to a platereader as OD</w:t>
      </w:r>
      <w:r>
        <w:rPr>
          <w:rFonts w:ascii="Times New Roman" w:hAnsi="Times New Roman" w:cs="Times New Roman"/>
          <w:vertAlign w:val="subscript"/>
        </w:rPr>
        <w:t>600</w:t>
      </w:r>
      <w:r>
        <w:rPr>
          <w:rFonts w:ascii="Times New Roman" w:hAnsi="Times New Roman" w:cs="Times New Roman"/>
        </w:rPr>
        <w:t xml:space="preserve"> readings do not need to be taken for normalisation, and if the constructs are functional, fluorescence can easily be seen at a single-cell level. Fluorescence microscopy is also more sensitive for the detection of the different reporters and may be more suitable than a platereader. For the riboswitch-Broccoli molecular biosensor, imaging cells before and after nutrient-limitation will allow the detection of changes in fluorescence. For the dual reporter biosensor, timelapse microscopy could allow visualisation of transcriptional changes over time by measuring changes in fluorescence of the promoter-reporter fusion. This could reveal when each promoter is upregulated.</w:t>
      </w:r>
    </w:p>
    <w:p w14:paraId="7311BBC4" w14:textId="22EA412C" w:rsidR="00187693" w:rsidRDefault="00187693" w:rsidP="00187693">
      <w:pPr>
        <w:spacing w:before="240" w:line="360" w:lineRule="auto"/>
        <w:jc w:val="both"/>
        <w:rPr>
          <w:rFonts w:ascii="Times New Roman" w:hAnsi="Times New Roman" w:cs="Times New Roman"/>
          <w:color w:val="000000" w:themeColor="text1"/>
        </w:rPr>
      </w:pPr>
      <w:r>
        <w:rPr>
          <w:rFonts w:ascii="Times New Roman" w:hAnsi="Times New Roman" w:cs="Times New Roman"/>
        </w:rPr>
        <w:tab/>
        <w:t xml:space="preserve">The dual promoter-reporter fusion was designed to use two different fluorophores controlled by promoters that respond to (p)ppGpp in order to monitor changes in cellular (p)ppGpp levels. The constitutive </w:t>
      </w:r>
      <w:r w:rsidRPr="007E0CA8">
        <w:rPr>
          <w:rFonts w:ascii="Times New Roman" w:hAnsi="Times New Roman" w:cs="Times New Roman"/>
          <w:i/>
          <w:iCs/>
          <w:color w:val="000000" w:themeColor="text1"/>
        </w:rPr>
        <w:t>rpsO</w:t>
      </w:r>
      <w:r w:rsidRPr="007E0CA8">
        <w:rPr>
          <w:rFonts w:ascii="Times New Roman" w:hAnsi="Times New Roman" w:cs="Times New Roman"/>
          <w:color w:val="000000" w:themeColor="text1"/>
        </w:rPr>
        <w:t xml:space="preserve"> promoter </w:t>
      </w:r>
      <w:r>
        <w:rPr>
          <w:rFonts w:ascii="Times New Roman" w:hAnsi="Times New Roman" w:cs="Times New Roman"/>
          <w:color w:val="000000" w:themeColor="text1"/>
        </w:rPr>
        <w:t xml:space="preserve">was functional on the pCL55 vector as positive clones containing the dual promoter-reporter fusion appeared as red colonies. </w:t>
      </w:r>
      <w:r w:rsidRPr="00D71BEC">
        <w:rPr>
          <w:rFonts w:ascii="Times New Roman" w:hAnsi="Times New Roman" w:cs="Times New Roman"/>
          <w:color w:val="000000" w:themeColor="text1"/>
        </w:rPr>
        <w:t xml:space="preserve">Generally, the fluorescence assays conducted were unable to show the expected changes in fluorescence under nutrient limitation </w:t>
      </w:r>
      <w:r w:rsidRPr="00D71BEC">
        <w:rPr>
          <w:rFonts w:ascii="Times New Roman" w:hAnsi="Times New Roman" w:cs="Times New Roman"/>
          <w:b/>
          <w:bCs/>
          <w:color w:val="000000" w:themeColor="text1"/>
        </w:rPr>
        <w:t>(Fig. 3.4.7)</w:t>
      </w:r>
      <w:r w:rsidRPr="00D71BEC">
        <w:rPr>
          <w:rFonts w:ascii="Times New Roman" w:hAnsi="Times New Roman" w:cs="Times New Roman"/>
          <w:color w:val="000000" w:themeColor="text1"/>
        </w:rPr>
        <w:t xml:space="preserve">. </w:t>
      </w:r>
      <w:r w:rsidRPr="007E0CA8">
        <w:rPr>
          <w:rFonts w:ascii="Times New Roman" w:hAnsi="Times New Roman" w:cs="Times New Roman"/>
          <w:color w:val="000000" w:themeColor="text1"/>
        </w:rPr>
        <w:t xml:space="preserve">As the </w:t>
      </w:r>
      <w:r w:rsidRPr="007E0CA8">
        <w:rPr>
          <w:rFonts w:ascii="Times New Roman" w:hAnsi="Times New Roman" w:cs="Times New Roman"/>
          <w:i/>
          <w:iCs/>
          <w:color w:val="000000" w:themeColor="text1"/>
        </w:rPr>
        <w:t>ilvD</w:t>
      </w:r>
      <w:r w:rsidRPr="007E0CA8">
        <w:rPr>
          <w:rFonts w:ascii="Times New Roman" w:hAnsi="Times New Roman" w:cs="Times New Roman"/>
          <w:color w:val="000000" w:themeColor="text1"/>
        </w:rPr>
        <w:t xml:space="preserve"> and </w:t>
      </w:r>
      <w:r w:rsidRPr="007E0CA8">
        <w:rPr>
          <w:rFonts w:ascii="Times New Roman" w:hAnsi="Times New Roman" w:cs="Times New Roman"/>
          <w:i/>
          <w:iCs/>
          <w:color w:val="000000" w:themeColor="text1"/>
        </w:rPr>
        <w:t>rpsO</w:t>
      </w:r>
      <w:r w:rsidRPr="007E0CA8">
        <w:rPr>
          <w:rFonts w:ascii="Times New Roman" w:hAnsi="Times New Roman" w:cs="Times New Roman"/>
          <w:color w:val="000000" w:themeColor="text1"/>
        </w:rPr>
        <w:t xml:space="preserve"> promoters were both some of the most highly up- and downregulated promoters respectively </w:t>
      </w:r>
      <w:r>
        <w:rPr>
          <w:rFonts w:ascii="Times New Roman" w:hAnsi="Times New Roman" w:cs="Times New Roman"/>
          <w:color w:val="000000" w:themeColor="text1"/>
        </w:rPr>
        <w:t xml:space="preserve">during the staphylococcal stringent response </w:t>
      </w:r>
      <w:r w:rsidRPr="007E0CA8">
        <w:rPr>
          <w:rFonts w:ascii="Times New Roman" w:hAnsi="Times New Roman" w:cs="Times New Roman"/>
          <w:b/>
          <w:bCs/>
          <w:color w:val="000000" w:themeColor="text1"/>
        </w:rPr>
        <w:fldChar w:fldCharType="begin">
          <w:fldData xml:space="preserve">PEVuZE5vdGU+PENpdGU+PEF1dGhvcj5HZWlnZXI8L0F1dGhvcj48WWVhcj4yMDEyPC9ZZWFyPjxJ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</w:fldData>
        </w:fldChar>
      </w:r>
      <w:r>
        <w:rPr>
          <w:rFonts w:ascii="Times New Roman" w:hAnsi="Times New Roman" w:cs="Times New Roman"/>
          <w:b/>
          <w:bCs/>
          <w:color w:val="000000" w:themeColor="text1"/>
        </w:rPr>
        <w:instrText xml:space="preserve"> ADDIN EN.CITE </w:instrText>
      </w:r>
      <w:r>
        <w:rPr>
          <w:rFonts w:ascii="Times New Roman" w:hAnsi="Times New Roman" w:cs="Times New Roman"/>
          <w:b/>
          <w:bCs/>
          <w:color w:val="000000" w:themeColor="text1"/>
        </w:rPr>
        <w:fldChar w:fldCharType="begin">
          <w:fldData xml:space="preserve">PEVuZE5vdGU+PENpdGU+PEF1dGhvcj5HZWlnZXI8L0F1dGhvcj48WWVhcj4yMDEyPC9ZZWFyPjxJ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</w:fldData>
        </w:fldChar>
      </w:r>
      <w:r>
        <w:rPr>
          <w:rFonts w:ascii="Times New Roman" w:hAnsi="Times New Roman" w:cs="Times New Roman"/>
          <w:b/>
          <w:bCs/>
          <w:color w:val="000000" w:themeColor="text1"/>
        </w:rPr>
        <w:instrText xml:space="preserve"> ADDIN EN.CITE.DATA </w:instrText>
      </w:r>
      <w:r>
        <w:rPr>
          <w:rFonts w:ascii="Times New Roman" w:hAnsi="Times New Roman" w:cs="Times New Roman"/>
          <w:b/>
          <w:bCs/>
          <w:color w:val="000000" w:themeColor="text1"/>
        </w:rPr>
      </w:r>
      <w:r>
        <w:rPr>
          <w:rFonts w:ascii="Times New Roman" w:hAnsi="Times New Roman" w:cs="Times New Roman"/>
          <w:b/>
          <w:bCs/>
          <w:color w:val="000000" w:themeColor="text1"/>
        </w:rPr>
        <w:fldChar w:fldCharType="end"/>
      </w:r>
      <w:r w:rsidRPr="007E0CA8">
        <w:rPr>
          <w:rFonts w:ascii="Times New Roman" w:hAnsi="Times New Roman" w:cs="Times New Roman"/>
          <w:b/>
          <w:bCs/>
          <w:color w:val="000000" w:themeColor="text1"/>
        </w:rPr>
      </w:r>
      <w:r w:rsidRPr="007E0CA8">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(Geiger</w:t>
      </w:r>
      <w:r w:rsidRPr="00DD5212">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2012; Horvatek</w:t>
      </w:r>
      <w:r w:rsidRPr="00DD5212">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2020)</w:t>
      </w:r>
      <w:r w:rsidRPr="007E0CA8">
        <w:rPr>
          <w:rFonts w:ascii="Times New Roman" w:hAnsi="Times New Roman" w:cs="Times New Roman"/>
          <w:b/>
          <w:bCs/>
          <w:color w:val="000000" w:themeColor="text1"/>
        </w:rPr>
        <w:fldChar w:fldCharType="end"/>
      </w:r>
      <w:r w:rsidRPr="007E0CA8">
        <w:rPr>
          <w:rFonts w:ascii="Times New Roman" w:hAnsi="Times New Roman" w:cs="Times New Roman"/>
          <w:color w:val="000000" w:themeColor="text1"/>
        </w:rPr>
        <w:t>, these promoters were expected to respond accordingly to stress.</w:t>
      </w:r>
      <w:r>
        <w:rPr>
          <w:rFonts w:ascii="Times New Roman" w:hAnsi="Times New Roman" w:cs="Times New Roman"/>
          <w:color w:val="000000" w:themeColor="text1"/>
        </w:rPr>
        <w:t xml:space="preserve"> As the stringent response decreases translation as part of the characteristic growth defect phenotype, the </w:t>
      </w:r>
      <w:r>
        <w:rPr>
          <w:rFonts w:ascii="Times New Roman" w:hAnsi="Times New Roman" w:cs="Times New Roman"/>
          <w:i/>
          <w:iCs/>
          <w:color w:val="000000" w:themeColor="text1"/>
        </w:rPr>
        <w:t xml:space="preserve">rpsO </w:t>
      </w:r>
      <w:r>
        <w:rPr>
          <w:rFonts w:ascii="Times New Roman" w:hAnsi="Times New Roman" w:cs="Times New Roman"/>
          <w:color w:val="000000" w:themeColor="text1"/>
        </w:rPr>
        <w:t xml:space="preserve">promoter is expected to be downregulated at this time. However, as the </w:t>
      </w:r>
      <w:r>
        <w:rPr>
          <w:rFonts w:ascii="Times New Roman" w:hAnsi="Times New Roman" w:cs="Times New Roman"/>
          <w:i/>
          <w:iCs/>
          <w:color w:val="000000" w:themeColor="text1"/>
        </w:rPr>
        <w:t xml:space="preserve">rpsO </w:t>
      </w:r>
      <w:r>
        <w:rPr>
          <w:rFonts w:ascii="Times New Roman" w:hAnsi="Times New Roman" w:cs="Times New Roman"/>
          <w:color w:val="000000" w:themeColor="text1"/>
        </w:rPr>
        <w:t xml:space="preserve">promoter is constitutively active until the induction of the stringent response, the decrease in </w:t>
      </w:r>
      <w:r>
        <w:rPr>
          <w:rFonts w:ascii="Times New Roman" w:hAnsi="Times New Roman" w:cs="Times New Roman"/>
          <w:i/>
          <w:iCs/>
          <w:color w:val="000000" w:themeColor="text1"/>
        </w:rPr>
        <w:t>rpsO</w:t>
      </w:r>
      <w:r>
        <w:rPr>
          <w:rFonts w:ascii="Times New Roman" w:hAnsi="Times New Roman" w:cs="Times New Roman"/>
          <w:color w:val="000000" w:themeColor="text1"/>
        </w:rPr>
        <w:t xml:space="preserve"> transcription does not reduce the amount of dsRED already expressed within the cell and therefore, red fluorescence will likely stay constant</w:t>
      </w:r>
      <w:r w:rsidRPr="0015080C">
        <w:rPr>
          <w:rFonts w:ascii="Times New Roman" w:hAnsi="Times New Roman" w:cs="Times New Roman"/>
          <w:color w:val="000000" w:themeColor="text1"/>
        </w:rPr>
        <w:t xml:space="preserve">. The half-life of the red fluorophore used, dsRED.T3, has not yet been established however, the half-life of dsRED1  is reported as approximately 4.6 days </w:t>
      </w:r>
      <w:r w:rsidRPr="0015080C">
        <w:rPr>
          <w:rFonts w:ascii="Times New Roman" w:hAnsi="Times New Roman" w:cs="Times New Roman"/>
          <w:b/>
          <w:bCs/>
          <w:color w:val="000000" w:themeColor="text1"/>
        </w:rPr>
        <w:fldChar w:fldCharType="begin"/>
      </w:r>
      <w:r w:rsidRPr="0015080C">
        <w:rPr>
          <w:rFonts w:ascii="Times New Roman" w:hAnsi="Times New Roman" w:cs="Times New Roman"/>
          <w:b/>
          <w:bCs/>
          <w:color w:val="000000" w:themeColor="text1"/>
        </w:rPr>
        <w:instrText xml:space="preserve"> ADDIN EN.CITE &lt;EndNote&gt;&lt;Cite&gt;&lt;Author&gt;Verkhusha&lt;/Author&gt;&lt;Year&gt;2003&lt;/Year&gt;&lt;IDText&gt;High stability of Discosoma DsRed as compared to Aequorea EGFP&lt;/IDText&gt;&lt;DisplayText&gt;(Verkhusha&lt;style face="italic"&gt; et al.&lt;/style&gt;, 2003)&lt;/DisplayText&gt;&lt;record&gt;&lt;dates&gt;&lt;pub-dates&gt;&lt;date&gt;Jul&lt;/date&gt;&lt;/pub-dates&gt;&lt;year&gt;2003&lt;/year&gt;&lt;/dates&gt;&lt;urls&gt;&lt;related-urls&gt;&lt;url&gt;&amp;lt;Go to ISI&amp;gt;://WOS:000183957900002&lt;/url&gt;&lt;/related-urls&gt;&lt;/urls&gt;&lt;isbn&gt;0006-2960&lt;/isbn&gt;&lt;titles&gt;&lt;title&gt;High stability of Discosoma DsRed as compared to Aequorea EGFP&lt;/title&gt;&lt;secondary-title&gt;Biochemistry&lt;/secondary-title&gt;&lt;/titles&gt;&lt;pages&gt;7879-7884&lt;/pages&gt;&lt;number&gt;26&lt;/number&gt;&lt;contributors&gt;&lt;authors&gt;&lt;author&gt;Verkhusha, V. V.&lt;/author&gt;&lt;author&gt;Kuznetsova, I. M.&lt;/author&gt;&lt;author&gt;Stepanenko, O. V.&lt;/author&gt;&lt;author&gt;Zaraisky, A. G.&lt;/author&gt;&lt;author&gt;Shavlovsky, M. M.&lt;/author&gt;&lt;author&gt;Turoverov, K. K.&lt;/author&gt;&lt;author&gt;Uversky, V. N.&lt;/author&gt;&lt;/authors&gt;&lt;/contributors&gt;&lt;added-date format="utc"&gt;1677467358&lt;/added-date&gt;&lt;ref-type name="Journal Article"&gt;17&lt;/ref-type&gt;&lt;rec-number&gt;564&lt;/rec-number&gt;&lt;last-updated-date format="utc"&gt;1677467358&lt;/last-updated-date&gt;&lt;accession-num&gt;WOS:000183957900002&lt;/accession-num&gt;&lt;electronic-resource-num&gt;10.1021/bi034555t&lt;/electronic-resource-num&gt;&lt;volume&gt;42&lt;/volume&gt;&lt;/record&gt;&lt;/Cite&gt;&lt;/EndNote&gt;</w:instrText>
      </w:r>
      <w:r w:rsidRPr="0015080C">
        <w:rPr>
          <w:rFonts w:ascii="Times New Roman" w:hAnsi="Times New Roman" w:cs="Times New Roman"/>
          <w:b/>
          <w:bCs/>
          <w:color w:val="000000" w:themeColor="text1"/>
        </w:rPr>
        <w:fldChar w:fldCharType="separate"/>
      </w:r>
      <w:r w:rsidRPr="0015080C">
        <w:rPr>
          <w:rFonts w:ascii="Times New Roman" w:hAnsi="Times New Roman" w:cs="Times New Roman"/>
          <w:b/>
          <w:bCs/>
          <w:noProof/>
          <w:color w:val="000000" w:themeColor="text1"/>
        </w:rPr>
        <w:t>(Verkhusha</w:t>
      </w:r>
      <w:r w:rsidRPr="0015080C">
        <w:rPr>
          <w:rFonts w:ascii="Times New Roman" w:hAnsi="Times New Roman" w:cs="Times New Roman"/>
          <w:b/>
          <w:bCs/>
          <w:i/>
          <w:noProof/>
          <w:color w:val="000000" w:themeColor="text1"/>
        </w:rPr>
        <w:t xml:space="preserve"> et al.</w:t>
      </w:r>
      <w:r w:rsidRPr="0015080C">
        <w:rPr>
          <w:rFonts w:ascii="Times New Roman" w:hAnsi="Times New Roman" w:cs="Times New Roman"/>
          <w:b/>
          <w:bCs/>
          <w:noProof/>
          <w:color w:val="000000" w:themeColor="text1"/>
        </w:rPr>
        <w:t>, 2003)</w:t>
      </w:r>
      <w:r w:rsidRPr="0015080C">
        <w:rPr>
          <w:rFonts w:ascii="Times New Roman" w:hAnsi="Times New Roman" w:cs="Times New Roman"/>
          <w:b/>
          <w:bCs/>
          <w:color w:val="000000" w:themeColor="text1"/>
        </w:rPr>
        <w:fldChar w:fldCharType="end"/>
      </w:r>
      <w:r w:rsidRPr="0015080C">
        <w:rPr>
          <w:rFonts w:ascii="Times New Roman" w:hAnsi="Times New Roman" w:cs="Times New Roman"/>
          <w:color w:val="000000" w:themeColor="text1"/>
        </w:rPr>
        <w:t xml:space="preserve">. This suggests that the red fluorescence levels may stay constant, rather than decrease in the time period that was investigated, indicating that this fluorophore is not suitable for detecting transient changes in </w:t>
      </w:r>
      <w:r>
        <w:rPr>
          <w:rFonts w:ascii="Times New Roman" w:hAnsi="Times New Roman" w:cs="Times New Roman"/>
          <w:color w:val="000000" w:themeColor="text1"/>
        </w:rPr>
        <w:t>promoter activation</w:t>
      </w:r>
      <w:r w:rsidRPr="0015080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Furthermore, the dual promoter-reporter fusion was designed so that the fluorophores were expressed in a convergent manner which ultimately avoids DNA supercoils in comparison to tandem/divergent expression </w:t>
      </w:r>
      <w:r w:rsidRPr="00D71BEC">
        <w:rPr>
          <w:rFonts w:ascii="Times New Roman" w:hAnsi="Times New Roman" w:cs="Times New Roman"/>
          <w:b/>
          <w:bCs/>
          <w:color w:val="000000" w:themeColor="text1"/>
        </w:rPr>
        <w:fldChar w:fldCharType="begin"/>
      </w:r>
      <w:r w:rsidRPr="00D71BEC">
        <w:rPr>
          <w:rFonts w:ascii="Times New Roman" w:hAnsi="Times New Roman" w:cs="Times New Roman"/>
          <w:b/>
          <w:bCs/>
          <w:color w:val="000000" w:themeColor="text1"/>
        </w:rPr>
        <w:instrText xml:space="preserve"> ADDIN EN.CITE &lt;EndNote&gt;&lt;Cite&gt;&lt;Author&gt;Yeung&lt;/Author&gt;&lt;Year&gt;2017&lt;/Year&gt;&lt;IDText&gt;Biophysical Constraints Arising from Compositional Context in Synthetic Gene Networks&lt;/IDText&gt;&lt;DisplayText&gt;(Yeung&lt;style face="italic"&gt; et al.&lt;/style&gt;, 2017)&lt;/DisplayText&gt;&lt;record&gt;&lt;dates&gt;&lt;pub-dates&gt;&lt;date&gt;Jul 26&lt;/date&gt;&lt;/pub-dates&gt;&lt;year&gt;2017&lt;/year&gt;&lt;/dates&gt;&lt;urls&gt;&lt;related-urls&gt;&lt;url&gt;&amp;lt;Go to ISI&amp;gt;://WOS:000406295900003&lt;/url&gt;&lt;/related-urls&gt;&lt;/urls&gt;&lt;isbn&gt;2405-4712&lt;/isbn&gt;&lt;titles&gt;&lt;title&gt;Biophysical Constraints Arising from Compositional Context in Synthetic Gene Networks&lt;/title&gt;&lt;secondary-title&gt;Cell Systems&lt;/secondary-title&gt;&lt;/titles&gt;&lt;pages&gt;11-+&lt;/pages&gt;&lt;number&gt;1&lt;/number&gt;&lt;contributors&gt;&lt;authors&gt;&lt;author&gt;Yeung, Enoch&lt;/author&gt;&lt;author&gt;Dy, Aaron J.&lt;/author&gt;&lt;author&gt;Martin, Kyle B.&lt;/author&gt;&lt;author&gt;Ng, Andrew H.&lt;/author&gt;&lt;author&gt;Del Vecchio, Domitilla&lt;/author&gt;&lt;author&gt;Beck, James L.&lt;/author&gt;&lt;author&gt;Collins, James J.&lt;/author&gt;&lt;author&gt;Murray, Richard M.&lt;/author&gt;&lt;/authors&gt;&lt;/contributors&gt;&lt;added-date format="utc"&gt;1663615452&lt;/added-date&gt;&lt;ref-type name="Journal Article"&gt;17&lt;/ref-type&gt;&lt;rec-number&gt;97&lt;/rec-number&gt;&lt;last-updated-date format="utc"&gt;1663624413&lt;/last-updated-date&gt;&lt;accession-num&gt;WOS:000406295900003&lt;/accession-num&gt;&lt;electronic-resource-num&gt;10.1016/j.cels.2017.06.001&lt;/electronic-resource-num&gt;&lt;volume&gt;5&lt;/volume&gt;&lt;/record&gt;&lt;/Cite&gt;&lt;/EndNote&gt;</w:instrText>
      </w:r>
      <w:r w:rsidRPr="00D71BEC">
        <w:rPr>
          <w:rFonts w:ascii="Times New Roman" w:hAnsi="Times New Roman" w:cs="Times New Roman"/>
          <w:b/>
          <w:bCs/>
          <w:color w:val="000000" w:themeColor="text1"/>
        </w:rPr>
        <w:fldChar w:fldCharType="separate"/>
      </w:r>
      <w:r w:rsidRPr="00D71BEC">
        <w:rPr>
          <w:rFonts w:ascii="Times New Roman" w:hAnsi="Times New Roman" w:cs="Times New Roman"/>
          <w:b/>
          <w:bCs/>
          <w:noProof/>
          <w:color w:val="000000" w:themeColor="text1"/>
        </w:rPr>
        <w:t>(Yeung</w:t>
      </w:r>
      <w:r w:rsidRPr="00D71BEC">
        <w:rPr>
          <w:rFonts w:ascii="Times New Roman" w:hAnsi="Times New Roman" w:cs="Times New Roman"/>
          <w:b/>
          <w:bCs/>
          <w:i/>
          <w:noProof/>
          <w:color w:val="000000" w:themeColor="text1"/>
        </w:rPr>
        <w:t xml:space="preserve"> et al.</w:t>
      </w:r>
      <w:r w:rsidRPr="00D71BEC">
        <w:rPr>
          <w:rFonts w:ascii="Times New Roman" w:hAnsi="Times New Roman" w:cs="Times New Roman"/>
          <w:b/>
          <w:bCs/>
          <w:noProof/>
          <w:color w:val="000000" w:themeColor="text1"/>
        </w:rPr>
        <w:t>, 2017)</w:t>
      </w:r>
      <w:r w:rsidRPr="00D71BEC">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To prevent read-through transcripts as a result of convergent expression, TTs were employed which act to properly terminate the transcription of each fluorophore. Previous studies have utilised multiple TTs in a transcriptional fusion that employed three fluorophores </w:t>
      </w:r>
      <w:r w:rsidRPr="00126F0F">
        <w:rPr>
          <w:rFonts w:ascii="Times New Roman" w:hAnsi="Times New Roman" w:cs="Times New Roman"/>
          <w:b/>
          <w:bCs/>
          <w:color w:val="000000" w:themeColor="text1"/>
        </w:rPr>
        <w:fldChar w:fldCharType="begin">
          <w:fldData xml:space="preserve">PEVuZE5vdGU+PENpdGU+PEF1dGhvcj5HYXdpbjwvQXV0aG9yPjxZZWFyPjIwMTk8L1llYXI+PElE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=
</w:fldData>
        </w:fldChar>
      </w:r>
      <w:r w:rsidRPr="00126F0F">
        <w:rPr>
          <w:rFonts w:ascii="Times New Roman" w:hAnsi="Times New Roman" w:cs="Times New Roman"/>
          <w:b/>
          <w:bCs/>
          <w:color w:val="000000" w:themeColor="text1"/>
        </w:rPr>
        <w:instrText xml:space="preserve"> ADDIN EN.CITE </w:instrText>
      </w:r>
      <w:r w:rsidRPr="00126F0F">
        <w:rPr>
          <w:rFonts w:ascii="Times New Roman" w:hAnsi="Times New Roman" w:cs="Times New Roman"/>
          <w:b/>
          <w:bCs/>
          <w:color w:val="000000" w:themeColor="text1"/>
        </w:rPr>
        <w:fldChar w:fldCharType="begin">
          <w:fldData xml:space="preserve">PEVuZE5vdGU+PENpdGU+PEF1dGhvcj5HYXdpbjwvQXV0aG9yPjxZZWFyPjIwMTk8L1llYXI+PElE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=
</w:fldData>
        </w:fldChar>
      </w:r>
      <w:r w:rsidRPr="00126F0F">
        <w:rPr>
          <w:rFonts w:ascii="Times New Roman" w:hAnsi="Times New Roman" w:cs="Times New Roman"/>
          <w:b/>
          <w:bCs/>
          <w:color w:val="000000" w:themeColor="text1"/>
        </w:rPr>
        <w:instrText xml:space="preserve"> ADDIN EN.CITE.DATA </w:instrText>
      </w:r>
      <w:r w:rsidRPr="00126F0F">
        <w:rPr>
          <w:rFonts w:ascii="Times New Roman" w:hAnsi="Times New Roman" w:cs="Times New Roman"/>
          <w:b/>
          <w:bCs/>
          <w:color w:val="000000" w:themeColor="text1"/>
        </w:rPr>
      </w:r>
      <w:r w:rsidRPr="00126F0F">
        <w:rPr>
          <w:rFonts w:ascii="Times New Roman" w:hAnsi="Times New Roman" w:cs="Times New Roman"/>
          <w:b/>
          <w:bCs/>
          <w:color w:val="000000" w:themeColor="text1"/>
        </w:rPr>
        <w:fldChar w:fldCharType="end"/>
      </w:r>
      <w:r w:rsidRPr="00126F0F">
        <w:rPr>
          <w:rFonts w:ascii="Times New Roman" w:hAnsi="Times New Roman" w:cs="Times New Roman"/>
          <w:b/>
          <w:bCs/>
          <w:color w:val="000000" w:themeColor="text1"/>
        </w:rPr>
      </w:r>
      <w:r w:rsidRPr="00126F0F">
        <w:rPr>
          <w:rFonts w:ascii="Times New Roman" w:hAnsi="Times New Roman" w:cs="Times New Roman"/>
          <w:b/>
          <w:bCs/>
          <w:color w:val="000000" w:themeColor="text1"/>
        </w:rPr>
        <w:fldChar w:fldCharType="separate"/>
      </w:r>
      <w:r w:rsidRPr="00126F0F">
        <w:rPr>
          <w:rFonts w:ascii="Times New Roman" w:hAnsi="Times New Roman" w:cs="Times New Roman"/>
          <w:b/>
          <w:bCs/>
          <w:noProof/>
          <w:color w:val="000000" w:themeColor="text1"/>
        </w:rPr>
        <w:t>(Gawin</w:t>
      </w:r>
      <w:r w:rsidRPr="00126F0F">
        <w:rPr>
          <w:rFonts w:ascii="Times New Roman" w:hAnsi="Times New Roman" w:cs="Times New Roman"/>
          <w:b/>
          <w:bCs/>
          <w:i/>
          <w:noProof/>
          <w:color w:val="000000" w:themeColor="text1"/>
        </w:rPr>
        <w:t xml:space="preserve"> et al.</w:t>
      </w:r>
      <w:r w:rsidRPr="00126F0F">
        <w:rPr>
          <w:rFonts w:ascii="Times New Roman" w:hAnsi="Times New Roman" w:cs="Times New Roman"/>
          <w:b/>
          <w:bCs/>
          <w:noProof/>
          <w:color w:val="000000" w:themeColor="text1"/>
        </w:rPr>
        <w:t>, 2019; Cox, Dunlop and Elowitz, 2010)</w:t>
      </w:r>
      <w:r w:rsidRPr="00126F0F">
        <w:rPr>
          <w:rFonts w:ascii="Times New Roman" w:hAnsi="Times New Roman" w:cs="Times New Roman"/>
          <w:b/>
          <w:bCs/>
          <w:color w:val="000000" w:themeColor="text1"/>
        </w:rPr>
        <w:fldChar w:fldCharType="end"/>
      </w:r>
      <w:r>
        <w:rPr>
          <w:rFonts w:ascii="Times New Roman" w:hAnsi="Times New Roman" w:cs="Times New Roman"/>
          <w:b/>
          <w:bCs/>
          <w:color w:val="000000" w:themeColor="text1"/>
        </w:rPr>
        <w:t xml:space="preserve">. </w:t>
      </w:r>
      <w:r>
        <w:rPr>
          <w:rFonts w:ascii="Times New Roman" w:hAnsi="Times New Roman" w:cs="Times New Roman"/>
          <w:color w:val="000000" w:themeColor="text1"/>
        </w:rPr>
        <w:t xml:space="preserve">These reports incorporated three or more TTs between fluorophores while this study only utilised one </w:t>
      </w:r>
      <w:r>
        <w:rPr>
          <w:rFonts w:ascii="Times New Roman" w:hAnsi="Times New Roman" w:cs="Times New Roman"/>
          <w:b/>
          <w:bCs/>
          <w:color w:val="000000" w:themeColor="text1"/>
        </w:rPr>
        <w:t>(Fig. 3.4.6a)</w:t>
      </w:r>
      <w:r>
        <w:rPr>
          <w:rFonts w:ascii="Times New Roman" w:hAnsi="Times New Roman" w:cs="Times New Roman"/>
          <w:color w:val="000000" w:themeColor="text1"/>
        </w:rPr>
        <w:t xml:space="preserve">. It may be that transcriptional termination requires more than one TT. This construct may have also benefited from a multicopy vector instead of an integrative vector. An integrative vector was used for stability as the plasmid does not require maintenance using antibiotics, which is important to consider for use </w:t>
      </w:r>
      <w:r>
        <w:rPr>
          <w:rFonts w:ascii="Times New Roman" w:hAnsi="Times New Roman" w:cs="Times New Roman"/>
          <w:i/>
          <w:iCs/>
          <w:color w:val="000000" w:themeColor="text1"/>
        </w:rPr>
        <w:t>in vivo</w:t>
      </w:r>
      <w:r>
        <w:rPr>
          <w:rFonts w:ascii="Times New Roman" w:hAnsi="Times New Roman" w:cs="Times New Roman"/>
          <w:color w:val="000000" w:themeColor="text1"/>
        </w:rPr>
        <w:t xml:space="preserve"> within zebrafish embryos. However, a multicopy vector would maximise fluorescence levels in comparison due to </w:t>
      </w:r>
      <w:r w:rsidR="003031B1">
        <w:rPr>
          <w:rFonts w:ascii="Times New Roman" w:hAnsi="Times New Roman" w:cs="Times New Roman"/>
          <w:color w:val="000000" w:themeColor="text1"/>
        </w:rPr>
        <w:t>multiple copies being present</w:t>
      </w:r>
      <w:r>
        <w:rPr>
          <w:rFonts w:ascii="Times New Roman" w:hAnsi="Times New Roman" w:cs="Times New Roman"/>
          <w:color w:val="000000" w:themeColor="text1"/>
        </w:rPr>
        <w:t xml:space="preserve">. </w:t>
      </w:r>
      <w:r w:rsidRPr="007E0CA8">
        <w:rPr>
          <w:rFonts w:ascii="Times New Roman" w:hAnsi="Times New Roman" w:cs="Times New Roman"/>
          <w:color w:val="000000" w:themeColor="text1"/>
        </w:rPr>
        <w:t xml:space="preserve">It is unclear at this point </w:t>
      </w:r>
      <w:r>
        <w:rPr>
          <w:rFonts w:ascii="Times New Roman" w:hAnsi="Times New Roman" w:cs="Times New Roman"/>
          <w:color w:val="000000" w:themeColor="text1"/>
        </w:rPr>
        <w:t>why</w:t>
      </w:r>
      <w:r w:rsidRPr="007E0CA8">
        <w:rPr>
          <w:rFonts w:ascii="Times New Roman" w:hAnsi="Times New Roman" w:cs="Times New Roman"/>
          <w:color w:val="000000" w:themeColor="text1"/>
        </w:rPr>
        <w:t xml:space="preserve"> the dual reporter biosensor does not fluoresce</w:t>
      </w:r>
      <w:r>
        <w:rPr>
          <w:rFonts w:ascii="Times New Roman" w:hAnsi="Times New Roman" w:cs="Times New Roman"/>
          <w:color w:val="000000" w:themeColor="text1"/>
        </w:rPr>
        <w:t>,</w:t>
      </w:r>
      <w:r w:rsidRPr="007E0CA8">
        <w:rPr>
          <w:rFonts w:ascii="Times New Roman" w:hAnsi="Times New Roman" w:cs="Times New Roman"/>
          <w:color w:val="000000" w:themeColor="text1"/>
        </w:rPr>
        <w:t xml:space="preserve"> </w:t>
      </w:r>
      <w:r>
        <w:rPr>
          <w:rFonts w:ascii="Times New Roman" w:hAnsi="Times New Roman" w:cs="Times New Roman"/>
          <w:color w:val="000000" w:themeColor="text1"/>
        </w:rPr>
        <w:t>but this is likely due to the design of the construct.</w:t>
      </w:r>
    </w:p>
    <w:p w14:paraId="0A5D42B8" w14:textId="25DC162A" w:rsidR="00187693" w:rsidRDefault="00187693" w:rsidP="00187693">
      <w:pPr>
        <w:spacing w:before="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In summary, this chapter has detailed the rationale, characterisation and production of tools that can be used to investigate the importance of the stringent response in the pathogenicity of </w:t>
      </w:r>
      <w:r>
        <w:rPr>
          <w:rFonts w:ascii="Times New Roman" w:hAnsi="Times New Roman" w:cs="Times New Roman"/>
          <w:i/>
          <w:iCs/>
          <w:color w:val="000000" w:themeColor="text1"/>
        </w:rPr>
        <w:t>S. aureus</w:t>
      </w:r>
      <w:r>
        <w:rPr>
          <w:rFonts w:ascii="Times New Roman" w:hAnsi="Times New Roman" w:cs="Times New Roman"/>
          <w:color w:val="000000" w:themeColor="text1"/>
        </w:rPr>
        <w:t>. (p)ppGpp synthetase-deletion mutants have been characterised and (p)ppGpp overproduction strain</w:t>
      </w:r>
      <w:r w:rsidR="003031B1">
        <w:rPr>
          <w:rFonts w:ascii="Times New Roman" w:hAnsi="Times New Roman" w:cs="Times New Roman"/>
          <w:color w:val="000000" w:themeColor="text1"/>
        </w:rPr>
        <w:t>s were</w:t>
      </w:r>
      <w:r>
        <w:rPr>
          <w:rFonts w:ascii="Times New Roman" w:hAnsi="Times New Roman" w:cs="Times New Roman"/>
          <w:color w:val="000000" w:themeColor="text1"/>
        </w:rPr>
        <w:t xml:space="preserve"> constructed for use within infection models. The construction of various (p)ppGpp probes was attempted, however not all were successful. While the (p)ppGpp synthetase-GFP translational fusions demonstrated synthetase activity upon induction, the expected fluorescence levels were not detected from the riboswitch-based molecular (p)ppGpp biosensor and the dual reporter transcriptional promoter-reporter fusions. This highlights the challenges of constructing molecular biosensors. Further work is required in order to develop (p)ppGpp probes in Gram-positive organisms.</w:t>
      </w:r>
    </w:p>
    <w:p w14:paraId="6B2D94A8" w14:textId="4EACCFE4" w:rsidR="00187693" w:rsidRDefault="00187693" w:rsidP="00187693">
      <w:pPr>
        <w:spacing w:before="240" w:line="360" w:lineRule="auto"/>
        <w:jc w:val="both"/>
        <w:rPr>
          <w:rFonts w:ascii="Times New Roman" w:hAnsi="Times New Roman" w:cs="Times New Roman"/>
          <w:color w:val="000000" w:themeColor="text1"/>
        </w:rPr>
      </w:pPr>
    </w:p>
    <w:p w14:paraId="56B0362B" w14:textId="411AEF61" w:rsidR="00187693" w:rsidRDefault="00187693" w:rsidP="00187693">
      <w:pPr>
        <w:spacing w:before="240" w:line="360" w:lineRule="auto"/>
        <w:jc w:val="both"/>
        <w:rPr>
          <w:rFonts w:ascii="Times New Roman" w:hAnsi="Times New Roman" w:cs="Times New Roman"/>
          <w:color w:val="000000" w:themeColor="text1"/>
        </w:rPr>
      </w:pPr>
    </w:p>
    <w:p w14:paraId="415E3B53" w14:textId="5716A5E2" w:rsidR="00187693" w:rsidRDefault="00187693" w:rsidP="00187693">
      <w:pPr>
        <w:spacing w:before="240" w:line="360" w:lineRule="auto"/>
        <w:jc w:val="both"/>
        <w:rPr>
          <w:rFonts w:ascii="Times New Roman" w:hAnsi="Times New Roman" w:cs="Times New Roman"/>
          <w:color w:val="000000" w:themeColor="text1"/>
        </w:rPr>
      </w:pPr>
    </w:p>
    <w:p w14:paraId="1AE6BAED" w14:textId="209DD830" w:rsidR="00187693" w:rsidRDefault="00187693" w:rsidP="00187693">
      <w:pPr>
        <w:spacing w:before="240" w:line="360" w:lineRule="auto"/>
        <w:jc w:val="both"/>
        <w:rPr>
          <w:rFonts w:ascii="Times New Roman" w:hAnsi="Times New Roman" w:cs="Times New Roman"/>
          <w:color w:val="000000" w:themeColor="text1"/>
        </w:rPr>
      </w:pPr>
    </w:p>
    <w:p w14:paraId="627B64DB" w14:textId="32D900F9" w:rsidR="00187693" w:rsidRDefault="00187693" w:rsidP="00187693">
      <w:pPr>
        <w:spacing w:before="240" w:line="360" w:lineRule="auto"/>
        <w:jc w:val="both"/>
        <w:rPr>
          <w:rFonts w:ascii="Times New Roman" w:hAnsi="Times New Roman" w:cs="Times New Roman"/>
          <w:color w:val="000000" w:themeColor="text1"/>
        </w:rPr>
      </w:pPr>
    </w:p>
    <w:p w14:paraId="4A071B03" w14:textId="0DA411AB" w:rsidR="00187693" w:rsidRDefault="00187693" w:rsidP="00187693">
      <w:pPr>
        <w:spacing w:before="240" w:line="360" w:lineRule="auto"/>
        <w:jc w:val="both"/>
        <w:rPr>
          <w:rFonts w:ascii="Times New Roman" w:hAnsi="Times New Roman" w:cs="Times New Roman"/>
          <w:color w:val="000000" w:themeColor="text1"/>
        </w:rPr>
      </w:pPr>
    </w:p>
    <w:p w14:paraId="6A467CD9" w14:textId="2D3085B9" w:rsidR="00187693" w:rsidRDefault="00187693" w:rsidP="00187693">
      <w:pPr>
        <w:spacing w:before="240" w:line="360" w:lineRule="auto"/>
        <w:jc w:val="both"/>
        <w:rPr>
          <w:rFonts w:ascii="Times New Roman" w:hAnsi="Times New Roman" w:cs="Times New Roman"/>
          <w:color w:val="000000" w:themeColor="text1"/>
        </w:rPr>
      </w:pPr>
    </w:p>
    <w:p w14:paraId="3986CB78" w14:textId="03389C74" w:rsidR="00187693" w:rsidRDefault="00187693" w:rsidP="00187693">
      <w:pPr>
        <w:spacing w:before="240" w:line="360" w:lineRule="auto"/>
        <w:jc w:val="both"/>
        <w:rPr>
          <w:rFonts w:ascii="Times New Roman" w:hAnsi="Times New Roman" w:cs="Times New Roman"/>
          <w:color w:val="000000" w:themeColor="text1"/>
        </w:rPr>
      </w:pPr>
    </w:p>
    <w:p w14:paraId="2DD6CA29" w14:textId="24164D55" w:rsidR="00187693" w:rsidRDefault="00187693" w:rsidP="00187693">
      <w:pPr>
        <w:spacing w:before="240" w:line="360" w:lineRule="auto"/>
        <w:jc w:val="both"/>
        <w:rPr>
          <w:rFonts w:ascii="Times New Roman" w:hAnsi="Times New Roman" w:cs="Times New Roman"/>
          <w:color w:val="000000" w:themeColor="text1"/>
        </w:rPr>
      </w:pPr>
    </w:p>
    <w:p w14:paraId="06A17679" w14:textId="7B4AA318" w:rsidR="00187693" w:rsidRDefault="00187693" w:rsidP="00187693">
      <w:pPr>
        <w:spacing w:before="240" w:line="360" w:lineRule="auto"/>
        <w:jc w:val="both"/>
        <w:rPr>
          <w:rFonts w:ascii="Times New Roman" w:hAnsi="Times New Roman" w:cs="Times New Roman"/>
          <w:color w:val="000000" w:themeColor="text1"/>
        </w:rPr>
      </w:pPr>
    </w:p>
    <w:p w14:paraId="795FD730" w14:textId="6CCF35DC" w:rsidR="00187693" w:rsidRDefault="00187693" w:rsidP="00187693">
      <w:pPr>
        <w:spacing w:before="240" w:line="360" w:lineRule="auto"/>
        <w:jc w:val="both"/>
        <w:rPr>
          <w:rFonts w:ascii="Times New Roman" w:hAnsi="Times New Roman" w:cs="Times New Roman"/>
          <w:color w:val="000000" w:themeColor="text1"/>
        </w:rPr>
      </w:pPr>
    </w:p>
    <w:p w14:paraId="645228A3" w14:textId="3EEDEED3" w:rsidR="00187693" w:rsidRDefault="00187693" w:rsidP="00187693">
      <w:pPr>
        <w:spacing w:before="240" w:line="360" w:lineRule="auto"/>
        <w:jc w:val="both"/>
        <w:rPr>
          <w:rFonts w:ascii="Times New Roman" w:hAnsi="Times New Roman" w:cs="Times New Roman"/>
          <w:color w:val="000000" w:themeColor="text1"/>
        </w:rPr>
      </w:pPr>
    </w:p>
    <w:p w14:paraId="48EFE6EC" w14:textId="367AD682" w:rsidR="00187693" w:rsidRDefault="00187693" w:rsidP="00187693">
      <w:pPr>
        <w:spacing w:before="240" w:line="360" w:lineRule="auto"/>
        <w:jc w:val="both"/>
        <w:rPr>
          <w:rFonts w:ascii="Times New Roman" w:hAnsi="Times New Roman" w:cs="Times New Roman"/>
          <w:color w:val="000000" w:themeColor="text1"/>
        </w:rPr>
      </w:pPr>
    </w:p>
    <w:p w14:paraId="21840CD9" w14:textId="61EDAF94" w:rsidR="00187693" w:rsidRDefault="00187693" w:rsidP="00187693">
      <w:pPr>
        <w:spacing w:before="240" w:line="360" w:lineRule="auto"/>
        <w:jc w:val="both"/>
        <w:rPr>
          <w:rFonts w:ascii="Times New Roman" w:hAnsi="Times New Roman" w:cs="Times New Roman"/>
          <w:color w:val="000000" w:themeColor="text1"/>
        </w:rPr>
      </w:pPr>
    </w:p>
    <w:p w14:paraId="7675BD4B" w14:textId="1DEBE21B" w:rsidR="00187693" w:rsidRDefault="00187693" w:rsidP="00187693">
      <w:pPr>
        <w:spacing w:before="240" w:line="360" w:lineRule="auto"/>
        <w:jc w:val="both"/>
        <w:rPr>
          <w:rFonts w:ascii="Times New Roman" w:hAnsi="Times New Roman" w:cs="Times New Roman"/>
          <w:color w:val="000000" w:themeColor="text1"/>
        </w:rPr>
      </w:pPr>
    </w:p>
    <w:p w14:paraId="7D4DE306" w14:textId="300B4661" w:rsidR="00187693" w:rsidRDefault="00187693" w:rsidP="00187693">
      <w:pPr>
        <w:spacing w:before="240" w:line="360" w:lineRule="auto"/>
        <w:jc w:val="both"/>
        <w:rPr>
          <w:rFonts w:ascii="Times New Roman" w:hAnsi="Times New Roman" w:cs="Times New Roman"/>
          <w:color w:val="000000" w:themeColor="text1"/>
        </w:rPr>
      </w:pPr>
    </w:p>
    <w:p w14:paraId="386F2474" w14:textId="1AD65766" w:rsidR="00187693" w:rsidRDefault="00187693" w:rsidP="00187693">
      <w:pPr>
        <w:spacing w:before="240" w:line="360" w:lineRule="auto"/>
        <w:jc w:val="both"/>
        <w:rPr>
          <w:rFonts w:ascii="Times New Roman" w:hAnsi="Times New Roman" w:cs="Times New Roman"/>
          <w:color w:val="000000" w:themeColor="text1"/>
        </w:rPr>
      </w:pPr>
    </w:p>
    <w:p w14:paraId="7C62B750" w14:textId="77777777" w:rsidR="00187693" w:rsidRDefault="00187693" w:rsidP="00187693">
      <w:pPr>
        <w:pStyle w:val="Heading1"/>
        <w:rPr>
          <w:i/>
          <w:iCs/>
        </w:rPr>
      </w:pPr>
      <w:bookmarkStart w:id="137" w:name="_Toc142043639"/>
      <w:r w:rsidRPr="008D708F">
        <w:t xml:space="preserve">Chapter </w:t>
      </w:r>
      <w:r>
        <w:t>4</w:t>
      </w:r>
      <w:r w:rsidRPr="008D708F">
        <w:t xml:space="preserve">: </w:t>
      </w:r>
      <w:r>
        <w:t xml:space="preserve">The role of (p)ppGpp for survival of </w:t>
      </w:r>
      <w:r>
        <w:rPr>
          <w:i/>
          <w:iCs/>
        </w:rPr>
        <w:t>S. aureus</w:t>
      </w:r>
      <w:r w:rsidRPr="00E25090">
        <w:rPr>
          <w:i/>
          <w:iCs/>
        </w:rPr>
        <w:t xml:space="preserve"> </w:t>
      </w:r>
      <w:r>
        <w:rPr>
          <w:i/>
          <w:iCs/>
        </w:rPr>
        <w:t>in vitro</w:t>
      </w:r>
      <w:bookmarkEnd w:id="137"/>
    </w:p>
    <w:p w14:paraId="721F8048" w14:textId="77777777" w:rsidR="00187693" w:rsidRPr="00DE2A6A" w:rsidRDefault="00187693" w:rsidP="00187693"/>
    <w:p w14:paraId="3D892CB0" w14:textId="77777777" w:rsidR="00187693" w:rsidRPr="00AA44BB" w:rsidRDefault="00187693" w:rsidP="00187693">
      <w:pPr>
        <w:pStyle w:val="Heading2"/>
        <w:rPr>
          <w:color w:val="FF0000"/>
        </w:rPr>
      </w:pPr>
      <w:bookmarkStart w:id="138" w:name="_Toc142043640"/>
      <w:r>
        <w:t>4</w:t>
      </w:r>
      <w:r w:rsidRPr="00014FFF">
        <w:t>.1</w:t>
      </w:r>
      <w:r>
        <w:t>.</w:t>
      </w:r>
      <w:r w:rsidRPr="00014FFF">
        <w:t xml:space="preserve"> Introduction</w:t>
      </w:r>
      <w:bookmarkEnd w:id="138"/>
    </w:p>
    <w:p w14:paraId="52843062" w14:textId="77777777" w:rsidR="00187693" w:rsidRDefault="00187693" w:rsidP="00187693">
      <w:pPr>
        <w:spacing w:line="240" w:lineRule="auto"/>
      </w:pPr>
    </w:p>
    <w:p w14:paraId="3440EE47" w14:textId="77777777" w:rsidR="00187693" w:rsidRPr="00DA3385" w:rsidRDefault="00187693" w:rsidP="00187693">
      <w:pPr>
        <w:spacing w:line="360" w:lineRule="auto"/>
        <w:jc w:val="both"/>
        <w:rPr>
          <w:rFonts w:ascii="Times New Roman" w:hAnsi="Times New Roman" w:cs="Times New Roman"/>
        </w:rPr>
      </w:pPr>
      <w:r w:rsidRPr="00A23AAC">
        <w:rPr>
          <w:rFonts w:ascii="Times New Roman" w:hAnsi="Times New Roman" w:cs="Times New Roman"/>
          <w:i/>
          <w:iCs/>
        </w:rPr>
        <w:t xml:space="preserve">S. aureus </w:t>
      </w:r>
      <w:r w:rsidRPr="00A23AAC">
        <w:rPr>
          <w:rFonts w:ascii="Times New Roman" w:hAnsi="Times New Roman" w:cs="Times New Roman"/>
        </w:rPr>
        <w:t>was long thought to be an extracellular pathogen</w:t>
      </w:r>
      <w:r>
        <w:rPr>
          <w:rFonts w:ascii="Times New Roman" w:hAnsi="Times New Roman" w:cs="Times New Roman"/>
        </w:rPr>
        <w:t xml:space="preserve"> </w:t>
      </w:r>
      <w:r w:rsidRPr="001561D7">
        <w:rPr>
          <w:rFonts w:ascii="Times New Roman" w:hAnsi="Times New Roman" w:cs="Times New Roman"/>
          <w:b/>
          <w:bCs/>
        </w:rPr>
        <w:fldChar w:fldCharType="begin"/>
      </w:r>
      <w:r w:rsidRPr="001561D7">
        <w:rPr>
          <w:rFonts w:ascii="Times New Roman" w:hAnsi="Times New Roman" w:cs="Times New Roman"/>
          <w:b/>
          <w:bCs/>
        </w:rPr>
        <w:instrText xml:space="preserve"> ADDIN EN.CITE &lt;EndNote&gt;&lt;Cite&gt;&lt;Author&gt;Finlay&lt;/Author&gt;&lt;Year&gt;1997&lt;/Year&gt;&lt;IDText&gt;Exploitation of mammalian host cell functions by bacterial pathogens&lt;/IDText&gt;&lt;DisplayText&gt;(Finlay and Cossart, 1997)&lt;/DisplayText&gt;&lt;record&gt;&lt;dates&gt;&lt;pub-dates&gt;&lt;date&gt;May 2&lt;/date&gt;&lt;/pub-dates&gt;&lt;year&gt;1997&lt;/year&gt;&lt;/dates&gt;&lt;urls&gt;&lt;related-urls&gt;&lt;url&gt;&amp;lt;Go to ISI&amp;gt;://WOS:A1997WW90000038&lt;/url&gt;&lt;/related-urls&gt;&lt;/urls&gt;&lt;isbn&gt;0036-8075&lt;/isbn&gt;&lt;work-type&gt;Article&lt;/work-type&gt;&lt;titles&gt;&lt;title&gt;Exploitation of mammalian host cell functions by bacterial pathogens&lt;/title&gt;&lt;secondary-title&gt;Science&lt;/secondary-title&gt;&lt;/titles&gt;&lt;pages&gt;718-725&lt;/pages&gt;&lt;number&gt;5313&lt;/number&gt;&lt;contributors&gt;&lt;authors&gt;&lt;author&gt;Finlay, B. B.&lt;/author&gt;&lt;author&gt;Cossart, P.&lt;/author&gt;&lt;/authors&gt;&lt;/contributors&gt;&lt;added-date format="utc"&gt;1672500549&lt;/added-date&gt;&lt;ref-type name="Journal Article"&gt;17&lt;/ref-type&gt;&lt;rec-number&gt;192&lt;/rec-number&gt;&lt;last-updated-date format="utc"&gt;1672500549&lt;/last-updated-date&gt;&lt;accession-num&gt;WOS:A1997WW90000038&lt;/accession-num&gt;&lt;electronic-resource-num&gt;10.1126/science.276.5313.718&lt;/electronic-resource-num&gt;&lt;volume&gt;276&lt;/volume&gt;&lt;/record&gt;&lt;/Cite&gt;&lt;/EndNote&gt;</w:instrText>
      </w:r>
      <w:r w:rsidRPr="001561D7">
        <w:rPr>
          <w:rFonts w:ascii="Times New Roman" w:hAnsi="Times New Roman" w:cs="Times New Roman"/>
          <w:b/>
          <w:bCs/>
        </w:rPr>
        <w:fldChar w:fldCharType="separate"/>
      </w:r>
      <w:r w:rsidRPr="001561D7">
        <w:rPr>
          <w:rFonts w:ascii="Times New Roman" w:hAnsi="Times New Roman" w:cs="Times New Roman"/>
          <w:b/>
          <w:bCs/>
          <w:noProof/>
        </w:rPr>
        <w:t>(Finlay and Cossart, 1997)</w:t>
      </w:r>
      <w:r w:rsidRPr="001561D7">
        <w:rPr>
          <w:rFonts w:ascii="Times New Roman" w:hAnsi="Times New Roman" w:cs="Times New Roman"/>
          <w:b/>
          <w:bCs/>
        </w:rPr>
        <w:fldChar w:fldCharType="end"/>
      </w:r>
      <w:r w:rsidRPr="00A23AAC">
        <w:rPr>
          <w:rFonts w:ascii="Times New Roman" w:hAnsi="Times New Roman" w:cs="Times New Roman"/>
        </w:rPr>
        <w:t xml:space="preserve"> until </w:t>
      </w:r>
      <w:r>
        <w:rPr>
          <w:rFonts w:ascii="Times New Roman" w:hAnsi="Times New Roman" w:cs="Times New Roman"/>
        </w:rPr>
        <w:t xml:space="preserve">it was revealed that staphylococci are in fact able to survive within the intracellular milieu of PMNs as well as extracellularly within the body </w:t>
      </w:r>
      <w:r w:rsidRPr="001561D7">
        <w:rPr>
          <w:rFonts w:ascii="Times New Roman" w:hAnsi="Times New Roman" w:cs="Times New Roman"/>
          <w:b/>
          <w:bCs/>
        </w:rPr>
        <w:fldChar w:fldCharType="begin"/>
      </w:r>
      <w:r w:rsidRPr="001561D7">
        <w:rPr>
          <w:rFonts w:ascii="Times New Roman" w:hAnsi="Times New Roman" w:cs="Times New Roman"/>
          <w:b/>
          <w:bCs/>
        </w:rPr>
        <w:instrText xml:space="preserve"> ADDIN EN.CITE &lt;EndNote&gt;&lt;Cite&gt;&lt;Author&gt;Gresham&lt;/Author&gt;&lt;Year&gt;2000&lt;/Year&gt;&lt;IDText&gt;Survival of Staphylococcus aureus inside neutrophils contributes to infection&lt;/IDText&gt;&lt;DisplayText&gt;(Gresham&lt;style face="italic"&gt; et al.&lt;/style&gt;, 2000)&lt;/DisplayText&gt;&lt;record&gt;&lt;dates&gt;&lt;pub-dates&gt;&lt;date&gt;Apr 1&lt;/date&gt;&lt;/pub-dates&gt;&lt;year&gt;2000&lt;/year&gt;&lt;/dates&gt;&lt;urls&gt;&lt;related-urls&gt;&lt;url&gt;&amp;lt;Go to ISI&amp;gt;://WOS:000086020700036&lt;/url&gt;&lt;/related-urls&gt;&lt;/urls&gt;&lt;isbn&gt;0022-1767&lt;/isbn&gt;&lt;work-type&gt;Article&lt;/work-type&gt;&lt;titles&gt;&lt;title&gt;Survival of Staphylococcus aureus inside neutrophils contributes to infection&lt;/title&gt;&lt;secondary-title&gt;Journal of Immunology&lt;/secondary-title&gt;&lt;/titles&gt;&lt;pages&gt;3713-3722&lt;/pages&gt;&lt;number&gt;7&lt;/number&gt;&lt;contributors&gt;&lt;authors&gt;&lt;author&gt;Gresham, H. D.&lt;/author&gt;&lt;author&gt;Lowrance, J. H.&lt;/author&gt;&lt;author&gt;Caver, T. E.&lt;/author&gt;&lt;author&gt;Wilson, B. S.&lt;/author&gt;&lt;author&gt;Cheung, A. L.&lt;/author&gt;&lt;author&gt;Lindberg, F. P.&lt;/author&gt;&lt;/authors&gt;&lt;/contributors&gt;&lt;added-date format="utc"&gt;1672501039&lt;/added-date&gt;&lt;ref-type name="Journal Article"&gt;17&lt;/ref-type&gt;&lt;rec-number&gt;193&lt;/rec-number&gt;&lt;last-updated-date format="utc"&gt;1672501039&lt;/last-updated-date&gt;&lt;accession-num&gt;WOS:000086020700036&lt;/accession-num&gt;&lt;electronic-resource-num&gt;10.4049/jimmunol.164.7.3713&lt;/electronic-resource-num&gt;&lt;volume&gt;164&lt;/volume&gt;&lt;/record&gt;&lt;/Cite&gt;&lt;/EndNote&gt;</w:instrText>
      </w:r>
      <w:r w:rsidRPr="001561D7">
        <w:rPr>
          <w:rFonts w:ascii="Times New Roman" w:hAnsi="Times New Roman" w:cs="Times New Roman"/>
          <w:b/>
          <w:bCs/>
        </w:rPr>
        <w:fldChar w:fldCharType="separate"/>
      </w:r>
      <w:r w:rsidRPr="001561D7">
        <w:rPr>
          <w:rFonts w:ascii="Times New Roman" w:hAnsi="Times New Roman" w:cs="Times New Roman"/>
          <w:b/>
          <w:bCs/>
          <w:noProof/>
        </w:rPr>
        <w:t>(Gresham</w:t>
      </w:r>
      <w:r w:rsidRPr="001561D7">
        <w:rPr>
          <w:rFonts w:ascii="Times New Roman" w:hAnsi="Times New Roman" w:cs="Times New Roman"/>
          <w:b/>
          <w:bCs/>
          <w:i/>
          <w:noProof/>
        </w:rPr>
        <w:t xml:space="preserve"> et al.</w:t>
      </w:r>
      <w:r w:rsidRPr="001561D7">
        <w:rPr>
          <w:rFonts w:ascii="Times New Roman" w:hAnsi="Times New Roman" w:cs="Times New Roman"/>
          <w:b/>
          <w:bCs/>
          <w:noProof/>
        </w:rPr>
        <w:t>, 2000)</w:t>
      </w:r>
      <w:r w:rsidRPr="001561D7">
        <w:rPr>
          <w:rFonts w:ascii="Times New Roman" w:hAnsi="Times New Roman" w:cs="Times New Roman"/>
          <w:b/>
          <w:bCs/>
        </w:rPr>
        <w:fldChar w:fldCharType="end"/>
      </w:r>
      <w:r>
        <w:rPr>
          <w:rFonts w:ascii="Times New Roman" w:hAnsi="Times New Roman" w:cs="Times New Roman"/>
        </w:rPr>
        <w:t xml:space="preserve">. </w:t>
      </w:r>
      <w:r w:rsidRPr="00A23AAC">
        <w:rPr>
          <w:rFonts w:ascii="Times New Roman" w:hAnsi="Times New Roman" w:cs="Times New Roman"/>
        </w:rPr>
        <w:t>Whilst intracellular, within both professional and non-professional phagocytes, staphylococci are met by various insults</w:t>
      </w:r>
      <w:r>
        <w:rPr>
          <w:rFonts w:ascii="Times New Roman" w:hAnsi="Times New Roman" w:cs="Times New Roman"/>
        </w:rPr>
        <w:t xml:space="preserve"> within the phagolysosome including but not limited to low pH, reactive oxygen/nitrogen species and antimicrobial peptides </w:t>
      </w:r>
      <w:r w:rsidRPr="00A23AAC">
        <w:rPr>
          <w:rFonts w:ascii="Times New Roman" w:hAnsi="Times New Roman" w:cs="Times New Roman"/>
        </w:rPr>
        <w:t>provided by the host immune system</w:t>
      </w:r>
      <w:r>
        <w:rPr>
          <w:rFonts w:ascii="Times New Roman" w:hAnsi="Times New Roman" w:cs="Times New Roman"/>
        </w:rPr>
        <w:t xml:space="preserve"> </w:t>
      </w:r>
      <w:r w:rsidRPr="001C0045">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&lt;EndNote&gt;&lt;Cite&gt;&lt;Author&gt;Horn&lt;/Author&gt;&lt;Year&gt;2018&lt;/Year&gt;&lt;IDText&gt;Inside job: Staphylococcus aureus host-pathogen interactions&lt;/IDText&gt;&lt;DisplayText&gt;(Horn&lt;style face="italic"&gt; et al.&lt;/style&gt;, 2018)&lt;/DisplayText&gt;&lt;record&gt;&lt;dates&gt;&lt;pub-dates&gt;&lt;date&gt;Aug&lt;/date&gt;&lt;/pub-dates&gt;&lt;year&gt;2018&lt;/year&gt;&lt;/dates&gt;&lt;urls&gt;&lt;related-urls&gt;&lt;url&gt;&amp;lt;Go to ISI&amp;gt;://WOS:000444663400007&lt;/url&gt;&lt;/related-urls&gt;&lt;/urls&gt;&lt;isbn&gt;1438-4221&lt;/isbn&gt;&lt;work-type&gt;Article&lt;/work-type&gt;&lt;titles&gt;&lt;title&gt;Inside job: Staphylococcus aureus host-pathogen interactions&lt;/title&gt;&lt;secondary-title&gt;International Journal of Medical Microbiology&lt;/secondary-title&gt;&lt;/titles&gt;&lt;pages&gt;607-624&lt;/pages&gt;&lt;number&gt;6&lt;/number&gt;&lt;contributors&gt;&lt;authors&gt;&lt;author&gt;Horn, Jessica&lt;/author&gt;&lt;author&gt;Stelzner, Kathrin&lt;/author&gt;&lt;author&gt;Rudel, Thomas&lt;/author&gt;&lt;author&gt;Fraunholz, Martin&lt;/author&gt;&lt;/authors&gt;&lt;/contributors&gt;&lt;added-date format="utc"&gt;1672497678&lt;/added-date&gt;&lt;ref-type name="Journal Article"&gt;17&lt;/ref-type&gt;&lt;rec-number&gt;191&lt;/rec-number&gt;&lt;last-updated-date format="utc"&gt;1672497678&lt;/last-updated-date&gt;&lt;accession-num&gt;WOS:000444663400007&lt;/accession-num&gt;&lt;electronic-resource-num&gt;10.1016/j.ijmm.2017.11.009&lt;/electronic-resource-num&gt;&lt;volume&gt;308&lt;/volume&gt;&lt;/record&gt;&lt;/Cite&gt;&lt;/EndNote&gt;</w:instrText>
      </w:r>
      <w:r w:rsidRPr="001C0045">
        <w:rPr>
          <w:rFonts w:ascii="Times New Roman" w:hAnsi="Times New Roman" w:cs="Times New Roman"/>
          <w:b/>
          <w:bCs/>
        </w:rPr>
        <w:fldChar w:fldCharType="separate"/>
      </w:r>
      <w:r>
        <w:rPr>
          <w:rFonts w:ascii="Times New Roman" w:hAnsi="Times New Roman" w:cs="Times New Roman"/>
          <w:b/>
          <w:bCs/>
          <w:noProof/>
        </w:rPr>
        <w:t>(Horn</w:t>
      </w:r>
      <w:r w:rsidRPr="0059185A">
        <w:rPr>
          <w:rFonts w:ascii="Times New Roman" w:hAnsi="Times New Roman" w:cs="Times New Roman"/>
          <w:b/>
          <w:bCs/>
          <w:i/>
          <w:noProof/>
        </w:rPr>
        <w:t xml:space="preserve"> et al.</w:t>
      </w:r>
      <w:r>
        <w:rPr>
          <w:rFonts w:ascii="Times New Roman" w:hAnsi="Times New Roman" w:cs="Times New Roman"/>
          <w:b/>
          <w:bCs/>
          <w:noProof/>
        </w:rPr>
        <w:t>, 2018)</w:t>
      </w:r>
      <w:r w:rsidRPr="001C0045">
        <w:rPr>
          <w:rFonts w:ascii="Times New Roman" w:hAnsi="Times New Roman" w:cs="Times New Roman"/>
          <w:b/>
          <w:bCs/>
        </w:rPr>
        <w:fldChar w:fldCharType="end"/>
      </w:r>
      <w:r w:rsidRPr="00A23AAC">
        <w:rPr>
          <w:rFonts w:ascii="Times New Roman" w:hAnsi="Times New Roman" w:cs="Times New Roman"/>
        </w:rPr>
        <w:t xml:space="preserve">. Immune cells and their killing mechanisms act to eliminate </w:t>
      </w:r>
      <w:r>
        <w:rPr>
          <w:rFonts w:ascii="Times New Roman" w:hAnsi="Times New Roman" w:cs="Times New Roman"/>
        </w:rPr>
        <w:t>bacteria to prevent infection and dissemination</w:t>
      </w:r>
      <w:r w:rsidRPr="00A23AAC">
        <w:rPr>
          <w:rFonts w:ascii="Times New Roman" w:hAnsi="Times New Roman" w:cs="Times New Roman"/>
        </w:rPr>
        <w:t xml:space="preserve"> however, </w:t>
      </w:r>
      <w:r w:rsidRPr="00A23AAC">
        <w:rPr>
          <w:rFonts w:ascii="Times New Roman" w:hAnsi="Times New Roman" w:cs="Times New Roman"/>
          <w:i/>
          <w:iCs/>
        </w:rPr>
        <w:t>S. aureus</w:t>
      </w:r>
      <w:r w:rsidRPr="00A23AAC">
        <w:rPr>
          <w:rFonts w:ascii="Times New Roman" w:hAnsi="Times New Roman" w:cs="Times New Roman"/>
        </w:rPr>
        <w:t xml:space="preserve"> </w:t>
      </w:r>
      <w:r>
        <w:rPr>
          <w:rFonts w:ascii="Times New Roman" w:hAnsi="Times New Roman" w:cs="Times New Roman"/>
        </w:rPr>
        <w:t xml:space="preserve">amongst other pathogens, are </w:t>
      </w:r>
      <w:r w:rsidRPr="00A23AAC">
        <w:rPr>
          <w:rFonts w:ascii="Times New Roman" w:hAnsi="Times New Roman" w:cs="Times New Roman"/>
        </w:rPr>
        <w:t xml:space="preserve">able to resist killing </w:t>
      </w:r>
      <w:r>
        <w:rPr>
          <w:rFonts w:ascii="Times New Roman" w:hAnsi="Times New Roman" w:cs="Times New Roman"/>
        </w:rPr>
        <w:t xml:space="preserve">and survive using their own defence mechanisms. For example, acidification of </w:t>
      </w:r>
      <w:r>
        <w:rPr>
          <w:rFonts w:ascii="Times New Roman" w:hAnsi="Times New Roman" w:cs="Times New Roman"/>
          <w:i/>
          <w:iCs/>
        </w:rPr>
        <w:t>S. aureus-</w:t>
      </w:r>
      <w:r>
        <w:rPr>
          <w:rFonts w:ascii="Times New Roman" w:hAnsi="Times New Roman" w:cs="Times New Roman"/>
        </w:rPr>
        <w:t xml:space="preserve">containing </w:t>
      </w:r>
      <w:r w:rsidRPr="00AF1C5F">
        <w:rPr>
          <w:rFonts w:ascii="Times New Roman" w:hAnsi="Times New Roman" w:cs="Times New Roman"/>
        </w:rPr>
        <w:t>phagolysosome</w:t>
      </w:r>
      <w:r>
        <w:rPr>
          <w:rFonts w:ascii="Times New Roman" w:hAnsi="Times New Roman" w:cs="Times New Roman"/>
        </w:rPr>
        <w:t xml:space="preserve">s is detected by the GraXRS regulatory system </w:t>
      </w:r>
      <w:r w:rsidRPr="0033207F">
        <w:rPr>
          <w:rFonts w:ascii="Times New Roman" w:hAnsi="Times New Roman" w:cs="Times New Roman"/>
        </w:rPr>
        <w:t xml:space="preserve">which results in the development of resistance to AMPs </w:t>
      </w:r>
      <w:r w:rsidRPr="0059185A">
        <w:rPr>
          <w:rFonts w:ascii="Times New Roman" w:hAnsi="Times New Roman" w:cs="Times New Roman"/>
          <w:b/>
          <w:bCs/>
        </w:rPr>
        <w:fldChar w:fldCharType="begin"/>
      </w:r>
      <w:r w:rsidRPr="0059185A">
        <w:rPr>
          <w:rFonts w:ascii="Times New Roman" w:hAnsi="Times New Roman" w:cs="Times New Roman"/>
          <w:b/>
          <w:bCs/>
        </w:rPr>
        <w:instrText xml:space="preserve"> ADDIN EN.CITE &lt;EndNote&gt;&lt;Cite&gt;&lt;Author&gt;Flannagan&lt;/Author&gt;&lt;Year&gt;2018&lt;/Year&gt;&lt;IDText&gt;Staphylococcus aureus Uses the GraXRS Regulatory System To Sense and Adapt to the Acidified Phagolysosome in Macrophages&lt;/IDText&gt;&lt;DisplayText&gt;(Flannagan&lt;style face="italic"&gt; et al.&lt;/style&gt;, 2018)&lt;/DisplayText&gt;&lt;record&gt;&lt;dates&gt;&lt;pub-dates&gt;&lt;date&gt;Jul-Aug&lt;/date&gt;&lt;/pub-dates&gt;&lt;year&gt;2018&lt;/year&gt;&lt;/dates&gt;&lt;urls&gt;&lt;related-urls&gt;&lt;url&gt;&amp;lt;Go to ISI&amp;gt;://WOS:000443884300036&lt;/url&gt;&lt;/related-urls&gt;&lt;/urls&gt;&lt;isbn&gt;2150-7511&lt;/isbn&gt;&lt;work-type&gt;Article&lt;/work-type&gt;&lt;titles&gt;&lt;title&gt;Staphylococcus aureus Uses the GraXRS Regulatory System To Sense and Adapt to the Acidified Phagolysosome in Macrophages&lt;/title&gt;&lt;secondary-title&gt;Mbio&lt;/secondary-title&gt;&lt;/titles&gt;&lt;number&gt;4&lt;/number&gt;&lt;contributors&gt;&lt;authors&gt;&lt;author&gt;Flannagan, Ronald S.&lt;/author&gt;&lt;author&gt;Kuiack, Robert C.&lt;/author&gt;&lt;author&gt;McGavin, Martin J.&lt;/author&gt;&lt;author&gt;Heinrichs, David E.&lt;/author&gt;&lt;/authors&gt;&lt;/contributors&gt;&lt;custom7&gt;e01143-18&lt;/custom7&gt;&lt;added-date format="utc"&gt;1672504676&lt;/added-date&gt;&lt;ref-type name="Journal Article"&gt;17&lt;/ref-type&gt;&lt;rec-number&gt;194&lt;/rec-number&gt;&lt;last-updated-date format="utc"&gt;1672504676&lt;/last-updated-date&gt;&lt;accession-num&gt;WOS:000443884300036&lt;/accession-num&gt;&lt;electronic-resource-num&gt;10.1128/mBio.01143-18&lt;/electronic-resource-num&gt;&lt;volume&gt;9&lt;/volume&gt;&lt;/record&gt;&lt;/Cite&gt;&lt;/EndNote&gt;</w:instrText>
      </w:r>
      <w:r w:rsidRPr="0059185A">
        <w:rPr>
          <w:rFonts w:ascii="Times New Roman" w:hAnsi="Times New Roman" w:cs="Times New Roman"/>
          <w:b/>
          <w:bCs/>
        </w:rPr>
        <w:fldChar w:fldCharType="separate"/>
      </w:r>
      <w:r w:rsidRPr="0059185A">
        <w:rPr>
          <w:rFonts w:ascii="Times New Roman" w:hAnsi="Times New Roman" w:cs="Times New Roman"/>
          <w:b/>
          <w:bCs/>
          <w:noProof/>
        </w:rPr>
        <w:t>(Flannagan</w:t>
      </w:r>
      <w:r w:rsidRPr="0059185A">
        <w:rPr>
          <w:rFonts w:ascii="Times New Roman" w:hAnsi="Times New Roman" w:cs="Times New Roman"/>
          <w:b/>
          <w:bCs/>
          <w:i/>
          <w:noProof/>
        </w:rPr>
        <w:t xml:space="preserve"> et al.</w:t>
      </w:r>
      <w:r w:rsidRPr="0059185A">
        <w:rPr>
          <w:rFonts w:ascii="Times New Roman" w:hAnsi="Times New Roman" w:cs="Times New Roman"/>
          <w:b/>
          <w:bCs/>
          <w:noProof/>
        </w:rPr>
        <w:t>, 2018)</w:t>
      </w:r>
      <w:r w:rsidRPr="0059185A">
        <w:rPr>
          <w:rFonts w:ascii="Times New Roman" w:hAnsi="Times New Roman" w:cs="Times New Roman"/>
          <w:b/>
          <w:bCs/>
        </w:rPr>
        <w:fldChar w:fldCharType="end"/>
      </w:r>
      <w:r>
        <w:rPr>
          <w:rFonts w:ascii="Times New Roman" w:hAnsi="Times New Roman" w:cs="Times New Roman"/>
        </w:rPr>
        <w:t xml:space="preserve">. The production of toxins also contribute to intracellular survival including cytolysins such as the PSMs that lyse many cell types including PMNs </w:t>
      </w:r>
      <w:r w:rsidRPr="000A334C">
        <w:rPr>
          <w:rFonts w:ascii="Times New Roman" w:hAnsi="Times New Roman" w:cs="Times New Roman"/>
          <w:b/>
          <w:bCs/>
        </w:rPr>
        <w:fldChar w:fldCharType="begin"/>
      </w:r>
      <w:r w:rsidRPr="000A334C">
        <w:rPr>
          <w:rFonts w:ascii="Times New Roman" w:hAnsi="Times New Roman" w:cs="Times New Roman"/>
          <w:b/>
          <w:bCs/>
        </w:rPr>
        <w:instrText xml:space="preserve"> ADDIN EN.CITE &lt;EndNote&gt;&lt;Cite&gt;&lt;Author&gt;Cheung&lt;/Author&gt;&lt;Year&gt;2014&lt;/Year&gt;&lt;IDText&gt;Phenol-soluble modulins - critical determinants of staphylococcal virulence&lt;/IDText&gt;&lt;DisplayText&gt;(Cheung&lt;style face="italic"&gt; et al.&lt;/style&gt;, 2014)&lt;/DisplayText&gt;&lt;record&gt;&lt;dates&gt;&lt;pub-dates&gt;&lt;date&gt;Jul&lt;/date&gt;&lt;/pub-dates&gt;&lt;year&gt;2014&lt;/year&gt;&lt;/dates&gt;&lt;urls&gt;&lt;related-urls&gt;&lt;url&gt;&amp;lt;Go to ISI&amp;gt;://WOS:000339553200005&lt;/url&gt;&lt;/related-urls&gt;&lt;/urls&gt;&lt;isbn&gt;0168-6445&lt;/isbn&gt;&lt;work-type&gt;Review&lt;/work-type&gt;&lt;titles&gt;&lt;title&gt;Phenol-soluble modulins - critical determinants of staphylococcal virulence&lt;/title&gt;&lt;secondary-title&gt;Fems Microbiology Reviews&lt;/secondary-title&gt;&lt;/titles&gt;&lt;pages&gt;698-719&lt;/pages&gt;&lt;number&gt;4&lt;/number&gt;&lt;contributors&gt;&lt;authors&gt;&lt;author&gt;Cheung, Gordon Y. C.&lt;/author&gt;&lt;author&gt;Joo, Hwang-Soo&lt;/author&gt;&lt;author&gt;Chatterjee, Som S.&lt;/author&gt;&lt;author&gt;Otto, Michael&lt;/author&gt;&lt;/authors&gt;&lt;/contributors&gt;&lt;added-date format="utc"&gt;1672506250&lt;/added-date&gt;&lt;ref-type name="Journal Article"&gt;17&lt;/ref-type&gt;&lt;rec-number&gt;195&lt;/rec-number&gt;&lt;last-updated-date format="utc"&gt;1672506250&lt;/last-updated-date&gt;&lt;accession-num&gt;WOS:000339553200005&lt;/accession-num&gt;&lt;electronic-resource-num&gt;10.1111/1574-6976.12057&lt;/electronic-resource-num&gt;&lt;volume&gt;38&lt;/volume&gt;&lt;/record&gt;&lt;/Cite&gt;&lt;/EndNote&gt;</w:instrText>
      </w:r>
      <w:r w:rsidRPr="000A334C">
        <w:rPr>
          <w:rFonts w:ascii="Times New Roman" w:hAnsi="Times New Roman" w:cs="Times New Roman"/>
          <w:b/>
          <w:bCs/>
        </w:rPr>
        <w:fldChar w:fldCharType="separate"/>
      </w:r>
      <w:r w:rsidRPr="000A334C">
        <w:rPr>
          <w:rFonts w:ascii="Times New Roman" w:hAnsi="Times New Roman" w:cs="Times New Roman"/>
          <w:b/>
          <w:bCs/>
          <w:noProof/>
        </w:rPr>
        <w:t>(Cheung</w:t>
      </w:r>
      <w:r w:rsidRPr="000A334C">
        <w:rPr>
          <w:rFonts w:ascii="Times New Roman" w:hAnsi="Times New Roman" w:cs="Times New Roman"/>
          <w:b/>
          <w:bCs/>
          <w:i/>
          <w:noProof/>
        </w:rPr>
        <w:t xml:space="preserve"> et al.</w:t>
      </w:r>
      <w:r w:rsidRPr="000A334C">
        <w:rPr>
          <w:rFonts w:ascii="Times New Roman" w:hAnsi="Times New Roman" w:cs="Times New Roman"/>
          <w:b/>
          <w:bCs/>
          <w:noProof/>
        </w:rPr>
        <w:t>, 2014)</w:t>
      </w:r>
      <w:r w:rsidRPr="000A334C">
        <w:rPr>
          <w:rFonts w:ascii="Times New Roman" w:hAnsi="Times New Roman" w:cs="Times New Roman"/>
          <w:b/>
          <w:bCs/>
        </w:rPr>
        <w:fldChar w:fldCharType="end"/>
      </w:r>
      <w:r>
        <w:rPr>
          <w:rFonts w:ascii="Times New Roman" w:hAnsi="Times New Roman" w:cs="Times New Roman"/>
        </w:rPr>
        <w:t xml:space="preserve">. Additionally, </w:t>
      </w:r>
      <w:r>
        <w:rPr>
          <w:rFonts w:ascii="Times New Roman" w:hAnsi="Times New Roman" w:cs="Times New Roman"/>
          <w:i/>
          <w:iCs/>
        </w:rPr>
        <w:t xml:space="preserve">S. aureus </w:t>
      </w:r>
      <w:r>
        <w:rPr>
          <w:rFonts w:ascii="Times New Roman" w:hAnsi="Times New Roman" w:cs="Times New Roman"/>
        </w:rPr>
        <w:t xml:space="preserve">produces enzymes such as AhpC, and catalase </w:t>
      </w:r>
      <w:r w:rsidRPr="001C0045">
        <w:rPr>
          <w:rFonts w:ascii="Times New Roman" w:hAnsi="Times New Roman" w:cs="Times New Roman"/>
          <w:b/>
          <w:bCs/>
        </w:rPr>
        <w:fldChar w:fldCharType="begin"/>
      </w:r>
      <w:r w:rsidRPr="001C0045">
        <w:rPr>
          <w:rFonts w:ascii="Times New Roman" w:hAnsi="Times New Roman" w:cs="Times New Roman"/>
          <w:b/>
          <w:bCs/>
        </w:rPr>
        <w:instrText xml:space="preserve"> ADDIN EN.CITE &lt;EndNote&gt;&lt;Cite&gt;&lt;Author&gt;Cosgrove&lt;/Author&gt;&lt;Year&gt;2007&lt;/Year&gt;&lt;IDText&gt;Catalase (KatA) and alkyl hydroperoxide reductase (AhpC) have comensatory roles in peroxide stress resistance and are required for survival, persistence, and nasal colonization in Staphylococcus aureus&lt;/IDText&gt;&lt;DisplayText&gt;(Cosgrove&lt;style face="italic"&gt; et al.&lt;/style&gt;, 2007)&lt;/DisplayText&gt;&lt;record&gt;&lt;dates&gt;&lt;pub-dates&gt;&lt;date&gt;Feb&lt;/date&gt;&lt;/pub-dates&gt;&lt;year&gt;2007&lt;/year&gt;&lt;/dates&gt;&lt;urls&gt;&lt;related-urls&gt;&lt;url&gt;&amp;lt;Go to ISI&amp;gt;://WOS:000244112100037&lt;/url&gt;&lt;/related-urls&gt;&lt;/urls&gt;&lt;isbn&gt;0021-9193&lt;/isbn&gt;&lt;work-type&gt;Article&lt;/work-type&gt;&lt;titles&gt;&lt;title&gt;Catalase (KatA) and alkyl hydroperoxide reductase (AhpC) have comensatory roles in peroxide stress resistance and are required for survival, persistence, and nasal colonization in Staphylococcus aureus&lt;/title&gt;&lt;secondary-title&gt;Journal of Bacteriology&lt;/secondary-title&gt;&lt;/titles&gt;&lt;pages&gt;1025-1035&lt;/pages&gt;&lt;number&gt;3&lt;/number&gt;&lt;contributors&gt;&lt;authors&gt;&lt;author&gt;Cosgrove, Kate&lt;/author&gt;&lt;author&gt;Coutts, Graham&lt;/author&gt;&lt;author&gt;Jonsson, Ing-Marie&lt;/author&gt;&lt;author&gt;Tarkowski, Andrej&lt;/author&gt;&lt;author&gt;Kokai-Kun, John F.&lt;/author&gt;&lt;author&gt;Mond, James J.&lt;/author&gt;&lt;author&gt;Foster, Simon J.&lt;/author&gt;&lt;/authors&gt;&lt;/contributors&gt;&lt;added-date format="utc"&gt;1672497380&lt;/added-date&gt;&lt;ref-type name="Journal Article"&gt;17&lt;/ref-type&gt;&lt;rec-number&gt;190&lt;/rec-number&gt;&lt;last-updated-date format="utc"&gt;1672497380&lt;/last-updated-date&gt;&lt;accession-num&gt;WOS:000244112100037&lt;/accession-num&gt;&lt;electronic-resource-num&gt;10.1128/jb.01524-06&lt;/electronic-resource-num&gt;&lt;volume&gt;189&lt;/volume&gt;&lt;/record&gt;&lt;/Cite&gt;&lt;/EndNote&gt;</w:instrText>
      </w:r>
      <w:r w:rsidRPr="001C0045">
        <w:rPr>
          <w:rFonts w:ascii="Times New Roman" w:hAnsi="Times New Roman" w:cs="Times New Roman"/>
          <w:b/>
          <w:bCs/>
        </w:rPr>
        <w:fldChar w:fldCharType="separate"/>
      </w:r>
      <w:r w:rsidRPr="001C0045">
        <w:rPr>
          <w:rFonts w:ascii="Times New Roman" w:hAnsi="Times New Roman" w:cs="Times New Roman"/>
          <w:b/>
          <w:bCs/>
          <w:noProof/>
        </w:rPr>
        <w:t>(Cosgrove</w:t>
      </w:r>
      <w:r w:rsidRPr="001C0045">
        <w:rPr>
          <w:rFonts w:ascii="Times New Roman" w:hAnsi="Times New Roman" w:cs="Times New Roman"/>
          <w:b/>
          <w:bCs/>
          <w:i/>
          <w:noProof/>
        </w:rPr>
        <w:t xml:space="preserve"> et al.</w:t>
      </w:r>
      <w:r w:rsidRPr="001C0045">
        <w:rPr>
          <w:rFonts w:ascii="Times New Roman" w:hAnsi="Times New Roman" w:cs="Times New Roman"/>
          <w:b/>
          <w:bCs/>
          <w:noProof/>
        </w:rPr>
        <w:t>, 2007)</w:t>
      </w:r>
      <w:r w:rsidRPr="001C0045">
        <w:rPr>
          <w:rFonts w:ascii="Times New Roman" w:hAnsi="Times New Roman" w:cs="Times New Roman"/>
          <w:b/>
          <w:bCs/>
        </w:rPr>
        <w:fldChar w:fldCharType="end"/>
      </w:r>
      <w:r>
        <w:rPr>
          <w:rFonts w:ascii="Times New Roman" w:hAnsi="Times New Roman" w:cs="Times New Roman"/>
        </w:rPr>
        <w:t xml:space="preserve"> and superoxide dismutase </w:t>
      </w:r>
      <w:r w:rsidRPr="001C0045">
        <w:rPr>
          <w:rFonts w:ascii="Times New Roman" w:hAnsi="Times New Roman" w:cs="Times New Roman"/>
          <w:b/>
          <w:bCs/>
        </w:rPr>
        <w:fldChar w:fldCharType="begin"/>
      </w:r>
      <w:r w:rsidRPr="001C0045">
        <w:rPr>
          <w:rFonts w:ascii="Times New Roman" w:hAnsi="Times New Roman" w:cs="Times New Roman"/>
          <w:b/>
          <w:bCs/>
        </w:rPr>
        <w:instrText xml:space="preserve"> ADDIN EN.CITE &lt;EndNote&gt;&lt;Cite&gt;&lt;Author&gt;Karavolos&lt;/Author&gt;&lt;Year&gt;2003&lt;/Year&gt;&lt;IDText&gt;Role and regulation of the superoxide dismutases of Staphylococcus aureus&lt;/IDText&gt;&lt;DisplayText&gt;(Karavolos&lt;style face="italic"&gt; et al.&lt;/style&gt;, 2003)&lt;/DisplayText&gt;&lt;record&gt;&lt;dates&gt;&lt;pub-dates&gt;&lt;date&gt;Oct&lt;/date&gt;&lt;/pub-dates&gt;&lt;year&gt;2003&lt;/year&gt;&lt;/dates&gt;&lt;urls&gt;&lt;related-urls&gt;&lt;url&gt;&amp;lt;Go to ISI&amp;gt;://WOS:000186008200007&lt;/url&gt;&lt;/related-urls&gt;&lt;/urls&gt;&lt;isbn&gt;1350-0872&lt;/isbn&gt;&lt;work-type&gt;Article&lt;/work-type&gt;&lt;titles&gt;&lt;title&gt;Role and regulation of the superoxide dismutases of Staphylococcus aureus&lt;/title&gt;&lt;secondary-title&gt;Microbiology-Sgm&lt;/secondary-title&gt;&lt;/titles&gt;&lt;pages&gt;2749-2758&lt;/pages&gt;&lt;contributors&gt;&lt;authors&gt;&lt;author&gt;Karavolos, M. H.&lt;/author&gt;&lt;author&gt;Horsburgh, M. J.&lt;/author&gt;&lt;author&gt;Ingham, E.&lt;/author&gt;&lt;author&gt;Foster, S. J.&lt;/author&gt;&lt;/authors&gt;&lt;/contributors&gt;&lt;added-date format="utc"&gt;1672494396&lt;/added-date&gt;&lt;ref-type name="Journal Article"&gt;17&lt;/ref-type&gt;&lt;rec-number&gt;189&lt;/rec-number&gt;&lt;last-updated-date format="utc"&gt;1672494396&lt;/last-updated-date&gt;&lt;accession-num&gt;WOS:000186008200007&lt;/accession-num&gt;&lt;electronic-resource-num&gt;10.1099/mic.0.26353-0&lt;/electronic-resource-num&gt;&lt;volume&gt;149&lt;/volume&gt;&lt;/record&gt;&lt;/Cite&gt;&lt;/EndNote&gt;</w:instrText>
      </w:r>
      <w:r w:rsidRPr="001C0045">
        <w:rPr>
          <w:rFonts w:ascii="Times New Roman" w:hAnsi="Times New Roman" w:cs="Times New Roman"/>
          <w:b/>
          <w:bCs/>
        </w:rPr>
        <w:fldChar w:fldCharType="separate"/>
      </w:r>
      <w:r w:rsidRPr="001C0045">
        <w:rPr>
          <w:rFonts w:ascii="Times New Roman" w:hAnsi="Times New Roman" w:cs="Times New Roman"/>
          <w:b/>
          <w:bCs/>
          <w:noProof/>
        </w:rPr>
        <w:t>(Karavolos</w:t>
      </w:r>
      <w:r w:rsidRPr="001C0045">
        <w:rPr>
          <w:rFonts w:ascii="Times New Roman" w:hAnsi="Times New Roman" w:cs="Times New Roman"/>
          <w:b/>
          <w:bCs/>
          <w:i/>
          <w:noProof/>
        </w:rPr>
        <w:t xml:space="preserve"> et al.</w:t>
      </w:r>
      <w:r w:rsidRPr="001C0045">
        <w:rPr>
          <w:rFonts w:ascii="Times New Roman" w:hAnsi="Times New Roman" w:cs="Times New Roman"/>
          <w:b/>
          <w:bCs/>
          <w:noProof/>
        </w:rPr>
        <w:t>, 2003)</w:t>
      </w:r>
      <w:r w:rsidRPr="001C0045">
        <w:rPr>
          <w:rFonts w:ascii="Times New Roman" w:hAnsi="Times New Roman" w:cs="Times New Roman"/>
          <w:b/>
          <w:bCs/>
        </w:rPr>
        <w:fldChar w:fldCharType="end"/>
      </w:r>
      <w:r>
        <w:rPr>
          <w:rFonts w:ascii="Times New Roman" w:hAnsi="Times New Roman" w:cs="Times New Roman"/>
        </w:rPr>
        <w:t xml:space="preserve"> for peroxide/H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and superoxide detoxification respectively. Using these defence mechanisms, bacteria that are able to survive and persist within the hostile intracellular environment until conditions become favourable, can subsequently multiply and escape, leading to dissemination and worsening of infection </w:t>
      </w:r>
      <w:r w:rsidRPr="008845B8">
        <w:rPr>
          <w:rFonts w:ascii="Times New Roman" w:hAnsi="Times New Roman" w:cs="Times New Roman"/>
          <w:b/>
          <w:bCs/>
        </w:rPr>
        <w:fldChar w:fldCharType="begin"/>
      </w:r>
      <w:r w:rsidRPr="008845B8">
        <w:rPr>
          <w:rFonts w:ascii="Times New Roman" w:hAnsi="Times New Roman" w:cs="Times New Roman"/>
          <w:b/>
          <w:bCs/>
        </w:rPr>
        <w:instrText xml:space="preserve"> ADDIN EN.CITE &lt;EndNote&gt;&lt;Cite&gt;&lt;Author&gt;Kubica&lt;/Author&gt;&lt;Year&gt;2008&lt;/Year&gt;&lt;IDText&gt;A Potential New Pathway for Staphylococcus aureus Dissemination: The Silent Survival of S. aureus Phagocytosed by Human Monocyte-Derived Macrophages&lt;/IDText&gt;&lt;DisplayText&gt;(Kubica&lt;style face="italic"&gt; et al.&lt;/style&gt;, 2008)&lt;/DisplayText&gt;&lt;record&gt;&lt;dates&gt;&lt;pub-dates&gt;&lt;date&gt;Jan 9&lt;/date&gt;&lt;/pub-dates&gt;&lt;year&gt;2008&lt;/year&gt;&lt;/dates&gt;&lt;urls&gt;&lt;related-urls&gt;&lt;url&gt;&amp;lt;Go to ISI&amp;gt;://WOS:000260469400006&lt;/url&gt;&lt;/related-urls&gt;&lt;/urls&gt;&lt;isbn&gt;1932-6203&lt;/isbn&gt;&lt;work-type&gt;Article&lt;/work-type&gt;&lt;titles&gt;&lt;title&gt;A Potential New Pathway for Staphylococcus aureus Dissemination: The Silent Survival of S. aureus Phagocytosed by Human Monocyte-Derived Macrophages&lt;/title&gt;&lt;secondary-title&gt;Plos One&lt;/secondary-title&gt;&lt;/titles&gt;&lt;number&gt;1&lt;/number&gt;&lt;contributors&gt;&lt;authors&gt;&lt;author&gt;Kubica, Malgorzata&lt;/author&gt;&lt;author&gt;Guzik, Krzysztof&lt;/author&gt;&lt;author&gt;Koziel, Joanna&lt;/author&gt;&lt;author&gt;Zarebski, Miroslaw&lt;/author&gt;&lt;author&gt;Richter, Walter&lt;/author&gt;&lt;author&gt;Gajkowska, Barbara&lt;/author&gt;&lt;author&gt;Golda, Anna&lt;/author&gt;&lt;author&gt;Maciag-Gudowska, Agnieszka&lt;/author&gt;&lt;author&gt;Brix, Klaudia&lt;/author&gt;&lt;author&gt;Shaw, Les&lt;/author&gt;&lt;author&gt;Foster, Timothy&lt;/author&gt;&lt;author&gt;Potempa, Jan&lt;/author&gt;&lt;/authors&gt;&lt;/contributors&gt;&lt;custom7&gt;e1409&lt;/custom7&gt;&lt;added-date format="utc"&gt;1672507345&lt;/added-date&gt;&lt;ref-type name="Journal Article"&gt;17&lt;/ref-type&gt;&lt;rec-number&gt;196&lt;/rec-number&gt;&lt;last-updated-date format="utc"&gt;1672507345&lt;/last-updated-date&gt;&lt;accession-num&gt;WOS:000260469400006&lt;/accession-num&gt;&lt;electronic-resource-num&gt;10.1371/journal.pone.0001409&lt;/electronic-resource-num&gt;&lt;volume&gt;3&lt;/volume&gt;&lt;/record&gt;&lt;/Cite&gt;&lt;/EndNote&gt;</w:instrText>
      </w:r>
      <w:r w:rsidRPr="008845B8">
        <w:rPr>
          <w:rFonts w:ascii="Times New Roman" w:hAnsi="Times New Roman" w:cs="Times New Roman"/>
          <w:b/>
          <w:bCs/>
        </w:rPr>
        <w:fldChar w:fldCharType="separate"/>
      </w:r>
      <w:r w:rsidRPr="008845B8">
        <w:rPr>
          <w:rFonts w:ascii="Times New Roman" w:hAnsi="Times New Roman" w:cs="Times New Roman"/>
          <w:b/>
          <w:bCs/>
          <w:noProof/>
        </w:rPr>
        <w:t>(Kubica</w:t>
      </w:r>
      <w:r w:rsidRPr="008845B8">
        <w:rPr>
          <w:rFonts w:ascii="Times New Roman" w:hAnsi="Times New Roman" w:cs="Times New Roman"/>
          <w:b/>
          <w:bCs/>
          <w:i/>
          <w:noProof/>
        </w:rPr>
        <w:t xml:space="preserve"> et al.</w:t>
      </w:r>
      <w:r w:rsidRPr="008845B8">
        <w:rPr>
          <w:rFonts w:ascii="Times New Roman" w:hAnsi="Times New Roman" w:cs="Times New Roman"/>
          <w:b/>
          <w:bCs/>
          <w:noProof/>
        </w:rPr>
        <w:t>, 2008)</w:t>
      </w:r>
      <w:r w:rsidRPr="008845B8">
        <w:rPr>
          <w:rFonts w:ascii="Times New Roman" w:hAnsi="Times New Roman" w:cs="Times New Roman"/>
          <w:b/>
          <w:bCs/>
        </w:rPr>
        <w:fldChar w:fldCharType="end"/>
      </w:r>
      <w:r>
        <w:rPr>
          <w:rFonts w:ascii="Times New Roman" w:hAnsi="Times New Roman" w:cs="Times New Roman"/>
        </w:rPr>
        <w:t xml:space="preserve">. </w:t>
      </w:r>
    </w:p>
    <w:p w14:paraId="3A01E8FE" w14:textId="77777777" w:rsidR="00187693" w:rsidRDefault="00187693" w:rsidP="00187693">
      <w:pPr>
        <w:spacing w:line="360" w:lineRule="auto"/>
        <w:ind w:firstLine="720"/>
        <w:jc w:val="both"/>
        <w:rPr>
          <w:rFonts w:ascii="Times New Roman" w:hAnsi="Times New Roman" w:cs="Times New Roman"/>
        </w:rPr>
      </w:pPr>
      <w:r w:rsidRPr="00A23AAC">
        <w:rPr>
          <w:rFonts w:ascii="Times New Roman" w:hAnsi="Times New Roman" w:cs="Times New Roman"/>
        </w:rPr>
        <w:t>As</w:t>
      </w:r>
      <w:r>
        <w:rPr>
          <w:rFonts w:ascii="Times New Roman" w:hAnsi="Times New Roman" w:cs="Times New Roman"/>
        </w:rPr>
        <w:t xml:space="preserve"> intracellular bacteria are exposed to many stressors as well as nutritional limitation, the stringent response is likely to be one of the pathways required for survival within professional phagocytes.</w:t>
      </w:r>
      <w:r w:rsidRPr="00A23AAC">
        <w:rPr>
          <w:rFonts w:ascii="Times New Roman" w:hAnsi="Times New Roman" w:cs="Times New Roman"/>
        </w:rPr>
        <w:t xml:space="preserve"> </w:t>
      </w:r>
      <w:r>
        <w:rPr>
          <w:rFonts w:ascii="Times New Roman" w:hAnsi="Times New Roman" w:cs="Times New Roman"/>
        </w:rPr>
        <w:t xml:space="preserve">For example, the contribution of the stringent response for persister formation has been demonstrated as the absence of RelA reduced the ability of </w:t>
      </w:r>
      <w:r>
        <w:rPr>
          <w:rFonts w:ascii="Times New Roman" w:hAnsi="Times New Roman" w:cs="Times New Roman"/>
          <w:i/>
          <w:iCs/>
        </w:rPr>
        <w:t xml:space="preserve">E. coli </w:t>
      </w:r>
      <w:r>
        <w:rPr>
          <w:rFonts w:ascii="Times New Roman" w:hAnsi="Times New Roman" w:cs="Times New Roman"/>
        </w:rPr>
        <w:t xml:space="preserve">to form </w:t>
      </w:r>
      <w:r w:rsidRPr="00DF27D6">
        <w:rPr>
          <w:rFonts w:ascii="Times New Roman" w:hAnsi="Times New Roman" w:cs="Times New Roman"/>
        </w:rPr>
        <w:t>ampicillin</w:t>
      </w:r>
      <w:r>
        <w:rPr>
          <w:rFonts w:ascii="Times New Roman" w:hAnsi="Times New Roman" w:cs="Times New Roman"/>
        </w:rPr>
        <w:t xml:space="preserve"> and ofloxacin persisters </w:t>
      </w:r>
      <w:r>
        <w:rPr>
          <w:rFonts w:ascii="Times New Roman" w:hAnsi="Times New Roman" w:cs="Times New Roman"/>
          <w:i/>
          <w:iCs/>
        </w:rPr>
        <w:t>in vitro</w:t>
      </w:r>
      <w:r>
        <w:rPr>
          <w:rFonts w:ascii="Times New Roman" w:hAnsi="Times New Roman" w:cs="Times New Roman"/>
        </w:rPr>
        <w:t xml:space="preserve"> </w:t>
      </w:r>
      <w:r w:rsidRPr="00062899">
        <w:rPr>
          <w:rFonts w:ascii="Times New Roman" w:hAnsi="Times New Roman" w:cs="Times New Roman"/>
          <w:b/>
          <w:bCs/>
        </w:rPr>
        <w:fldChar w:fldCharType="begin"/>
      </w:r>
      <w:r w:rsidRPr="00062899">
        <w:rPr>
          <w:rFonts w:ascii="Times New Roman" w:hAnsi="Times New Roman" w:cs="Times New Roman"/>
          <w:b/>
          <w:bCs/>
        </w:rPr>
        <w:instrText xml:space="preserve"> ADDIN EN.CITE &lt;EndNote&gt;&lt;Cite&gt;&lt;Author&gt;Amato&lt;/Author&gt;&lt;Year&gt;2015&lt;/Year&gt;&lt;IDText&gt;Persister Heterogeneity Arising from a Single Metabolic Stress&lt;/IDText&gt;&lt;DisplayText&gt;(Amato and Brynildsen, 2015)&lt;/DisplayText&gt;&lt;record&gt;&lt;dates&gt;&lt;pub-dates&gt;&lt;date&gt;Aug 17&lt;/date&gt;&lt;/pub-dates&gt;&lt;year&gt;2015&lt;/year&gt;&lt;/dates&gt;&lt;urls&gt;&lt;related-urls&gt;&lt;url&gt;&amp;lt;Go to ISI&amp;gt;://WOS:000359882200020&lt;/url&gt;&lt;/related-urls&gt;&lt;/urls&gt;&lt;isbn&gt;0960-9822&lt;/isbn&gt;&lt;work-type&gt;Article&lt;/work-type&gt;&lt;titles&gt;&lt;title&gt;Persister Heterogeneity Arising from a Single Metabolic Stress&lt;/title&gt;&lt;secondary-title&gt;Current Biology&lt;/secondary-title&gt;&lt;/titles&gt;&lt;pages&gt;2090-2098&lt;/pages&gt;&lt;number&gt;16&lt;/number&gt;&lt;contributors&gt;&lt;authors&gt;&lt;author&gt;Amato, Stephanie M.&lt;/author&gt;&lt;author&gt;Brynildsen, Mark P.&lt;/author&gt;&lt;/authors&gt;&lt;/contributors&gt;&lt;added-date format="utc"&gt;1673981901&lt;/added-date&gt;&lt;ref-type name="Journal Article"&gt;17&lt;/ref-type&gt;&lt;rec-number&gt;207&lt;/rec-number&gt;&lt;last-updated-date format="utc"&gt;1673981901&lt;/last-updated-date&gt;&lt;accession-num&gt;WOS:000359882200020&lt;/accession-num&gt;&lt;electronic-resource-num&gt;10.1016/j.cub.2015.06.034&lt;/electronic-resource-num&gt;&lt;volume&gt;25&lt;/volume&gt;&lt;/record&gt;&lt;/Cite&gt;&lt;/EndNote&gt;</w:instrText>
      </w:r>
      <w:r w:rsidRPr="00062899">
        <w:rPr>
          <w:rFonts w:ascii="Times New Roman" w:hAnsi="Times New Roman" w:cs="Times New Roman"/>
          <w:b/>
          <w:bCs/>
        </w:rPr>
        <w:fldChar w:fldCharType="separate"/>
      </w:r>
      <w:r w:rsidRPr="00062899">
        <w:rPr>
          <w:rFonts w:ascii="Times New Roman" w:hAnsi="Times New Roman" w:cs="Times New Roman"/>
          <w:b/>
          <w:bCs/>
          <w:noProof/>
        </w:rPr>
        <w:t>(Amato and Brynildsen, 2015)</w:t>
      </w:r>
      <w:r w:rsidRPr="00062899">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Furthermore, many stringent response-mediated molecular mechanisms that lead to persistence have been studied including toxin-antitoxin systems </w:t>
      </w:r>
      <w:r w:rsidRPr="00B922C7">
        <w:rPr>
          <w:rFonts w:ascii="Times New Roman" w:hAnsi="Times New Roman" w:cs="Times New Roman"/>
          <w:b/>
          <w:bCs/>
        </w:rPr>
        <w:fldChar w:fldCharType="begin"/>
      </w:r>
      <w:r w:rsidRPr="00B922C7">
        <w:rPr>
          <w:rFonts w:ascii="Times New Roman" w:hAnsi="Times New Roman" w:cs="Times New Roman"/>
          <w:b/>
          <w:bCs/>
        </w:rPr>
        <w:instrText xml:space="preserve"> ADDIN EN.CITE &lt;EndNote&gt;&lt;Cite&gt;&lt;Author&gt;Schumacher&lt;/Author&gt;&lt;Year&gt;2015&lt;/Year&gt;&lt;IDText&gt;HipBA-promoter structures reveal the basis of heritable multidrug tolerance&lt;/IDText&gt;&lt;DisplayText&gt;(Schumacher&lt;style face="italic"&gt; et al.&lt;/style&gt;, 2015)&lt;/DisplayText&gt;&lt;record&gt;&lt;dates&gt;&lt;pub-dates&gt;&lt;date&gt;Aug 6&lt;/date&gt;&lt;/pub-dates&gt;&lt;year&gt;2015&lt;/year&gt;&lt;/dates&gt;&lt;urls&gt;&lt;related-urls&gt;&lt;url&gt;&amp;lt;Go to ISI&amp;gt;://WOS:000359002300031&lt;/url&gt;&lt;/related-urls&gt;&lt;/urls&gt;&lt;isbn&gt;0028-0836&lt;/isbn&gt;&lt;work-type&gt;Article&lt;/work-type&gt;&lt;titles&gt;&lt;title&gt;HipBA-promoter structures reveal the basis of heritable multidrug tolerance&lt;/title&gt;&lt;secondary-title&gt;Nature&lt;/secondary-title&gt;&lt;/titles&gt;&lt;pages&gt;59-U108&lt;/pages&gt;&lt;number&gt;7563&lt;/number&gt;&lt;contributors&gt;&lt;authors&gt;&lt;author&gt;Schumacher, Maria A.&lt;/author&gt;&lt;author&gt;Balani, Pooja&lt;/author&gt;&lt;author&gt;Min, Jungki&lt;/author&gt;&lt;author&gt;Chinnam, Naga Babu&lt;/author&gt;&lt;author&gt;Hansen, Sonja&lt;/author&gt;&lt;author&gt;Vulic, Marin&lt;/author&gt;&lt;author&gt;Lewis, Kim&lt;/author&gt;&lt;author&gt;Brennan, Richard G.&lt;/author&gt;&lt;/authors&gt;&lt;/contributors&gt;&lt;added-date format="utc"&gt;1673984815&lt;/added-date&gt;&lt;ref-type name="Journal Article"&gt;17&lt;/ref-type&gt;&lt;rec-number&gt;208&lt;/rec-number&gt;&lt;last-updated-date format="utc"&gt;1673984815&lt;/last-updated-date&gt;&lt;accession-num&gt;WOS:000359002300031&lt;/accession-num&gt;&lt;electronic-resource-num&gt;10.1038/nature14662&lt;/electronic-resource-num&gt;&lt;volume&gt;524&lt;/volume&gt;&lt;/record&gt;&lt;/Cite&gt;&lt;/EndNote&gt;</w:instrText>
      </w:r>
      <w:r w:rsidRPr="00B922C7">
        <w:rPr>
          <w:rFonts w:ascii="Times New Roman" w:hAnsi="Times New Roman" w:cs="Times New Roman"/>
          <w:b/>
          <w:bCs/>
        </w:rPr>
        <w:fldChar w:fldCharType="separate"/>
      </w:r>
      <w:r w:rsidRPr="00B922C7">
        <w:rPr>
          <w:rFonts w:ascii="Times New Roman" w:hAnsi="Times New Roman" w:cs="Times New Roman"/>
          <w:b/>
          <w:bCs/>
          <w:noProof/>
        </w:rPr>
        <w:t>(Schumacher</w:t>
      </w:r>
      <w:r w:rsidRPr="00B922C7">
        <w:rPr>
          <w:rFonts w:ascii="Times New Roman" w:hAnsi="Times New Roman" w:cs="Times New Roman"/>
          <w:b/>
          <w:bCs/>
          <w:i/>
          <w:noProof/>
        </w:rPr>
        <w:t xml:space="preserve"> et al.</w:t>
      </w:r>
      <w:r w:rsidRPr="00B922C7">
        <w:rPr>
          <w:rFonts w:ascii="Times New Roman" w:hAnsi="Times New Roman" w:cs="Times New Roman"/>
          <w:b/>
          <w:bCs/>
          <w:noProof/>
        </w:rPr>
        <w:t>, 2015)</w:t>
      </w:r>
      <w:r w:rsidRPr="00B922C7">
        <w:rPr>
          <w:rFonts w:ascii="Times New Roman" w:hAnsi="Times New Roman" w:cs="Times New Roman"/>
          <w:b/>
          <w:bCs/>
        </w:rPr>
        <w:fldChar w:fldCharType="end"/>
      </w:r>
      <w:r>
        <w:rPr>
          <w:rFonts w:ascii="Times New Roman" w:hAnsi="Times New Roman" w:cs="Times New Roman"/>
        </w:rPr>
        <w:t xml:space="preserve"> and dimerisation of ribosomes </w:t>
      </w:r>
      <w:r w:rsidRPr="00AC185D">
        <w:rPr>
          <w:rFonts w:ascii="Times New Roman" w:hAnsi="Times New Roman" w:cs="Times New Roman"/>
          <w:b/>
          <w:bCs/>
        </w:rPr>
        <w:fldChar w:fldCharType="begin"/>
      </w:r>
      <w:r w:rsidRPr="00AC185D">
        <w:rPr>
          <w:rFonts w:ascii="Times New Roman" w:hAnsi="Times New Roman" w:cs="Times New Roman"/>
          <w:b/>
          <w:bCs/>
        </w:rPr>
        <w:instrText xml:space="preserve"> ADDIN EN.CITE &lt;EndNote&gt;&lt;Cite&gt;&lt;Author&gt;Song&lt;/Author&gt;&lt;Year&gt;2020&lt;/Year&gt;&lt;IDText&gt;ppGpp ribosome dimerization model for bacterial persister formation and resuscitation&lt;/IDText&gt;&lt;DisplayText&gt;(Song and Wood, 2020)&lt;/DisplayText&gt;&lt;record&gt;&lt;dates&gt;&lt;pub-dates&gt;&lt;date&gt;Mar 5&lt;/date&gt;&lt;/pub-dates&gt;&lt;year&gt;2020&lt;/year&gt;&lt;/dates&gt;&lt;urls&gt;&lt;related-urls&gt;&lt;url&gt;&amp;lt;Go to ISI&amp;gt;://WOS:000524737600001&lt;/url&gt;&lt;/related-urls&gt;&lt;/urls&gt;&lt;isbn&gt;0006-291X&lt;/isbn&gt;&lt;work-type&gt;Article&lt;/work-type&gt;&lt;titles&gt;&lt;title&gt;ppGpp ribosome dimerization model for bacterial persister formation and resuscitation&lt;/title&gt;&lt;secondary-title&gt;Biochemical and Biophysical Research Communications&lt;/secondary-title&gt;&lt;/titles&gt;&lt;pages&gt;281-286&lt;/pages&gt;&lt;number&gt;2&lt;/number&gt;&lt;contributors&gt;&lt;authors&gt;&lt;author&gt;Song, Sooyeon&lt;/author&gt;&lt;author&gt;Wood, Thomas K.&lt;/author&gt;&lt;/authors&gt;&lt;/contributors&gt;&lt;added-date format="utc"&gt;1673985246&lt;/added-date&gt;&lt;ref-type name="Journal Article"&gt;17&lt;/ref-type&gt;&lt;rec-number&gt;212&lt;/rec-number&gt;&lt;last-updated-date format="utc"&gt;1673985246&lt;/last-updated-date&gt;&lt;accession-num&gt;WOS:000524737600001&lt;/accession-num&gt;&lt;electronic-resource-num&gt;10.1016/j.bbrc.2020.01.102&lt;/electronic-resource-num&gt;&lt;volume&gt;523&lt;/volume&gt;&lt;/record&gt;&lt;/Cite&gt;&lt;/EndNote&gt;</w:instrText>
      </w:r>
      <w:r w:rsidRPr="00AC185D">
        <w:rPr>
          <w:rFonts w:ascii="Times New Roman" w:hAnsi="Times New Roman" w:cs="Times New Roman"/>
          <w:b/>
          <w:bCs/>
        </w:rPr>
        <w:fldChar w:fldCharType="separate"/>
      </w:r>
      <w:r w:rsidRPr="00AC185D">
        <w:rPr>
          <w:rFonts w:ascii="Times New Roman" w:hAnsi="Times New Roman" w:cs="Times New Roman"/>
          <w:b/>
          <w:bCs/>
          <w:noProof/>
        </w:rPr>
        <w:t>(Song and Wood, 2020)</w:t>
      </w:r>
      <w:r w:rsidRPr="00AC185D">
        <w:rPr>
          <w:rFonts w:ascii="Times New Roman" w:hAnsi="Times New Roman" w:cs="Times New Roman"/>
          <w:b/>
          <w:bCs/>
        </w:rPr>
        <w:fldChar w:fldCharType="end"/>
      </w:r>
      <w:r>
        <w:rPr>
          <w:rFonts w:ascii="Times New Roman" w:hAnsi="Times New Roman" w:cs="Times New Roman"/>
        </w:rPr>
        <w:t xml:space="preserve">. </w:t>
      </w:r>
      <w:r w:rsidRPr="00D20988">
        <w:rPr>
          <w:rFonts w:ascii="Times New Roman" w:hAnsi="Times New Roman" w:cs="Times New Roman"/>
        </w:rPr>
        <w:t xml:space="preserve">The </w:t>
      </w:r>
      <w:r>
        <w:rPr>
          <w:rFonts w:ascii="Times New Roman" w:hAnsi="Times New Roman" w:cs="Times New Roman"/>
        </w:rPr>
        <w:t xml:space="preserve">only known study implicating the role of the stringent response for survival of </w:t>
      </w:r>
      <w:r>
        <w:rPr>
          <w:rFonts w:ascii="Times New Roman" w:hAnsi="Times New Roman" w:cs="Times New Roman"/>
          <w:i/>
          <w:iCs/>
        </w:rPr>
        <w:t>S. aureus</w:t>
      </w:r>
      <w:r>
        <w:rPr>
          <w:rFonts w:ascii="Times New Roman" w:hAnsi="Times New Roman" w:cs="Times New Roman"/>
        </w:rPr>
        <w:t xml:space="preserve"> within macrophages was conducted by </w:t>
      </w:r>
      <w:r w:rsidRPr="003D2488">
        <w:rPr>
          <w:rFonts w:ascii="Times New Roman" w:hAnsi="Times New Roman" w:cs="Times New Roman"/>
        </w:rPr>
        <w:t>Peyrusson and colleagues</w:t>
      </w:r>
      <w:r>
        <w:rPr>
          <w:rFonts w:ascii="Times New Roman" w:hAnsi="Times New Roman" w:cs="Times New Roman"/>
        </w:rPr>
        <w:t xml:space="preserve">, who found that the load of antibiotic-induced persister colonies were reduced in a </w:t>
      </w:r>
      <w:r>
        <w:rPr>
          <w:rFonts w:ascii="Times New Roman" w:hAnsi="Times New Roman" w:cs="Times New Roman"/>
          <w:i/>
          <w:iCs/>
        </w:rPr>
        <w:t>rel</w:t>
      </w:r>
      <w:r>
        <w:rPr>
          <w:rFonts w:ascii="Times New Roman" w:hAnsi="Times New Roman" w:cs="Times New Roman"/>
        </w:rPr>
        <w:t xml:space="preserve">-negative background and an additional decrease in load was observed in the absence of both </w:t>
      </w:r>
      <w:r>
        <w:rPr>
          <w:rFonts w:ascii="Times New Roman" w:hAnsi="Times New Roman" w:cs="Times New Roman"/>
          <w:i/>
          <w:iCs/>
        </w:rPr>
        <w:t xml:space="preserve">rel </w:t>
      </w:r>
      <w:r>
        <w:rPr>
          <w:rFonts w:ascii="Times New Roman" w:hAnsi="Times New Roman" w:cs="Times New Roman"/>
        </w:rPr>
        <w:t xml:space="preserve">and </w:t>
      </w:r>
      <w:r>
        <w:rPr>
          <w:rFonts w:ascii="Times New Roman" w:hAnsi="Times New Roman" w:cs="Times New Roman"/>
          <w:i/>
          <w:iCs/>
        </w:rPr>
        <w:t xml:space="preserve">codY. </w:t>
      </w:r>
      <w:r>
        <w:rPr>
          <w:rFonts w:ascii="Times New Roman" w:hAnsi="Times New Roman" w:cs="Times New Roman"/>
        </w:rPr>
        <w:t xml:space="preserve">This study suggested that the stringent response was one of the pathways involved in the development of persistence. Additionally, </w:t>
      </w:r>
      <w:r>
        <w:rPr>
          <w:rFonts w:ascii="Times New Roman" w:hAnsi="Times New Roman" w:cs="Times New Roman"/>
          <w:i/>
          <w:iCs/>
        </w:rPr>
        <w:t xml:space="preserve">in vitro </w:t>
      </w:r>
      <w:r>
        <w:rPr>
          <w:rFonts w:ascii="Times New Roman" w:hAnsi="Times New Roman" w:cs="Times New Roman"/>
        </w:rPr>
        <w:t>work has shown that the stringent response is necessary for the up</w:t>
      </w:r>
      <w:r w:rsidRPr="00A23AAC">
        <w:rPr>
          <w:rFonts w:ascii="Times New Roman" w:hAnsi="Times New Roman" w:cs="Times New Roman"/>
        </w:rPr>
        <w:t xml:space="preserve">regulation </w:t>
      </w:r>
      <w:r>
        <w:rPr>
          <w:rFonts w:ascii="Times New Roman" w:hAnsi="Times New Roman" w:cs="Times New Roman"/>
        </w:rPr>
        <w:t xml:space="preserve">of PSMs in a Rel-dependent manner </w:t>
      </w:r>
      <w:r w:rsidRPr="00224429">
        <w:rPr>
          <w:rFonts w:ascii="Times New Roman" w:hAnsi="Times New Roman" w:cs="Times New Roman"/>
          <w:b/>
          <w:bCs/>
        </w:rPr>
        <w:fldChar w:fldCharType="begin"/>
      </w:r>
      <w:r w:rsidRPr="00224429">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2012)&lt;/DisplayText&gt;&lt;record&gt;&lt;dates&gt;&lt;pub-dates&gt;&lt;date&gt;2013-06-04&lt;/date&gt;&lt;/pub-dates&gt;&lt;year&gt;2012&lt;/year&gt;&lt;/dates&gt;&lt;urls&gt;&lt;related-urls&gt;&lt;url&gt;&amp;lt;Go to ISI&amp;gt;://DRCI:DATA2013076003393588&lt;/url&gt;&lt;/related-urls&gt;&lt;/urls&gt;&lt;titles&gt;&lt;title&gt;The Stringent Response of Staphylococcus aureus and Its Impact on Survival after Phagocytosis through the Induction of Intracellular PSMs Expression&lt;/title&gt;&lt;secondary-title&gt;Figshare&lt;/secondary-title&gt;&lt;/titles&gt;&lt;contributors&gt;&lt;authors&gt;&lt;author&gt;Geiger,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format="utc"&gt;1663624413&lt;/last-updated-date&gt;&lt;accession-num&gt;DRCI:DATA2013076003393588&lt;/accession-num&gt;&lt;volume&gt;1&lt;/volume&gt;&lt;/record&gt;&lt;/Cite&gt;&lt;/EndNote&gt;</w:instrText>
      </w:r>
      <w:r w:rsidRPr="00224429">
        <w:rPr>
          <w:rFonts w:ascii="Times New Roman" w:hAnsi="Times New Roman" w:cs="Times New Roman"/>
          <w:b/>
          <w:bCs/>
        </w:rPr>
        <w:fldChar w:fldCharType="separate"/>
      </w:r>
      <w:r w:rsidRPr="00224429">
        <w:rPr>
          <w:rFonts w:ascii="Times New Roman" w:hAnsi="Times New Roman" w:cs="Times New Roman"/>
          <w:b/>
          <w:bCs/>
          <w:noProof/>
        </w:rPr>
        <w:t>(Geiger</w:t>
      </w:r>
      <w:r w:rsidRPr="00224429">
        <w:rPr>
          <w:rFonts w:ascii="Times New Roman" w:hAnsi="Times New Roman" w:cs="Times New Roman"/>
          <w:b/>
          <w:bCs/>
          <w:i/>
          <w:noProof/>
        </w:rPr>
        <w:t xml:space="preserve"> et al.</w:t>
      </w:r>
      <w:r w:rsidRPr="00224429">
        <w:rPr>
          <w:rFonts w:ascii="Times New Roman" w:hAnsi="Times New Roman" w:cs="Times New Roman"/>
          <w:b/>
          <w:bCs/>
          <w:noProof/>
        </w:rPr>
        <w:t>, 2012)</w:t>
      </w:r>
      <w:r w:rsidRPr="00224429">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with Rel also implicated in responding to oxidative stress </w:t>
      </w:r>
      <w:r w:rsidRPr="009832A9">
        <w:rPr>
          <w:rFonts w:ascii="Times New Roman" w:hAnsi="Times New Roman" w:cs="Times New Roman"/>
          <w:b/>
          <w:bCs/>
        </w:rPr>
        <w:fldChar w:fldCharType="begin"/>
      </w:r>
      <w:r w:rsidRPr="009832A9">
        <w:rPr>
          <w:rFonts w:ascii="Times New Roman" w:hAnsi="Times New Roman" w:cs="Times New Roman"/>
          <w:b/>
          <w:bCs/>
        </w:rPr>
        <w:instrText xml:space="preserve"> ADDIN EN.CITE &lt;EndNote&gt;&lt;Cite&gt;&lt;Author&gt;Horvatek&lt;/Author&gt;&lt;Year&gt;2020&lt;/Year&gt;&lt;IDText&gt;Inducible expression of (pp)pGpp synthetases in Staphylococcus aureus is associated with activation of stress response genes&lt;/IDText&gt;&lt;DisplayText&gt;(Horvatek&lt;style face="italic"&gt; et al.&lt;/style&gt;, 2020)&lt;/DisplayText&gt;&lt;record&gt;&lt;dates&gt;&lt;pub-dates&gt;&lt;date&gt;Dec&lt;/date&gt;&lt;/pub-dates&gt;&lt;year&gt;2020&lt;/year&gt;&lt;/dates&gt;&lt;urls&gt;&lt;related-urls&gt;&lt;url&gt;&amp;lt;Go to ISI&amp;gt;://WOS:000605323700002&lt;/url&gt;&lt;/related-urls&gt;&lt;/urls&gt;&lt;isbn&gt;1553-7404&lt;/isbn&gt;&lt;work-type&gt;Article&lt;/work-type&gt;&lt;titles&gt;&lt;title&gt;Inducible expression of (pp)pGpp synthetases in Staphylococcus aureus is associated with activation of stress response genes&lt;/title&gt;&lt;secondary-title&gt;Plos Genetics&lt;/secondary-title&gt;&lt;/titles&gt;&lt;number&gt;12&lt;/number&gt;&lt;contributors&gt;&lt;authors&gt;&lt;author&gt;Horvatek, Petra&lt;/author&gt;&lt;author&gt;Salzer, Andrea&lt;/author&gt;&lt;author&gt;Hanna, Andrew Magdy Fekry&lt;/author&gt;&lt;author&gt;Gratani, Fabio Lino&lt;/author&gt;&lt;author&gt;Keinhoerster, Daniela&lt;/author&gt;&lt;author&gt;Korn, Natalya&lt;/author&gt;&lt;author&gt;Borisova, Marina&lt;/author&gt;&lt;author&gt;Mayer, Christoph&lt;/author&gt;&lt;author&gt;Rejman, Dominik&lt;/author&gt;&lt;author&gt;Maeder, Ulrike&lt;/author&gt;&lt;author&gt;Wolz, Christiane&lt;/author&gt;&lt;/authors&gt;&lt;/contributors&gt;&lt;custom7&gt;e1009282&lt;/custom7&gt;&lt;added-date format="utc"&gt;1674489920&lt;/added-date&gt;&lt;ref-type name="Journal Article"&gt;17&lt;/ref-type&gt;&lt;rec-number&gt;243&lt;/rec-number&gt;&lt;last-updated-date format="utc"&gt;1675008997&lt;/last-updated-date&gt;&lt;accession-num&gt;WOS:000605323700002&lt;/accession-num&gt;&lt;electronic-resource-num&gt;10.1371/journal.pgen.1009282&lt;/electronic-resource-num&gt;&lt;volume&gt;16&lt;/volume&gt;&lt;/record&gt;&lt;/Cite&gt;&lt;/EndNote&gt;</w:instrText>
      </w:r>
      <w:r w:rsidRPr="009832A9">
        <w:rPr>
          <w:rFonts w:ascii="Times New Roman" w:hAnsi="Times New Roman" w:cs="Times New Roman"/>
          <w:b/>
          <w:bCs/>
        </w:rPr>
        <w:fldChar w:fldCharType="separate"/>
      </w:r>
      <w:r w:rsidRPr="009832A9">
        <w:rPr>
          <w:rFonts w:ascii="Times New Roman" w:hAnsi="Times New Roman" w:cs="Times New Roman"/>
          <w:b/>
          <w:bCs/>
          <w:noProof/>
        </w:rPr>
        <w:t>(Horvatek</w:t>
      </w:r>
      <w:r w:rsidRPr="009832A9">
        <w:rPr>
          <w:rFonts w:ascii="Times New Roman" w:hAnsi="Times New Roman" w:cs="Times New Roman"/>
          <w:b/>
          <w:bCs/>
          <w:i/>
          <w:noProof/>
        </w:rPr>
        <w:t xml:space="preserve"> et al.</w:t>
      </w:r>
      <w:r w:rsidRPr="009832A9">
        <w:rPr>
          <w:rFonts w:ascii="Times New Roman" w:hAnsi="Times New Roman" w:cs="Times New Roman"/>
          <w:b/>
          <w:bCs/>
          <w:noProof/>
        </w:rPr>
        <w:t>, 2020)</w:t>
      </w:r>
      <w:r w:rsidRPr="009832A9">
        <w:rPr>
          <w:rFonts w:ascii="Times New Roman" w:hAnsi="Times New Roman" w:cs="Times New Roman"/>
          <w:b/>
          <w:bCs/>
        </w:rPr>
        <w:fldChar w:fldCharType="end"/>
      </w:r>
      <w:r>
        <w:rPr>
          <w:rFonts w:ascii="Times New Roman" w:hAnsi="Times New Roman" w:cs="Times New Roman"/>
        </w:rPr>
        <w:t xml:space="preserve">. Thus, the stringent response, in particular Rel, is important for survival of bacteria within macrophages and PMNs, with persistence being the most studied phenomena. As phagocytes such as neutrophils and macrophages are the first line of defence against infection and can be an intracellular niche for the growth of </w:t>
      </w:r>
      <w:r>
        <w:rPr>
          <w:rFonts w:ascii="Times New Roman" w:hAnsi="Times New Roman" w:cs="Times New Roman"/>
          <w:i/>
          <w:iCs/>
        </w:rPr>
        <w:t>S. aureus</w:t>
      </w:r>
      <w:r>
        <w:rPr>
          <w:rFonts w:ascii="Times New Roman" w:hAnsi="Times New Roman" w:cs="Times New Roman"/>
        </w:rPr>
        <w:t xml:space="preserve">, it is necessary to further investigate the role of the staphylococcal stringent response in pathogenesis and survival. </w:t>
      </w:r>
      <w:bookmarkStart w:id="139" w:name="_Hlk126393196"/>
      <w:r w:rsidRPr="00D575F5">
        <w:rPr>
          <w:rFonts w:ascii="Times New Roman" w:hAnsi="Times New Roman" w:cs="Times New Roman"/>
        </w:rPr>
        <w:t xml:space="preserve">This chapter investigates how the stringent response is important for </w:t>
      </w:r>
      <w:r w:rsidRPr="00D575F5">
        <w:rPr>
          <w:rFonts w:ascii="Times New Roman" w:hAnsi="Times New Roman" w:cs="Times New Roman"/>
          <w:i/>
          <w:iCs/>
        </w:rPr>
        <w:t xml:space="preserve">S. aureus </w:t>
      </w:r>
      <w:r w:rsidRPr="00D575F5">
        <w:rPr>
          <w:rFonts w:ascii="Times New Roman" w:hAnsi="Times New Roman" w:cs="Times New Roman"/>
        </w:rPr>
        <w:t xml:space="preserve">survival </w:t>
      </w:r>
      <w:r>
        <w:rPr>
          <w:rFonts w:ascii="Times New Roman" w:hAnsi="Times New Roman" w:cs="Times New Roman"/>
        </w:rPr>
        <w:t xml:space="preserve">by examining tolerance </w:t>
      </w:r>
      <w:r w:rsidRPr="00D575F5">
        <w:rPr>
          <w:rFonts w:ascii="Times New Roman" w:hAnsi="Times New Roman" w:cs="Times New Roman"/>
        </w:rPr>
        <w:t xml:space="preserve">in the presence of stressors that mimic the conditions within a phagolysosome using </w:t>
      </w:r>
      <w:r w:rsidRPr="00D575F5">
        <w:rPr>
          <w:rFonts w:ascii="Times New Roman" w:hAnsi="Times New Roman" w:cs="Times New Roman"/>
          <w:i/>
          <w:iCs/>
        </w:rPr>
        <w:t>in vitro</w:t>
      </w:r>
      <w:r w:rsidRPr="00D575F5">
        <w:rPr>
          <w:rFonts w:ascii="Times New Roman" w:hAnsi="Times New Roman" w:cs="Times New Roman"/>
        </w:rPr>
        <w:t xml:space="preserve"> tolerance assays.</w:t>
      </w:r>
      <w:bookmarkEnd w:id="139"/>
    </w:p>
    <w:p w14:paraId="765431E2" w14:textId="77777777" w:rsidR="00187693" w:rsidRPr="00D27136" w:rsidRDefault="00187693" w:rsidP="00187693">
      <w:pPr>
        <w:pStyle w:val="Heading2"/>
      </w:pPr>
      <w:bookmarkStart w:id="140" w:name="_Toc142043641"/>
      <w:r>
        <w:t xml:space="preserve">4.2. </w:t>
      </w:r>
      <w:r>
        <w:rPr>
          <w:i/>
          <w:iCs/>
        </w:rPr>
        <w:t>In vitro</w:t>
      </w:r>
      <w:r>
        <w:t xml:space="preserve"> investigation of the importance of the stringent response under conditions that mimic the phagolysosome</w:t>
      </w:r>
      <w:bookmarkEnd w:id="140"/>
    </w:p>
    <w:p w14:paraId="170AB499" w14:textId="77777777" w:rsidR="00187693" w:rsidRDefault="00187693" w:rsidP="00187693"/>
    <w:p w14:paraId="10BF110D" w14:textId="77777777" w:rsidR="00187693" w:rsidRDefault="00187693" w:rsidP="00187693">
      <w:pPr>
        <w:spacing w:line="360" w:lineRule="auto"/>
        <w:jc w:val="both"/>
        <w:rPr>
          <w:rFonts w:ascii="Times New Roman" w:hAnsi="Times New Roman" w:cs="Times New Roman"/>
        </w:rPr>
      </w:pPr>
      <w:r>
        <w:rPr>
          <w:rFonts w:ascii="Times New Roman" w:hAnsi="Times New Roman" w:cs="Times New Roman"/>
        </w:rPr>
        <w:t xml:space="preserve">Upon internalisation by phagocytosis, </w:t>
      </w:r>
      <w:r>
        <w:rPr>
          <w:rFonts w:ascii="Times New Roman" w:hAnsi="Times New Roman" w:cs="Times New Roman"/>
          <w:i/>
          <w:iCs/>
        </w:rPr>
        <w:t xml:space="preserve">S. aureus </w:t>
      </w:r>
      <w:r>
        <w:rPr>
          <w:rFonts w:ascii="Times New Roman" w:hAnsi="Times New Roman" w:cs="Times New Roman"/>
        </w:rPr>
        <w:t xml:space="preserve">are encapsulated in a phagosome which matures and fuses with a lysosome </w:t>
      </w:r>
      <w:r w:rsidRPr="003B3D01">
        <w:rPr>
          <w:rFonts w:ascii="Times New Roman" w:hAnsi="Times New Roman" w:cs="Times New Roman"/>
          <w:b/>
          <w:bCs/>
        </w:rPr>
        <w:fldChar w:fldCharType="begin"/>
      </w:r>
      <w:r w:rsidRPr="003B3D01">
        <w:rPr>
          <w:rFonts w:ascii="Times New Roman" w:hAnsi="Times New Roman" w:cs="Times New Roman"/>
          <w:b/>
          <w:bCs/>
        </w:rPr>
        <w:instrText xml:space="preserve"> ADDIN EN.CITE &lt;EndNote&gt;&lt;Cite&gt;&lt;Author&gt;Pidwill&lt;/Author&gt;&lt;Year&gt;2021&lt;/Year&gt;&lt;IDText&gt;The Role of Macrophages in Staphylococcus aureus Infection&lt;/IDText&gt;&lt;DisplayText&gt;(Pidwill&lt;style face="italic"&gt; et al.&lt;/style&gt;, 2021)&lt;/DisplayText&gt;&lt;record&gt;&lt;dates&gt;&lt;pub-dates&gt;&lt;date&gt;Jan 19&lt;/date&gt;&lt;/pub-dates&gt;&lt;year&gt;2021&lt;/year&gt;&lt;/dates&gt;&lt;urls&gt;&lt;related-urls&gt;&lt;url&gt;&amp;lt;Go to ISI&amp;gt;://WOS:000613515300001&lt;/url&gt;&lt;/related-urls&gt;&lt;/urls&gt;&lt;isbn&gt;1664-3224&lt;/isbn&gt;&lt;work-type&gt;Review&lt;/work-type&gt;&lt;titles&gt;&lt;title&gt;The Role of Macrophages in Staphylococcus aureus Infection&lt;/title&gt;&lt;secondary-title&gt;Frontiers in Immunology&lt;/secondary-title&gt;&lt;/titles&gt;&lt;contributors&gt;&lt;authors&gt;&lt;author&gt;Pidwill, Grace R.&lt;/author&gt;&lt;author&gt;Gibson, Josie F.&lt;/author&gt;&lt;author&gt;Cole, Joby&lt;/author&gt;&lt;author&gt;Renshaw, Stephen A.&lt;/author&gt;&lt;author&gt;Foster, Simon J.&lt;/author&gt;&lt;/authors&gt;&lt;/contributors&gt;&lt;custom7&gt;620339&lt;/custom7&gt;&lt;added-date format="utc"&gt;1674317809&lt;/added-date&gt;&lt;ref-type name="Journal Article"&gt;17&lt;/ref-type&gt;&lt;rec-number&gt;227&lt;/rec-number&gt;&lt;last-updated-date format="utc"&gt;1674317809&lt;/last-updated-date&gt;&lt;accession-num&gt;WOS:000613515300001&lt;/accession-num&gt;&lt;electronic-resource-num&gt;10.3389/fimmu.2020.620339&lt;/electronic-resource-num&gt;&lt;volume&gt;11&lt;/volume&gt;&lt;/record&gt;&lt;/Cite&gt;&lt;/EndNote&gt;</w:instrText>
      </w:r>
      <w:r w:rsidRPr="003B3D01">
        <w:rPr>
          <w:rFonts w:ascii="Times New Roman" w:hAnsi="Times New Roman" w:cs="Times New Roman"/>
          <w:b/>
          <w:bCs/>
        </w:rPr>
        <w:fldChar w:fldCharType="separate"/>
      </w:r>
      <w:r w:rsidRPr="003B3D01">
        <w:rPr>
          <w:rFonts w:ascii="Times New Roman" w:hAnsi="Times New Roman" w:cs="Times New Roman"/>
          <w:b/>
          <w:bCs/>
          <w:noProof/>
        </w:rPr>
        <w:t>(Pidwill</w:t>
      </w:r>
      <w:r w:rsidRPr="003B3D01">
        <w:rPr>
          <w:rFonts w:ascii="Times New Roman" w:hAnsi="Times New Roman" w:cs="Times New Roman"/>
          <w:b/>
          <w:bCs/>
          <w:i/>
          <w:noProof/>
        </w:rPr>
        <w:t xml:space="preserve"> et al.</w:t>
      </w:r>
      <w:r w:rsidRPr="003B3D01">
        <w:rPr>
          <w:rFonts w:ascii="Times New Roman" w:hAnsi="Times New Roman" w:cs="Times New Roman"/>
          <w:b/>
          <w:bCs/>
          <w:noProof/>
        </w:rPr>
        <w:t>, 2021)</w:t>
      </w:r>
      <w:r w:rsidRPr="003B3D01">
        <w:rPr>
          <w:rFonts w:ascii="Times New Roman" w:hAnsi="Times New Roman" w:cs="Times New Roman"/>
          <w:b/>
          <w:bCs/>
        </w:rPr>
        <w:fldChar w:fldCharType="end"/>
      </w:r>
      <w:r>
        <w:rPr>
          <w:rFonts w:ascii="Times New Roman" w:hAnsi="Times New Roman" w:cs="Times New Roman"/>
        </w:rPr>
        <w:t xml:space="preserve">. This fusion process allows the formation of a cytoplasmic body, named the phagolysosome, containing many antimicrobial components including: v-ATPase to lower pH, AMPs, antimicrobial metabolites, various degradative enzymes and ROS-producing enzymes </w:t>
      </w:r>
      <w:r w:rsidRPr="003B3D01">
        <w:rPr>
          <w:rFonts w:ascii="Times New Roman" w:hAnsi="Times New Roman" w:cs="Times New Roman"/>
          <w:b/>
          <w:bCs/>
        </w:rPr>
        <w:fldChar w:fldCharType="begin"/>
      </w:r>
      <w:r w:rsidRPr="003B3D01">
        <w:rPr>
          <w:rFonts w:ascii="Times New Roman" w:hAnsi="Times New Roman" w:cs="Times New Roman"/>
          <w:b/>
          <w:bCs/>
        </w:rPr>
        <w:instrText xml:space="preserve"> ADDIN EN.CITE &lt;EndNote&gt;&lt;Cite&gt;&lt;Author&gt;Pidwill&lt;/Author&gt;&lt;Year&gt;2021&lt;/Year&gt;&lt;IDText&gt;The Role of Macrophages in Staphylococcus aureus Infection&lt;/IDText&gt;&lt;DisplayText&gt;(Pidwill&lt;style face="italic"&gt; et al.&lt;/style&gt;, 2021)&lt;/DisplayText&gt;&lt;record&gt;&lt;dates&gt;&lt;pub-dates&gt;&lt;date&gt;Jan 19&lt;/date&gt;&lt;/pub-dates&gt;&lt;year&gt;2021&lt;/year&gt;&lt;/dates&gt;&lt;urls&gt;&lt;related-urls&gt;&lt;url&gt;&amp;lt;Go to ISI&amp;gt;://WOS:000613515300001&lt;/url&gt;&lt;/related-urls&gt;&lt;/urls&gt;&lt;isbn&gt;1664-3224&lt;/isbn&gt;&lt;work-type&gt;Review&lt;/work-type&gt;&lt;titles&gt;&lt;title&gt;The Role of Macrophages in Staphylococcus aureus Infection&lt;/title&gt;&lt;secondary-title&gt;Frontiers in Immunology&lt;/secondary-title&gt;&lt;/titles&gt;&lt;contributors&gt;&lt;authors&gt;&lt;author&gt;Pidwill, Grace R.&lt;/author&gt;&lt;author&gt;Gibson, Josie F.&lt;/author&gt;&lt;author&gt;Cole, Joby&lt;/author&gt;&lt;author&gt;Renshaw, Stephen A.&lt;/author&gt;&lt;author&gt;Foster, Simon J.&lt;/author&gt;&lt;/authors&gt;&lt;/contributors&gt;&lt;custom7&gt;620339&lt;/custom7&gt;&lt;added-date format="utc"&gt;1674317809&lt;/added-date&gt;&lt;ref-type name="Journal Article"&gt;17&lt;/ref-type&gt;&lt;rec-number&gt;227&lt;/rec-number&gt;&lt;last-updated-date format="utc"&gt;1674317809&lt;/last-updated-date&gt;&lt;accession-num&gt;WOS:000613515300001&lt;/accession-num&gt;&lt;electronic-resource-num&gt;10.3389/fimmu.2020.620339&lt;/electronic-resource-num&gt;&lt;volume&gt;11&lt;/volume&gt;&lt;/record&gt;&lt;/Cite&gt;&lt;/EndNote&gt;</w:instrText>
      </w:r>
      <w:r w:rsidRPr="003B3D01">
        <w:rPr>
          <w:rFonts w:ascii="Times New Roman" w:hAnsi="Times New Roman" w:cs="Times New Roman"/>
          <w:b/>
          <w:bCs/>
        </w:rPr>
        <w:fldChar w:fldCharType="separate"/>
      </w:r>
      <w:r w:rsidRPr="003B3D01">
        <w:rPr>
          <w:rFonts w:ascii="Times New Roman" w:hAnsi="Times New Roman" w:cs="Times New Roman"/>
          <w:b/>
          <w:bCs/>
          <w:noProof/>
        </w:rPr>
        <w:t>(Pidwill</w:t>
      </w:r>
      <w:r w:rsidRPr="003B3D01">
        <w:rPr>
          <w:rFonts w:ascii="Times New Roman" w:hAnsi="Times New Roman" w:cs="Times New Roman"/>
          <w:b/>
          <w:bCs/>
          <w:i/>
          <w:noProof/>
        </w:rPr>
        <w:t xml:space="preserve"> et al.</w:t>
      </w:r>
      <w:r w:rsidRPr="003B3D01">
        <w:rPr>
          <w:rFonts w:ascii="Times New Roman" w:hAnsi="Times New Roman" w:cs="Times New Roman"/>
          <w:b/>
          <w:bCs/>
          <w:noProof/>
        </w:rPr>
        <w:t>, 2021)</w:t>
      </w:r>
      <w:r w:rsidRPr="003B3D01">
        <w:rPr>
          <w:rFonts w:ascii="Times New Roman" w:hAnsi="Times New Roman" w:cs="Times New Roman"/>
          <w:b/>
          <w:bCs/>
        </w:rPr>
        <w:fldChar w:fldCharType="end"/>
      </w:r>
      <w:r w:rsidRPr="003B3D01">
        <w:rPr>
          <w:rFonts w:ascii="Times New Roman" w:hAnsi="Times New Roman" w:cs="Times New Roman"/>
          <w:b/>
          <w:bCs/>
        </w:rPr>
        <w:t>.</w:t>
      </w:r>
      <w:r>
        <w:rPr>
          <w:rFonts w:ascii="Times New Roman" w:hAnsi="Times New Roman" w:cs="Times New Roman"/>
        </w:rPr>
        <w:t xml:space="preserve"> These host defence mechanisms target different components of the bacterial cell, allowing for its destruction and subsequent antigen presentation at the surface of various immune cells </w:t>
      </w:r>
      <w:r w:rsidRPr="003B3D01">
        <w:rPr>
          <w:rFonts w:ascii="Times New Roman" w:hAnsi="Times New Roman" w:cs="Times New Roman"/>
          <w:b/>
          <w:bCs/>
        </w:rPr>
        <w:fldChar w:fldCharType="begin"/>
      </w:r>
      <w:r w:rsidRPr="003B3D01">
        <w:rPr>
          <w:rFonts w:ascii="Times New Roman" w:hAnsi="Times New Roman" w:cs="Times New Roman"/>
          <w:b/>
          <w:bCs/>
        </w:rPr>
        <w:instrText xml:space="preserve"> ADDIN EN.CITE &lt;EndNote&gt;&lt;Cite&gt;&lt;Author&gt;Poirier&lt;/Author&gt;&lt;Year&gt;2015&lt;/Year&gt;&lt;IDText&gt;Intracellular Growth of Bacterial Pathogens: The Role of Secreted Effector Proteins in the Control of Phagocytosed Microorganisms&lt;/IDText&gt;&lt;DisplayText&gt;(Poirier and Av-Gay, 2015)&lt;/DisplayText&gt;&lt;record&gt;&lt;dates&gt;&lt;pub-dates&gt;&lt;date&gt;Dec&lt;/date&gt;&lt;/pub-dates&gt;&lt;year&gt;2015&lt;/year&gt;&lt;/dates&gt;&lt;urls&gt;&lt;related-urls&gt;&lt;url&gt;&amp;lt;Go to ISI&amp;gt;://WOS:000381800300013&lt;/url&gt;&lt;/related-urls&gt;&lt;/urls&gt;&lt;isbn&gt;2165-0497&lt;/isbn&gt;&lt;work-type&gt;Article&lt;/work-type&gt;&lt;titles&gt;&lt;title&gt;Intracellular Growth of Bacterial Pathogens: The Role of Secreted Effector Proteins in the Control of Phagocytosed Microorganisms&lt;/title&gt;&lt;secondary-title&gt;Microbiology Spectrum&lt;/secondary-title&gt;&lt;/titles&gt;&lt;number&gt;6&lt;/number&gt;&lt;contributors&gt;&lt;authors&gt;&lt;author&gt;Poirier, Valerie&lt;/author&gt;&lt;author&gt;Av-Gay, Yossef&lt;/author&gt;&lt;/authors&gt;&lt;/contributors&gt;&lt;custom7&gt;Vmbf-0003-2014&lt;/custom7&gt;&lt;added-date format="utc"&gt;1674318702&lt;/added-date&gt;&lt;ref-type name="Journal Article"&gt;17&lt;/ref-type&gt;&lt;rec-number&gt;230&lt;/rec-number&gt;&lt;last-updated-date format="utc"&gt;1674318702&lt;/last-updated-date&gt;&lt;accession-num&gt;WOS:000381800300013&lt;/accession-num&gt;&lt;electronic-resource-num&gt;10.1128/microbiolspec.VMBF-0003-2014&lt;/electronic-resource-num&gt;&lt;volume&gt;3&lt;/volume&gt;&lt;/record&gt;&lt;/Cite&gt;&lt;/EndNote&gt;</w:instrText>
      </w:r>
      <w:r w:rsidRPr="003B3D01">
        <w:rPr>
          <w:rFonts w:ascii="Times New Roman" w:hAnsi="Times New Roman" w:cs="Times New Roman"/>
          <w:b/>
          <w:bCs/>
        </w:rPr>
        <w:fldChar w:fldCharType="separate"/>
      </w:r>
      <w:r w:rsidRPr="003B3D01">
        <w:rPr>
          <w:rFonts w:ascii="Times New Roman" w:hAnsi="Times New Roman" w:cs="Times New Roman"/>
          <w:b/>
          <w:bCs/>
          <w:noProof/>
        </w:rPr>
        <w:t>(Poirier and Av-Gay, 2015)</w:t>
      </w:r>
      <w:r w:rsidRPr="003B3D01">
        <w:rPr>
          <w:rFonts w:ascii="Times New Roman" w:hAnsi="Times New Roman" w:cs="Times New Roman"/>
          <w:b/>
          <w:bCs/>
        </w:rPr>
        <w:fldChar w:fldCharType="end"/>
      </w:r>
      <w:r>
        <w:rPr>
          <w:rFonts w:ascii="Times New Roman" w:hAnsi="Times New Roman" w:cs="Times New Roman"/>
        </w:rPr>
        <w:t xml:space="preserve">. </w:t>
      </w:r>
    </w:p>
    <w:p w14:paraId="0CFDCD6F" w14:textId="77777777" w:rsidR="00187693" w:rsidRDefault="00187693" w:rsidP="00187693">
      <w:pPr>
        <w:pStyle w:val="Heading3"/>
      </w:pPr>
      <w:bookmarkStart w:id="141" w:name="_Toc142043642"/>
      <w:r>
        <w:t xml:space="preserve">4.2.1. The effect of antimicrobial peptides on the viability of </w:t>
      </w:r>
      <w:r>
        <w:rPr>
          <w:i/>
          <w:iCs/>
        </w:rPr>
        <w:t>S. aureus</w:t>
      </w:r>
      <w:r>
        <w:t xml:space="preserve"> stringent response mutants</w:t>
      </w:r>
      <w:bookmarkEnd w:id="141"/>
    </w:p>
    <w:p w14:paraId="7FBEC727" w14:textId="77777777" w:rsidR="00187693" w:rsidRDefault="00187693" w:rsidP="00187693"/>
    <w:p w14:paraId="54EB2D56" w14:textId="48BF2F36" w:rsidR="00187693" w:rsidRDefault="00187693" w:rsidP="00187693">
      <w:pPr>
        <w:spacing w:line="360" w:lineRule="auto"/>
        <w:jc w:val="both"/>
        <w:rPr>
          <w:rFonts w:ascii="Times New Roman" w:hAnsi="Times New Roman" w:cs="Times New Roman"/>
        </w:rPr>
      </w:pPr>
      <w:r>
        <w:rPr>
          <w:rFonts w:ascii="Times New Roman" w:hAnsi="Times New Roman" w:cs="Times New Roman"/>
        </w:rPr>
        <w:t xml:space="preserve">AMPs are important components of the host immune defence against phagocytosed pathogens and their main function is to damage microbial cell membranes. This is achieved by their net positive charge that enables interactions with the </w:t>
      </w:r>
      <w:r w:rsidR="003031B1">
        <w:rPr>
          <w:rFonts w:ascii="Times New Roman" w:hAnsi="Times New Roman" w:cs="Times New Roman"/>
        </w:rPr>
        <w:t xml:space="preserve">negatively charged </w:t>
      </w:r>
      <w:r>
        <w:rPr>
          <w:rFonts w:ascii="Times New Roman" w:hAnsi="Times New Roman" w:cs="Times New Roman"/>
        </w:rPr>
        <w:t xml:space="preserve">cell membrane and usually culminates in either membrane disruption or cell lysis </w:t>
      </w:r>
      <w:r w:rsidRPr="00BD1BDB">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&lt;EndNote&gt;&lt;Cite&gt;&lt;Author&gt;Pidwill&lt;/Author&gt;&lt;Year&gt;2021&lt;/Year&gt;&lt;IDText&gt;The Role of Macrophages in Staphylococcus aureus Infection&lt;/IDText&gt;&lt;DisplayText&gt;(Pidwill&lt;style face="italic"&gt; et al.&lt;/style&gt;, 2021)&lt;/DisplayText&gt;&lt;record&gt;&lt;dates&gt;&lt;pub-dates&gt;&lt;date&gt;Jan 19&lt;/date&gt;&lt;/pub-dates&gt;&lt;year&gt;2021&lt;/year&gt;&lt;/dates&gt;&lt;urls&gt;&lt;related-urls&gt;&lt;url&gt;&amp;lt;Go to ISI&amp;gt;://WOS:000613515300001&lt;/url&gt;&lt;/related-urls&gt;&lt;/urls&gt;&lt;isbn&gt;1664-3224&lt;/isbn&gt;&lt;work-type&gt;Review&lt;/work-type&gt;&lt;titles&gt;&lt;title&gt;The Role of Macrophages in Staphylococcus aureus Infection&lt;/title&gt;&lt;secondary-title&gt;Frontiers in Immunology&lt;/secondary-title&gt;&lt;/titles&gt;&lt;contributors&gt;&lt;authors&gt;&lt;author&gt;Pidwill, Grace R.&lt;/author&gt;&lt;author&gt;Gibson, Josie F.&lt;/author&gt;&lt;author&gt;Cole, Joby&lt;/author&gt;&lt;author&gt;Renshaw, Stephen A.&lt;/author&gt;&lt;author&gt;Foster, Simon J.&lt;/author&gt;&lt;/authors&gt;&lt;/contributors&gt;&lt;custom7&gt;620339&lt;/custom7&gt;&lt;added-date format="utc"&gt;1674317809&lt;/added-date&gt;&lt;ref-type name="Journal Article"&gt;17&lt;/ref-type&gt;&lt;rec-number&gt;227&lt;/rec-number&gt;&lt;last-updated-date format="utc"&gt;1674317809&lt;/last-updated-date&gt;&lt;accession-num&gt;WOS:000613515300001&lt;/accession-num&gt;&lt;electronic-resource-num&gt;10.3389/fimmu.2020.620339&lt;/electronic-resource-num&gt;&lt;volume&gt;11&lt;/volume&gt;&lt;/record&gt;&lt;/Cite&gt;&lt;/EndNote&gt;</w:instrText>
      </w:r>
      <w:r w:rsidRPr="00BD1BDB">
        <w:rPr>
          <w:rFonts w:ascii="Times New Roman" w:hAnsi="Times New Roman" w:cs="Times New Roman"/>
          <w:b/>
          <w:bCs/>
        </w:rPr>
        <w:fldChar w:fldCharType="separate"/>
      </w:r>
      <w:r>
        <w:rPr>
          <w:rFonts w:ascii="Times New Roman" w:hAnsi="Times New Roman" w:cs="Times New Roman"/>
          <w:b/>
          <w:bCs/>
          <w:noProof/>
        </w:rPr>
        <w:t>(Pidwill</w:t>
      </w:r>
      <w:r w:rsidRPr="005A30AA">
        <w:rPr>
          <w:rFonts w:ascii="Times New Roman" w:hAnsi="Times New Roman" w:cs="Times New Roman"/>
          <w:b/>
          <w:bCs/>
          <w:i/>
          <w:noProof/>
        </w:rPr>
        <w:t xml:space="preserve"> et al.</w:t>
      </w:r>
      <w:r>
        <w:rPr>
          <w:rFonts w:ascii="Times New Roman" w:hAnsi="Times New Roman" w:cs="Times New Roman"/>
          <w:b/>
          <w:bCs/>
          <w:noProof/>
        </w:rPr>
        <w:t>, 2021)</w:t>
      </w:r>
      <w:r w:rsidRPr="00BD1BDB">
        <w:rPr>
          <w:rFonts w:ascii="Times New Roman" w:hAnsi="Times New Roman" w:cs="Times New Roman"/>
          <w:b/>
          <w:bCs/>
        </w:rPr>
        <w:fldChar w:fldCharType="end"/>
      </w:r>
      <w:r>
        <w:rPr>
          <w:rFonts w:ascii="Times New Roman" w:hAnsi="Times New Roman" w:cs="Times New Roman"/>
        </w:rPr>
        <w:t xml:space="preserve">. A role for the stringent response in the defence against AMPs has been examined in </w:t>
      </w:r>
      <w:r>
        <w:rPr>
          <w:rFonts w:ascii="Times New Roman" w:hAnsi="Times New Roman" w:cs="Times New Roman"/>
          <w:i/>
          <w:iCs/>
        </w:rPr>
        <w:t xml:space="preserve">E. coli </w:t>
      </w:r>
      <w:r>
        <w:rPr>
          <w:rFonts w:ascii="Times New Roman" w:hAnsi="Times New Roman" w:cs="Times New Roman"/>
        </w:rPr>
        <w:t xml:space="preserve">O157:H7, where in response to exposure to amphibian-derived AMPs, there was an increase in the transcription of the long RSH, </w:t>
      </w:r>
      <w:r>
        <w:rPr>
          <w:rFonts w:ascii="Times New Roman" w:hAnsi="Times New Roman" w:cs="Times New Roman"/>
          <w:i/>
          <w:iCs/>
        </w:rPr>
        <w:t xml:space="preserve">spoT </w:t>
      </w:r>
      <w:r w:rsidRPr="003B3D01">
        <w:rPr>
          <w:rFonts w:ascii="Times New Roman" w:hAnsi="Times New Roman" w:cs="Times New Roman"/>
          <w:b/>
          <w:bCs/>
        </w:rPr>
        <w:fldChar w:fldCharType="begin"/>
      </w:r>
      <w:r w:rsidRPr="003B3D01">
        <w:rPr>
          <w:rFonts w:ascii="Times New Roman" w:hAnsi="Times New Roman" w:cs="Times New Roman"/>
          <w:b/>
          <w:bCs/>
        </w:rPr>
        <w:instrText xml:space="preserve"> ADDIN EN.CITE &lt;EndNote&gt;&lt;Cite&gt;&lt;Author&gt;Scotti&lt;/Author&gt;&lt;Year&gt;2022&lt;/Year&gt;&lt;IDText&gt;Derivatives of Esculentin-1 Peptides as Promising Candidates for Fighting Infections from Escherichia coli O157:H7&lt;/IDText&gt;&lt;DisplayText&gt;(Scotti&lt;style face="italic"&gt; et al.&lt;/style&gt;, 2022)&lt;/DisplayText&gt;&lt;record&gt;&lt;dates&gt;&lt;pub-dates&gt;&lt;date&gt;May&lt;/date&gt;&lt;/pub-dates&gt;&lt;year&gt;2022&lt;/year&gt;&lt;/dates&gt;&lt;urls&gt;&lt;related-urls&gt;&lt;url&gt;&amp;lt;Go to ISI&amp;gt;://WOS:000801254700001&lt;/url&gt;&lt;/related-urls&gt;&lt;/urls&gt;&lt;isbn&gt;2079-6382&lt;/isbn&gt;&lt;work-type&gt;Article&lt;/work-type&gt;&lt;titles&gt;&lt;title&gt;Derivatives of Esculentin-1 Peptides as Promising Candidates for Fighting Infections from Escherichia coli O157:H7&lt;/title&gt;&lt;secondary-title&gt;Antibiotics-Basel&lt;/secondary-title&gt;&lt;/titles&gt;&lt;number&gt;5&lt;/number&gt;&lt;contributors&gt;&lt;authors&gt;&lt;author&gt;Scotti, Raffaella&lt;/author&gt;&lt;author&gt;Casciaro, Bruno&lt;/author&gt;&lt;author&gt;Stringaro, Annarita&lt;/author&gt;&lt;author&gt;Morgia, Fabrizio&lt;/author&gt;&lt;author&gt;Mangoni, Maria Luisa&lt;/author&gt;&lt;author&gt;Gabbianelli, Roberta&lt;/author&gt;&lt;/authors&gt;&lt;/contributors&gt;&lt;custom7&gt;656&lt;/custom7&gt;&lt;added-date format="utc"&gt;1674318329&lt;/added-date&gt;&lt;ref-type name="Journal Article"&gt;17&lt;/ref-type&gt;&lt;rec-number&gt;228&lt;/rec-number&gt;&lt;last-updated-date format="utc"&gt;1674318329&lt;/last-updated-date&gt;&lt;accession-num&gt;WOS:000801254700001&lt;/accession-num&gt;&lt;electronic-resource-num&gt;10.3390/antibiotics11050656&lt;/electronic-resource-num&gt;&lt;volume&gt;11&lt;/volume&gt;&lt;/record&gt;&lt;/Cite&gt;&lt;/EndNote&gt;</w:instrText>
      </w:r>
      <w:r w:rsidRPr="003B3D01">
        <w:rPr>
          <w:rFonts w:ascii="Times New Roman" w:hAnsi="Times New Roman" w:cs="Times New Roman"/>
          <w:b/>
          <w:bCs/>
        </w:rPr>
        <w:fldChar w:fldCharType="separate"/>
      </w:r>
      <w:r w:rsidRPr="003B3D01">
        <w:rPr>
          <w:rFonts w:ascii="Times New Roman" w:hAnsi="Times New Roman" w:cs="Times New Roman"/>
          <w:b/>
          <w:bCs/>
          <w:noProof/>
        </w:rPr>
        <w:t>(Scotti et al., 2022)</w:t>
      </w:r>
      <w:r w:rsidRPr="003B3D01">
        <w:rPr>
          <w:rFonts w:ascii="Times New Roman" w:hAnsi="Times New Roman" w:cs="Times New Roman"/>
          <w:b/>
          <w:bCs/>
        </w:rPr>
        <w:fldChar w:fldCharType="end"/>
      </w:r>
      <w:r>
        <w:rPr>
          <w:rFonts w:ascii="Times New Roman" w:hAnsi="Times New Roman" w:cs="Times New Roman"/>
          <w:i/>
          <w:iCs/>
        </w:rPr>
        <w:t xml:space="preserve">. </w:t>
      </w:r>
      <w:r>
        <w:rPr>
          <w:rFonts w:ascii="Times New Roman" w:hAnsi="Times New Roman" w:cs="Times New Roman"/>
        </w:rPr>
        <w:t xml:space="preserve">It was suggested that AMPs interact with and degrade (p)ppGpp </w:t>
      </w:r>
      <w:r w:rsidRPr="003B3D01">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&lt;EndNote&gt;&lt;Cite&gt;&lt;Author&gt;de la Fuente-Nunez&lt;/Author&gt;&lt;Year&gt;2014&lt;/Year&gt;&lt;IDText&gt;Broad-Spectrum Anti-biofilm Peptide That Targets a Cellular Stress Response&lt;/IDText&gt;&lt;DisplayText&gt;(de la Fuente-Nunez&lt;style face="italic"&gt; et al.&lt;/style&gt;, 2014)&lt;/DisplayText&gt;&lt;record&gt;&lt;dates&gt;&lt;pub-dates&gt;&lt;date&gt;May&lt;/date&gt;&lt;/pub-dates&gt;&lt;year&gt;2014&lt;/year&gt;&lt;/dates&gt;&lt;urls&gt;&lt;related-urls&gt;&lt;url&gt;&amp;lt;Go to ISI&amp;gt;://WOS:000337732300052&lt;/url&gt;&lt;/related-urls&gt;&lt;/urls&gt;&lt;isbn&gt;1553-7366&lt;/isbn&gt;&lt;work-type&gt;Article&lt;/work-type&gt;&lt;titles&gt;&lt;title&gt;Broad-Spectrum Anti-biofilm Peptide That Targets a Cellular Stress Response&lt;/title&gt;&lt;secondary-title&gt;Plos Pathogens&lt;/secondary-title&gt;&lt;/titles&gt;&lt;number&gt;5&lt;/number&gt;&lt;contributors&gt;&lt;authors&gt;&lt;author&gt;de la Fuente-Nunez, Cesar&lt;/author&gt;&lt;author&gt;Reffuveille, Fany&lt;/author&gt;&lt;author&gt;Haney, Evan F.&lt;/author&gt;&lt;author&gt;Straus, Suzana K.&lt;/author&gt;&lt;author&gt;Hancock, Robert E. W.&lt;/author&gt;&lt;/authors&gt;&lt;/contributors&gt;&lt;custom7&gt;e1004152&lt;/custom7&gt;&lt;added-date format="utc"&gt;1674318479&lt;/added-date&gt;&lt;ref-type name="Journal Article"&gt;17&lt;/ref-type&gt;&lt;rec-number&gt;229&lt;/rec-number&gt;&lt;last-updated-date format="utc"&gt;1674318479&lt;/last-updated-date&gt;&lt;accession-num&gt;WOS:000337732300052&lt;/accession-num&gt;&lt;electronic-resource-num&gt;10.1371/journal.ppat.1004152&lt;/electronic-resource-num&gt;&lt;volume&gt;10&lt;/volume&gt;&lt;/record&gt;&lt;/Cite&gt;&lt;/EndNote&gt;</w:instrText>
      </w:r>
      <w:r w:rsidRPr="003B3D01">
        <w:rPr>
          <w:rFonts w:ascii="Times New Roman" w:hAnsi="Times New Roman" w:cs="Times New Roman"/>
          <w:b/>
          <w:bCs/>
        </w:rPr>
        <w:fldChar w:fldCharType="separate"/>
      </w:r>
      <w:r>
        <w:rPr>
          <w:rFonts w:ascii="Times New Roman" w:hAnsi="Times New Roman" w:cs="Times New Roman"/>
          <w:b/>
          <w:bCs/>
          <w:noProof/>
        </w:rPr>
        <w:t>(de la Fuente-Nunez</w:t>
      </w:r>
      <w:r w:rsidRPr="003B3D01">
        <w:rPr>
          <w:rFonts w:ascii="Times New Roman" w:hAnsi="Times New Roman" w:cs="Times New Roman"/>
          <w:b/>
          <w:bCs/>
          <w:i/>
          <w:noProof/>
        </w:rPr>
        <w:t xml:space="preserve"> et al.</w:t>
      </w:r>
      <w:r>
        <w:rPr>
          <w:rFonts w:ascii="Times New Roman" w:hAnsi="Times New Roman" w:cs="Times New Roman"/>
          <w:b/>
          <w:bCs/>
          <w:noProof/>
        </w:rPr>
        <w:t>, 2014)</w:t>
      </w:r>
      <w:r w:rsidRPr="003B3D01">
        <w:rPr>
          <w:rFonts w:ascii="Times New Roman" w:hAnsi="Times New Roman" w:cs="Times New Roman"/>
          <w:b/>
          <w:bCs/>
        </w:rPr>
        <w:fldChar w:fldCharType="end"/>
      </w:r>
      <w:r>
        <w:rPr>
          <w:rFonts w:ascii="Times New Roman" w:hAnsi="Times New Roman" w:cs="Times New Roman"/>
        </w:rPr>
        <w:t xml:space="preserve">, so investigating the role of other AMPs with regards to the stringent response and </w:t>
      </w:r>
      <w:r>
        <w:rPr>
          <w:rFonts w:ascii="Times New Roman" w:hAnsi="Times New Roman" w:cs="Times New Roman"/>
          <w:i/>
          <w:iCs/>
        </w:rPr>
        <w:t>S. aureus</w:t>
      </w:r>
      <w:r>
        <w:rPr>
          <w:rFonts w:ascii="Times New Roman" w:hAnsi="Times New Roman" w:cs="Times New Roman"/>
        </w:rPr>
        <w:t xml:space="preserve"> could yield interesting results. As the amphibian-derived AMPs are cationic, similar to those found in humans, the contribution of the stringent response to resistance to AMPs was investigated.</w:t>
      </w:r>
    </w:p>
    <w:p w14:paraId="5D3713FB" w14:textId="08D25AF2" w:rsidR="00187693"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Accordingly, the stringent response mutants </w:t>
      </w:r>
      <w:r w:rsidRPr="00796220">
        <w:rPr>
          <w:rFonts w:ascii="Times New Roman" w:hAnsi="Times New Roman" w:cs="Times New Roman"/>
        </w:rPr>
        <w:t>∆</w:t>
      </w:r>
      <w:r>
        <w:rPr>
          <w:rFonts w:ascii="Times New Roman" w:hAnsi="Times New Roman" w:cs="Times New Roman"/>
          <w:i/>
          <w:iCs/>
        </w:rPr>
        <w:t>relQP</w:t>
      </w:r>
      <w:r>
        <w:rPr>
          <w:rFonts w:ascii="Times New Roman" w:hAnsi="Times New Roman" w:cs="Times New Roman"/>
        </w:rPr>
        <w:t>, (p)ppGpp</w:t>
      </w:r>
      <w:r>
        <w:rPr>
          <w:rFonts w:ascii="Times New Roman" w:hAnsi="Times New Roman" w:cs="Times New Roman"/>
          <w:vertAlign w:val="superscript"/>
        </w:rPr>
        <w:t xml:space="preserve">0 </w:t>
      </w:r>
      <w:r>
        <w:rPr>
          <w:rFonts w:ascii="Times New Roman" w:hAnsi="Times New Roman" w:cs="Times New Roman"/>
        </w:rPr>
        <w:t xml:space="preserve">and </w:t>
      </w:r>
      <w:r w:rsidR="00AC0958">
        <w:rPr>
          <w:rFonts w:ascii="Times New Roman" w:hAnsi="Times New Roman" w:cs="Times New Roman"/>
        </w:rPr>
        <w:t xml:space="preserve">JE2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were exposed to the cationic AMPs, LL-37 and polymyxin B.</w:t>
      </w:r>
      <w:bookmarkStart w:id="142" w:name="_Hlk127661640"/>
      <w:r>
        <w:rPr>
          <w:rFonts w:ascii="Times New Roman" w:hAnsi="Times New Roman" w:cs="Times New Roman"/>
        </w:rPr>
        <w:t xml:space="preserve"> </w:t>
      </w:r>
      <w:r w:rsidRPr="00CE59D0">
        <w:rPr>
          <w:rFonts w:ascii="Times New Roman" w:hAnsi="Times New Roman" w:cs="Times New Roman"/>
        </w:rPr>
        <w:t>RPMI</w:t>
      </w:r>
      <w:r>
        <w:rPr>
          <w:rFonts w:ascii="Arial" w:hAnsi="Arial" w:cs="Arial"/>
          <w:color w:val="222222"/>
          <w:sz w:val="21"/>
          <w:szCs w:val="21"/>
        </w:rPr>
        <w:t> </w:t>
      </w:r>
      <w:bookmarkEnd w:id="142"/>
      <w:r>
        <w:rPr>
          <w:rFonts w:ascii="Times New Roman" w:hAnsi="Times New Roman" w:cs="Times New Roman"/>
        </w:rPr>
        <w:t>medium was used for these experiments so that growth conditions were more representative of the host environment in comparison to rich media such as TSB, as RPMI is formulated for the culture of, and primarily used for, human lymphocytes</w:t>
      </w:r>
      <w:bookmarkStart w:id="143" w:name="_Hlk128173563"/>
      <w:r>
        <w:rPr>
          <w:rFonts w:ascii="Times New Roman" w:hAnsi="Times New Roman" w:cs="Times New Roman"/>
        </w:rPr>
        <w:t xml:space="preserve">. LL-37 is the sole member of the human cathelicidin family of AMPs, a cationic peptide that functions by interacting with and penetrating the negatively charged bacterial cell membrane, culminating in bacterial cell lysis </w:t>
      </w:r>
      <w:r w:rsidRPr="00335673">
        <w:rPr>
          <w:rFonts w:ascii="Times New Roman" w:hAnsi="Times New Roman" w:cs="Times New Roman"/>
          <w:b/>
          <w:bCs/>
        </w:rPr>
        <w:fldChar w:fldCharType="begin">
          <w:fldData xml:space="preserve">PEVuZE5vdGU+PENpdGU+PEF1dGhvcj5LdXJvZGE8L0F1dGhvcj48WWVhcj4yMDE1PC9ZZWFyPjxJ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</w:fldData>
        </w:fldChar>
      </w:r>
      <w:r w:rsidRPr="00335673">
        <w:rPr>
          <w:rFonts w:ascii="Times New Roman" w:hAnsi="Times New Roman" w:cs="Times New Roman"/>
          <w:b/>
          <w:bCs/>
        </w:rPr>
        <w:instrText xml:space="preserve"> ADDIN EN.CITE </w:instrText>
      </w:r>
      <w:r w:rsidRPr="00335673">
        <w:rPr>
          <w:rFonts w:ascii="Times New Roman" w:hAnsi="Times New Roman" w:cs="Times New Roman"/>
          <w:b/>
          <w:bCs/>
        </w:rPr>
        <w:fldChar w:fldCharType="begin">
          <w:fldData xml:space="preserve">PEVuZE5vdGU+PENpdGU+PEF1dGhvcj5LdXJvZGE8L0F1dGhvcj48WWVhcj4yMDE1PC9ZZWFyPjxJ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</w:fldData>
        </w:fldChar>
      </w:r>
      <w:r w:rsidRPr="00335673">
        <w:rPr>
          <w:rFonts w:ascii="Times New Roman" w:hAnsi="Times New Roman" w:cs="Times New Roman"/>
          <w:b/>
          <w:bCs/>
        </w:rPr>
        <w:instrText xml:space="preserve"> ADDIN EN.CITE.DATA </w:instrText>
      </w:r>
      <w:r w:rsidRPr="00335673">
        <w:rPr>
          <w:rFonts w:ascii="Times New Roman" w:hAnsi="Times New Roman" w:cs="Times New Roman"/>
          <w:b/>
          <w:bCs/>
        </w:rPr>
      </w:r>
      <w:r w:rsidRPr="00335673">
        <w:rPr>
          <w:rFonts w:ascii="Times New Roman" w:hAnsi="Times New Roman" w:cs="Times New Roman"/>
          <w:b/>
          <w:bCs/>
        </w:rPr>
        <w:fldChar w:fldCharType="end"/>
      </w:r>
      <w:r w:rsidRPr="00335673">
        <w:rPr>
          <w:rFonts w:ascii="Times New Roman" w:hAnsi="Times New Roman" w:cs="Times New Roman"/>
          <w:b/>
          <w:bCs/>
        </w:rPr>
      </w:r>
      <w:r w:rsidRPr="00335673">
        <w:rPr>
          <w:rFonts w:ascii="Times New Roman" w:hAnsi="Times New Roman" w:cs="Times New Roman"/>
          <w:b/>
          <w:bCs/>
        </w:rPr>
        <w:fldChar w:fldCharType="separate"/>
      </w:r>
      <w:r w:rsidRPr="00335673">
        <w:rPr>
          <w:rFonts w:ascii="Times New Roman" w:hAnsi="Times New Roman" w:cs="Times New Roman"/>
          <w:b/>
          <w:bCs/>
          <w:noProof/>
        </w:rPr>
        <w:t>(Kuroda</w:t>
      </w:r>
      <w:r w:rsidRPr="00335673">
        <w:rPr>
          <w:rFonts w:ascii="Times New Roman" w:hAnsi="Times New Roman" w:cs="Times New Roman"/>
          <w:b/>
          <w:bCs/>
          <w:i/>
          <w:noProof/>
        </w:rPr>
        <w:t xml:space="preserve"> et al.</w:t>
      </w:r>
      <w:r w:rsidRPr="00335673">
        <w:rPr>
          <w:rFonts w:ascii="Times New Roman" w:hAnsi="Times New Roman" w:cs="Times New Roman"/>
          <w:b/>
          <w:bCs/>
          <w:noProof/>
        </w:rPr>
        <w:t>, 2015; Kahlenberg and Kaplan, 2013)</w:t>
      </w:r>
      <w:r w:rsidRPr="00335673">
        <w:rPr>
          <w:rFonts w:ascii="Times New Roman" w:hAnsi="Times New Roman" w:cs="Times New Roman"/>
          <w:b/>
          <w:bCs/>
        </w:rPr>
        <w:fldChar w:fldCharType="end"/>
      </w:r>
      <w:bookmarkEnd w:id="143"/>
      <w:r>
        <w:rPr>
          <w:rFonts w:ascii="Times New Roman" w:hAnsi="Times New Roman" w:cs="Times New Roman"/>
        </w:rPr>
        <w:t xml:space="preserve">. In </w:t>
      </w:r>
      <w:r>
        <w:rPr>
          <w:rFonts w:ascii="Times New Roman" w:hAnsi="Times New Roman" w:cs="Times New Roman"/>
          <w:i/>
          <w:iCs/>
        </w:rPr>
        <w:t>B. subtilis</w:t>
      </w:r>
      <w:r>
        <w:rPr>
          <w:rFonts w:ascii="Times New Roman" w:hAnsi="Times New Roman" w:cs="Times New Roman"/>
        </w:rPr>
        <w:t xml:space="preserve">, it has been suggested that RelP can be induced upon administration of LL-37 </w:t>
      </w:r>
      <w:r w:rsidRPr="00902D7B">
        <w:rPr>
          <w:rFonts w:ascii="Times New Roman" w:hAnsi="Times New Roman" w:cs="Times New Roman"/>
          <w:b/>
          <w:bCs/>
        </w:rPr>
        <w:fldChar w:fldCharType="begin"/>
      </w:r>
      <w:r w:rsidRPr="00902D7B">
        <w:rPr>
          <w:rFonts w:ascii="Times New Roman" w:hAnsi="Times New Roman" w:cs="Times New Roman"/>
          <w:b/>
          <w:bCs/>
        </w:rPr>
        <w:instrText xml:space="preserve"> ADDIN EN.CITE &lt;EndNote&gt;&lt;Cite&gt;&lt;Author&gt;Pietiäinen&lt;/Author&gt;&lt;Year&gt;2005&lt;/Year&gt;&lt;IDText&gt;Cationic antimicrobial peptides elicit a complex stress response in Bacillus subtilis that involves ECF-type sigma factors and two-component signal transduction systems&lt;/IDText&gt;&lt;DisplayText&gt;(Pietiäinen&lt;style face="italic"&gt; et al.&lt;/style&gt;, 2005)&lt;/DisplayText&gt;&lt;record&gt;&lt;dates&gt;&lt;pub-dates&gt;&lt;date&gt;May&lt;/date&gt;&lt;/pub-dates&gt;&lt;year&gt;2005&lt;/year&gt;&lt;/dates&gt;&lt;urls&gt;&lt;related-urls&gt;&lt;/related-urls&gt;&lt;/urls&gt;&lt;isbn&gt;1350-0872&lt;/isbn&gt;&lt;work-type&gt;Article&lt;/work-type&gt;&lt;titles&gt;&lt;title&gt;Cationic antimicrobial peptides elicit a complex stress response in Bacillus subtilis that involves ECF-type sigma factors and two-component signal transduction systems&lt;/title&gt;&lt;secondary-title&gt;Microbiology-Sgm&lt;/secondary-title&gt;&lt;/titles&gt;&lt;pages&gt;1577-1592&lt;/pages&gt;&lt;contributors&gt;&lt;authors&gt;&lt;author&gt;Pietiäinen, M.&lt;/author&gt;&lt;author&gt;Gardemeister, M.&lt;/author&gt;&lt;author&gt;Mecklin, M.&lt;/author&gt;&lt;author&gt;Leskela, S.&lt;/author&gt;&lt;author&gt;Sarvas, M.&lt;/author&gt;&lt;author&gt;Kontinen, V. P.&lt;/author&gt;&lt;/authors&gt;&lt;/contributors&gt;&lt;added-date format="utc"&gt;1674574873&lt;/added-date&gt;&lt;ref-type name="Journal Article"&gt;17&lt;/ref-type&gt;&lt;rec-number&gt;252&lt;/rec-number&gt;&lt;last-updated-date format="utc"&gt;1674575034&lt;/last-updated-date&gt;&lt;accession-num&gt;WOS:000229272100026&lt;/accession-num&gt;&lt;electronic-resource-num&gt;10.1099/mic.0.27761-0&lt;/electronic-resource-num&gt;&lt;volume&gt;151&lt;/volume&gt;&lt;/record&gt;&lt;/Cite&gt;&lt;/EndNote&gt;</w:instrText>
      </w:r>
      <w:r w:rsidRPr="00902D7B">
        <w:rPr>
          <w:rFonts w:ascii="Times New Roman" w:hAnsi="Times New Roman" w:cs="Times New Roman"/>
          <w:b/>
          <w:bCs/>
        </w:rPr>
        <w:fldChar w:fldCharType="separate"/>
      </w:r>
      <w:r w:rsidRPr="00902D7B">
        <w:rPr>
          <w:rFonts w:ascii="Times New Roman" w:hAnsi="Times New Roman" w:cs="Times New Roman"/>
          <w:b/>
          <w:bCs/>
          <w:noProof/>
        </w:rPr>
        <w:t>(Pietiäinen</w:t>
      </w:r>
      <w:r w:rsidRPr="00902D7B">
        <w:rPr>
          <w:rFonts w:ascii="Times New Roman" w:hAnsi="Times New Roman" w:cs="Times New Roman"/>
          <w:b/>
          <w:bCs/>
          <w:i/>
          <w:noProof/>
        </w:rPr>
        <w:t xml:space="preserve"> et al.</w:t>
      </w:r>
      <w:r w:rsidRPr="00902D7B">
        <w:rPr>
          <w:rFonts w:ascii="Times New Roman" w:hAnsi="Times New Roman" w:cs="Times New Roman"/>
          <w:b/>
          <w:bCs/>
          <w:noProof/>
        </w:rPr>
        <w:t>, 2005)</w:t>
      </w:r>
      <w:r w:rsidRPr="00902D7B">
        <w:rPr>
          <w:rFonts w:ascii="Times New Roman" w:hAnsi="Times New Roman" w:cs="Times New Roman"/>
          <w:b/>
          <w:bCs/>
        </w:rPr>
        <w:fldChar w:fldCharType="end"/>
      </w:r>
      <w:r>
        <w:rPr>
          <w:rFonts w:ascii="Times New Roman" w:hAnsi="Times New Roman" w:cs="Times New Roman"/>
        </w:rPr>
        <w:t xml:space="preserve">, therefore the effect of the LL-37 on </w:t>
      </w:r>
      <w:r>
        <w:rPr>
          <w:rFonts w:ascii="Times New Roman" w:hAnsi="Times New Roman" w:cs="Times New Roman"/>
          <w:i/>
          <w:iCs/>
        </w:rPr>
        <w:t xml:space="preserve">S. aureus </w:t>
      </w:r>
      <w:r>
        <w:rPr>
          <w:rFonts w:ascii="Times New Roman" w:hAnsi="Times New Roman" w:cs="Times New Roman"/>
        </w:rPr>
        <w:t>WT and (p)ppGpp</w:t>
      </w:r>
      <w:r>
        <w:rPr>
          <w:rFonts w:ascii="Times New Roman" w:hAnsi="Times New Roman" w:cs="Times New Roman"/>
          <w:vertAlign w:val="superscript"/>
        </w:rPr>
        <w:t xml:space="preserve">0 </w:t>
      </w:r>
      <w:r>
        <w:rPr>
          <w:rFonts w:ascii="Times New Roman" w:hAnsi="Times New Roman" w:cs="Times New Roman"/>
        </w:rPr>
        <w:t xml:space="preserve">survival were evaluated. LL-37 cathelicidin functions optimally at low pH, and thus RPMI was buffered to pH 5.5 but was also used at pH 7.5. At pH 5.5, a concentration of 12 </w:t>
      </w:r>
      <w:r w:rsidRPr="00F10CE8">
        <w:rPr>
          <w:rFonts w:ascii="Times New Roman" w:hAnsi="Times New Roman" w:cs="Times New Roman"/>
        </w:rPr>
        <w:t>μ</w:t>
      </w:r>
      <w:r>
        <w:rPr>
          <w:rFonts w:ascii="Times New Roman" w:hAnsi="Times New Roman" w:cs="Times New Roman"/>
        </w:rPr>
        <w:t xml:space="preserve">M </w:t>
      </w:r>
      <w:r w:rsidRPr="008F3032">
        <w:rPr>
          <w:rFonts w:ascii="Times New Roman" w:hAnsi="Times New Roman" w:cs="Times New Roman"/>
          <w:b/>
          <w:bCs/>
        </w:rPr>
        <w:fldChar w:fldCharType="begin"/>
      </w:r>
      <w:r w:rsidRPr="008F3032">
        <w:rPr>
          <w:rFonts w:ascii="Times New Roman" w:hAnsi="Times New Roman" w:cs="Times New Roman"/>
          <w:b/>
          <w:bCs/>
        </w:rPr>
        <w:instrText xml:space="preserve"> ADDIN EN.CITE &lt;EndNote&gt;&lt;Cite&gt;&lt;Author&gt;Chen&lt;/Author&gt;&lt;Year&gt;2005&lt;/Year&gt;&lt;IDText&gt;Synergistic effect of antibacterial agents human beta-defensins, cathelicidin LL-37 and lysozyme against Staphylococcus aureus and Escherichia coli&lt;/IDText&gt;&lt;DisplayText&gt;(Chen&lt;style face="italic"&gt; et al.&lt;/style&gt;, 2005)&lt;/DisplayText&gt;&lt;record&gt;&lt;dates&gt;&lt;pub-dates&gt;&lt;date&gt;Nov&lt;/date&gt;&lt;/pub-dates&gt;&lt;year&gt;2005&lt;/year&gt;&lt;/dates&gt;&lt;urls&gt;&lt;related-urls&gt;&lt;url&gt;&amp;lt;Go to ISI&amp;gt;://WOS:000233092900006&lt;/url&gt;&lt;/related-urls&gt;&lt;/urls&gt;&lt;isbn&gt;0923-1811&lt;/isbn&gt;&lt;work-type&gt;Article&lt;/work-type&gt;&lt;titles&gt;&lt;title&gt;Synergistic effect of antibacterial agents human beta-defensins, cathelicidin LL-37 and lysozyme against Staphylococcus aureus and Escherichia coli&lt;/title&gt;&lt;secondary-title&gt;Journal of Dermatological Science&lt;/secondary-title&gt;&lt;/titles&gt;&lt;pages&gt;123-132&lt;/pages&gt;&lt;number&gt;2&lt;/number&gt;&lt;contributors&gt;&lt;authors&gt;&lt;author&gt;Chen, X. J.&lt;/author&gt;&lt;author&gt;Niyonsaba, F.&lt;/author&gt;&lt;author&gt;Ushio, H.&lt;/author&gt;&lt;author&gt;Okuda, D.&lt;/author&gt;&lt;author&gt;Nagaoka, I.&lt;/author&gt;&lt;author&gt;Ikeda, S.&lt;/author&gt;&lt;author&gt;Okumura, K.&lt;/author&gt;&lt;author&gt;Ogawa, H.&lt;/author&gt;&lt;/authors&gt;&lt;/contributors&gt;&lt;added-date format="utc"&gt;1674147259&lt;/added-date&gt;&lt;ref-type name="Journal Article"&gt;17&lt;/ref-type&gt;&lt;rec-number&gt;226&lt;/rec-number&gt;&lt;last-updated-date format="utc"&gt;1674147259&lt;/last-updated-date&gt;&lt;accession-num&gt;WOS:000233092900006&lt;/accession-num&gt;&lt;electronic-resource-num&gt;10.1016/j.jdermsci.2005.03.014&lt;/electronic-resource-num&gt;&lt;volume&gt;40&lt;/volume&gt;&lt;/record&gt;&lt;/Cite&gt;&lt;/EndNote&gt;</w:instrText>
      </w:r>
      <w:r w:rsidRPr="008F3032">
        <w:rPr>
          <w:rFonts w:ascii="Times New Roman" w:hAnsi="Times New Roman" w:cs="Times New Roman"/>
          <w:b/>
          <w:bCs/>
        </w:rPr>
        <w:fldChar w:fldCharType="separate"/>
      </w:r>
      <w:r w:rsidRPr="008F3032">
        <w:rPr>
          <w:rFonts w:ascii="Times New Roman" w:hAnsi="Times New Roman" w:cs="Times New Roman"/>
          <w:b/>
          <w:bCs/>
          <w:noProof/>
        </w:rPr>
        <w:t>(Chen</w:t>
      </w:r>
      <w:r w:rsidRPr="008F3032">
        <w:rPr>
          <w:rFonts w:ascii="Times New Roman" w:hAnsi="Times New Roman" w:cs="Times New Roman"/>
          <w:b/>
          <w:bCs/>
          <w:i/>
          <w:noProof/>
        </w:rPr>
        <w:t xml:space="preserve"> et al.</w:t>
      </w:r>
      <w:r w:rsidRPr="008F3032">
        <w:rPr>
          <w:rFonts w:ascii="Times New Roman" w:hAnsi="Times New Roman" w:cs="Times New Roman"/>
          <w:b/>
          <w:bCs/>
          <w:noProof/>
        </w:rPr>
        <w:t>, 2005)</w:t>
      </w:r>
      <w:r w:rsidRPr="008F3032">
        <w:rPr>
          <w:rFonts w:ascii="Times New Roman" w:hAnsi="Times New Roman" w:cs="Times New Roman"/>
          <w:b/>
          <w:bCs/>
        </w:rPr>
        <w:fldChar w:fldCharType="end"/>
      </w:r>
      <w:r>
        <w:rPr>
          <w:rFonts w:ascii="Times New Roman" w:hAnsi="Times New Roman" w:cs="Times New Roman"/>
        </w:rPr>
        <w:t xml:space="preserve"> prevented growth of all strains while the absence of LL-37 allowed growth </w:t>
      </w:r>
      <w:r w:rsidRPr="002874E9">
        <w:rPr>
          <w:rFonts w:ascii="Times New Roman" w:hAnsi="Times New Roman" w:cs="Times New Roman"/>
          <w:b/>
          <w:bCs/>
        </w:rPr>
        <w:t>(Fig. 4.</w:t>
      </w:r>
      <w:r w:rsidR="00081238">
        <w:rPr>
          <w:rFonts w:ascii="Times New Roman" w:hAnsi="Times New Roman" w:cs="Times New Roman"/>
          <w:b/>
          <w:bCs/>
        </w:rPr>
        <w:t>2</w:t>
      </w:r>
      <w:r w:rsidRPr="002874E9">
        <w:rPr>
          <w:rFonts w:ascii="Times New Roman" w:hAnsi="Times New Roman" w:cs="Times New Roman"/>
          <w:b/>
          <w:bCs/>
        </w:rPr>
        <w:t>.1a)</w:t>
      </w:r>
      <w:r>
        <w:rPr>
          <w:rFonts w:ascii="Times New Roman" w:hAnsi="Times New Roman" w:cs="Times New Roman"/>
        </w:rPr>
        <w:t>. In contrast, the microbicidal effects of LL-37 were abrogated in the presence of RPMI buffered to pH 7.5 which has previously been reported</w:t>
      </w:r>
      <w:r w:rsidRPr="009F78C5">
        <w:rPr>
          <w:rFonts w:ascii="Times New Roman" w:hAnsi="Times New Roman" w:cs="Times New Roman"/>
          <w:b/>
          <w:bCs/>
        </w:rPr>
        <w:t xml:space="preserve"> </w:t>
      </w:r>
      <w:r w:rsidRPr="009F78C5">
        <w:rPr>
          <w:rFonts w:ascii="Times New Roman" w:hAnsi="Times New Roman" w:cs="Times New Roman"/>
          <w:b/>
          <w:bCs/>
        </w:rPr>
        <w:fldChar w:fldCharType="begin"/>
      </w:r>
      <w:r w:rsidRPr="009F78C5">
        <w:rPr>
          <w:rFonts w:ascii="Times New Roman" w:hAnsi="Times New Roman" w:cs="Times New Roman"/>
          <w:b/>
          <w:bCs/>
        </w:rPr>
        <w:instrText xml:space="preserve"> ADDIN EN.CITE &lt;EndNote&gt;&lt;Cite&gt;&lt;Author&gt;Chen&lt;/Author&gt;&lt;Year&gt;2005&lt;/Year&gt;&lt;IDText&gt;Synergistic effect of antibacterial agents human beta-defensins, cathelicidin LL-37 and lysozyme against Staphylococcus aureus and Escherichia coli&lt;/IDText&gt;&lt;DisplayText&gt;(Chen&lt;style face="italic"&gt; et al.&lt;/style&gt;, 2005)&lt;/DisplayText&gt;&lt;record&gt;&lt;dates&gt;&lt;pub-dates&gt;&lt;date&gt;Nov&lt;/date&gt;&lt;/pub-dates&gt;&lt;year&gt;2005&lt;/year&gt;&lt;/dates&gt;&lt;urls&gt;&lt;related-urls&gt;&lt;/related-urls&gt;&lt;/urls&gt;&lt;isbn&gt;0923-1811&lt;/isbn&gt;&lt;work-type&gt;Article&lt;/work-type&gt;&lt;titles&gt;&lt;title&gt;&lt;style font="default" size="100%"&gt;Synergistic effect of antibacterial agents human beta-defensins, cathelicidin LL-37 and lysozyme against &lt;/style&gt;&lt;style face="italic" font="default" size="100%"&gt;Staphylococcus aureus&lt;/style&gt;&lt;style font="default" size="100%"&gt; and &lt;/style&gt;&lt;style face="italic" font="default" size="100%"&gt;Escherichia coli&lt;/style&gt;&lt;/title&gt;&lt;secondary-title&gt;Journal of Dermatological Science&lt;/secondary-title&gt;&lt;/titles&gt;&lt;pages&gt;123-132&lt;/pages&gt;&lt;number&gt;2&lt;/number&gt;&lt;contributors&gt;&lt;authors&gt;&lt;author&gt;Chen, X. J.&lt;/author&gt;&lt;author&gt;Niyonsaba, F.&lt;/author&gt;&lt;author&gt;Ushio, H.&lt;/author&gt;&lt;author&gt;Okuda, D.&lt;/author&gt;&lt;author&gt;Nagaoka, I.&lt;/author&gt;&lt;author&gt;Ikeda, S.&lt;/author&gt;&lt;author&gt;Okumura, K.&lt;/author&gt;&lt;author&gt;Ogawa, H.&lt;/author&gt;&lt;/authors&gt;&lt;/contributors&gt;&lt;added-date format="utc"&gt;1674147259&lt;/added-date&gt;&lt;ref-type name="Journal Article"&gt;17&lt;/ref-type&gt;&lt;rec-number&gt;226&lt;/rec-number&gt;&lt;last-updated-date format="utc"&gt;1675729450&lt;/last-updated-date&gt;&lt;accession-num&gt;WOS:000233092900006&lt;/accession-num&gt;&lt;electronic-resource-num&gt;10.1016/j.jdermsci.2005.03.014&lt;/electronic-resource-num&gt;&lt;volume&gt;40&lt;/volume&gt;&lt;/record&gt;&lt;/Cite&gt;&lt;/EndNote&gt;</w:instrText>
      </w:r>
      <w:r w:rsidRPr="009F78C5">
        <w:rPr>
          <w:rFonts w:ascii="Times New Roman" w:hAnsi="Times New Roman" w:cs="Times New Roman"/>
          <w:b/>
          <w:bCs/>
        </w:rPr>
        <w:fldChar w:fldCharType="separate"/>
      </w:r>
      <w:r w:rsidRPr="009F78C5">
        <w:rPr>
          <w:rFonts w:ascii="Times New Roman" w:hAnsi="Times New Roman" w:cs="Times New Roman"/>
          <w:b/>
          <w:bCs/>
          <w:noProof/>
        </w:rPr>
        <w:t>(Chen</w:t>
      </w:r>
      <w:r w:rsidRPr="009F78C5">
        <w:rPr>
          <w:rFonts w:ascii="Times New Roman" w:hAnsi="Times New Roman" w:cs="Times New Roman"/>
          <w:b/>
          <w:bCs/>
          <w:i/>
          <w:noProof/>
        </w:rPr>
        <w:t xml:space="preserve"> et al.</w:t>
      </w:r>
      <w:r w:rsidRPr="009F78C5">
        <w:rPr>
          <w:rFonts w:ascii="Times New Roman" w:hAnsi="Times New Roman" w:cs="Times New Roman"/>
          <w:b/>
          <w:bCs/>
          <w:noProof/>
        </w:rPr>
        <w:t>, 2005)</w:t>
      </w:r>
      <w:r w:rsidRPr="009F78C5">
        <w:rPr>
          <w:rFonts w:ascii="Times New Roman" w:hAnsi="Times New Roman" w:cs="Times New Roman"/>
          <w:b/>
          <w:bCs/>
        </w:rPr>
        <w:fldChar w:fldCharType="end"/>
      </w:r>
      <w:r>
        <w:rPr>
          <w:rFonts w:ascii="Times New Roman" w:hAnsi="Times New Roman" w:cs="Times New Roman"/>
          <w:b/>
          <w:bCs/>
        </w:rPr>
        <w:t xml:space="preserve"> </w:t>
      </w:r>
      <w:r w:rsidRPr="002874E9">
        <w:rPr>
          <w:rFonts w:ascii="Times New Roman" w:hAnsi="Times New Roman" w:cs="Times New Roman"/>
          <w:b/>
          <w:bCs/>
        </w:rPr>
        <w:t>(Fig. 4.</w:t>
      </w:r>
      <w:r w:rsidR="00081238">
        <w:rPr>
          <w:rFonts w:ascii="Times New Roman" w:hAnsi="Times New Roman" w:cs="Times New Roman"/>
          <w:b/>
          <w:bCs/>
        </w:rPr>
        <w:t>2</w:t>
      </w:r>
      <w:r w:rsidRPr="002874E9">
        <w:rPr>
          <w:rFonts w:ascii="Times New Roman" w:hAnsi="Times New Roman" w:cs="Times New Roman"/>
          <w:b/>
          <w:bCs/>
        </w:rPr>
        <w:t>.1b)</w:t>
      </w:r>
      <w:r>
        <w:rPr>
          <w:rFonts w:ascii="Times New Roman" w:hAnsi="Times New Roman" w:cs="Times New Roman"/>
        </w:rPr>
        <w:t xml:space="preserve">. </w:t>
      </w:r>
      <w:r w:rsidRPr="00730379">
        <w:rPr>
          <w:rFonts w:ascii="Times New Roman" w:hAnsi="Times New Roman" w:cs="Times New Roman"/>
        </w:rPr>
        <w:t>Here, differences between WT and the (p)ppGpp</w:t>
      </w:r>
      <w:r w:rsidRPr="00730379">
        <w:rPr>
          <w:rFonts w:ascii="Times New Roman" w:hAnsi="Times New Roman" w:cs="Times New Roman"/>
          <w:vertAlign w:val="superscript"/>
        </w:rPr>
        <w:t xml:space="preserve">0 </w:t>
      </w:r>
      <w:r w:rsidRPr="00730379">
        <w:rPr>
          <w:rFonts w:ascii="Times New Roman" w:hAnsi="Times New Roman" w:cs="Times New Roman"/>
        </w:rPr>
        <w:t xml:space="preserve">mutant were observed, however as this neutral pH is not the appropriate condition with which LL-37 should function, these results were disregarded </w:t>
      </w:r>
      <w:r w:rsidRPr="00730379">
        <w:rPr>
          <w:rFonts w:ascii="Times New Roman" w:hAnsi="Times New Roman" w:cs="Times New Roman"/>
          <w:b/>
          <w:bCs/>
        </w:rPr>
        <w:t>(Fig. 4.</w:t>
      </w:r>
      <w:r w:rsidR="00081238">
        <w:rPr>
          <w:rFonts w:ascii="Times New Roman" w:hAnsi="Times New Roman" w:cs="Times New Roman"/>
          <w:b/>
          <w:bCs/>
        </w:rPr>
        <w:t>2</w:t>
      </w:r>
      <w:r w:rsidRPr="00730379">
        <w:rPr>
          <w:rFonts w:ascii="Times New Roman" w:hAnsi="Times New Roman" w:cs="Times New Roman"/>
          <w:b/>
          <w:bCs/>
        </w:rPr>
        <w:t>.1b)</w:t>
      </w:r>
      <w:r w:rsidRPr="00730379">
        <w:rPr>
          <w:rFonts w:ascii="Times New Roman" w:hAnsi="Times New Roman" w:cs="Times New Roman"/>
        </w:rPr>
        <w:t>. As the trend in OD</w:t>
      </w:r>
      <w:r w:rsidRPr="00730379">
        <w:rPr>
          <w:rFonts w:ascii="Times New Roman" w:hAnsi="Times New Roman" w:cs="Times New Roman"/>
          <w:vertAlign w:val="subscript"/>
        </w:rPr>
        <w:t>600</w:t>
      </w:r>
      <w:r w:rsidRPr="00730379">
        <w:rPr>
          <w:rFonts w:ascii="Times New Roman" w:hAnsi="Times New Roman" w:cs="Times New Roman"/>
        </w:rPr>
        <w:t xml:space="preserve"> for both 0 and 12 μM is similar at neutral pH, it is likely that this is due to growth of </w:t>
      </w:r>
      <w:r w:rsidRPr="00730379">
        <w:rPr>
          <w:rFonts w:ascii="Times New Roman" w:hAnsi="Times New Roman" w:cs="Times New Roman"/>
          <w:i/>
          <w:iCs/>
        </w:rPr>
        <w:t xml:space="preserve">S. aureus </w:t>
      </w:r>
      <w:r w:rsidRPr="00730379">
        <w:rPr>
          <w:rFonts w:ascii="Times New Roman" w:hAnsi="Times New Roman" w:cs="Times New Roman"/>
        </w:rPr>
        <w:t>strains in RPMI</w:t>
      </w:r>
      <w:r w:rsidR="003E4EFE">
        <w:rPr>
          <w:rFonts w:ascii="Times New Roman" w:hAnsi="Times New Roman" w:cs="Times New Roman"/>
        </w:rPr>
        <w:t xml:space="preserve"> and this growth defect has been reported</w:t>
      </w:r>
      <w:r w:rsidRPr="00730379">
        <w:rPr>
          <w:rFonts w:ascii="Times New Roman" w:hAnsi="Times New Roman" w:cs="Times New Roman"/>
        </w:rPr>
        <w:t xml:space="preserve"> </w:t>
      </w:r>
      <w:r w:rsidRPr="00B539AA">
        <w:rPr>
          <w:rFonts w:ascii="Times New Roman" w:hAnsi="Times New Roman" w:cs="Times New Roman"/>
          <w:b/>
          <w:bCs/>
          <w:color w:val="000000" w:themeColor="text1"/>
        </w:rPr>
        <w:fldChar w:fldCharType="begin"/>
      </w:r>
      <w:r w:rsidRPr="00B539AA">
        <w:rPr>
          <w:rFonts w:ascii="Times New Roman" w:hAnsi="Times New Roman" w:cs="Times New Roman"/>
          <w:b/>
          <w:bCs/>
          <w:color w:val="000000" w:themeColor="text1"/>
        </w:rPr>
        <w:instrText xml:space="preserve"> ADDIN EN.CITE &lt;EndNote&gt;&lt;Cite&gt;&lt;Author&gt;Carrilero&lt;/Author&gt;&lt;Year&gt;2023&lt;/Year&gt;&lt;IDText&gt;Stringent Response-Mediated Control of GTP Homeostasis Is Required for Long-Term Viability of  Staphylococcus aureus&lt;/IDText&gt;&lt;DisplayText&gt;(Carrilero&lt;style face="italic"&gt; et al.&lt;/style&gt;, 2023)&lt;/DisplayText&gt;&lt;record&gt;&lt;titles&gt;&lt;title&gt;Stringent Response-Mediated Control of GTP Homeostasis Is Required for Long-Term Viability of  Staphylococcus aureus&lt;/title&gt;&lt;secondary-title&gt;Microbiology Spectrum&lt;/secondary-title&gt;&lt;/titles&gt;&lt;contributors&gt;&lt;authors&gt;&lt;author&gt;Carrilero, L&lt;/author&gt;&lt;author&gt;Urwin, L&lt;/author&gt;&lt;author&gt;Ward, E&lt;/author&gt;&lt;author&gt;Choudhury, NR&lt;/author&gt;&lt;author&gt;Monk, IR&lt;/author&gt;&lt;author&gt;Turner, CE&lt;/author&gt;&lt;author&gt;Stinear, TP&lt;/author&gt;&lt;author&gt;Corrigan, RM&lt;/author&gt;&lt;/authors&gt;&lt;/contributors&gt;&lt;added-date format="utc"&gt;1678319327&lt;/added-date&gt;&lt;ref-type name="Journal Article"&gt;17&lt;/ref-type&gt;&lt;dates&gt;&lt;year&gt;2023&lt;/year&gt;&lt;/dates&gt;&lt;rec-number&gt;766&lt;/rec-number&gt;&lt;last-updated-date format="utc"&gt;1678319418&lt;/last-updated-date&gt;&lt;/record&gt;&lt;/Cite&gt;&lt;/EndNote&gt;</w:instrText>
      </w:r>
      <w:r w:rsidRPr="00B539AA">
        <w:rPr>
          <w:rFonts w:ascii="Times New Roman" w:hAnsi="Times New Roman" w:cs="Times New Roman"/>
          <w:b/>
          <w:bCs/>
          <w:color w:val="000000" w:themeColor="text1"/>
        </w:rPr>
        <w:fldChar w:fldCharType="separate"/>
      </w:r>
      <w:r w:rsidRPr="00B539AA">
        <w:rPr>
          <w:rFonts w:ascii="Times New Roman" w:hAnsi="Times New Roman" w:cs="Times New Roman"/>
          <w:b/>
          <w:bCs/>
          <w:noProof/>
          <w:color w:val="000000" w:themeColor="text1"/>
        </w:rPr>
        <w:t>(Carrilero</w:t>
      </w:r>
      <w:r w:rsidRPr="00B539AA">
        <w:rPr>
          <w:rFonts w:ascii="Times New Roman" w:hAnsi="Times New Roman" w:cs="Times New Roman"/>
          <w:b/>
          <w:bCs/>
          <w:i/>
          <w:noProof/>
          <w:color w:val="000000" w:themeColor="text1"/>
        </w:rPr>
        <w:t xml:space="preserve"> et al.</w:t>
      </w:r>
      <w:r w:rsidRPr="00B539AA">
        <w:rPr>
          <w:rFonts w:ascii="Times New Roman" w:hAnsi="Times New Roman" w:cs="Times New Roman"/>
          <w:b/>
          <w:bCs/>
          <w:noProof/>
          <w:color w:val="000000" w:themeColor="text1"/>
        </w:rPr>
        <w:t>, 2023)</w:t>
      </w:r>
      <w:r w:rsidRPr="00B539AA">
        <w:rPr>
          <w:rFonts w:ascii="Times New Roman" w:hAnsi="Times New Roman" w:cs="Times New Roman"/>
          <w:b/>
          <w:bCs/>
          <w:color w:val="000000" w:themeColor="text1"/>
        </w:rPr>
        <w:fldChar w:fldCharType="end"/>
      </w:r>
      <w:r w:rsidRPr="00730379">
        <w:rPr>
          <w:rFonts w:ascii="Times New Roman" w:hAnsi="Times New Roman" w:cs="Times New Roman"/>
        </w:rPr>
        <w:t>.</w:t>
      </w:r>
      <w:r w:rsidRPr="00A82941">
        <w:rPr>
          <w:rFonts w:ascii="Times New Roman" w:hAnsi="Times New Roman" w:cs="Times New Roman"/>
          <w:color w:val="00B0F0"/>
        </w:rPr>
        <w:t xml:space="preserve"> </w:t>
      </w:r>
      <w:r>
        <w:rPr>
          <w:rFonts w:ascii="Times New Roman" w:hAnsi="Times New Roman" w:cs="Times New Roman"/>
        </w:rPr>
        <w:t>These results confirm that LL-37 functions optimally at low pH and suggest</w:t>
      </w:r>
      <w:r w:rsidR="003E4EFE">
        <w:rPr>
          <w:rFonts w:ascii="Times New Roman" w:hAnsi="Times New Roman" w:cs="Times New Roman"/>
        </w:rPr>
        <w:t>s</w:t>
      </w:r>
      <w:r>
        <w:rPr>
          <w:rFonts w:ascii="Times New Roman" w:hAnsi="Times New Roman" w:cs="Times New Roman"/>
        </w:rPr>
        <w:t xml:space="preserve"> that 12 </w:t>
      </w:r>
      <w:r w:rsidRPr="00F10CE8">
        <w:rPr>
          <w:rFonts w:ascii="Times New Roman" w:hAnsi="Times New Roman" w:cs="Times New Roman"/>
        </w:rPr>
        <w:t>μ</w:t>
      </w:r>
      <w:r>
        <w:rPr>
          <w:rFonts w:ascii="Times New Roman" w:hAnsi="Times New Roman" w:cs="Times New Roman"/>
        </w:rPr>
        <w:t xml:space="preserve">M is too great a concentration to elucidate the role of the stringent response in the survival of </w:t>
      </w:r>
      <w:r>
        <w:rPr>
          <w:rFonts w:ascii="Times New Roman" w:hAnsi="Times New Roman" w:cs="Times New Roman"/>
          <w:i/>
          <w:iCs/>
        </w:rPr>
        <w:t>S. aureus</w:t>
      </w:r>
      <w:r>
        <w:rPr>
          <w:rFonts w:ascii="Times New Roman" w:hAnsi="Times New Roman" w:cs="Times New Roman"/>
        </w:rPr>
        <w:t xml:space="preserve"> in the presence of LL-37.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0459CF6D" w14:textId="77777777" w:rsidTr="00A74445">
        <w:tc>
          <w:tcPr>
            <w:tcW w:w="9016" w:type="dxa"/>
          </w:tcPr>
          <w:p w14:paraId="250678ED"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1E65232" wp14:editId="0BEC1BA3">
                  <wp:extent cx="5679917" cy="3487479"/>
                  <wp:effectExtent l="0" t="0" r="0" b="0"/>
                  <wp:docPr id="913246566" name="Picture 9132465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6566" name="Picture 913246566"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414" cy="3496994"/>
                          </a:xfrm>
                          <a:prstGeom prst="rect">
                            <a:avLst/>
                          </a:prstGeom>
                          <a:noFill/>
                        </pic:spPr>
                      </pic:pic>
                    </a:graphicData>
                  </a:graphic>
                </wp:inline>
              </w:drawing>
            </w:r>
          </w:p>
        </w:tc>
      </w:tr>
      <w:tr w:rsidR="00187693" w14:paraId="6FB83A82" w14:textId="77777777" w:rsidTr="00A74445">
        <w:tc>
          <w:tcPr>
            <w:tcW w:w="9016" w:type="dxa"/>
          </w:tcPr>
          <w:p w14:paraId="04774C56" w14:textId="5500EC3C" w:rsidR="00187693" w:rsidRDefault="00187693" w:rsidP="00A74445">
            <w:pPr>
              <w:jc w:val="both"/>
              <w:rPr>
                <w:rFonts w:ascii="Times New Roman" w:hAnsi="Times New Roman" w:cs="Times New Roman"/>
              </w:rPr>
            </w:pPr>
            <w:r w:rsidRPr="001F46BE">
              <w:rPr>
                <w:rFonts w:ascii="Times New Roman" w:hAnsi="Times New Roman" w:cs="Times New Roman"/>
                <w:b/>
                <w:bCs/>
                <w:sz w:val="18"/>
                <w:szCs w:val="18"/>
              </w:rPr>
              <w:t>Figure 4.</w:t>
            </w:r>
            <w:r w:rsidR="00081238">
              <w:rPr>
                <w:rFonts w:ascii="Times New Roman" w:hAnsi="Times New Roman" w:cs="Times New Roman"/>
                <w:b/>
                <w:bCs/>
                <w:sz w:val="18"/>
                <w:szCs w:val="18"/>
              </w:rPr>
              <w:t>2</w:t>
            </w:r>
            <w:r w:rsidRPr="001F46BE">
              <w:rPr>
                <w:rFonts w:ascii="Times New Roman" w:hAnsi="Times New Roman" w:cs="Times New Roman"/>
                <w:b/>
                <w:bCs/>
                <w:sz w:val="18"/>
                <w:szCs w:val="18"/>
              </w:rPr>
              <w:t xml:space="preserve">.1. Antimicrobial activity of 12 </w:t>
            </w:r>
            <w:r w:rsidRPr="001F46BE">
              <w:rPr>
                <w:rFonts w:ascii="Times New Roman" w:hAnsi="Times New Roman" w:cs="Times New Roman"/>
                <w:b/>
                <w:bCs/>
                <w:sz w:val="18"/>
                <w:szCs w:val="18"/>
                <w:lang w:val="el-GR"/>
              </w:rPr>
              <w:t>μ</w:t>
            </w:r>
            <w:r w:rsidRPr="001F46BE">
              <w:rPr>
                <w:rFonts w:ascii="Times New Roman" w:hAnsi="Times New Roman" w:cs="Times New Roman"/>
                <w:b/>
                <w:bCs/>
                <w:sz w:val="18"/>
                <w:szCs w:val="18"/>
              </w:rPr>
              <w:t>M LL-37 and 32-64</w:t>
            </w:r>
            <w:r w:rsidRPr="001F46BE">
              <w:rPr>
                <w:rFonts w:ascii="Times New Roman" w:hAnsi="Times New Roman" w:cs="Times New Roman"/>
                <w:b/>
                <w:bCs/>
                <w:i/>
                <w:iCs/>
                <w:sz w:val="18"/>
                <w:szCs w:val="18"/>
              </w:rPr>
              <w:t xml:space="preserve"> </w:t>
            </w:r>
            <w:r w:rsidRPr="001F46BE">
              <w:rPr>
                <w:rFonts w:ascii="Times New Roman" w:hAnsi="Times New Roman" w:cs="Times New Roman"/>
                <w:b/>
                <w:bCs/>
                <w:sz w:val="18"/>
                <w:szCs w:val="18"/>
                <w:lang w:val="el-GR"/>
              </w:rPr>
              <w:t>μ</w:t>
            </w:r>
            <w:r w:rsidRPr="001F46BE">
              <w:rPr>
                <w:rFonts w:ascii="Times New Roman" w:hAnsi="Times New Roman" w:cs="Times New Roman"/>
                <w:b/>
                <w:bCs/>
                <w:sz w:val="18"/>
                <w:szCs w:val="18"/>
              </w:rPr>
              <w:t xml:space="preserve">g/ml polymyxin B against </w:t>
            </w:r>
            <w:r w:rsidRPr="001F46BE">
              <w:rPr>
                <w:rFonts w:ascii="Times New Roman" w:hAnsi="Times New Roman" w:cs="Times New Roman"/>
                <w:b/>
                <w:bCs/>
                <w:i/>
                <w:iCs/>
                <w:sz w:val="18"/>
                <w:szCs w:val="18"/>
              </w:rPr>
              <w:t>S. aureus</w:t>
            </w:r>
            <w:r w:rsidRPr="001F46BE">
              <w:rPr>
                <w:rFonts w:ascii="Times New Roman" w:hAnsi="Times New Roman" w:cs="Times New Roman"/>
                <w:b/>
                <w:bCs/>
                <w:sz w:val="18"/>
                <w:szCs w:val="18"/>
              </w:rPr>
              <w:t xml:space="preserve"> reveals no difference in growth between WT, stringent response mutants and </w:t>
            </w:r>
            <w:r w:rsidR="001108C9" w:rsidRPr="000B3602">
              <w:rPr>
                <w:rFonts w:ascii="Times New Roman" w:hAnsi="Times New Roman" w:cs="Times New Roman"/>
                <w:b/>
                <w:bCs/>
                <w:i/>
                <w:iCs/>
                <w:sz w:val="18"/>
                <w:szCs w:val="18"/>
              </w:rPr>
              <w:t>codY</w:t>
            </w:r>
            <w:r w:rsidR="001108C9" w:rsidRPr="000B3602">
              <w:rPr>
                <w:rFonts w:ascii="Times New Roman" w:hAnsi="Times New Roman" w:cs="Times New Roman"/>
                <w:b/>
                <w:bCs/>
                <w:sz w:val="18"/>
                <w:szCs w:val="18"/>
              </w:rPr>
              <w:t>::Tn</w:t>
            </w:r>
            <w:r w:rsidRPr="001F46BE">
              <w:rPr>
                <w:rFonts w:ascii="Times New Roman" w:hAnsi="Times New Roman" w:cs="Times New Roman"/>
                <w:b/>
                <w:bCs/>
                <w:i/>
                <w:iCs/>
                <w:sz w:val="18"/>
                <w:szCs w:val="18"/>
              </w:rPr>
              <w:t xml:space="preserve">. </w:t>
            </w:r>
            <w:r w:rsidRPr="001F46BE">
              <w:rPr>
                <w:rFonts w:ascii="Times New Roman" w:hAnsi="Times New Roman" w:cs="Times New Roman"/>
                <w:i/>
                <w:iCs/>
                <w:sz w:val="18"/>
                <w:szCs w:val="18"/>
              </w:rPr>
              <w:t xml:space="preserve">S. aureus </w:t>
            </w:r>
            <w:r w:rsidRPr="001F46BE">
              <w:rPr>
                <w:rFonts w:ascii="Times New Roman" w:hAnsi="Times New Roman" w:cs="Times New Roman"/>
                <w:sz w:val="18"/>
                <w:szCs w:val="18"/>
              </w:rPr>
              <w:t>strains JE2</w:t>
            </w:r>
            <w:r>
              <w:rPr>
                <w:rFonts w:ascii="Times New Roman" w:hAnsi="Times New Roman" w:cs="Times New Roman"/>
                <w:sz w:val="18"/>
                <w:szCs w:val="18"/>
              </w:rPr>
              <w:t xml:space="preserve"> </w:t>
            </w:r>
            <w:r w:rsidRPr="001F46BE">
              <w:rPr>
                <w:rFonts w:ascii="Times New Roman" w:hAnsi="Times New Roman" w:cs="Times New Roman"/>
                <w:sz w:val="18"/>
                <w:szCs w:val="18"/>
              </w:rPr>
              <w:t>WT, Δ</w:t>
            </w:r>
            <w:r w:rsidRPr="001F46BE">
              <w:rPr>
                <w:rFonts w:ascii="Times New Roman" w:hAnsi="Times New Roman" w:cs="Times New Roman"/>
                <w:i/>
                <w:iCs/>
                <w:sz w:val="18"/>
                <w:szCs w:val="18"/>
              </w:rPr>
              <w:t xml:space="preserve">relQP, </w:t>
            </w:r>
            <w:r w:rsidRPr="001F46BE">
              <w:rPr>
                <w:rFonts w:ascii="Times New Roman" w:hAnsi="Times New Roman" w:cs="Times New Roman"/>
                <w:sz w:val="18"/>
                <w:szCs w:val="18"/>
              </w:rPr>
              <w:t>(p)ppGpp</w:t>
            </w:r>
            <w:r w:rsidRPr="001F46BE">
              <w:rPr>
                <w:rFonts w:ascii="Times New Roman" w:hAnsi="Times New Roman" w:cs="Times New Roman"/>
                <w:sz w:val="18"/>
                <w:szCs w:val="18"/>
                <w:vertAlign w:val="superscript"/>
              </w:rPr>
              <w:t>0</w:t>
            </w:r>
            <w:r w:rsidRPr="001F46BE">
              <w:rPr>
                <w:rFonts w:ascii="Times New Roman" w:hAnsi="Times New Roman" w:cs="Times New Roman"/>
                <w:b/>
                <w:bCs/>
                <w:sz w:val="18"/>
                <w:szCs w:val="18"/>
                <w:vertAlign w:val="superscript"/>
              </w:rPr>
              <w:t xml:space="preserve"> </w:t>
            </w:r>
            <w:r w:rsidRPr="001F46BE">
              <w:rPr>
                <w:rFonts w:ascii="Times New Roman" w:hAnsi="Times New Roman" w:cs="Times New Roman"/>
                <w:sz w:val="18"/>
                <w:szCs w:val="18"/>
              </w:rPr>
              <w:t xml:space="preserve">and </w:t>
            </w:r>
            <w:r w:rsidR="00AC0958" w:rsidRPr="00066900">
              <w:rPr>
                <w:rFonts w:ascii="Times New Roman" w:hAnsi="Times New Roman" w:cs="Times New Roman"/>
                <w:i/>
                <w:iCs/>
                <w:sz w:val="18"/>
                <w:szCs w:val="18"/>
              </w:rPr>
              <w:t>codY</w:t>
            </w:r>
            <w:r w:rsidR="00AC0958" w:rsidRPr="00066900">
              <w:rPr>
                <w:rFonts w:ascii="Times New Roman" w:hAnsi="Times New Roman" w:cs="Times New Roman"/>
                <w:sz w:val="18"/>
                <w:szCs w:val="18"/>
              </w:rPr>
              <w:t>::Tn</w:t>
            </w:r>
            <w:r w:rsidR="00AC0958" w:rsidRPr="00066900">
              <w:rPr>
                <w:rFonts w:ascii="Times New Roman" w:hAnsi="Times New Roman" w:cs="Times New Roman"/>
                <w:i/>
                <w:iCs/>
                <w:sz w:val="18"/>
                <w:szCs w:val="18"/>
              </w:rPr>
              <w:t xml:space="preserve"> </w:t>
            </w:r>
            <w:r w:rsidRPr="001F46BE">
              <w:rPr>
                <w:rFonts w:ascii="Times New Roman" w:hAnsi="Times New Roman" w:cs="Times New Roman"/>
                <w:sz w:val="18"/>
                <w:szCs w:val="18"/>
              </w:rPr>
              <w:t>were grown in buffered RPMI 1640 medium from a starting OD</w:t>
            </w:r>
            <w:r w:rsidRPr="001F46BE">
              <w:rPr>
                <w:rFonts w:ascii="Times New Roman" w:hAnsi="Times New Roman" w:cs="Times New Roman"/>
                <w:sz w:val="18"/>
                <w:szCs w:val="18"/>
                <w:vertAlign w:val="subscript"/>
              </w:rPr>
              <w:t>600</w:t>
            </w:r>
            <w:r w:rsidRPr="001F46BE">
              <w:rPr>
                <w:rFonts w:ascii="Times New Roman" w:hAnsi="Times New Roman" w:cs="Times New Roman"/>
                <w:sz w:val="18"/>
                <w:szCs w:val="18"/>
              </w:rPr>
              <w:t xml:space="preserve"> of 0.05 and endpoint OD</w:t>
            </w:r>
            <w:r w:rsidRPr="001F46BE">
              <w:rPr>
                <w:rFonts w:ascii="Times New Roman" w:hAnsi="Times New Roman" w:cs="Times New Roman"/>
                <w:sz w:val="18"/>
                <w:szCs w:val="18"/>
                <w:vertAlign w:val="subscript"/>
              </w:rPr>
              <w:t>600</w:t>
            </w:r>
            <w:r w:rsidRPr="001F46BE">
              <w:rPr>
                <w:rFonts w:ascii="Times New Roman" w:hAnsi="Times New Roman" w:cs="Times New Roman"/>
                <w:sz w:val="18"/>
                <w:szCs w:val="18"/>
              </w:rPr>
              <w:t xml:space="preserve"> measurements were taken at 24 hours. Growth in the presence of 0 and 12 </w:t>
            </w:r>
            <w:r w:rsidRPr="001F46BE">
              <w:rPr>
                <w:rFonts w:ascii="Times New Roman" w:hAnsi="Times New Roman" w:cs="Times New Roman"/>
                <w:sz w:val="18"/>
                <w:szCs w:val="18"/>
                <w:lang w:val="el-GR"/>
              </w:rPr>
              <w:t>μ</w:t>
            </w:r>
            <w:r w:rsidRPr="001F46BE">
              <w:rPr>
                <w:rFonts w:ascii="Times New Roman" w:hAnsi="Times New Roman" w:cs="Times New Roman"/>
                <w:sz w:val="18"/>
                <w:szCs w:val="18"/>
              </w:rPr>
              <w:t xml:space="preserve">M LL-37 at pH 5.5 </w:t>
            </w:r>
            <w:r w:rsidRPr="001F46BE">
              <w:rPr>
                <w:rFonts w:ascii="Times New Roman" w:hAnsi="Times New Roman" w:cs="Times New Roman"/>
                <w:b/>
                <w:bCs/>
                <w:sz w:val="18"/>
                <w:szCs w:val="18"/>
              </w:rPr>
              <w:t xml:space="preserve">(a) </w:t>
            </w:r>
            <w:r w:rsidRPr="001F46BE">
              <w:rPr>
                <w:rFonts w:ascii="Times New Roman" w:hAnsi="Times New Roman" w:cs="Times New Roman"/>
                <w:sz w:val="18"/>
                <w:szCs w:val="18"/>
              </w:rPr>
              <w:t xml:space="preserve">and pH 7.5 </w:t>
            </w:r>
            <w:r w:rsidRPr="001F46BE">
              <w:rPr>
                <w:rFonts w:ascii="Times New Roman" w:hAnsi="Times New Roman" w:cs="Times New Roman"/>
                <w:b/>
                <w:bCs/>
                <w:sz w:val="18"/>
                <w:szCs w:val="18"/>
              </w:rPr>
              <w:t xml:space="preserve">(b) </w:t>
            </w:r>
            <w:r w:rsidRPr="001F46BE">
              <w:rPr>
                <w:rFonts w:ascii="Times New Roman" w:hAnsi="Times New Roman" w:cs="Times New Roman"/>
                <w:sz w:val="18"/>
                <w:szCs w:val="18"/>
              </w:rPr>
              <w:t xml:space="preserve">and 0, 32 and 64 </w:t>
            </w:r>
            <w:r w:rsidRPr="001F46BE">
              <w:rPr>
                <w:rFonts w:ascii="Times New Roman" w:hAnsi="Times New Roman" w:cs="Times New Roman"/>
                <w:sz w:val="18"/>
                <w:szCs w:val="18"/>
                <w:lang w:val="el-GR"/>
              </w:rPr>
              <w:t>μ</w:t>
            </w:r>
            <w:r w:rsidRPr="001F46BE">
              <w:rPr>
                <w:rFonts w:ascii="Times New Roman" w:hAnsi="Times New Roman" w:cs="Times New Roman"/>
                <w:sz w:val="18"/>
                <w:szCs w:val="18"/>
              </w:rPr>
              <w:t xml:space="preserve">g/ml polymyxin B at pH 5.5 </w:t>
            </w:r>
            <w:r w:rsidRPr="001F46BE">
              <w:rPr>
                <w:rFonts w:ascii="Times New Roman" w:hAnsi="Times New Roman" w:cs="Times New Roman"/>
                <w:b/>
                <w:bCs/>
                <w:sz w:val="18"/>
                <w:szCs w:val="18"/>
              </w:rPr>
              <w:t xml:space="preserve">(c) </w:t>
            </w:r>
            <w:r w:rsidRPr="001F46BE">
              <w:rPr>
                <w:rFonts w:ascii="Times New Roman" w:hAnsi="Times New Roman" w:cs="Times New Roman"/>
                <w:sz w:val="18"/>
                <w:szCs w:val="18"/>
              </w:rPr>
              <w:t xml:space="preserve">and pH 7.5 </w:t>
            </w:r>
            <w:r w:rsidRPr="001F46BE">
              <w:rPr>
                <w:rFonts w:ascii="Times New Roman" w:hAnsi="Times New Roman" w:cs="Times New Roman"/>
                <w:b/>
                <w:bCs/>
                <w:sz w:val="18"/>
                <w:szCs w:val="18"/>
              </w:rPr>
              <w:t>(d)</w:t>
            </w:r>
            <w:r w:rsidRPr="001F46BE">
              <w:rPr>
                <w:rFonts w:ascii="Times New Roman" w:hAnsi="Times New Roman" w:cs="Times New Roman"/>
                <w:sz w:val="18"/>
                <w:szCs w:val="18"/>
              </w:rPr>
              <w:t>. Experiments with LL-37 and polymyxin B were performed in duplicate from which mean values ± standard deviations were plotted.</w:t>
            </w:r>
          </w:p>
        </w:tc>
      </w:tr>
    </w:tbl>
    <w:p w14:paraId="09A98112" w14:textId="77777777" w:rsidR="00187693" w:rsidRDefault="00187693" w:rsidP="00187693">
      <w:pPr>
        <w:spacing w:line="360" w:lineRule="auto"/>
        <w:jc w:val="both"/>
        <w:rPr>
          <w:rFonts w:ascii="Times New Roman" w:hAnsi="Times New Roman" w:cs="Times New Roman"/>
        </w:rPr>
      </w:pPr>
    </w:p>
    <w:p w14:paraId="46C93C1F" w14:textId="77777777" w:rsidR="00187693" w:rsidRPr="002874E9" w:rsidRDefault="00187693" w:rsidP="00187693">
      <w:pPr>
        <w:spacing w:line="360" w:lineRule="auto"/>
        <w:ind w:firstLine="720"/>
        <w:jc w:val="both"/>
        <w:rPr>
          <w:rFonts w:ascii="Times New Roman" w:hAnsi="Times New Roman" w:cs="Times New Roman"/>
          <w:b/>
          <w:bCs/>
        </w:rPr>
      </w:pPr>
      <w:r>
        <w:rPr>
          <w:rFonts w:ascii="Times New Roman" w:hAnsi="Times New Roman" w:cs="Times New Roman"/>
          <w:i/>
          <w:iCs/>
        </w:rPr>
        <w:t>S. aureus</w:t>
      </w:r>
      <w:r>
        <w:rPr>
          <w:rFonts w:ascii="Times New Roman" w:hAnsi="Times New Roman" w:cs="Times New Roman"/>
        </w:rPr>
        <w:t xml:space="preserve"> was also exposed to polymyxin B at acidic and neutral pH. Polymyxin B is a polypeptide antibiotic in the same antibiotic family as colistin (polymyxin E) – both are produced by soil bacterium </w:t>
      </w:r>
      <w:r w:rsidRPr="00247BF2">
        <w:rPr>
          <w:rFonts w:ascii="Times New Roman" w:hAnsi="Times New Roman" w:cs="Times New Roman"/>
          <w:i/>
          <w:iCs/>
        </w:rPr>
        <w:t>Paenibacillus polymyxa</w:t>
      </w:r>
      <w:r>
        <w:rPr>
          <w:rFonts w:ascii="Times New Roman" w:hAnsi="Times New Roman" w:cs="Times New Roman"/>
        </w:rPr>
        <w:t xml:space="preserve">. Polymyxins target both the outer and inner membrane of Gram-negative bacteria </w:t>
      </w:r>
      <w:r w:rsidRPr="005E642A">
        <w:rPr>
          <w:rFonts w:ascii="Times New Roman" w:hAnsi="Times New Roman" w:cs="Times New Roman"/>
          <w:b/>
          <w:bCs/>
        </w:rPr>
        <w:fldChar w:fldCharType="begin">
          <w:fldData xml:space="preserve">PEVuZE5vdGU+PENpdGU+PEF1dGhvcj5Qb2lyZWw8L0F1dGhvcj48WWVhcj4yMDE3PC9ZZWFyPjxJ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=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PEVuZE5vdGU+PENpdGU+PEF1dGhvcj5Qb2lyZWw8L0F1dGhvcj48WWVhcj4yMDE3PC9ZZWFyPjxJ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=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5E642A">
        <w:rPr>
          <w:rFonts w:ascii="Times New Roman" w:hAnsi="Times New Roman" w:cs="Times New Roman"/>
          <w:b/>
          <w:bCs/>
        </w:rPr>
      </w:r>
      <w:r w:rsidRPr="005E642A">
        <w:rPr>
          <w:rFonts w:ascii="Times New Roman" w:hAnsi="Times New Roman" w:cs="Times New Roman"/>
          <w:b/>
          <w:bCs/>
        </w:rPr>
        <w:fldChar w:fldCharType="separate"/>
      </w:r>
      <w:r>
        <w:rPr>
          <w:rFonts w:ascii="Times New Roman" w:hAnsi="Times New Roman" w:cs="Times New Roman"/>
          <w:b/>
          <w:bCs/>
          <w:noProof/>
        </w:rPr>
        <w:t>(Poirel, Jayol and Nordmann, 2017; Sabnis</w:t>
      </w:r>
      <w:r w:rsidRPr="00BF273C">
        <w:rPr>
          <w:rFonts w:ascii="Times New Roman" w:hAnsi="Times New Roman" w:cs="Times New Roman"/>
          <w:b/>
          <w:bCs/>
          <w:i/>
          <w:noProof/>
        </w:rPr>
        <w:t xml:space="preserve"> et al.</w:t>
      </w:r>
      <w:r>
        <w:rPr>
          <w:rFonts w:ascii="Times New Roman" w:hAnsi="Times New Roman" w:cs="Times New Roman"/>
          <w:b/>
          <w:bCs/>
          <w:noProof/>
        </w:rPr>
        <w:t>, 2021)</w:t>
      </w:r>
      <w:r w:rsidRPr="005E642A">
        <w:rPr>
          <w:rFonts w:ascii="Times New Roman" w:hAnsi="Times New Roman" w:cs="Times New Roman"/>
          <w:b/>
          <w:bCs/>
        </w:rPr>
        <w:fldChar w:fldCharType="end"/>
      </w:r>
      <w:r>
        <w:rPr>
          <w:rFonts w:ascii="Times New Roman" w:hAnsi="Times New Roman" w:cs="Times New Roman"/>
        </w:rPr>
        <w:t xml:space="preserve">. The </w:t>
      </w:r>
      <w:r w:rsidRPr="00FD64CE">
        <w:rPr>
          <w:rFonts w:ascii="Times New Roman" w:hAnsi="Times New Roman" w:cs="Times New Roman"/>
        </w:rPr>
        <w:t xml:space="preserve">α,γ-diaminobutyric acid of polymyxin B interacts with lipid A of </w:t>
      </w:r>
      <w:r>
        <w:rPr>
          <w:rFonts w:ascii="Times New Roman" w:hAnsi="Times New Roman" w:cs="Times New Roman"/>
        </w:rPr>
        <w:t>LPS</w:t>
      </w:r>
      <w:r w:rsidRPr="00FD64CE">
        <w:rPr>
          <w:rFonts w:ascii="Times New Roman" w:hAnsi="Times New Roman" w:cs="Times New Roman"/>
        </w:rPr>
        <w:t>, leading to</w:t>
      </w:r>
      <w:r>
        <w:rPr>
          <w:rFonts w:ascii="Times New Roman" w:hAnsi="Times New Roman" w:cs="Times New Roman"/>
        </w:rPr>
        <w:t xml:space="preserve"> LPS </w:t>
      </w:r>
      <w:r w:rsidRPr="00FD64CE">
        <w:rPr>
          <w:rFonts w:ascii="Times New Roman" w:hAnsi="Times New Roman" w:cs="Times New Roman"/>
        </w:rPr>
        <w:t xml:space="preserve">destabilisation and subsequent </w:t>
      </w:r>
      <w:r>
        <w:rPr>
          <w:rFonts w:ascii="Times New Roman" w:hAnsi="Times New Roman" w:cs="Times New Roman"/>
        </w:rPr>
        <w:t xml:space="preserve">cell </w:t>
      </w:r>
      <w:r w:rsidRPr="00FD64CE">
        <w:rPr>
          <w:rFonts w:ascii="Times New Roman" w:hAnsi="Times New Roman" w:cs="Times New Roman"/>
        </w:rPr>
        <w:t>membrane permeabili</w:t>
      </w:r>
      <w:r>
        <w:rPr>
          <w:rFonts w:ascii="Times New Roman" w:hAnsi="Times New Roman" w:cs="Times New Roman"/>
        </w:rPr>
        <w:t>s</w:t>
      </w:r>
      <w:r w:rsidRPr="00FD64CE">
        <w:rPr>
          <w:rFonts w:ascii="Times New Roman" w:hAnsi="Times New Roman" w:cs="Times New Roman"/>
        </w:rPr>
        <w:t>ation, resulting in cell lysis</w:t>
      </w:r>
      <w:r>
        <w:rPr>
          <w:rFonts w:ascii="Times New Roman" w:hAnsi="Times New Roman" w:cs="Times New Roman"/>
        </w:rPr>
        <w:t xml:space="preserve"> </w:t>
      </w:r>
      <w:r w:rsidRPr="00025AEA">
        <w:rPr>
          <w:rFonts w:ascii="Times New Roman" w:hAnsi="Times New Roman" w:cs="Times New Roman"/>
          <w:b/>
          <w:bCs/>
        </w:rPr>
        <w:fldChar w:fldCharType="begin"/>
      </w:r>
      <w:r w:rsidRPr="00025AEA">
        <w:rPr>
          <w:rFonts w:ascii="Times New Roman" w:hAnsi="Times New Roman" w:cs="Times New Roman"/>
          <w:b/>
          <w:bCs/>
        </w:rPr>
        <w:instrText xml:space="preserve"> ADDIN EN.CITE &lt;EndNote&gt;&lt;Cite&gt;&lt;Author&gt;Poirel&lt;/Author&gt;&lt;Year&gt;2017&lt;/Year&gt;&lt;IDText&gt;Polymyxins: Antibacterial Activity, Susceptibility Testing, and Resistance Mechanisms Encoded by Plasmids or Chromosomes&lt;/IDText&gt;&lt;DisplayText&gt;(Poirel, Jayol and Nordmann, 2017)&lt;/DisplayText&gt;&lt;record&gt;&lt;dates&gt;&lt;pub-dates&gt;&lt;date&gt;Apr&lt;/date&gt;&lt;/pub-dates&gt;&lt;year&gt;2017&lt;/year&gt;&lt;/dates&gt;&lt;urls&gt;&lt;related-urls&gt;&lt;url&gt;&amp;lt;Go to ISI&amp;gt;://WOS:000396372400005&lt;/url&gt;&lt;/related-urls&gt;&lt;/urls&gt;&lt;isbn&gt;0893-8512&lt;/isbn&gt;&lt;work-type&gt;Review&lt;/work-type&gt;&lt;titles&gt;&lt;title&gt;Polymyxins: Antibacterial Activity, Susceptibility Testing, and Resistance Mechanisms Encoded by Plasmids or Chromosomes&lt;/title&gt;&lt;secondary-title&gt;Clinical Microbiology Reviews&lt;/secondary-title&gt;&lt;/titles&gt;&lt;pages&gt;557-596&lt;/pages&gt;&lt;number&gt;2&lt;/number&gt;&lt;contributors&gt;&lt;authors&gt;&lt;author&gt;Poirel, Laurent&lt;/author&gt;&lt;author&gt;Jayol, Aurelie&lt;/author&gt;&lt;author&gt;Nordmann, Patrice&lt;/author&gt;&lt;/authors&gt;&lt;/contributors&gt;&lt;added-date format="utc"&gt;1674128106&lt;/added-date&gt;&lt;ref-type name="Journal Article"&gt;17&lt;/ref-type&gt;&lt;rec-number&gt;218&lt;/rec-number&gt;&lt;last-updated-date format="utc"&gt;1674128106&lt;/last-updated-date&gt;&lt;accession-num&gt;WOS:000396372400005&lt;/accession-num&gt;&lt;electronic-resource-num&gt;10.1128/cmr.00064-16&lt;/electronic-resource-num&gt;&lt;volume&gt;30&lt;/volume&gt;&lt;/record&gt;&lt;/Cite&gt;&lt;/EndNote&gt;</w:instrText>
      </w:r>
      <w:r w:rsidRPr="00025AEA">
        <w:rPr>
          <w:rFonts w:ascii="Times New Roman" w:hAnsi="Times New Roman" w:cs="Times New Roman"/>
          <w:b/>
          <w:bCs/>
        </w:rPr>
        <w:fldChar w:fldCharType="separate"/>
      </w:r>
      <w:r w:rsidRPr="00025AEA">
        <w:rPr>
          <w:rFonts w:ascii="Times New Roman" w:hAnsi="Times New Roman" w:cs="Times New Roman"/>
          <w:b/>
          <w:bCs/>
          <w:noProof/>
        </w:rPr>
        <w:t>(Poirel, Jayol and Nordmann, 2017)</w:t>
      </w:r>
      <w:r w:rsidRPr="00025AEA">
        <w:rPr>
          <w:rFonts w:ascii="Times New Roman" w:hAnsi="Times New Roman" w:cs="Times New Roman"/>
          <w:b/>
          <w:bCs/>
        </w:rPr>
        <w:fldChar w:fldCharType="end"/>
      </w:r>
      <w:r>
        <w:rPr>
          <w:rFonts w:ascii="Times New Roman" w:hAnsi="Times New Roman" w:cs="Times New Roman"/>
        </w:rPr>
        <w:t xml:space="preserve">. While polymyxins are known to classically target Gram-negative bacteria and not Gram-positive bacteria due to interactions with LPS, the antimicrobial activity of polymyxin B has been demonstrated against </w:t>
      </w:r>
      <w:r>
        <w:rPr>
          <w:rFonts w:ascii="Times New Roman" w:hAnsi="Times New Roman" w:cs="Times New Roman"/>
          <w:i/>
          <w:iCs/>
        </w:rPr>
        <w:t xml:space="preserve">S. aureus </w:t>
      </w:r>
      <w:r w:rsidRPr="00025AEA">
        <w:rPr>
          <w:rFonts w:ascii="Times New Roman" w:hAnsi="Times New Roman" w:cs="Times New Roman"/>
          <w:b/>
          <w:bCs/>
        </w:rPr>
        <w:fldChar w:fldCharType="begin">
          <w:fldData xml:space="preserve">PEVuZE5vdGU+PENpdGU+PEF1dGhvcj5Cb3llbjwvQXV0aG9yPjxZZWFyPjIwMTI8L1llYXI+PElE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PEVuZE5vdGU+PENpdGU+PEF1dGhvcj5Cb3llbjwvQXV0aG9yPjxZZWFyPjIwMTI8L1llYXI+PElE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025AEA">
        <w:rPr>
          <w:rFonts w:ascii="Times New Roman" w:hAnsi="Times New Roman" w:cs="Times New Roman"/>
          <w:b/>
          <w:bCs/>
        </w:rPr>
      </w:r>
      <w:r w:rsidRPr="00025AEA">
        <w:rPr>
          <w:rFonts w:ascii="Times New Roman" w:hAnsi="Times New Roman" w:cs="Times New Roman"/>
          <w:b/>
          <w:bCs/>
        </w:rPr>
        <w:fldChar w:fldCharType="separate"/>
      </w:r>
      <w:r>
        <w:rPr>
          <w:rFonts w:ascii="Times New Roman" w:hAnsi="Times New Roman" w:cs="Times New Roman"/>
          <w:b/>
          <w:bCs/>
          <w:noProof/>
        </w:rPr>
        <w:t>(Boyen</w:t>
      </w:r>
      <w:r w:rsidRPr="00E33990">
        <w:rPr>
          <w:rFonts w:ascii="Times New Roman" w:hAnsi="Times New Roman" w:cs="Times New Roman"/>
          <w:b/>
          <w:bCs/>
          <w:i/>
          <w:noProof/>
        </w:rPr>
        <w:t xml:space="preserve"> et al.</w:t>
      </w:r>
      <w:r>
        <w:rPr>
          <w:rFonts w:ascii="Times New Roman" w:hAnsi="Times New Roman" w:cs="Times New Roman"/>
          <w:b/>
          <w:bCs/>
          <w:noProof/>
        </w:rPr>
        <w:t>, 2012; Yoshida and Hiramatsu, 1993; Chang</w:t>
      </w:r>
      <w:r w:rsidRPr="00E33990">
        <w:rPr>
          <w:rFonts w:ascii="Times New Roman" w:hAnsi="Times New Roman" w:cs="Times New Roman"/>
          <w:b/>
          <w:bCs/>
          <w:i/>
          <w:noProof/>
        </w:rPr>
        <w:t xml:space="preserve"> et al.</w:t>
      </w:r>
      <w:r>
        <w:rPr>
          <w:rFonts w:ascii="Times New Roman" w:hAnsi="Times New Roman" w:cs="Times New Roman"/>
          <w:b/>
          <w:bCs/>
          <w:noProof/>
        </w:rPr>
        <w:t>, 2015)</w:t>
      </w:r>
      <w:r w:rsidRPr="00025AEA">
        <w:rPr>
          <w:rFonts w:ascii="Times New Roman" w:hAnsi="Times New Roman" w:cs="Times New Roman"/>
          <w:b/>
          <w:bCs/>
        </w:rPr>
        <w:fldChar w:fldCharType="end"/>
      </w:r>
      <w:r w:rsidRPr="00025AEA">
        <w:rPr>
          <w:rFonts w:ascii="Times New Roman" w:hAnsi="Times New Roman" w:cs="Times New Roman"/>
          <w:b/>
          <w:bCs/>
        </w:rPr>
        <w:t>.</w:t>
      </w:r>
      <w:r>
        <w:rPr>
          <w:rFonts w:ascii="Times New Roman" w:hAnsi="Times New Roman" w:cs="Times New Roman"/>
        </w:rPr>
        <w:t xml:space="preserve"> Furthermore, inhibition of ATP synthase sensitises </w:t>
      </w:r>
      <w:r>
        <w:rPr>
          <w:rFonts w:ascii="Times New Roman" w:hAnsi="Times New Roman" w:cs="Times New Roman"/>
          <w:i/>
          <w:iCs/>
        </w:rPr>
        <w:t>S. aureus</w:t>
      </w:r>
      <w:r>
        <w:rPr>
          <w:rFonts w:ascii="Times New Roman" w:hAnsi="Times New Roman" w:cs="Times New Roman"/>
        </w:rPr>
        <w:t xml:space="preserve"> to the polymyxins </w:t>
      </w:r>
      <w:r w:rsidRPr="00BF273C">
        <w:rPr>
          <w:rFonts w:ascii="Times New Roman" w:hAnsi="Times New Roman" w:cs="Times New Roman"/>
          <w:b/>
          <w:bCs/>
        </w:rPr>
        <w:fldChar w:fldCharType="begin">
          <w:fldData xml:space="preserve">PEVuZE5vdGU+PENpdGU+PEF1dGhvcj5MaXU8L0F1dGhvcj48WWVhcj4yMDIwPC9ZZWFyPjxJRFRl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PEVuZE5vdGU+PENpdGU+PEF1dGhvcj5MaXU8L0F1dGhvcj48WWVhcj4yMDIwPC9ZZWFyPjxJRFRl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BF273C">
        <w:rPr>
          <w:rFonts w:ascii="Times New Roman" w:hAnsi="Times New Roman" w:cs="Times New Roman"/>
          <w:b/>
          <w:bCs/>
        </w:rPr>
      </w:r>
      <w:r w:rsidRPr="00BF273C">
        <w:rPr>
          <w:rFonts w:ascii="Times New Roman" w:hAnsi="Times New Roman" w:cs="Times New Roman"/>
          <w:b/>
          <w:bCs/>
        </w:rPr>
        <w:fldChar w:fldCharType="separate"/>
      </w:r>
      <w:r>
        <w:rPr>
          <w:rFonts w:ascii="Times New Roman" w:hAnsi="Times New Roman" w:cs="Times New Roman"/>
          <w:b/>
          <w:bCs/>
          <w:noProof/>
        </w:rPr>
        <w:t>(Liu</w:t>
      </w:r>
      <w:r w:rsidRPr="009A0E68">
        <w:rPr>
          <w:rFonts w:ascii="Times New Roman" w:hAnsi="Times New Roman" w:cs="Times New Roman"/>
          <w:b/>
          <w:bCs/>
          <w:i/>
          <w:noProof/>
        </w:rPr>
        <w:t xml:space="preserve"> et al.</w:t>
      </w:r>
      <w:r>
        <w:rPr>
          <w:rFonts w:ascii="Times New Roman" w:hAnsi="Times New Roman" w:cs="Times New Roman"/>
          <w:b/>
          <w:bCs/>
          <w:noProof/>
        </w:rPr>
        <w:t>, 2020; Vestergaard</w:t>
      </w:r>
      <w:r w:rsidRPr="009A0E68">
        <w:rPr>
          <w:rFonts w:ascii="Times New Roman" w:hAnsi="Times New Roman" w:cs="Times New Roman"/>
          <w:b/>
          <w:bCs/>
          <w:i/>
          <w:noProof/>
        </w:rPr>
        <w:t xml:space="preserve"> et al.</w:t>
      </w:r>
      <w:r>
        <w:rPr>
          <w:rFonts w:ascii="Times New Roman" w:hAnsi="Times New Roman" w:cs="Times New Roman"/>
          <w:b/>
          <w:bCs/>
          <w:noProof/>
        </w:rPr>
        <w:t>, 2017)</w:t>
      </w:r>
      <w:r w:rsidRPr="00BF273C">
        <w:rPr>
          <w:rFonts w:ascii="Times New Roman" w:hAnsi="Times New Roman" w:cs="Times New Roman"/>
          <w:b/>
          <w:bCs/>
        </w:rPr>
        <w:fldChar w:fldCharType="end"/>
      </w:r>
      <w:r>
        <w:rPr>
          <w:rFonts w:ascii="Times New Roman" w:hAnsi="Times New Roman" w:cs="Times New Roman"/>
          <w:b/>
          <w:bCs/>
        </w:rPr>
        <w:t>.</w:t>
      </w:r>
      <w:r w:rsidRPr="00BF273C">
        <w:rPr>
          <w:rFonts w:ascii="Times New Roman" w:hAnsi="Times New Roman" w:cs="Times New Roman"/>
          <w:b/>
          <w:bCs/>
        </w:rPr>
        <w:t xml:space="preserve"> </w:t>
      </w:r>
      <w:r>
        <w:rPr>
          <w:rFonts w:ascii="Times New Roman" w:hAnsi="Times New Roman" w:cs="Times New Roman"/>
        </w:rPr>
        <w:t xml:space="preserve">As polymyxins have a similar structure to cationic AMPs such as LL-37 </w:t>
      </w:r>
      <w:r w:rsidRPr="00BF273C">
        <w:rPr>
          <w:rFonts w:ascii="Times New Roman" w:hAnsi="Times New Roman" w:cs="Times New Roman"/>
          <w:b/>
          <w:bCs/>
        </w:rPr>
        <w:fldChar w:fldCharType="begin"/>
      </w:r>
      <w:r w:rsidRPr="00BF273C">
        <w:rPr>
          <w:rFonts w:ascii="Times New Roman" w:hAnsi="Times New Roman" w:cs="Times New Roman"/>
          <w:b/>
          <w:bCs/>
        </w:rPr>
        <w:instrText xml:space="preserve"> ADDIN EN.CITE &lt;EndNote&gt;&lt;Cite&gt;&lt;Author&gt;Poirel&lt;/Author&gt;&lt;Year&gt;2017&lt;/Year&gt;&lt;IDText&gt;Polymyxins: Antibacterial Activity, Susceptibility Testing, and Resistance Mechanisms Encoded by Plasmids or Chromosomes&lt;/IDText&gt;&lt;DisplayText&gt;(Poirel, Jayol and Nordmann, 2017)&lt;/DisplayText&gt;&lt;record&gt;&lt;dates&gt;&lt;pub-dates&gt;&lt;date&gt;Apr&lt;/date&gt;&lt;/pub-dates&gt;&lt;year&gt;2017&lt;/year&gt;&lt;/dates&gt;&lt;urls&gt;&lt;related-urls&gt;&lt;url&gt;&amp;lt;Go to ISI&amp;gt;://WOS:000396372400005&lt;/url&gt;&lt;/related-urls&gt;&lt;/urls&gt;&lt;isbn&gt;0893-8512&lt;/isbn&gt;&lt;work-type&gt;Review&lt;/work-type&gt;&lt;titles&gt;&lt;title&gt;Polymyxins: Antibacterial Activity, Susceptibility Testing, and Resistance Mechanisms Encoded by Plasmids or Chromosomes&lt;/title&gt;&lt;secondary-title&gt;Clinical Microbiology Reviews&lt;/secondary-title&gt;&lt;/titles&gt;&lt;pages&gt;557-596&lt;/pages&gt;&lt;number&gt;2&lt;/number&gt;&lt;contributors&gt;&lt;authors&gt;&lt;author&gt;Poirel, Laurent&lt;/author&gt;&lt;author&gt;Jayol, Aurelie&lt;/author&gt;&lt;author&gt;Nordmann, Patrice&lt;/author&gt;&lt;/authors&gt;&lt;/contributors&gt;&lt;added-date format="utc"&gt;1674128106&lt;/added-date&gt;&lt;ref-type name="Journal Article"&gt;17&lt;/ref-type&gt;&lt;rec-number&gt;218&lt;/rec-number&gt;&lt;last-updated-date format="utc"&gt;1674140844&lt;/last-updated-date&gt;&lt;accession-num&gt;WOS:000396372400005&lt;/accession-num&gt;&lt;electronic-resource-num&gt;10.1128/cmr.00064-16&lt;/electronic-resource-num&gt;&lt;volume&gt;30&lt;/volume&gt;&lt;/record&gt;&lt;/Cite&gt;&lt;/EndNote&gt;</w:instrText>
      </w:r>
      <w:r w:rsidRPr="00BF273C">
        <w:rPr>
          <w:rFonts w:ascii="Times New Roman" w:hAnsi="Times New Roman" w:cs="Times New Roman"/>
          <w:b/>
          <w:bCs/>
        </w:rPr>
        <w:fldChar w:fldCharType="separate"/>
      </w:r>
      <w:r w:rsidRPr="00BF273C">
        <w:rPr>
          <w:rFonts w:ascii="Times New Roman" w:hAnsi="Times New Roman" w:cs="Times New Roman"/>
          <w:b/>
          <w:bCs/>
          <w:noProof/>
        </w:rPr>
        <w:t>(Poirel, Jayol and Nordmann, 2017)</w:t>
      </w:r>
      <w:r w:rsidRPr="00BF273C">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and have previously been efficacious against </w:t>
      </w:r>
      <w:r>
        <w:rPr>
          <w:rFonts w:ascii="Times New Roman" w:hAnsi="Times New Roman" w:cs="Times New Roman"/>
          <w:i/>
          <w:iCs/>
        </w:rPr>
        <w:t>S. aureus</w:t>
      </w:r>
      <w:r>
        <w:rPr>
          <w:rFonts w:ascii="Times New Roman" w:hAnsi="Times New Roman" w:cs="Times New Roman"/>
        </w:rPr>
        <w:t xml:space="preserve">, the involvement of the stringent response for defence against polymyxins was investigated. Unlike LL-37, polymyxin B is efficacious at neutral pH and does not require low pH to exert its antimicrobial effects, as demonstrated by growth at 0, 32 and 64 </w:t>
      </w:r>
      <w:bookmarkStart w:id="144" w:name="_Hlk125574795"/>
      <w:r w:rsidRPr="00F10CE8">
        <w:rPr>
          <w:rFonts w:ascii="Times New Roman" w:hAnsi="Times New Roman" w:cs="Times New Roman"/>
        </w:rPr>
        <w:t>μ</w:t>
      </w:r>
      <w:r>
        <w:rPr>
          <w:rFonts w:ascii="Times New Roman" w:hAnsi="Times New Roman" w:cs="Times New Roman"/>
        </w:rPr>
        <w:t>g/ml</w:t>
      </w:r>
      <w:r w:rsidRPr="002874E9">
        <w:rPr>
          <w:rFonts w:ascii="Times New Roman" w:hAnsi="Times New Roman" w:cs="Times New Roman"/>
          <w:b/>
          <w:bCs/>
        </w:rPr>
        <w:t xml:space="preserve"> </w:t>
      </w:r>
      <w:bookmarkEnd w:id="144"/>
      <w:r w:rsidRPr="002874E9">
        <w:rPr>
          <w:rFonts w:ascii="Times New Roman" w:hAnsi="Times New Roman" w:cs="Times New Roman"/>
          <w:b/>
          <w:bCs/>
        </w:rPr>
        <w:t>(Fig. 4.4.1c)</w:t>
      </w:r>
      <w:r>
        <w:rPr>
          <w:rFonts w:ascii="Times New Roman" w:hAnsi="Times New Roman" w:cs="Times New Roman"/>
        </w:rPr>
        <w:t xml:space="preserve">. However, at pH 7.5, both 32 and 64 </w:t>
      </w:r>
      <w:r w:rsidRPr="00F10CE8">
        <w:rPr>
          <w:rFonts w:ascii="Times New Roman" w:hAnsi="Times New Roman" w:cs="Times New Roman"/>
        </w:rPr>
        <w:t>μ</w:t>
      </w:r>
      <w:r>
        <w:rPr>
          <w:rFonts w:ascii="Times New Roman" w:hAnsi="Times New Roman" w:cs="Times New Roman"/>
        </w:rPr>
        <w:t xml:space="preserve">g/ml polymyxin B inhibited growth for all strains equally </w:t>
      </w:r>
      <w:r>
        <w:rPr>
          <w:rFonts w:ascii="Times New Roman" w:hAnsi="Times New Roman" w:cs="Times New Roman"/>
          <w:b/>
          <w:bCs/>
        </w:rPr>
        <w:t xml:space="preserve">(Fig. 4.4.1d), </w:t>
      </w:r>
      <w:r>
        <w:rPr>
          <w:rFonts w:ascii="Times New Roman" w:hAnsi="Times New Roman" w:cs="Times New Roman"/>
        </w:rPr>
        <w:t xml:space="preserve">suggesting that both concentrations of polymyxin B are not able to aid in distinguishing whether the stringent response has a role in evading killing by polymyxins, and that concentrations between 0 and 32 </w:t>
      </w:r>
      <w:r w:rsidRPr="00F10CE8">
        <w:rPr>
          <w:rFonts w:ascii="Times New Roman" w:hAnsi="Times New Roman" w:cs="Times New Roman"/>
        </w:rPr>
        <w:t>μ</w:t>
      </w:r>
      <w:r>
        <w:rPr>
          <w:rFonts w:ascii="Times New Roman" w:hAnsi="Times New Roman" w:cs="Times New Roman"/>
        </w:rPr>
        <w:t>g/ml must be further investigated.</w:t>
      </w:r>
    </w:p>
    <w:p w14:paraId="31144E06" w14:textId="77777777" w:rsidR="00187693" w:rsidRPr="001B07FA" w:rsidRDefault="00187693" w:rsidP="00187693">
      <w:pPr>
        <w:pStyle w:val="Heading3"/>
      </w:pPr>
      <w:bookmarkStart w:id="145" w:name="_Toc142043643"/>
      <w:r w:rsidRPr="001B07FA">
        <w:t>4.</w:t>
      </w:r>
      <w:r>
        <w:t>2</w:t>
      </w:r>
      <w:r w:rsidRPr="001B07FA">
        <w:t xml:space="preserve">.2. The effect of low pH on the viability of </w:t>
      </w:r>
      <w:r w:rsidRPr="001B07FA">
        <w:rPr>
          <w:i/>
          <w:iCs/>
        </w:rPr>
        <w:t>S. aureus</w:t>
      </w:r>
      <w:r w:rsidRPr="001B07FA">
        <w:t xml:space="preserve"> stringent response mutants</w:t>
      </w:r>
      <w:bookmarkEnd w:id="145"/>
      <w:r w:rsidRPr="001B07FA">
        <w:t xml:space="preserve">  </w:t>
      </w:r>
    </w:p>
    <w:p w14:paraId="73021112" w14:textId="77777777" w:rsidR="00187693" w:rsidRDefault="00187693" w:rsidP="00187693"/>
    <w:p w14:paraId="3155D806" w14:textId="081A7638" w:rsidR="00187693" w:rsidRDefault="00187693" w:rsidP="00187693">
      <w:pPr>
        <w:autoSpaceDE w:val="0"/>
        <w:autoSpaceDN w:val="0"/>
        <w:adjustRightInd w:val="0"/>
        <w:spacing w:after="0" w:line="360" w:lineRule="auto"/>
        <w:jc w:val="both"/>
        <w:rPr>
          <w:rFonts w:ascii="Times New Roman" w:hAnsi="Times New Roman" w:cs="Times New Roman"/>
        </w:rPr>
      </w:pPr>
      <w:r w:rsidRPr="00E64BB4">
        <w:rPr>
          <w:rFonts w:ascii="Times New Roman" w:hAnsi="Times New Roman" w:cs="Times New Roman"/>
        </w:rPr>
        <w:t>The</w:t>
      </w:r>
      <w:r>
        <w:rPr>
          <w:rFonts w:ascii="Times New Roman" w:hAnsi="Times New Roman" w:cs="Times New Roman"/>
        </w:rPr>
        <w:t xml:space="preserve"> decrease in pH associated with the maturation of the phagolysosome is required as part of the array of insults used by professional phagocytes to combat intracellular bacteria. The main contributor to this low pH is the proton-pumping v-ATPase, present on the membrane of endosomes and lysosomes and therefore, phagolysosomes, and </w:t>
      </w:r>
      <w:r w:rsidR="003E4EFE">
        <w:rPr>
          <w:rFonts w:ascii="Times New Roman" w:hAnsi="Times New Roman" w:cs="Times New Roman"/>
        </w:rPr>
        <w:t xml:space="preserve">is </w:t>
      </w:r>
      <w:r>
        <w:rPr>
          <w:rFonts w:ascii="Times New Roman" w:hAnsi="Times New Roman" w:cs="Times New Roman"/>
        </w:rPr>
        <w:t xml:space="preserve">responsible for maintaining an adequate proton gradient </w:t>
      </w:r>
      <w:r w:rsidRPr="001A33A0">
        <w:rPr>
          <w:rFonts w:ascii="Times New Roman" w:hAnsi="Times New Roman" w:cs="Times New Roman"/>
          <w:b/>
          <w:bCs/>
        </w:rPr>
        <w:fldChar w:fldCharType="begin">
          <w:fldData xml:space="preserve">PEVuZE5vdGU+PENpdGU+PEF1dGhvcj5TdW4tV2FkYTwvQXV0aG9yPjxZZWFyPjIwMDk8L1llYXI+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PEVuZE5vdGU+PENpdGU+PEF1dGhvcj5TdW4tV2FkYTwvQXV0aG9yPjxZZWFyPjIwMDk8L1llYXI+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1A33A0">
        <w:rPr>
          <w:rFonts w:ascii="Times New Roman" w:hAnsi="Times New Roman" w:cs="Times New Roman"/>
          <w:b/>
          <w:bCs/>
        </w:rPr>
      </w:r>
      <w:r w:rsidRPr="001A33A0">
        <w:rPr>
          <w:rFonts w:ascii="Times New Roman" w:hAnsi="Times New Roman" w:cs="Times New Roman"/>
          <w:b/>
          <w:bCs/>
        </w:rPr>
        <w:fldChar w:fldCharType="separate"/>
      </w:r>
      <w:r>
        <w:rPr>
          <w:rFonts w:ascii="Times New Roman" w:hAnsi="Times New Roman" w:cs="Times New Roman"/>
          <w:b/>
          <w:bCs/>
          <w:noProof/>
        </w:rPr>
        <w:t>(Sun-Wada</w:t>
      </w:r>
      <w:r w:rsidRPr="00301389">
        <w:rPr>
          <w:rFonts w:ascii="Times New Roman" w:hAnsi="Times New Roman" w:cs="Times New Roman"/>
          <w:b/>
          <w:bCs/>
          <w:i/>
          <w:noProof/>
        </w:rPr>
        <w:t xml:space="preserve"> et al.</w:t>
      </w:r>
      <w:r>
        <w:rPr>
          <w:rFonts w:ascii="Times New Roman" w:hAnsi="Times New Roman" w:cs="Times New Roman"/>
          <w:b/>
          <w:bCs/>
          <w:noProof/>
        </w:rPr>
        <w:t>, 2009; Westman and Grinstein, 2021)</w:t>
      </w:r>
      <w:r w:rsidRPr="001A33A0">
        <w:rPr>
          <w:rFonts w:ascii="Times New Roman" w:hAnsi="Times New Roman" w:cs="Times New Roman"/>
          <w:b/>
          <w:bCs/>
        </w:rPr>
        <w:fldChar w:fldCharType="end"/>
      </w:r>
      <w:r>
        <w:rPr>
          <w:rFonts w:ascii="Times New Roman" w:hAnsi="Times New Roman" w:cs="Times New Roman"/>
        </w:rPr>
        <w:t xml:space="preserve">. Acidic pH also functions to enhance the efficacy of the LL-37 cathelicidin, as demonstrated in </w:t>
      </w:r>
      <w:r w:rsidRPr="00B24CE8">
        <w:rPr>
          <w:rFonts w:ascii="Times New Roman" w:hAnsi="Times New Roman" w:cs="Times New Roman"/>
          <w:b/>
          <w:bCs/>
        </w:rPr>
        <w:t>Figure 4.4.1a and b</w:t>
      </w:r>
      <w:r>
        <w:rPr>
          <w:rFonts w:ascii="Times New Roman" w:hAnsi="Times New Roman" w:cs="Times New Roman"/>
        </w:rPr>
        <w:t xml:space="preserve">, and the cathepsin proteases </w:t>
      </w:r>
      <w:r w:rsidRPr="006516B3">
        <w:rPr>
          <w:rFonts w:ascii="Times New Roman" w:hAnsi="Times New Roman" w:cs="Times New Roman"/>
          <w:b/>
          <w:bCs/>
        </w:rPr>
        <w:fldChar w:fldCharType="begin"/>
      </w:r>
      <w:r w:rsidRPr="006516B3">
        <w:rPr>
          <w:rFonts w:ascii="Times New Roman" w:hAnsi="Times New Roman" w:cs="Times New Roman"/>
          <w:b/>
          <w:bCs/>
        </w:rPr>
        <w:instrText xml:space="preserve"> ADDIN EN.CITE &lt;EndNote&gt;&lt;Cite&gt;&lt;Author&gt;Pidwill&lt;/Author&gt;&lt;Year&gt;2021&lt;/Year&gt;&lt;IDText&gt;The Role of Macrophages in Staphylococcus aureus Infection&lt;/IDText&gt;&lt;DisplayText&gt;(Pidwill&lt;style face="italic"&gt; et al.&lt;/style&gt;, 2021)&lt;/DisplayText&gt;&lt;record&gt;&lt;dates&gt;&lt;pub-dates&gt;&lt;date&gt;Jan 19&lt;/date&gt;&lt;/pub-dates&gt;&lt;year&gt;2021&lt;/year&gt;&lt;/dates&gt;&lt;urls&gt;&lt;related-urls&gt;&lt;url&gt;&amp;lt;Go to ISI&amp;gt;://WOS:000613515300001&lt;/url&gt;&lt;/related-urls&gt;&lt;/urls&gt;&lt;isbn&gt;1664-3224&lt;/isbn&gt;&lt;work-type&gt;Review&lt;/work-type&gt;&lt;titles&gt;&lt;title&gt;The Role of Macrophages in Staphylococcus aureus Infection&lt;/title&gt;&lt;secondary-title&gt;Frontiers in Immunology&lt;/secondary-title&gt;&lt;/titles&gt;&lt;contributors&gt;&lt;authors&gt;&lt;author&gt;Pidwill, Grace R.&lt;/author&gt;&lt;author&gt;Gibson, Josie F.&lt;/author&gt;&lt;author&gt;Cole, Joby&lt;/author&gt;&lt;author&gt;Renshaw, Stephen A.&lt;/author&gt;&lt;author&gt;Foster, Simon J.&lt;/author&gt;&lt;/authors&gt;&lt;/contributors&gt;&lt;custom7&gt;620339&lt;/custom7&gt;&lt;added-date format="utc"&gt;1674317809&lt;/added-date&gt;&lt;ref-type name="Journal Article"&gt;17&lt;/ref-type&gt;&lt;rec-number&gt;227&lt;/rec-number&gt;&lt;last-updated-date format="utc"&gt;1674317809&lt;/last-updated-date&gt;&lt;accession-num&gt;WOS:000613515300001&lt;/accession-num&gt;&lt;electronic-resource-num&gt;10.3389/fimmu.2020.620339&lt;/electronic-resource-num&gt;&lt;volume&gt;11&lt;/volume&gt;&lt;/record&gt;&lt;/Cite&gt;&lt;/EndNote&gt;</w:instrText>
      </w:r>
      <w:r w:rsidRPr="006516B3">
        <w:rPr>
          <w:rFonts w:ascii="Times New Roman" w:hAnsi="Times New Roman" w:cs="Times New Roman"/>
          <w:b/>
          <w:bCs/>
        </w:rPr>
        <w:fldChar w:fldCharType="separate"/>
      </w:r>
      <w:r w:rsidRPr="006516B3">
        <w:rPr>
          <w:rFonts w:ascii="Times New Roman" w:hAnsi="Times New Roman" w:cs="Times New Roman"/>
          <w:b/>
          <w:bCs/>
          <w:noProof/>
        </w:rPr>
        <w:t>(Pidwill</w:t>
      </w:r>
      <w:r w:rsidRPr="006516B3">
        <w:rPr>
          <w:rFonts w:ascii="Times New Roman" w:hAnsi="Times New Roman" w:cs="Times New Roman"/>
          <w:b/>
          <w:bCs/>
          <w:i/>
          <w:noProof/>
        </w:rPr>
        <w:t xml:space="preserve"> et al.</w:t>
      </w:r>
      <w:r w:rsidRPr="006516B3">
        <w:rPr>
          <w:rFonts w:ascii="Times New Roman" w:hAnsi="Times New Roman" w:cs="Times New Roman"/>
          <w:b/>
          <w:bCs/>
          <w:noProof/>
        </w:rPr>
        <w:t>, 2021)</w:t>
      </w:r>
      <w:r w:rsidRPr="006516B3">
        <w:rPr>
          <w:rFonts w:ascii="Times New Roman" w:hAnsi="Times New Roman" w:cs="Times New Roman"/>
          <w:b/>
          <w:bCs/>
        </w:rPr>
        <w:fldChar w:fldCharType="end"/>
      </w:r>
      <w:r>
        <w:rPr>
          <w:rFonts w:ascii="Times New Roman" w:hAnsi="Times New Roman" w:cs="Times New Roman"/>
        </w:rPr>
        <w:t xml:space="preserve">. While low pH is classically associated with being a host defence, </w:t>
      </w:r>
      <w:r>
        <w:rPr>
          <w:rFonts w:ascii="Times New Roman" w:hAnsi="Times New Roman" w:cs="Times New Roman"/>
          <w:i/>
          <w:iCs/>
        </w:rPr>
        <w:t xml:space="preserve">S. aureus </w:t>
      </w:r>
      <w:r>
        <w:rPr>
          <w:rFonts w:ascii="Times New Roman" w:hAnsi="Times New Roman" w:cs="Times New Roman"/>
        </w:rPr>
        <w:t xml:space="preserve">is known to utilise the gradual decrease in pH as a cue to upregulate virulence e.g. the resistance to AMPs </w:t>
      </w:r>
      <w:r w:rsidRPr="0037040A">
        <w:rPr>
          <w:rFonts w:ascii="Times New Roman" w:hAnsi="Times New Roman" w:cs="Times New Roman"/>
          <w:b/>
          <w:bCs/>
        </w:rPr>
        <w:fldChar w:fldCharType="begin"/>
      </w:r>
      <w:r w:rsidRPr="0037040A">
        <w:rPr>
          <w:rFonts w:ascii="Times New Roman" w:hAnsi="Times New Roman" w:cs="Times New Roman"/>
          <w:b/>
          <w:bCs/>
        </w:rPr>
        <w:instrText xml:space="preserve"> ADDIN EN.CITE &lt;EndNote&gt;&lt;Cite&gt;&lt;Author&gt;Flannagan&lt;/Author&gt;&lt;Year&gt;2018&lt;/Year&gt;&lt;IDText&gt;Staphylococcus aureus Uses the GraXRS Regulatory System To Sense and Adapt to the Acidified Phagolysosome in Macrophages&lt;/IDText&gt;&lt;DisplayText&gt;(Flannagan&lt;style face="italic"&gt; et al.&lt;/style&gt;, 2018)&lt;/DisplayText&gt;&lt;record&gt;&lt;dates&gt;&lt;pub-dates&gt;&lt;date&gt;Jul-Aug&lt;/date&gt;&lt;/pub-dates&gt;&lt;year&gt;2018&lt;/year&gt;&lt;/dates&gt;&lt;urls&gt;&lt;related-urls&gt;&lt;url&gt;&amp;lt;Go to ISI&amp;gt;://WOS:000443884300036&lt;/url&gt;&lt;/related-urls&gt;&lt;/urls&gt;&lt;isbn&gt;2150-7511&lt;/isbn&gt;&lt;work-type&gt;Article&lt;/work-type&gt;&lt;titles&gt;&lt;title&gt;Staphylococcus aureus Uses the GraXRS Regulatory System To Sense and Adapt to the Acidified Phagolysosome in Macrophages&lt;/title&gt;&lt;secondary-title&gt;Mbio&lt;/secondary-title&gt;&lt;/titles&gt;&lt;number&gt;4&lt;/number&gt;&lt;contributors&gt;&lt;authors&gt;&lt;author&gt;Flannagan, Ronald S.&lt;/author&gt;&lt;author&gt;Kuiack, Robert C.&lt;/author&gt;&lt;author&gt;McGavin, Martin J.&lt;/author&gt;&lt;author&gt;Heinrichs, David E.&lt;/author&gt;&lt;/authors&gt;&lt;/contributors&gt;&lt;custom7&gt;e01143-18&lt;/custom7&gt;&lt;added-date format="utc"&gt;1672504676&lt;/added-date&gt;&lt;ref-type name="Journal Article"&gt;17&lt;/ref-type&gt;&lt;rec-number&gt;194&lt;/rec-number&gt;&lt;last-updated-date format="utc"&gt;1672515807&lt;/last-updated-date&gt;&lt;accession-num&gt;WOS:000443884300036&lt;/accession-num&gt;&lt;electronic-resource-num&gt;10.1128/mBio.01143-18&lt;/electronic-resource-num&gt;&lt;volume&gt;9&lt;/volume&gt;&lt;/record&gt;&lt;/Cite&gt;&lt;/EndNote&gt;</w:instrText>
      </w:r>
      <w:r w:rsidRPr="0037040A">
        <w:rPr>
          <w:rFonts w:ascii="Times New Roman" w:hAnsi="Times New Roman" w:cs="Times New Roman"/>
          <w:b/>
          <w:bCs/>
        </w:rPr>
        <w:fldChar w:fldCharType="separate"/>
      </w:r>
      <w:r w:rsidRPr="0037040A">
        <w:rPr>
          <w:rFonts w:ascii="Times New Roman" w:hAnsi="Times New Roman" w:cs="Times New Roman"/>
          <w:b/>
          <w:bCs/>
          <w:noProof/>
        </w:rPr>
        <w:t>(Flannagan</w:t>
      </w:r>
      <w:r w:rsidRPr="0037040A">
        <w:rPr>
          <w:rFonts w:ascii="Times New Roman" w:hAnsi="Times New Roman" w:cs="Times New Roman"/>
          <w:b/>
          <w:bCs/>
          <w:i/>
          <w:noProof/>
        </w:rPr>
        <w:t xml:space="preserve"> et al.</w:t>
      </w:r>
      <w:r w:rsidRPr="0037040A">
        <w:rPr>
          <w:rFonts w:ascii="Times New Roman" w:hAnsi="Times New Roman" w:cs="Times New Roman"/>
          <w:b/>
          <w:bCs/>
          <w:noProof/>
        </w:rPr>
        <w:t>, 2018)</w:t>
      </w:r>
      <w:r w:rsidRPr="0037040A">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Here, the GraXRS regulatory system is a sensor of low pH, allowing the evasion of </w:t>
      </w:r>
      <w:r>
        <w:rPr>
          <w:rFonts w:ascii="Times New Roman" w:hAnsi="Times New Roman" w:cs="Times New Roman"/>
          <w:i/>
          <w:iCs/>
        </w:rPr>
        <w:t>S. aureus</w:t>
      </w:r>
      <w:r>
        <w:rPr>
          <w:rFonts w:ascii="Times New Roman" w:hAnsi="Times New Roman" w:cs="Times New Roman"/>
        </w:rPr>
        <w:t xml:space="preserve"> killing</w:t>
      </w:r>
      <w:r>
        <w:rPr>
          <w:rFonts w:ascii="Times New Roman" w:hAnsi="Times New Roman" w:cs="Times New Roman"/>
          <w:i/>
          <w:iCs/>
        </w:rPr>
        <w:t xml:space="preserve"> </w:t>
      </w:r>
      <w:r>
        <w:rPr>
          <w:rFonts w:ascii="Times New Roman" w:hAnsi="Times New Roman" w:cs="Times New Roman"/>
        </w:rPr>
        <w:t xml:space="preserve">within an acidified phagolysosome, allowing replication </w:t>
      </w:r>
      <w:r>
        <w:rPr>
          <w:rFonts w:ascii="Times New Roman" w:hAnsi="Times New Roman" w:cs="Times New Roman"/>
          <w:i/>
          <w:iCs/>
        </w:rPr>
        <w:t xml:space="preserve">in vivo </w:t>
      </w:r>
      <w:r w:rsidRPr="00890FFC">
        <w:rPr>
          <w:rFonts w:ascii="Times New Roman" w:hAnsi="Times New Roman" w:cs="Times New Roman"/>
          <w:b/>
          <w:bCs/>
        </w:rPr>
        <w:fldChar w:fldCharType="begin">
          <w:fldData xml:space="preserve">PEVuZE5vdGU+PENpdGU+PEF1dGhvcj5GbGFubmFnYW48L0F1dGhvcj48WWVhcj4yMDE2PC9ZZWFy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PEVuZE5vdGU+PENpdGU+PEF1dGhvcj5GbGFubmFnYW48L0F1dGhvcj48WWVhcj4yMDE2PC9ZZWFy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890FFC">
        <w:rPr>
          <w:rFonts w:ascii="Times New Roman" w:hAnsi="Times New Roman" w:cs="Times New Roman"/>
          <w:b/>
          <w:bCs/>
        </w:rPr>
      </w:r>
      <w:r w:rsidRPr="00890FFC">
        <w:rPr>
          <w:rFonts w:ascii="Times New Roman" w:hAnsi="Times New Roman" w:cs="Times New Roman"/>
          <w:b/>
          <w:bCs/>
        </w:rPr>
        <w:fldChar w:fldCharType="separate"/>
      </w:r>
      <w:r>
        <w:rPr>
          <w:rFonts w:ascii="Times New Roman" w:hAnsi="Times New Roman" w:cs="Times New Roman"/>
          <w:b/>
          <w:bCs/>
          <w:noProof/>
        </w:rPr>
        <w:t>(Flannagan, Heit and Heinrichs, 2016; Flannagan</w:t>
      </w:r>
      <w:r w:rsidRPr="004B5ABC">
        <w:rPr>
          <w:rFonts w:ascii="Times New Roman" w:hAnsi="Times New Roman" w:cs="Times New Roman"/>
          <w:b/>
          <w:bCs/>
          <w:i/>
          <w:noProof/>
        </w:rPr>
        <w:t xml:space="preserve"> et al.</w:t>
      </w:r>
      <w:r>
        <w:rPr>
          <w:rFonts w:ascii="Times New Roman" w:hAnsi="Times New Roman" w:cs="Times New Roman"/>
          <w:b/>
          <w:bCs/>
          <w:noProof/>
        </w:rPr>
        <w:t>, 2018)</w:t>
      </w:r>
      <w:r w:rsidRPr="00890FFC">
        <w:rPr>
          <w:rFonts w:ascii="Times New Roman" w:hAnsi="Times New Roman" w:cs="Times New Roman"/>
          <w:b/>
          <w:bCs/>
        </w:rPr>
        <w:fldChar w:fldCharType="end"/>
      </w:r>
      <w:r>
        <w:rPr>
          <w:rFonts w:ascii="Times New Roman" w:hAnsi="Times New Roman" w:cs="Times New Roman"/>
        </w:rPr>
        <w:t xml:space="preserve">.  </w:t>
      </w:r>
    </w:p>
    <w:p w14:paraId="454D3B04" w14:textId="77777777" w:rsidR="00187693" w:rsidRDefault="00187693" w:rsidP="00187693">
      <w:pPr>
        <w:autoSpaceDE w:val="0"/>
        <w:autoSpaceDN w:val="0"/>
        <w:adjustRightInd w:val="0"/>
        <w:spacing w:after="0" w:line="360" w:lineRule="auto"/>
        <w:jc w:val="both"/>
        <w:rPr>
          <w:rFonts w:ascii="Times New Roman" w:hAnsi="Times New Roman" w:cs="Times New Roman"/>
        </w:rPr>
      </w:pPr>
    </w:p>
    <w:p w14:paraId="3EDDE451" w14:textId="77777777" w:rsidR="00187693" w:rsidRDefault="00187693" w:rsidP="0018769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t xml:space="preserve">A previous study has demonstrated that ppGpp aids the dimerisation of transcription factor SlyA in </w:t>
      </w:r>
      <w:r>
        <w:rPr>
          <w:rFonts w:ascii="Times New Roman" w:hAnsi="Times New Roman" w:cs="Times New Roman"/>
          <w:i/>
          <w:iCs/>
        </w:rPr>
        <w:t xml:space="preserve">S. </w:t>
      </w:r>
      <w:r w:rsidRPr="003717C4">
        <w:rPr>
          <w:rFonts w:ascii="Times New Roman" w:hAnsi="Times New Roman" w:cs="Times New Roman"/>
        </w:rPr>
        <w:t>Typhimurium</w:t>
      </w:r>
      <w:r>
        <w:rPr>
          <w:rFonts w:ascii="Times New Roman" w:hAnsi="Times New Roman" w:cs="Times New Roman"/>
        </w:rPr>
        <w:t xml:space="preserve">, which ultimately leads to resistance to low pH </w:t>
      </w:r>
      <w:r w:rsidRPr="00016C6A">
        <w:rPr>
          <w:rFonts w:ascii="Times New Roman" w:hAnsi="Times New Roman" w:cs="Times New Roman"/>
          <w:b/>
          <w:bCs/>
        </w:rPr>
        <w:fldChar w:fldCharType="begin"/>
      </w:r>
      <w:r w:rsidRPr="00016C6A">
        <w:rPr>
          <w:rFonts w:ascii="Times New Roman" w:hAnsi="Times New Roman" w:cs="Times New Roman"/>
          <w:b/>
          <w:bCs/>
        </w:rPr>
        <w:instrText xml:space="preserve"> ADDIN EN.CITE &lt;EndNote&gt;&lt;Cite&gt;&lt;Author&gt;Zhao&lt;/Author&gt;&lt;Year&gt;2008&lt;/Year&gt;&lt;IDText&gt;A dual-signal regulatory circuit activates transcription of a set of divergent operons in Salmonella typhimurium&lt;/IDText&gt;&lt;DisplayText&gt;(Zhao&lt;style face="italic"&gt; et al.&lt;/style&gt;, 2008)&lt;/DisplayText&gt;&lt;record&gt;&lt;dates&gt;&lt;pub-dates&gt;&lt;date&gt;Dec 30&lt;/date&gt;&lt;/pub-dates&gt;&lt;year&gt;2008&lt;/year&gt;&lt;/dates&gt;&lt;urls&gt;&lt;related-urls&gt;&lt;url&gt;&amp;lt;Go to ISI&amp;gt;://WOS:000262092800064&lt;/url&gt;&lt;/related-urls&gt;&lt;/urls&gt;&lt;isbn&gt;0027-8424&lt;/isbn&gt;&lt;work-type&gt;Article&lt;/work-type&gt;&lt;titles&gt;&lt;title&gt;A dual-signal regulatory circuit activates transcription of a set of divergent operons in Salmonella typhimurium&lt;/title&gt;&lt;secondary-title&gt;Proceedings of the National Academy of Sciences of the United States of America&lt;/secondary-title&gt;&lt;/titles&gt;&lt;pages&gt;20924-20929&lt;/pages&gt;&lt;number&gt;52&lt;/number&gt;&lt;contributors&gt;&lt;authors&gt;&lt;author&gt;Zhao, Guang&lt;/author&gt;&lt;author&gt;Weatherspoon, Natasha&lt;/author&gt;&lt;author&gt;Kong, Wei&lt;/author&gt;&lt;author&gt;Curtiss, Roy, III&lt;/author&gt;&lt;author&gt;Shia, Yixin&lt;/author&gt;&lt;/authors&gt;&lt;/contributors&gt;&lt;added-date format="utc"&gt;1674343290&lt;/added-date&gt;&lt;ref-type name="Journal Article"&gt;17&lt;/ref-type&gt;&lt;rec-number&gt;235&lt;/rec-number&gt;&lt;last-updated-date format="utc"&gt;1674343290&lt;/last-updated-date&gt;&lt;accession-num&gt;WOS:000262092800064&lt;/accession-num&gt;&lt;electronic-resource-num&gt;10.1073/pnas.0807071106&lt;/electronic-resource-num&gt;&lt;volume&gt;105&lt;/volume&gt;&lt;/record&gt;&lt;/Cite&gt;&lt;/EndNote&gt;</w:instrText>
      </w:r>
      <w:r w:rsidRPr="00016C6A">
        <w:rPr>
          <w:rFonts w:ascii="Times New Roman" w:hAnsi="Times New Roman" w:cs="Times New Roman"/>
          <w:b/>
          <w:bCs/>
        </w:rPr>
        <w:fldChar w:fldCharType="separate"/>
      </w:r>
      <w:r w:rsidRPr="00016C6A">
        <w:rPr>
          <w:rFonts w:ascii="Times New Roman" w:hAnsi="Times New Roman" w:cs="Times New Roman"/>
          <w:b/>
          <w:bCs/>
          <w:noProof/>
        </w:rPr>
        <w:t>(Zhao</w:t>
      </w:r>
      <w:r w:rsidRPr="00016C6A">
        <w:rPr>
          <w:rFonts w:ascii="Times New Roman" w:hAnsi="Times New Roman" w:cs="Times New Roman"/>
          <w:b/>
          <w:bCs/>
          <w:i/>
          <w:noProof/>
        </w:rPr>
        <w:t xml:space="preserve"> et al.</w:t>
      </w:r>
      <w:r w:rsidRPr="00016C6A">
        <w:rPr>
          <w:rFonts w:ascii="Times New Roman" w:hAnsi="Times New Roman" w:cs="Times New Roman"/>
          <w:b/>
          <w:bCs/>
          <w:noProof/>
        </w:rPr>
        <w:t>, 2008)</w:t>
      </w:r>
      <w:r w:rsidRPr="00016C6A">
        <w:rPr>
          <w:rFonts w:ascii="Times New Roman" w:hAnsi="Times New Roman" w:cs="Times New Roman"/>
          <w:b/>
          <w:bCs/>
        </w:rPr>
        <w:fldChar w:fldCharType="end"/>
      </w:r>
      <w:r>
        <w:rPr>
          <w:rFonts w:ascii="Times New Roman" w:hAnsi="Times New Roman" w:cs="Times New Roman"/>
        </w:rPr>
        <w:t xml:space="preserve">, however another study has opposed this view by demonstrating that SlyA dimerisation was not affected by ppGpp levels </w:t>
      </w:r>
      <w:r w:rsidRPr="00016C6A">
        <w:rPr>
          <w:rFonts w:ascii="Times New Roman" w:hAnsi="Times New Roman" w:cs="Times New Roman"/>
          <w:b/>
          <w:bCs/>
        </w:rPr>
        <w:fldChar w:fldCharType="begin"/>
      </w:r>
      <w:r w:rsidRPr="00016C6A">
        <w:rPr>
          <w:rFonts w:ascii="Times New Roman" w:hAnsi="Times New Roman" w:cs="Times New Roman"/>
          <w:b/>
          <w:bCs/>
        </w:rPr>
        <w:instrText xml:space="preserve"> ADDIN EN.CITE &lt;EndNote&gt;&lt;Cite&gt;&lt;Author&gt;Bartoli &lt;/Author&gt;&lt;Year&gt;2020&lt;/Year&gt;&lt;IDText&gt;SlyA Transcriptional Regulator Is Not Directly Affected by ppGpp Level.&lt;/IDText&gt;&lt;DisplayText&gt;(Bartoli &lt;style face="italic"&gt; et al.&lt;/style&gt;, 2020)&lt;/DisplayText&gt;&lt;record&gt;&lt;titles&gt;&lt;title&gt;SlyA Transcriptional Regulator Is Not Directly Affected by ppGpp Level.&lt;/title&gt;&lt;secondary-title&gt;Frontiers in Microbiology&lt;/secondary-title&gt;&lt;/titles&gt;&lt;number&gt;11&lt;/number&gt;&lt;contributors&gt;&lt;authors&gt;&lt;author&gt;Bartoli ,  Julia&lt;/author&gt;&lt;author&gt;Viala ,&lt;/author&gt;&lt;author&gt;Julie Pamela&lt;/author&gt;&lt;author&gt;Bouveret , Emmanuelle&lt;/author&gt;&lt;author&gt;&amp;lt;p class=&amp;quot;MsoListParagraph&amp;quot; style=&amp;quot;margin-left:54.0pt&lt;/author&gt;&lt;author&gt;mso-add-space:auto&lt;/author&gt;&lt;author&gt;text-indent:-18.0pt&lt;/author&gt;&lt;author&gt;mso-list:l0 level1 lfo1&lt;/author&gt;&lt;author&gt;background:white&amp;quot;&amp;gt;&lt;/author&gt;&lt;/authors&gt;&lt;/contributors&gt;&lt;added-date format="utc"&gt;1663616246&lt;/added-date&gt;&lt;ref-type name="Journal Article"&gt;17&lt;/ref-type&gt;&lt;dates&gt;&lt;year&gt;2020&lt;/year&gt;&lt;/dates&gt;&lt;rec-number&gt;102&lt;/rec-number&gt;&lt;last-updated-date format="utc"&gt;1663624413&lt;/last-updated-date&gt;&lt;volume&gt;4&lt;/volume&gt;&lt;/record&gt;&lt;/Cite&gt;&lt;/EndNote&gt;</w:instrText>
      </w:r>
      <w:r w:rsidRPr="00016C6A">
        <w:rPr>
          <w:rFonts w:ascii="Times New Roman" w:hAnsi="Times New Roman" w:cs="Times New Roman"/>
          <w:b/>
          <w:bCs/>
        </w:rPr>
        <w:fldChar w:fldCharType="separate"/>
      </w:r>
      <w:r w:rsidRPr="00016C6A">
        <w:rPr>
          <w:rFonts w:ascii="Times New Roman" w:hAnsi="Times New Roman" w:cs="Times New Roman"/>
          <w:b/>
          <w:bCs/>
          <w:noProof/>
        </w:rPr>
        <w:t xml:space="preserve">(Bartoli </w:t>
      </w:r>
      <w:r w:rsidRPr="00016C6A">
        <w:rPr>
          <w:rFonts w:ascii="Times New Roman" w:hAnsi="Times New Roman" w:cs="Times New Roman"/>
          <w:b/>
          <w:bCs/>
          <w:i/>
          <w:noProof/>
        </w:rPr>
        <w:t xml:space="preserve"> et al.</w:t>
      </w:r>
      <w:r w:rsidRPr="00016C6A">
        <w:rPr>
          <w:rFonts w:ascii="Times New Roman" w:hAnsi="Times New Roman" w:cs="Times New Roman"/>
          <w:b/>
          <w:bCs/>
          <w:noProof/>
        </w:rPr>
        <w:t>, 2020)</w:t>
      </w:r>
      <w:r w:rsidRPr="00016C6A">
        <w:rPr>
          <w:rFonts w:ascii="Times New Roman" w:hAnsi="Times New Roman" w:cs="Times New Roman"/>
          <w:b/>
          <w:bCs/>
        </w:rPr>
        <w:fldChar w:fldCharType="end"/>
      </w:r>
      <w:r>
        <w:rPr>
          <w:rFonts w:ascii="Times New Roman" w:hAnsi="Times New Roman" w:cs="Times New Roman"/>
        </w:rPr>
        <w:t xml:space="preserve">. Furthermore, </w:t>
      </w:r>
      <w:r>
        <w:rPr>
          <w:rFonts w:ascii="Times New Roman" w:hAnsi="Times New Roman" w:cs="Times New Roman"/>
          <w:i/>
          <w:iCs/>
        </w:rPr>
        <w:t>Helicobacter pylori</w:t>
      </w:r>
      <w:r>
        <w:rPr>
          <w:rFonts w:ascii="Times New Roman" w:hAnsi="Times New Roman" w:cs="Times New Roman"/>
        </w:rPr>
        <w:t xml:space="preserve">, which was previously thought to lack the ability to mount a stringent response </w:t>
      </w:r>
      <w:r w:rsidRPr="004A0052">
        <w:rPr>
          <w:rFonts w:ascii="Times New Roman" w:hAnsi="Times New Roman" w:cs="Times New Roman"/>
          <w:b/>
          <w:bCs/>
        </w:rPr>
        <w:fldChar w:fldCharType="begin"/>
      </w:r>
      <w:r w:rsidRPr="004A0052">
        <w:rPr>
          <w:rFonts w:ascii="Times New Roman" w:hAnsi="Times New Roman" w:cs="Times New Roman"/>
          <w:b/>
          <w:bCs/>
        </w:rPr>
        <w:instrText xml:space="preserve"> ADDIN EN.CITE &lt;EndNote&gt;&lt;Cite&gt;&lt;Author&gt;Scoarughi&lt;/Author&gt;&lt;Year&gt;1999&lt;/Year&gt;&lt;IDText&gt;Helicobacter pylori: a eubacterium lacking the stringent response&lt;/IDText&gt;&lt;DisplayText&gt;(Scoarughi, Cimmino and Donini, 1999)&lt;/DisplayText&gt;&lt;record&gt;&lt;dates&gt;&lt;pub-dates&gt;&lt;date&gt;Jan&lt;/date&gt;&lt;/pub-dates&gt;&lt;year&gt;1999&lt;/year&gt;&lt;/dates&gt;&lt;urls&gt;&lt;related-urls&gt;&lt;url&gt;&amp;lt;Go to ISI&amp;gt;://WOS:000078040200025&lt;/url&gt;&lt;/related-urls&gt;&lt;/urls&gt;&lt;isbn&gt;0021-9193&lt;/isbn&gt;&lt;titles&gt;&lt;title&gt;Helicobacter pylori: a eubacterium lacking the stringent response&lt;/title&gt;&lt;secondary-title&gt;Journal of Bacteriology&lt;/secondary-title&gt;&lt;/titles&gt;&lt;pages&gt;552-555&lt;/pages&gt;&lt;number&gt;2&lt;/number&gt;&lt;contributors&gt;&lt;authors&gt;&lt;author&gt;Scoarughi, G. L.&lt;/author&gt;&lt;author&gt;Cimmino, C.&lt;/author&gt;&lt;author&gt;Donini, P.&lt;/author&gt;&lt;/authors&gt;&lt;/contributors&gt;&lt;added-date format="utc"&gt;1678322055&lt;/added-date&gt;&lt;ref-type name="Journal Article"&gt;17&lt;/ref-type&gt;&lt;rec-number&gt;767&lt;/rec-number&gt;&lt;last-updated-date format="utc"&gt;1678322055&lt;/last-updated-date&gt;&lt;accession-num&gt;WOS:000078040200025&lt;/accession-num&gt;&lt;electronic-resource-num&gt;10.1128/jb.181.2.552-555.1999&lt;/electronic-resource-num&gt;&lt;volume&gt;181&lt;/volume&gt;&lt;/record&gt;&lt;/Cite&gt;&lt;/EndNote&gt;</w:instrText>
      </w:r>
      <w:r w:rsidRPr="004A0052">
        <w:rPr>
          <w:rFonts w:ascii="Times New Roman" w:hAnsi="Times New Roman" w:cs="Times New Roman"/>
          <w:b/>
          <w:bCs/>
        </w:rPr>
        <w:fldChar w:fldCharType="separate"/>
      </w:r>
      <w:r w:rsidRPr="004A0052">
        <w:rPr>
          <w:rFonts w:ascii="Times New Roman" w:hAnsi="Times New Roman" w:cs="Times New Roman"/>
          <w:b/>
          <w:bCs/>
          <w:noProof/>
        </w:rPr>
        <w:t>(Scoarughi, Cimmino and Donini, 1999)</w:t>
      </w:r>
      <w:r w:rsidRPr="004A0052">
        <w:rPr>
          <w:rFonts w:ascii="Times New Roman" w:hAnsi="Times New Roman" w:cs="Times New Roman"/>
          <w:b/>
          <w:bCs/>
        </w:rPr>
        <w:fldChar w:fldCharType="end"/>
      </w:r>
      <w:r>
        <w:rPr>
          <w:rFonts w:ascii="Times New Roman" w:hAnsi="Times New Roman" w:cs="Times New Roman"/>
        </w:rPr>
        <w:t xml:space="preserve">, produced (p)ppGpp upon exposure to low pH and was also associated with decreased viability in comparison to WT </w:t>
      </w:r>
      <w:r w:rsidRPr="002613AE">
        <w:rPr>
          <w:rFonts w:ascii="Times New Roman" w:hAnsi="Times New Roman" w:cs="Times New Roman"/>
          <w:b/>
          <w:bCs/>
        </w:rPr>
        <w:fldChar w:fldCharType="begin">
          <w:fldData xml:space="preserve">PEVuZE5vdGU+PENpdGU+PEF1dGhvcj5XZWxsczwvQXV0aG9yPjxZZWFyPjIwMDY8L1llYXI+PElE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PEVuZE5vdGU+PENpdGU+PEF1dGhvcj5XZWxsczwvQXV0aG9yPjxZZWFyPjIwMDY8L1llYXI+PElE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2613AE">
        <w:rPr>
          <w:rFonts w:ascii="Times New Roman" w:hAnsi="Times New Roman" w:cs="Times New Roman"/>
          <w:b/>
          <w:bCs/>
        </w:rPr>
      </w:r>
      <w:r w:rsidRPr="002613AE">
        <w:rPr>
          <w:rFonts w:ascii="Times New Roman" w:hAnsi="Times New Roman" w:cs="Times New Roman"/>
          <w:b/>
          <w:bCs/>
        </w:rPr>
        <w:fldChar w:fldCharType="separate"/>
      </w:r>
      <w:r>
        <w:rPr>
          <w:rFonts w:ascii="Times New Roman" w:hAnsi="Times New Roman" w:cs="Times New Roman"/>
          <w:b/>
          <w:bCs/>
          <w:noProof/>
        </w:rPr>
        <w:t>(Wells and Gaynor, 2006; Mouery</w:t>
      </w:r>
      <w:r w:rsidRPr="004A0052">
        <w:rPr>
          <w:rFonts w:ascii="Times New Roman" w:hAnsi="Times New Roman" w:cs="Times New Roman"/>
          <w:b/>
          <w:bCs/>
          <w:i/>
          <w:noProof/>
        </w:rPr>
        <w:t xml:space="preserve"> et al.</w:t>
      </w:r>
      <w:r>
        <w:rPr>
          <w:rFonts w:ascii="Times New Roman" w:hAnsi="Times New Roman" w:cs="Times New Roman"/>
          <w:b/>
          <w:bCs/>
          <w:noProof/>
        </w:rPr>
        <w:t>, 2006)</w:t>
      </w:r>
      <w:r w:rsidRPr="002613AE">
        <w:rPr>
          <w:rFonts w:ascii="Times New Roman" w:hAnsi="Times New Roman" w:cs="Times New Roman"/>
          <w:b/>
          <w:bCs/>
        </w:rPr>
        <w:fldChar w:fldCharType="end"/>
      </w:r>
      <w:r>
        <w:rPr>
          <w:rFonts w:ascii="Times New Roman" w:hAnsi="Times New Roman" w:cs="Times New Roman"/>
        </w:rPr>
        <w:t xml:space="preserve">. In </w:t>
      </w:r>
      <w:r>
        <w:rPr>
          <w:rFonts w:ascii="Times New Roman" w:hAnsi="Times New Roman" w:cs="Times New Roman"/>
          <w:i/>
          <w:iCs/>
        </w:rPr>
        <w:t>E. coli</w:t>
      </w:r>
      <w:r>
        <w:rPr>
          <w:rFonts w:ascii="Times New Roman" w:hAnsi="Times New Roman" w:cs="Times New Roman"/>
        </w:rPr>
        <w:t xml:space="preserve">, the lysine decarboxylase LdcI, which eventually acts to increase pH, directly binds to (p)ppGpp in response to a decrease in extracellular pH </w:t>
      </w:r>
      <w:r w:rsidRPr="006A1A83">
        <w:rPr>
          <w:rFonts w:ascii="Times New Roman" w:hAnsi="Times New Roman" w:cs="Times New Roman"/>
          <w:b/>
          <w:bCs/>
        </w:rPr>
        <w:fldChar w:fldCharType="begin"/>
      </w:r>
      <w:r w:rsidRPr="006A1A83">
        <w:rPr>
          <w:rFonts w:ascii="Times New Roman" w:hAnsi="Times New Roman" w:cs="Times New Roman"/>
          <w:b/>
          <w:bCs/>
        </w:rPr>
        <w:instrText xml:space="preserve"> ADDIN EN.CITE &lt;EndNote&gt;&lt;Cite&gt;&lt;Author&gt;Kanjee&lt;/Author&gt;&lt;Year&gt;2011&lt;/Year&gt;&lt;IDText&gt;Linkage between the bacterial acid stress and stringent responses: the structure of the inducible lysine decarboxylase&lt;/IDText&gt;&lt;DisplayText&gt;(Kanjee&lt;style face="italic"&gt; et al.&lt;/style&gt;, 2011)&lt;/DisplayText&gt;&lt;record&gt;&lt;dates&gt;&lt;pub-dates&gt;&lt;date&gt;Mar 2&lt;/date&gt;&lt;/pub-dates&gt;&lt;year&gt;2011&lt;/year&gt;&lt;/dates&gt;&lt;urls&gt;&lt;related-urls&gt;&lt;url&gt;&amp;lt;Go to ISI&amp;gt;://WOS:000289239000013&lt;/url&gt;&lt;/related-urls&gt;&lt;/urls&gt;&lt;isbn&gt;0261-4189&lt;/isbn&gt;&lt;work-type&gt;Article&lt;/work-type&gt;&lt;titles&gt;&lt;title&gt;Linkage between the bacterial acid stress and stringent responses: the structure of the inducible lysine decarboxylase&lt;/title&gt;&lt;secondary-title&gt;Embo Journal&lt;/secondary-title&gt;&lt;/titles&gt;&lt;pages&gt;931-944&lt;/pages&gt;&lt;number&gt;5&lt;/number&gt;&lt;contributors&gt;&lt;authors&gt;&lt;author&gt;Kanjee, Usheer&lt;/author&gt;&lt;author&gt;Gutsche, Irina&lt;/author&gt;&lt;author&gt;Alexopoulos, Eftichia&lt;/author&gt;&lt;author&gt;Zhao, Boyu&lt;/author&gt;&lt;author&gt;El Bakkouri, Majida&lt;/author&gt;&lt;author&gt;Thibault, Guillaume&lt;/author&gt;&lt;author&gt;Liu, Kaiyin&lt;/author&gt;&lt;author&gt;Ramachandran, Shaliny&lt;/author&gt;&lt;author&gt;Snider, Jamie&lt;/author&gt;&lt;author&gt;Pai, Emil F.&lt;/author&gt;&lt;author&gt;Houry, Walid A.&lt;/author&gt;&lt;/authors&gt;&lt;/contributors&gt;&lt;added-date format="utc"&gt;1674344558&lt;/added-date&gt;&lt;ref-type name="Journal Article"&gt;17&lt;/ref-type&gt;&lt;rec-number&gt;237&lt;/rec-number&gt;&lt;last-updated-date format="utc"&gt;1674344558&lt;/last-updated-date&gt;&lt;accession-num&gt;WOS:000289239000013&lt;/accession-num&gt;&lt;electronic-resource-num&gt;10.1038/emboj.2011.5&lt;/electronic-resource-num&gt;&lt;volume&gt;30&lt;/volume&gt;&lt;/record&gt;&lt;/Cite&gt;&lt;/EndNote&gt;</w:instrText>
      </w:r>
      <w:r w:rsidRPr="006A1A83">
        <w:rPr>
          <w:rFonts w:ascii="Times New Roman" w:hAnsi="Times New Roman" w:cs="Times New Roman"/>
          <w:b/>
          <w:bCs/>
        </w:rPr>
        <w:fldChar w:fldCharType="separate"/>
      </w:r>
      <w:r w:rsidRPr="006A1A83">
        <w:rPr>
          <w:rFonts w:ascii="Times New Roman" w:hAnsi="Times New Roman" w:cs="Times New Roman"/>
          <w:b/>
          <w:bCs/>
          <w:noProof/>
        </w:rPr>
        <w:t>(Kanjee</w:t>
      </w:r>
      <w:r w:rsidRPr="006A1A83">
        <w:rPr>
          <w:rFonts w:ascii="Times New Roman" w:hAnsi="Times New Roman" w:cs="Times New Roman"/>
          <w:b/>
          <w:bCs/>
          <w:i/>
          <w:noProof/>
        </w:rPr>
        <w:t xml:space="preserve"> et al.</w:t>
      </w:r>
      <w:r w:rsidRPr="006A1A83">
        <w:rPr>
          <w:rFonts w:ascii="Times New Roman" w:hAnsi="Times New Roman" w:cs="Times New Roman"/>
          <w:b/>
          <w:bCs/>
          <w:noProof/>
        </w:rPr>
        <w:t>, 2011)</w:t>
      </w:r>
      <w:r w:rsidRPr="006A1A83">
        <w:rPr>
          <w:rFonts w:ascii="Times New Roman" w:hAnsi="Times New Roman" w:cs="Times New Roman"/>
          <w:b/>
          <w:bCs/>
        </w:rPr>
        <w:fldChar w:fldCharType="end"/>
      </w:r>
      <w:r>
        <w:rPr>
          <w:rFonts w:ascii="Times New Roman" w:hAnsi="Times New Roman" w:cs="Times New Roman"/>
        </w:rPr>
        <w:t xml:space="preserve">. In addition to this, DksA binds to </w:t>
      </w:r>
      <w:r>
        <w:rPr>
          <w:rFonts w:ascii="Times New Roman" w:hAnsi="Times New Roman" w:cs="Times New Roman"/>
          <w:i/>
          <w:iCs/>
        </w:rPr>
        <w:t>E. coli</w:t>
      </w:r>
      <w:r>
        <w:rPr>
          <w:rFonts w:ascii="Times New Roman" w:hAnsi="Times New Roman" w:cs="Times New Roman"/>
        </w:rPr>
        <w:t xml:space="preserve"> RNAP in a pH-dependent manner, which led to the suggestion that DksA could be a pH sensor </w:t>
      </w:r>
      <w:r w:rsidRPr="004A0052">
        <w:rPr>
          <w:rFonts w:ascii="Times New Roman" w:hAnsi="Times New Roman" w:cs="Times New Roman"/>
          <w:b/>
          <w:bCs/>
        </w:rPr>
        <w:fldChar w:fldCharType="begin"/>
      </w:r>
      <w:r w:rsidRPr="004A0052">
        <w:rPr>
          <w:rFonts w:ascii="Times New Roman" w:hAnsi="Times New Roman" w:cs="Times New Roman"/>
          <w:b/>
          <w:bCs/>
        </w:rPr>
        <w:instrText xml:space="preserve"> ADDIN EN.CITE &lt;EndNote&gt;&lt;Cite&gt;&lt;Author&gt;Furman&lt;/Author&gt;&lt;Year&gt;2015&lt;/Year&gt;&lt;IDText&gt;pH Dependence of the Stress Regulator DksA&lt;/IDText&gt;&lt;DisplayText&gt;(Furman&lt;style face="italic"&gt; et al.&lt;/style&gt;, 2015)&lt;/DisplayText&gt;&lt;record&gt;&lt;dates&gt;&lt;pub-dates&gt;&lt;date&gt;Mar 23&lt;/date&gt;&lt;/pub-dates&gt;&lt;year&gt;2015&lt;/year&gt;&lt;/dates&gt;&lt;urls&gt;&lt;related-urls&gt;&lt;url&gt;&amp;lt;Go to ISI&amp;gt;://WOS:000351987300170&lt;/url&gt;&lt;/related-urls&gt;&lt;/urls&gt;&lt;isbn&gt;1932-6203&lt;/isbn&gt;&lt;work-type&gt;Article&lt;/work-type&gt;&lt;titles&gt;&lt;title&gt;pH Dependence of the Stress Regulator DksA&lt;/title&gt;&lt;secondary-title&gt;Plos One&lt;/secondary-title&gt;&lt;/titles&gt;&lt;number&gt;3&lt;/number&gt;&lt;contributors&gt;&lt;authors&gt;&lt;author&gt;Furman, Ran&lt;/author&gt;&lt;author&gt;Danhart, Eric M.&lt;/author&gt;&lt;author&gt;NandyMazumdar, Monali&lt;/author&gt;&lt;author&gt;Yuan, Chunhua&lt;/author&gt;&lt;author&gt;Foster, Mark P.&lt;/author&gt;&lt;author&gt;Artsimovitch, Irina&lt;/author&gt;&lt;/authors&gt;&lt;/contributors&gt;&lt;custom7&gt;e0120746&lt;/custom7&gt;&lt;added-date format="utc"&gt;1674345047&lt;/added-date&gt;&lt;ref-type name="Journal Article"&gt;17&lt;/ref-type&gt;&lt;rec-number&gt;238&lt;/rec-number&gt;&lt;last-updated-date format="utc"&gt;1674345047&lt;/last-updated-date&gt;&lt;accession-num&gt;WOS:000351987300170&lt;/accession-num&gt;&lt;electronic-resource-num&gt;10.1371/journal.pone.0120746&lt;/electronic-resource-num&gt;&lt;volume&gt;10&lt;/volume&gt;&lt;/record&gt;&lt;/Cite&gt;&lt;/EndNote&gt;</w:instrText>
      </w:r>
      <w:r w:rsidRPr="004A0052">
        <w:rPr>
          <w:rFonts w:ascii="Times New Roman" w:hAnsi="Times New Roman" w:cs="Times New Roman"/>
          <w:b/>
          <w:bCs/>
        </w:rPr>
        <w:fldChar w:fldCharType="separate"/>
      </w:r>
      <w:r w:rsidRPr="004A0052">
        <w:rPr>
          <w:rFonts w:ascii="Times New Roman" w:hAnsi="Times New Roman" w:cs="Times New Roman"/>
          <w:b/>
          <w:bCs/>
          <w:noProof/>
        </w:rPr>
        <w:t>(Furman</w:t>
      </w:r>
      <w:r w:rsidRPr="004A0052">
        <w:rPr>
          <w:rFonts w:ascii="Times New Roman" w:hAnsi="Times New Roman" w:cs="Times New Roman"/>
          <w:b/>
          <w:bCs/>
          <w:i/>
          <w:noProof/>
        </w:rPr>
        <w:t xml:space="preserve"> et al.</w:t>
      </w:r>
      <w:r w:rsidRPr="004A0052">
        <w:rPr>
          <w:rFonts w:ascii="Times New Roman" w:hAnsi="Times New Roman" w:cs="Times New Roman"/>
          <w:b/>
          <w:bCs/>
          <w:noProof/>
        </w:rPr>
        <w:t>, 2015)</w:t>
      </w:r>
      <w:r w:rsidRPr="004A0052">
        <w:rPr>
          <w:rFonts w:ascii="Times New Roman" w:hAnsi="Times New Roman" w:cs="Times New Roman"/>
          <w:b/>
          <w:bCs/>
        </w:rPr>
        <w:fldChar w:fldCharType="end"/>
      </w:r>
      <w:r>
        <w:rPr>
          <w:rFonts w:ascii="Times New Roman" w:hAnsi="Times New Roman" w:cs="Times New Roman"/>
        </w:rPr>
        <w:t>.While studies have shown that Gram-negative bacteria mount an stringent response to acid stress, it is unclear whether the stringent response responds directly to acid stress in Gram-positive bacteria based on the lack of evidence.</w:t>
      </w:r>
    </w:p>
    <w:p w14:paraId="618CC56D" w14:textId="77777777" w:rsidR="00187693" w:rsidRDefault="00187693" w:rsidP="00187693">
      <w:pPr>
        <w:autoSpaceDE w:val="0"/>
        <w:autoSpaceDN w:val="0"/>
        <w:adjustRightInd w:val="0"/>
        <w:spacing w:after="0" w:line="360" w:lineRule="auto"/>
        <w:jc w:val="both"/>
        <w:rPr>
          <w:rFonts w:ascii="Times New Roman" w:hAnsi="Times New Roman" w:cs="Times New Roman"/>
        </w:rPr>
      </w:pPr>
    </w:p>
    <w:p w14:paraId="707EC3CE" w14:textId="32211734" w:rsidR="00187693" w:rsidRPr="001D0BEE" w:rsidRDefault="00187693" w:rsidP="00187693">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rPr>
        <w:t xml:space="preserve">Thus, to understand whether the stringent response has a role in dealing with acid stress in </w:t>
      </w:r>
      <w:r>
        <w:rPr>
          <w:rFonts w:ascii="Times New Roman" w:hAnsi="Times New Roman" w:cs="Times New Roman"/>
          <w:i/>
          <w:iCs/>
        </w:rPr>
        <w:t>S. aureus</w:t>
      </w:r>
      <w:r>
        <w:rPr>
          <w:rFonts w:ascii="Times New Roman" w:hAnsi="Times New Roman" w:cs="Times New Roman"/>
        </w:rPr>
        <w:t>, WT, the (p)ppGpp</w:t>
      </w:r>
      <w:r>
        <w:rPr>
          <w:rFonts w:ascii="Times New Roman" w:hAnsi="Times New Roman" w:cs="Times New Roman"/>
          <w:vertAlign w:val="superscript"/>
        </w:rPr>
        <w:t>0</w:t>
      </w:r>
      <w:r>
        <w:rPr>
          <w:rFonts w:ascii="Times New Roman" w:hAnsi="Times New Roman" w:cs="Times New Roman"/>
        </w:rPr>
        <w:t xml:space="preserve"> mutant and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were grown in the presence of TSB buffered to pH 4.5 and 7.5 with the weak acid maleic acid (tris-maleate buffer</w:t>
      </w:r>
      <w:r w:rsidRPr="00F57CC9">
        <w:rPr>
          <w:rFonts w:ascii="Times New Roman" w:hAnsi="Times New Roman" w:cs="Times New Roman"/>
        </w:rPr>
        <w:t>)</w:t>
      </w:r>
      <w:r w:rsidRPr="0064052D">
        <w:rPr>
          <w:rFonts w:ascii="Times New Roman" w:hAnsi="Times New Roman" w:cs="Times New Roman"/>
          <w:b/>
          <w:bCs/>
        </w:rPr>
        <w:t xml:space="preserve"> </w:t>
      </w:r>
      <w:r w:rsidRPr="0064052D">
        <w:rPr>
          <w:rFonts w:ascii="Times New Roman" w:hAnsi="Times New Roman" w:cs="Times New Roman"/>
          <w:b/>
          <w:bCs/>
        </w:rPr>
        <w:fldChar w:fldCharType="begin"/>
      </w:r>
      <w:r w:rsidRPr="0064052D">
        <w:rPr>
          <w:rFonts w:ascii="Times New Roman" w:hAnsi="Times New Roman" w:cs="Times New Roman"/>
          <w:b/>
          <w:bCs/>
        </w:rPr>
        <w:instrText xml:space="preserve"> ADDIN EN.CITE &lt;EndNote&gt;&lt;Cite&gt;&lt;Author&gt;Flannagan&lt;/Author&gt;&lt;Year&gt;2018&lt;/Year&gt;&lt;IDText&gt;Staphylococcus aureus Uses the GraXRS Regulatory System To Sense and Adapt to the Acidified Phagolysosome in Macrophages&lt;/IDText&gt;&lt;DisplayText&gt;(Flannagan&lt;style face="italic"&gt; et al.&lt;/style&gt;, 2018)&lt;/DisplayText&gt;&lt;record&gt;&lt;dates&gt;&lt;pub-dates&gt;&lt;date&gt;Jul-Aug&lt;/date&gt;&lt;/pub-dates&gt;&lt;year&gt;2018&lt;/year&gt;&lt;/dates&gt;&lt;urls&gt;&lt;related-urls&gt;&lt;url&gt;&amp;lt;Go to ISI&amp;gt;://WOS:000443884300036&lt;/url&gt;&lt;/related-urls&gt;&lt;/urls&gt;&lt;isbn&gt;2150-7511&lt;/isbn&gt;&lt;work-type&gt;Article&lt;/work-type&gt;&lt;titles&gt;&lt;title&gt;Staphylococcus aureus Uses the GraXRS Regulatory System To Sense and Adapt to the Acidified Phagolysosome in Macrophages&lt;/title&gt;&lt;secondary-title&gt;Mbio&lt;/secondary-title&gt;&lt;/titles&gt;&lt;number&gt;4&lt;/number&gt;&lt;contributors&gt;&lt;authors&gt;&lt;author&gt;Flannagan, Ronald S.&lt;/author&gt;&lt;author&gt;Kuiack, Robert C.&lt;/author&gt;&lt;author&gt;McGavin, Martin J.&lt;/author&gt;&lt;author&gt;Heinrichs, David E.&lt;/author&gt;&lt;/authors&gt;&lt;/contributors&gt;&lt;custom7&gt;e01143-18&lt;/custom7&gt;&lt;added-date format="utc"&gt;1672504676&lt;/added-date&gt;&lt;ref-type name="Journal Article"&gt;17&lt;/ref-type&gt;&lt;rec-number&gt;194&lt;/rec-number&gt;&lt;last-updated-date format="utc"&gt;1672515807&lt;/last-updated-date&gt;&lt;accession-num&gt;WOS:000443884300036&lt;/accession-num&gt;&lt;electronic-resource-num&gt;10.1128/mBio.01143-18&lt;/electronic-resource-num&gt;&lt;volume&gt;9&lt;/volume&gt;&lt;/record&gt;&lt;/Cite&gt;&lt;/EndNote&gt;</w:instrText>
      </w:r>
      <w:r w:rsidRPr="0064052D">
        <w:rPr>
          <w:rFonts w:ascii="Times New Roman" w:hAnsi="Times New Roman" w:cs="Times New Roman"/>
          <w:b/>
          <w:bCs/>
        </w:rPr>
        <w:fldChar w:fldCharType="separate"/>
      </w:r>
      <w:r w:rsidRPr="0064052D">
        <w:rPr>
          <w:rFonts w:ascii="Times New Roman" w:hAnsi="Times New Roman" w:cs="Times New Roman"/>
          <w:b/>
          <w:bCs/>
          <w:noProof/>
        </w:rPr>
        <w:t>(Flannagan</w:t>
      </w:r>
      <w:r w:rsidRPr="0064052D">
        <w:rPr>
          <w:rFonts w:ascii="Times New Roman" w:hAnsi="Times New Roman" w:cs="Times New Roman"/>
          <w:b/>
          <w:bCs/>
          <w:i/>
          <w:noProof/>
        </w:rPr>
        <w:t xml:space="preserve"> et al.</w:t>
      </w:r>
      <w:r w:rsidRPr="0064052D">
        <w:rPr>
          <w:rFonts w:ascii="Times New Roman" w:hAnsi="Times New Roman" w:cs="Times New Roman"/>
          <w:b/>
          <w:bCs/>
          <w:noProof/>
        </w:rPr>
        <w:t>, 2018)</w:t>
      </w:r>
      <w:r w:rsidRPr="0064052D">
        <w:rPr>
          <w:rFonts w:ascii="Times New Roman" w:hAnsi="Times New Roman" w:cs="Times New Roman"/>
          <w:b/>
          <w:bCs/>
        </w:rPr>
        <w:fldChar w:fldCharType="end"/>
      </w:r>
      <w:r>
        <w:rPr>
          <w:rFonts w:ascii="Times New Roman" w:hAnsi="Times New Roman" w:cs="Times New Roman"/>
          <w:b/>
          <w:bCs/>
        </w:rPr>
        <w:t xml:space="preserve"> (Fig. 4.2.2)</w:t>
      </w:r>
      <w:r>
        <w:rPr>
          <w:rFonts w:ascii="Times New Roman" w:hAnsi="Times New Roman" w:cs="Times New Roman"/>
        </w:rPr>
        <w:t>. At pH 4.5, the (p)ppGpp</w:t>
      </w:r>
      <w:r>
        <w:rPr>
          <w:rFonts w:ascii="Times New Roman" w:hAnsi="Times New Roman" w:cs="Times New Roman"/>
          <w:vertAlign w:val="superscript"/>
        </w:rPr>
        <w:t>0</w:t>
      </w:r>
      <w:r>
        <w:rPr>
          <w:rFonts w:ascii="Times New Roman" w:hAnsi="Times New Roman" w:cs="Times New Roman"/>
        </w:rPr>
        <w:t xml:space="preserve"> mutant demonstrated a modest but significant growth defect, while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displayed a slight growth defect in comparison to WT with significant differences observed only during mid-late exponential phase </w:t>
      </w:r>
      <w:r>
        <w:rPr>
          <w:rFonts w:ascii="Times New Roman" w:hAnsi="Times New Roman" w:cs="Times New Roman"/>
          <w:b/>
          <w:bCs/>
        </w:rPr>
        <w:t>(Fig. 4.2.2a and b)</w:t>
      </w:r>
      <w:r>
        <w:rPr>
          <w:rFonts w:ascii="Times New Roman" w:hAnsi="Times New Roman" w:cs="Times New Roman"/>
        </w:rPr>
        <w:t>. In comparison, at pH 7.5, both the WT and the (p)ppGpp</w:t>
      </w:r>
      <w:r>
        <w:rPr>
          <w:rFonts w:ascii="Times New Roman" w:hAnsi="Times New Roman" w:cs="Times New Roman"/>
          <w:vertAlign w:val="superscript"/>
        </w:rPr>
        <w:t>0</w:t>
      </w:r>
      <w:r>
        <w:rPr>
          <w:rFonts w:ascii="Times New Roman" w:hAnsi="Times New Roman" w:cs="Times New Roman"/>
        </w:rPr>
        <w:t xml:space="preserve"> mutant grew similarly </w:t>
      </w:r>
      <w:r>
        <w:rPr>
          <w:rFonts w:ascii="Times New Roman" w:hAnsi="Times New Roman" w:cs="Times New Roman"/>
          <w:b/>
          <w:bCs/>
        </w:rPr>
        <w:t>(Fig. 4.2.2d)</w:t>
      </w:r>
      <w:r>
        <w:rPr>
          <w:rFonts w:ascii="Times New Roman" w:hAnsi="Times New Roman" w:cs="Times New Roman"/>
        </w:rPr>
        <w:t xml:space="preserve"> as shown in </w:t>
      </w:r>
      <w:r>
        <w:rPr>
          <w:rFonts w:ascii="Times New Roman" w:hAnsi="Times New Roman" w:cs="Times New Roman"/>
          <w:b/>
          <w:bCs/>
        </w:rPr>
        <w:t>(Fig. 3.2.1b).</w:t>
      </w:r>
      <w:r>
        <w:rPr>
          <w:rFonts w:ascii="Times New Roman" w:hAnsi="Times New Roman" w:cs="Times New Roman"/>
        </w:rPr>
        <w:t xml:space="preserve"> Differences were only observed between WT and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at 4 and 6 hours, with growth being restored to WT levels during stationary phase </w:t>
      </w:r>
      <w:r>
        <w:rPr>
          <w:rFonts w:ascii="Times New Roman" w:hAnsi="Times New Roman" w:cs="Times New Roman"/>
          <w:b/>
          <w:bCs/>
        </w:rPr>
        <w:t>(Fig. 4.2.2e)</w:t>
      </w:r>
      <w:r>
        <w:rPr>
          <w:rFonts w:ascii="Times New Roman" w:hAnsi="Times New Roman" w:cs="Times New Roman"/>
        </w:rPr>
        <w:t>. There were no differences in growth between the (p)ppGpp</w:t>
      </w:r>
      <w:r>
        <w:rPr>
          <w:rFonts w:ascii="Times New Roman" w:hAnsi="Times New Roman" w:cs="Times New Roman"/>
          <w:vertAlign w:val="superscript"/>
        </w:rPr>
        <w:t>0</w:t>
      </w:r>
      <w:r>
        <w:rPr>
          <w:rFonts w:ascii="Times New Roman" w:hAnsi="Times New Roman" w:cs="Times New Roman"/>
        </w:rPr>
        <w:t xml:space="preserve"> mutant and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at either pH </w:t>
      </w:r>
      <w:r>
        <w:rPr>
          <w:rFonts w:ascii="Times New Roman" w:hAnsi="Times New Roman" w:cs="Times New Roman"/>
          <w:b/>
          <w:bCs/>
        </w:rPr>
        <w:t>(Fig. 4.2.2c and f)</w:t>
      </w:r>
      <w:r>
        <w:rPr>
          <w:rFonts w:ascii="Times New Roman" w:hAnsi="Times New Roman" w:cs="Times New Roman"/>
        </w:rPr>
        <w:t xml:space="preserve">. To further examine </w:t>
      </w:r>
      <w:r w:rsidR="003E4EFE">
        <w:rPr>
          <w:rFonts w:ascii="Times New Roman" w:hAnsi="Times New Roman" w:cs="Times New Roman"/>
        </w:rPr>
        <w:t>the effect of low pH on these strains</w:t>
      </w:r>
      <w:r>
        <w:rPr>
          <w:rFonts w:ascii="Times New Roman" w:hAnsi="Times New Roman" w:cs="Times New Roman"/>
        </w:rPr>
        <w:t xml:space="preserve">, the Biolog Phenotype MicroArray PM10 plate (which uses glutaric acid to lower pH and </w:t>
      </w:r>
      <w:r w:rsidRPr="004F2CA5">
        <w:rPr>
          <w:rFonts w:ascii="Times New Roman" w:hAnsi="Times New Roman" w:cs="Times New Roman"/>
        </w:rPr>
        <w:t>triethanolamine to raise the pH</w:t>
      </w:r>
      <w:r>
        <w:rPr>
          <w:rFonts w:ascii="Times New Roman" w:hAnsi="Times New Roman" w:cs="Times New Roman"/>
        </w:rPr>
        <w:t>) was utilised to identify any differences in growth between WT and the (p)ppGpp</w:t>
      </w:r>
      <w:r>
        <w:rPr>
          <w:rFonts w:ascii="Times New Roman" w:hAnsi="Times New Roman" w:cs="Times New Roman"/>
          <w:vertAlign w:val="superscript"/>
        </w:rPr>
        <w:t>0</w:t>
      </w:r>
      <w:r>
        <w:rPr>
          <w:rFonts w:ascii="Times New Roman" w:hAnsi="Times New Roman" w:cs="Times New Roman"/>
        </w:rPr>
        <w:t xml:space="preserve"> mutant between pH 3.5 and 7 </w:t>
      </w:r>
      <w:r>
        <w:rPr>
          <w:rFonts w:ascii="Times New Roman" w:hAnsi="Times New Roman" w:cs="Times New Roman"/>
          <w:b/>
          <w:bCs/>
        </w:rPr>
        <w:t>(Fig. 4.2.3)</w:t>
      </w:r>
      <w:r>
        <w:rPr>
          <w:rFonts w:ascii="Times New Roman" w:hAnsi="Times New Roman" w:cs="Times New Roman"/>
        </w:rPr>
        <w:t xml:space="preserve">. As demonstrated by the plate map, the PM10 plate consists of 96 wells containing </w:t>
      </w:r>
      <w:r w:rsidR="003E4EFE">
        <w:rPr>
          <w:rFonts w:ascii="Times New Roman" w:hAnsi="Times New Roman" w:cs="Times New Roman"/>
        </w:rPr>
        <w:t xml:space="preserve">lyophilised </w:t>
      </w:r>
      <w:r>
        <w:rPr>
          <w:rFonts w:ascii="Times New Roman" w:hAnsi="Times New Roman" w:cs="Times New Roman"/>
        </w:rPr>
        <w:t>reagents that once resuspended with bacterial culture, cultures</w:t>
      </w:r>
      <w:r w:rsidR="003E4EFE">
        <w:rPr>
          <w:rFonts w:ascii="Times New Roman" w:hAnsi="Times New Roman" w:cs="Times New Roman"/>
        </w:rPr>
        <w:t xml:space="preserve"> with different pH</w:t>
      </w:r>
      <w:r>
        <w:rPr>
          <w:rFonts w:ascii="Times New Roman" w:hAnsi="Times New Roman" w:cs="Times New Roman"/>
        </w:rPr>
        <w:t>. While 96 different conditions were tested, there was no observable phenotypic differences between the JE2 and (p)ppGpp</w:t>
      </w:r>
      <w:r>
        <w:rPr>
          <w:rFonts w:ascii="Times New Roman" w:hAnsi="Times New Roman" w:cs="Times New Roman"/>
          <w:vertAlign w:val="superscript"/>
        </w:rPr>
        <w:t>0</w:t>
      </w:r>
      <w:r>
        <w:rPr>
          <w:rFonts w:ascii="Times New Roman" w:hAnsi="Times New Roman" w:cs="Times New Roman"/>
        </w:rPr>
        <w:t xml:space="preserve"> mutant-inoculated plates</w:t>
      </w:r>
      <w:r w:rsidRPr="00F57CC9">
        <w:rPr>
          <w:rFonts w:ascii="Times New Roman" w:hAnsi="Times New Roman" w:cs="Times New Roman"/>
          <w:b/>
          <w:bCs/>
        </w:rPr>
        <w:t xml:space="preserve"> </w:t>
      </w:r>
      <w:r>
        <w:rPr>
          <w:rFonts w:ascii="Times New Roman" w:hAnsi="Times New Roman" w:cs="Times New Roman"/>
        </w:rPr>
        <w:t xml:space="preserve">except for well G4 (data not shown). However, as the pH values of 3-7 were of interest in this study, only those were considered. </w:t>
      </w:r>
      <w:r w:rsidRPr="00F57CC9">
        <w:rPr>
          <w:rFonts w:ascii="Times New Roman" w:hAnsi="Times New Roman" w:cs="Times New Roman"/>
          <w:b/>
          <w:bCs/>
        </w:rPr>
        <w:t>Figures 4.</w:t>
      </w:r>
      <w:r>
        <w:rPr>
          <w:rFonts w:ascii="Times New Roman" w:hAnsi="Times New Roman" w:cs="Times New Roman"/>
          <w:b/>
          <w:bCs/>
        </w:rPr>
        <w:t>2</w:t>
      </w:r>
      <w:r w:rsidRPr="00F57CC9">
        <w:rPr>
          <w:rFonts w:ascii="Times New Roman" w:hAnsi="Times New Roman" w:cs="Times New Roman"/>
          <w:b/>
          <w:bCs/>
        </w:rPr>
        <w:t>.</w:t>
      </w:r>
      <w:r>
        <w:rPr>
          <w:rFonts w:ascii="Times New Roman" w:hAnsi="Times New Roman" w:cs="Times New Roman"/>
          <w:b/>
          <w:bCs/>
        </w:rPr>
        <w:t>4a</w:t>
      </w:r>
      <w:r w:rsidRPr="00F57CC9">
        <w:rPr>
          <w:rFonts w:ascii="Times New Roman" w:hAnsi="Times New Roman" w:cs="Times New Roman"/>
          <w:b/>
          <w:bCs/>
        </w:rPr>
        <w:t xml:space="preserve"> and </w:t>
      </w:r>
      <w:r>
        <w:rPr>
          <w:rFonts w:ascii="Times New Roman" w:hAnsi="Times New Roman" w:cs="Times New Roman"/>
          <w:b/>
          <w:bCs/>
        </w:rPr>
        <w:t xml:space="preserve">b </w:t>
      </w:r>
      <w:r>
        <w:rPr>
          <w:rFonts w:ascii="Times New Roman" w:hAnsi="Times New Roman" w:cs="Times New Roman"/>
        </w:rPr>
        <w:t>demonstrate both WT and the (p)ppGpp</w:t>
      </w:r>
      <w:r>
        <w:rPr>
          <w:rFonts w:ascii="Times New Roman" w:hAnsi="Times New Roman" w:cs="Times New Roman"/>
          <w:vertAlign w:val="superscript"/>
        </w:rPr>
        <w:t>0</w:t>
      </w:r>
      <w:r>
        <w:rPr>
          <w:rFonts w:ascii="Times New Roman" w:hAnsi="Times New Roman" w:cs="Times New Roman"/>
        </w:rPr>
        <w:t xml:space="preserve"> mutant separately, which seem to grow similarly at each pH studied, with growth ceasing at pH values below 5. This is confirmed when growth at pH 5 and 5.5 are considered in isolation as the cultures grown at these pH values displayed growth defects (not as extensive as pH 4.5 and below), but no difference between the strains was detected </w:t>
      </w:r>
      <w:r>
        <w:rPr>
          <w:rFonts w:ascii="Times New Roman" w:hAnsi="Times New Roman" w:cs="Times New Roman"/>
          <w:b/>
          <w:bCs/>
        </w:rPr>
        <w:t>(Fig. 4.2.4c)</w:t>
      </w:r>
      <w:r>
        <w:rPr>
          <w:rFonts w:ascii="Times New Roman" w:hAnsi="Times New Roman" w:cs="Times New Roman"/>
        </w:rPr>
        <w:t>. While a growth defect was detected when the WT and the (p)ppGpp</w:t>
      </w:r>
      <w:r>
        <w:rPr>
          <w:rFonts w:ascii="Times New Roman" w:hAnsi="Times New Roman" w:cs="Times New Roman"/>
          <w:vertAlign w:val="superscript"/>
        </w:rPr>
        <w:t>0</w:t>
      </w:r>
      <w:r>
        <w:rPr>
          <w:rFonts w:ascii="Times New Roman" w:hAnsi="Times New Roman" w:cs="Times New Roman"/>
        </w:rPr>
        <w:t xml:space="preserve"> mutant were exposed to acidic conditions in </w:t>
      </w:r>
      <w:r>
        <w:rPr>
          <w:rFonts w:ascii="Times New Roman" w:hAnsi="Times New Roman" w:cs="Times New Roman"/>
          <w:b/>
          <w:bCs/>
        </w:rPr>
        <w:t>Figure 4.2.2</w:t>
      </w:r>
      <w:r>
        <w:rPr>
          <w:rFonts w:ascii="Times New Roman" w:hAnsi="Times New Roman" w:cs="Times New Roman"/>
        </w:rPr>
        <w:t xml:space="preserve">, this was not evident in </w:t>
      </w:r>
      <w:r>
        <w:rPr>
          <w:rFonts w:ascii="Times New Roman" w:hAnsi="Times New Roman" w:cs="Times New Roman"/>
          <w:b/>
          <w:bCs/>
        </w:rPr>
        <w:t xml:space="preserve">Figure 4.2.4 </w:t>
      </w:r>
      <w:r>
        <w:rPr>
          <w:rFonts w:ascii="Times New Roman" w:hAnsi="Times New Roman" w:cs="Times New Roman"/>
        </w:rPr>
        <w:t xml:space="preserve">using the Biolog Phenotype MicroArray PM10 plate. This may be due to differences in methodology between the experiments, as well as because the growth curve using the Biolog Phenotype MicroArray PM10 plate was performed once only. </w:t>
      </w:r>
    </w:p>
    <w:p w14:paraId="4A2AB48A" w14:textId="77777777" w:rsidR="00187693" w:rsidRDefault="00187693" w:rsidP="00187693">
      <w:pPr>
        <w:autoSpaceDE w:val="0"/>
        <w:autoSpaceDN w:val="0"/>
        <w:adjustRightInd w:val="0"/>
        <w:spacing w:after="0" w:line="360" w:lineRule="auto"/>
        <w:ind w:firstLine="720"/>
        <w:jc w:val="both"/>
        <w:rPr>
          <w:rFonts w:ascii="Times New Roman" w:hAnsi="Times New Roman" w:cs="Times New Roman"/>
        </w:rPr>
      </w:pPr>
    </w:p>
    <w:p w14:paraId="635CF1F7" w14:textId="77777777" w:rsidR="00187693" w:rsidRDefault="00187693" w:rsidP="00187693">
      <w:pPr>
        <w:autoSpaceDE w:val="0"/>
        <w:autoSpaceDN w:val="0"/>
        <w:adjustRightInd w:val="0"/>
        <w:spacing w:after="0" w:line="360" w:lineRule="auto"/>
        <w:ind w:firstLine="720"/>
        <w:jc w:val="both"/>
        <w:rPr>
          <w:rFonts w:ascii="Times New Roman" w:hAnsi="Times New Roman" w:cs="Times New Roman"/>
        </w:rPr>
      </w:pPr>
    </w:p>
    <w:p w14:paraId="7FBB76C7" w14:textId="77777777" w:rsidR="00187693" w:rsidRDefault="00187693" w:rsidP="00187693">
      <w:pPr>
        <w:autoSpaceDE w:val="0"/>
        <w:autoSpaceDN w:val="0"/>
        <w:adjustRightInd w:val="0"/>
        <w:spacing w:after="0" w:line="360" w:lineRule="auto"/>
        <w:jc w:val="both"/>
        <w:rPr>
          <w:rFonts w:ascii="Times New Roman" w:hAnsi="Times New Roman" w:cs="Times New Roman"/>
        </w:rPr>
      </w:pPr>
    </w:p>
    <w:p w14:paraId="55C8BFA1" w14:textId="77777777" w:rsidR="00187693" w:rsidRPr="004041D0" w:rsidRDefault="00187693" w:rsidP="00187693">
      <w:pPr>
        <w:autoSpaceDE w:val="0"/>
        <w:autoSpaceDN w:val="0"/>
        <w:adjustRightInd w:val="0"/>
        <w:spacing w:after="0" w:line="360" w:lineRule="auto"/>
        <w:jc w:val="both"/>
        <w:rPr>
          <w:rFonts w:ascii="Times New Roman" w:hAnsi="Times New Roman" w:cs="Times New Roman"/>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08085161" w14:textId="77777777" w:rsidTr="00A74445">
        <w:tc>
          <w:tcPr>
            <w:tcW w:w="9016" w:type="dxa"/>
          </w:tcPr>
          <w:p w14:paraId="116C6FC3" w14:textId="77777777" w:rsidR="00187693" w:rsidRDefault="00187693" w:rsidP="00A74445">
            <w:pPr>
              <w:autoSpaceDE w:val="0"/>
              <w:autoSpaceDN w:val="0"/>
              <w:adjustRightInd w:val="0"/>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7BECFD06" wp14:editId="4DB3D3F4">
                  <wp:extent cx="5598831" cy="4676775"/>
                  <wp:effectExtent l="0" t="0" r="0" b="0"/>
                  <wp:docPr id="1375004523" name="Picture 1375004523" descr="A picture containing ligh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04523" name="Picture 1375004523" descr="A picture containing light, colorful&#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2106" cy="4679511"/>
                          </a:xfrm>
                          <a:prstGeom prst="rect">
                            <a:avLst/>
                          </a:prstGeom>
                          <a:noFill/>
                        </pic:spPr>
                      </pic:pic>
                    </a:graphicData>
                  </a:graphic>
                </wp:inline>
              </w:drawing>
            </w:r>
          </w:p>
        </w:tc>
      </w:tr>
      <w:tr w:rsidR="00187693" w14:paraId="0668410D" w14:textId="77777777" w:rsidTr="00A74445">
        <w:tc>
          <w:tcPr>
            <w:tcW w:w="9016" w:type="dxa"/>
          </w:tcPr>
          <w:p w14:paraId="422698EE" w14:textId="738C4AE6" w:rsidR="00187693" w:rsidRPr="00E93A92" w:rsidRDefault="00187693" w:rsidP="00A74445">
            <w:pPr>
              <w:autoSpaceDE w:val="0"/>
              <w:autoSpaceDN w:val="0"/>
              <w:adjustRightInd w:val="0"/>
              <w:jc w:val="both"/>
              <w:rPr>
                <w:rFonts w:ascii="Times New Roman" w:hAnsi="Times New Roman" w:cs="Times New Roman"/>
                <w:b/>
                <w:bCs/>
                <w:sz w:val="18"/>
                <w:szCs w:val="18"/>
              </w:rPr>
            </w:pPr>
            <w:r w:rsidRPr="00E93A92">
              <w:rPr>
                <w:rFonts w:ascii="Times New Roman" w:hAnsi="Times New Roman" w:cs="Times New Roman"/>
                <w:b/>
                <w:bCs/>
                <w:sz w:val="18"/>
                <w:szCs w:val="18"/>
              </w:rPr>
              <w:t>Figure 4.2.2</w:t>
            </w:r>
            <w:r w:rsidRPr="00E93A92">
              <w:rPr>
                <w:rFonts w:ascii="Times New Roman" w:hAnsi="Times New Roman" w:cs="Times New Roman"/>
                <w:b/>
                <w:bCs/>
                <w:i/>
                <w:iCs/>
                <w:sz w:val="18"/>
                <w:szCs w:val="18"/>
              </w:rPr>
              <w:t xml:space="preserve">. </w:t>
            </w:r>
            <w:r w:rsidRPr="00E93A92">
              <w:rPr>
                <w:rFonts w:ascii="Times New Roman" w:hAnsi="Times New Roman" w:cs="Times New Roman"/>
                <w:b/>
                <w:bCs/>
                <w:sz w:val="18"/>
                <w:szCs w:val="18"/>
              </w:rPr>
              <w:t>The (p)ppGpp</w:t>
            </w:r>
            <w:r w:rsidRPr="00E93A92">
              <w:rPr>
                <w:rFonts w:ascii="Times New Roman" w:hAnsi="Times New Roman" w:cs="Times New Roman"/>
                <w:b/>
                <w:bCs/>
                <w:sz w:val="18"/>
                <w:szCs w:val="18"/>
                <w:vertAlign w:val="superscript"/>
              </w:rPr>
              <w:t xml:space="preserve">0 </w:t>
            </w:r>
            <w:r w:rsidR="00DD505D">
              <w:rPr>
                <w:rFonts w:ascii="Times New Roman" w:hAnsi="Times New Roman" w:cs="Times New Roman"/>
                <w:b/>
                <w:bCs/>
                <w:sz w:val="18"/>
                <w:szCs w:val="18"/>
              </w:rPr>
              <w:t xml:space="preserve">mutant </w:t>
            </w:r>
            <w:r w:rsidRPr="00E93A92">
              <w:rPr>
                <w:rFonts w:ascii="Times New Roman" w:hAnsi="Times New Roman" w:cs="Times New Roman"/>
                <w:b/>
                <w:bCs/>
                <w:sz w:val="18"/>
                <w:szCs w:val="18"/>
              </w:rPr>
              <w:t xml:space="preserve">displays a slight growth defect during acid </w:t>
            </w:r>
            <w:r w:rsidRPr="00333D1F">
              <w:rPr>
                <w:rFonts w:ascii="Times New Roman" w:hAnsi="Times New Roman" w:cs="Times New Roman"/>
                <w:b/>
                <w:bCs/>
                <w:sz w:val="18"/>
                <w:szCs w:val="18"/>
              </w:rPr>
              <w:t>stress.</w:t>
            </w:r>
            <w:r w:rsidRPr="00E93A92">
              <w:rPr>
                <w:rFonts w:ascii="Times New Roman" w:hAnsi="Times New Roman" w:cs="Times New Roman"/>
                <w:b/>
                <w:bCs/>
                <w:sz w:val="18"/>
                <w:szCs w:val="18"/>
              </w:rPr>
              <w:t xml:space="preserve"> </w:t>
            </w:r>
            <w:r w:rsidRPr="00E93A92">
              <w:rPr>
                <w:rFonts w:ascii="Times New Roman" w:hAnsi="Times New Roman" w:cs="Times New Roman"/>
                <w:sz w:val="18"/>
                <w:szCs w:val="18"/>
              </w:rPr>
              <w:t xml:space="preserve">Growth of the </w:t>
            </w:r>
            <w:r w:rsidRPr="00E93A92">
              <w:rPr>
                <w:rFonts w:ascii="Times New Roman" w:hAnsi="Times New Roman" w:cs="Times New Roman"/>
                <w:i/>
                <w:iCs/>
                <w:sz w:val="18"/>
                <w:szCs w:val="18"/>
              </w:rPr>
              <w:t xml:space="preserve">S. aureus </w:t>
            </w:r>
            <w:r w:rsidRPr="00E93A92">
              <w:rPr>
                <w:rFonts w:ascii="Times New Roman" w:hAnsi="Times New Roman" w:cs="Times New Roman"/>
                <w:sz w:val="18"/>
                <w:szCs w:val="18"/>
              </w:rPr>
              <w:t>JE2 WT, (p)ppGpp</w:t>
            </w:r>
            <w:r w:rsidRPr="00E93A92">
              <w:rPr>
                <w:rFonts w:ascii="Times New Roman" w:hAnsi="Times New Roman" w:cs="Times New Roman"/>
                <w:sz w:val="18"/>
                <w:szCs w:val="18"/>
                <w:vertAlign w:val="superscript"/>
              </w:rPr>
              <w:t xml:space="preserve">0 </w:t>
            </w:r>
            <w:r w:rsidRPr="00E93A92">
              <w:rPr>
                <w:rFonts w:ascii="Times New Roman" w:hAnsi="Times New Roman" w:cs="Times New Roman"/>
                <w:sz w:val="18"/>
                <w:szCs w:val="18"/>
              </w:rPr>
              <w:t xml:space="preserve">and </w:t>
            </w:r>
            <w:r w:rsidR="00AC0958" w:rsidRPr="00066900">
              <w:rPr>
                <w:rFonts w:ascii="Times New Roman" w:hAnsi="Times New Roman" w:cs="Times New Roman"/>
                <w:i/>
                <w:iCs/>
                <w:sz w:val="18"/>
                <w:szCs w:val="18"/>
              </w:rPr>
              <w:t>codY</w:t>
            </w:r>
            <w:r w:rsidR="00AC0958" w:rsidRPr="00066900">
              <w:rPr>
                <w:rFonts w:ascii="Times New Roman" w:hAnsi="Times New Roman" w:cs="Times New Roman"/>
                <w:sz w:val="18"/>
                <w:szCs w:val="18"/>
              </w:rPr>
              <w:t>::Tn</w:t>
            </w:r>
            <w:r w:rsidR="00AC0958" w:rsidRPr="00066900">
              <w:rPr>
                <w:rFonts w:ascii="Times New Roman" w:hAnsi="Times New Roman" w:cs="Times New Roman"/>
                <w:i/>
                <w:iCs/>
                <w:sz w:val="18"/>
                <w:szCs w:val="18"/>
              </w:rPr>
              <w:t xml:space="preserve"> </w:t>
            </w:r>
            <w:r w:rsidRPr="00E93A92">
              <w:rPr>
                <w:rFonts w:ascii="Times New Roman" w:hAnsi="Times New Roman" w:cs="Times New Roman"/>
                <w:sz w:val="18"/>
                <w:szCs w:val="18"/>
              </w:rPr>
              <w:t xml:space="preserve">in TSB medium buffered to pH 4.5 </w:t>
            </w:r>
            <w:r w:rsidRPr="00E93A92">
              <w:rPr>
                <w:rFonts w:ascii="Times New Roman" w:hAnsi="Times New Roman" w:cs="Times New Roman"/>
                <w:b/>
                <w:bCs/>
                <w:sz w:val="18"/>
                <w:szCs w:val="18"/>
              </w:rPr>
              <w:t>(a)</w:t>
            </w:r>
            <w:r w:rsidRPr="00E93A92">
              <w:rPr>
                <w:rFonts w:ascii="Times New Roman" w:hAnsi="Times New Roman" w:cs="Times New Roman"/>
                <w:sz w:val="18"/>
                <w:szCs w:val="18"/>
              </w:rPr>
              <w:t xml:space="preserve"> and 7.5 </w:t>
            </w:r>
            <w:r w:rsidRPr="00E93A92">
              <w:rPr>
                <w:rFonts w:ascii="Times New Roman" w:hAnsi="Times New Roman" w:cs="Times New Roman"/>
                <w:b/>
                <w:bCs/>
                <w:sz w:val="18"/>
                <w:szCs w:val="18"/>
              </w:rPr>
              <w:t>(b)</w:t>
            </w:r>
            <w:r w:rsidRPr="00E93A92">
              <w:rPr>
                <w:rFonts w:ascii="Times New Roman" w:hAnsi="Times New Roman" w:cs="Times New Roman"/>
                <w:sz w:val="18"/>
                <w:szCs w:val="18"/>
              </w:rPr>
              <w:t xml:space="preserve"> in 0.1 M tris-maleate from a starting OD</w:t>
            </w:r>
            <w:r w:rsidRPr="00E93A92">
              <w:rPr>
                <w:rFonts w:ascii="Times New Roman" w:hAnsi="Times New Roman" w:cs="Times New Roman"/>
                <w:sz w:val="18"/>
                <w:szCs w:val="18"/>
                <w:vertAlign w:val="subscript"/>
              </w:rPr>
              <w:t>600</w:t>
            </w:r>
            <w:r w:rsidRPr="00E93A92">
              <w:rPr>
                <w:rFonts w:ascii="Times New Roman" w:hAnsi="Times New Roman" w:cs="Times New Roman"/>
                <w:sz w:val="18"/>
                <w:szCs w:val="18"/>
              </w:rPr>
              <w:t xml:space="preserve"> of 0.05 for 20 hours</w:t>
            </w:r>
            <w:r>
              <w:rPr>
                <w:rFonts w:ascii="Times New Roman" w:hAnsi="Times New Roman" w:cs="Times New Roman"/>
                <w:sz w:val="18"/>
                <w:szCs w:val="18"/>
              </w:rPr>
              <w:t xml:space="preserve"> in a Hidex Sense platereader</w:t>
            </w:r>
            <w:r w:rsidRPr="00E93A92">
              <w:rPr>
                <w:rFonts w:ascii="Times New Roman" w:hAnsi="Times New Roman" w:cs="Times New Roman"/>
                <w:sz w:val="18"/>
                <w:szCs w:val="18"/>
              </w:rPr>
              <w:t xml:space="preserve">. </w:t>
            </w:r>
            <w:r w:rsidRPr="00E93A92">
              <w:rPr>
                <w:rFonts w:ascii="Times New Roman" w:hAnsi="Times New Roman" w:cs="Times New Roman"/>
                <w:sz w:val="18"/>
                <w:szCs w:val="18"/>
                <w:lang w:val="en-US"/>
              </w:rPr>
              <w:t xml:space="preserve">Growth curves in </w:t>
            </w:r>
            <w:r w:rsidRPr="00E93A92">
              <w:rPr>
                <w:rFonts w:ascii="Times New Roman" w:hAnsi="Times New Roman" w:cs="Times New Roman"/>
                <w:b/>
                <w:bCs/>
                <w:sz w:val="18"/>
                <w:szCs w:val="18"/>
                <w:lang w:val="en-US"/>
              </w:rPr>
              <w:t>(a-c)</w:t>
            </w:r>
            <w:r w:rsidRPr="00E93A92">
              <w:rPr>
                <w:rFonts w:ascii="Times New Roman" w:hAnsi="Times New Roman" w:cs="Times New Roman"/>
                <w:sz w:val="18"/>
                <w:szCs w:val="18"/>
                <w:lang w:val="en-US"/>
              </w:rPr>
              <w:t xml:space="preserve"> and </w:t>
            </w:r>
            <w:r w:rsidRPr="00E93A92">
              <w:rPr>
                <w:rFonts w:ascii="Times New Roman" w:hAnsi="Times New Roman" w:cs="Times New Roman"/>
                <w:b/>
                <w:bCs/>
                <w:sz w:val="18"/>
                <w:szCs w:val="18"/>
                <w:lang w:val="en-US"/>
              </w:rPr>
              <w:t>(d-f)</w:t>
            </w:r>
            <w:r w:rsidRPr="00E93A92">
              <w:rPr>
                <w:rFonts w:ascii="Times New Roman" w:hAnsi="Times New Roman" w:cs="Times New Roman"/>
                <w:sz w:val="18"/>
                <w:szCs w:val="18"/>
                <w:lang w:val="en-US"/>
              </w:rPr>
              <w:t xml:space="preserve"> were performed in duplicate with </w:t>
            </w:r>
            <w:r w:rsidRPr="00E93A92">
              <w:rPr>
                <w:rFonts w:ascii="Times New Roman" w:hAnsi="Times New Roman" w:cs="Times New Roman"/>
                <w:sz w:val="18"/>
                <w:szCs w:val="18"/>
              </w:rPr>
              <w:t xml:space="preserve">mean values ± standard deviations plotted. Statistical analysis was performed using two-way ANOVA with Šídák's multiple comparisons test and mean values ± standard deviations were plotted. * </w:t>
            </w:r>
            <w:r w:rsidRPr="00E93A92">
              <w:rPr>
                <w:rFonts w:ascii="Times New Roman" w:hAnsi="Times New Roman" w:cs="Times New Roman"/>
                <w:i/>
                <w:iCs/>
                <w:sz w:val="18"/>
                <w:szCs w:val="18"/>
              </w:rPr>
              <w:t>P</w:t>
            </w:r>
            <w:r w:rsidRPr="00E93A92">
              <w:rPr>
                <w:rFonts w:ascii="Times New Roman" w:hAnsi="Times New Roman" w:cs="Times New Roman"/>
                <w:sz w:val="18"/>
                <w:szCs w:val="18"/>
              </w:rPr>
              <w:t xml:space="preserve"> &lt; 0.05, ** </w:t>
            </w:r>
            <w:r w:rsidRPr="00E93A92">
              <w:rPr>
                <w:rFonts w:ascii="Times New Roman" w:hAnsi="Times New Roman" w:cs="Times New Roman"/>
                <w:i/>
                <w:iCs/>
                <w:sz w:val="18"/>
                <w:szCs w:val="18"/>
              </w:rPr>
              <w:t>P</w:t>
            </w:r>
            <w:r w:rsidRPr="00E93A92">
              <w:rPr>
                <w:rFonts w:ascii="Times New Roman" w:hAnsi="Times New Roman" w:cs="Times New Roman"/>
                <w:sz w:val="18"/>
                <w:szCs w:val="18"/>
              </w:rPr>
              <w:t xml:space="preserve"> &lt; 0.01, *** </w:t>
            </w:r>
            <w:r w:rsidRPr="00E93A92">
              <w:rPr>
                <w:rFonts w:ascii="Times New Roman" w:hAnsi="Times New Roman" w:cs="Times New Roman"/>
                <w:i/>
                <w:iCs/>
                <w:sz w:val="18"/>
                <w:szCs w:val="18"/>
              </w:rPr>
              <w:t>P</w:t>
            </w:r>
            <w:r w:rsidRPr="00E93A92">
              <w:rPr>
                <w:rFonts w:ascii="Times New Roman" w:hAnsi="Times New Roman" w:cs="Times New Roman"/>
                <w:sz w:val="18"/>
                <w:szCs w:val="18"/>
              </w:rPr>
              <w:t xml:space="preserve"> &lt; 0.001, **** </w:t>
            </w:r>
            <w:r w:rsidRPr="00E93A92">
              <w:rPr>
                <w:rFonts w:ascii="Times New Roman" w:hAnsi="Times New Roman" w:cs="Times New Roman"/>
                <w:i/>
                <w:iCs/>
                <w:sz w:val="18"/>
                <w:szCs w:val="18"/>
              </w:rPr>
              <w:t>P</w:t>
            </w:r>
            <w:r w:rsidRPr="00E93A92">
              <w:rPr>
                <w:rFonts w:ascii="Times New Roman" w:hAnsi="Times New Roman" w:cs="Times New Roman"/>
                <w:sz w:val="18"/>
                <w:szCs w:val="18"/>
              </w:rPr>
              <w:t xml:space="preserve"> &lt; 0.0001.</w:t>
            </w:r>
          </w:p>
          <w:p w14:paraId="5DC5C01F" w14:textId="77777777" w:rsidR="00187693" w:rsidRDefault="00187693" w:rsidP="00A74445">
            <w:pPr>
              <w:autoSpaceDE w:val="0"/>
              <w:autoSpaceDN w:val="0"/>
              <w:adjustRightInd w:val="0"/>
              <w:jc w:val="both"/>
              <w:rPr>
                <w:rFonts w:ascii="Times New Roman" w:hAnsi="Times New Roman" w:cs="Times New Roman"/>
              </w:rPr>
            </w:pPr>
          </w:p>
        </w:tc>
      </w:tr>
    </w:tbl>
    <w:p w14:paraId="689456C1" w14:textId="77777777" w:rsidR="00187693" w:rsidRDefault="00187693" w:rsidP="00187693">
      <w:pPr>
        <w:autoSpaceDE w:val="0"/>
        <w:autoSpaceDN w:val="0"/>
        <w:adjustRightInd w:val="0"/>
        <w:spacing w:after="0" w:line="360" w:lineRule="auto"/>
        <w:jc w:val="both"/>
        <w:rPr>
          <w:rFonts w:ascii="Times New Roman" w:hAnsi="Times New Roman" w:cs="Times New Roman"/>
        </w:rPr>
      </w:pPr>
    </w:p>
    <w:p w14:paraId="1DD10B73" w14:textId="77777777" w:rsidR="00187693" w:rsidRDefault="00187693" w:rsidP="00187693">
      <w:pPr>
        <w:autoSpaceDE w:val="0"/>
        <w:autoSpaceDN w:val="0"/>
        <w:adjustRightInd w:val="0"/>
        <w:spacing w:after="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59692884" w14:textId="77777777" w:rsidTr="00A74445">
        <w:tc>
          <w:tcPr>
            <w:tcW w:w="9016" w:type="dxa"/>
          </w:tcPr>
          <w:p w14:paraId="77B0EC60" w14:textId="77777777" w:rsidR="00187693" w:rsidRDefault="00187693" w:rsidP="00A74445">
            <w:pPr>
              <w:autoSpaceDE w:val="0"/>
              <w:autoSpaceDN w:val="0"/>
              <w:adjustRightInd w:val="0"/>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6D70C63" wp14:editId="0302F627">
                  <wp:extent cx="5676364" cy="3122615"/>
                  <wp:effectExtent l="0" t="0" r="635" b="1905"/>
                  <wp:docPr id="1997483774" name="Picture 19974837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4608" cy="3132651"/>
                          </a:xfrm>
                          <a:prstGeom prst="rect">
                            <a:avLst/>
                          </a:prstGeom>
                          <a:noFill/>
                        </pic:spPr>
                      </pic:pic>
                    </a:graphicData>
                  </a:graphic>
                </wp:inline>
              </w:drawing>
            </w:r>
          </w:p>
        </w:tc>
      </w:tr>
      <w:tr w:rsidR="00187693" w14:paraId="7FE6B5AB" w14:textId="77777777" w:rsidTr="00A74445">
        <w:tc>
          <w:tcPr>
            <w:tcW w:w="9016" w:type="dxa"/>
          </w:tcPr>
          <w:p w14:paraId="324443B8" w14:textId="77777777" w:rsidR="00187693" w:rsidRPr="0047307B" w:rsidRDefault="00187693" w:rsidP="00A74445">
            <w:pPr>
              <w:autoSpaceDE w:val="0"/>
              <w:autoSpaceDN w:val="0"/>
              <w:adjustRightInd w:val="0"/>
              <w:jc w:val="both"/>
              <w:rPr>
                <w:rFonts w:ascii="Times New Roman" w:hAnsi="Times New Roman" w:cs="Times New Roman"/>
                <w:b/>
                <w:bCs/>
              </w:rPr>
            </w:pPr>
            <w:r w:rsidRPr="00714F3F">
              <w:rPr>
                <w:rFonts w:ascii="Times New Roman" w:hAnsi="Times New Roman" w:cs="Times New Roman"/>
                <w:b/>
                <w:bCs/>
                <w:sz w:val="18"/>
                <w:szCs w:val="18"/>
              </w:rPr>
              <w:t xml:space="preserve">Fig. 4.2.3. The Biolog Phenotype MicroArray PM10 plate map. </w:t>
            </w:r>
            <w:r w:rsidRPr="00714F3F">
              <w:rPr>
                <w:rFonts w:ascii="Times New Roman" w:hAnsi="Times New Roman" w:cs="Times New Roman"/>
                <w:sz w:val="18"/>
                <w:szCs w:val="18"/>
              </w:rPr>
              <w:t>Each well in the plate contained chemical compounds that allowed the interrogation of different pH effects, which when reconstituted with 1X inoculating fluid, gave rise to the condition that each well is labelled.</w:t>
            </w:r>
            <w:r w:rsidRPr="00714F3F">
              <w:rPr>
                <w:rFonts w:ascii="Times New Roman" w:hAnsi="Times New Roman" w:cs="Times New Roman"/>
                <w:b/>
                <w:bCs/>
                <w:sz w:val="18"/>
                <w:szCs w:val="18"/>
              </w:rPr>
              <w:t xml:space="preserve"> </w:t>
            </w:r>
          </w:p>
        </w:tc>
      </w:tr>
    </w:tbl>
    <w:p w14:paraId="50D45A6E" w14:textId="77777777" w:rsidR="00187693" w:rsidRDefault="00187693" w:rsidP="00187693">
      <w:pPr>
        <w:autoSpaceDE w:val="0"/>
        <w:autoSpaceDN w:val="0"/>
        <w:adjustRightInd w:val="0"/>
        <w:spacing w:after="0" w:line="360" w:lineRule="auto"/>
        <w:jc w:val="both"/>
        <w:rPr>
          <w:rFonts w:ascii="Times New Roman" w:hAnsi="Times New Roman" w:cs="Times New Roman"/>
        </w:rPr>
      </w:pPr>
    </w:p>
    <w:p w14:paraId="7D9E0ACB" w14:textId="77777777" w:rsidR="00187693" w:rsidRDefault="00187693" w:rsidP="0018769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t xml:space="preserve"> </w:t>
      </w:r>
    </w:p>
    <w:p w14:paraId="33110FF9" w14:textId="77777777" w:rsidR="00187693" w:rsidRDefault="00187693" w:rsidP="00187693">
      <w:pPr>
        <w:autoSpaceDE w:val="0"/>
        <w:autoSpaceDN w:val="0"/>
        <w:adjustRightInd w:val="0"/>
        <w:spacing w:after="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4E44D275" w14:textId="77777777" w:rsidTr="00A74445">
        <w:tc>
          <w:tcPr>
            <w:tcW w:w="9016" w:type="dxa"/>
          </w:tcPr>
          <w:p w14:paraId="309E919C" w14:textId="77777777" w:rsidR="00187693" w:rsidRDefault="00187693" w:rsidP="00A74445">
            <w:pPr>
              <w:autoSpaceDE w:val="0"/>
              <w:autoSpaceDN w:val="0"/>
              <w:adjustRightInd w:val="0"/>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23A9F4E3" wp14:editId="4A245D37">
                  <wp:simplePos x="0" y="0"/>
                  <wp:positionH relativeFrom="column">
                    <wp:posOffset>756448</wp:posOffset>
                  </wp:positionH>
                  <wp:positionV relativeFrom="paragraph">
                    <wp:posOffset>2540</wp:posOffset>
                  </wp:positionV>
                  <wp:extent cx="4001135" cy="6351905"/>
                  <wp:effectExtent l="0" t="0" r="0" b="0"/>
                  <wp:wrapSquare wrapText="bothSides"/>
                  <wp:docPr id="665296215" name="Picture 66529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1135" cy="6351905"/>
                          </a:xfrm>
                          <a:prstGeom prst="rect">
                            <a:avLst/>
                          </a:prstGeom>
                          <a:noFill/>
                        </pic:spPr>
                      </pic:pic>
                    </a:graphicData>
                  </a:graphic>
                  <wp14:sizeRelH relativeFrom="page">
                    <wp14:pctWidth>0</wp14:pctWidth>
                  </wp14:sizeRelH>
                  <wp14:sizeRelV relativeFrom="page">
                    <wp14:pctHeight>0</wp14:pctHeight>
                  </wp14:sizeRelV>
                </wp:anchor>
              </w:drawing>
            </w:r>
          </w:p>
        </w:tc>
      </w:tr>
      <w:tr w:rsidR="00187693" w14:paraId="674CCE73" w14:textId="77777777" w:rsidTr="00A74445">
        <w:tc>
          <w:tcPr>
            <w:tcW w:w="9016" w:type="dxa"/>
          </w:tcPr>
          <w:p w14:paraId="414AA29A" w14:textId="77777777" w:rsidR="00187693" w:rsidRDefault="00187693" w:rsidP="00A74445">
            <w:pPr>
              <w:autoSpaceDE w:val="0"/>
              <w:autoSpaceDN w:val="0"/>
              <w:adjustRightInd w:val="0"/>
              <w:jc w:val="both"/>
              <w:rPr>
                <w:rFonts w:ascii="Times New Roman" w:hAnsi="Times New Roman" w:cs="Times New Roman"/>
              </w:rPr>
            </w:pPr>
            <w:r w:rsidRPr="00714F3F">
              <w:rPr>
                <w:rFonts w:ascii="Times New Roman" w:hAnsi="Times New Roman" w:cs="Times New Roman"/>
                <w:b/>
                <w:bCs/>
                <w:sz w:val="18"/>
                <w:szCs w:val="18"/>
              </w:rPr>
              <w:t>Figure 4.2.4. Growth of JE2 and the (p)ppGpp</w:t>
            </w:r>
            <w:r w:rsidRPr="00714F3F">
              <w:rPr>
                <w:rFonts w:ascii="Times New Roman" w:hAnsi="Times New Roman" w:cs="Times New Roman"/>
                <w:b/>
                <w:bCs/>
                <w:sz w:val="18"/>
                <w:szCs w:val="18"/>
                <w:vertAlign w:val="superscript"/>
              </w:rPr>
              <w:t xml:space="preserve">0 </w:t>
            </w:r>
            <w:r w:rsidRPr="00714F3F">
              <w:rPr>
                <w:rFonts w:ascii="Times New Roman" w:hAnsi="Times New Roman" w:cs="Times New Roman"/>
                <w:b/>
                <w:bCs/>
                <w:sz w:val="18"/>
                <w:szCs w:val="18"/>
              </w:rPr>
              <w:t xml:space="preserve">mutant under different pH in a Biolog Phenotype MicroArray PM10 plate. </w:t>
            </w:r>
            <w:r w:rsidRPr="00714F3F">
              <w:rPr>
                <w:rFonts w:ascii="Times New Roman" w:hAnsi="Times New Roman" w:cs="Times New Roman"/>
                <w:sz w:val="18"/>
                <w:szCs w:val="18"/>
              </w:rPr>
              <w:t xml:space="preserve">Biolog Phenotype MicroArray PM10 plates were used to grow </w:t>
            </w:r>
            <w:r w:rsidRPr="00714F3F">
              <w:rPr>
                <w:rFonts w:ascii="Times New Roman" w:hAnsi="Times New Roman" w:cs="Times New Roman"/>
                <w:b/>
                <w:bCs/>
                <w:sz w:val="18"/>
                <w:szCs w:val="18"/>
              </w:rPr>
              <w:t xml:space="preserve">(a) </w:t>
            </w:r>
            <w:r w:rsidRPr="00714F3F">
              <w:rPr>
                <w:rFonts w:ascii="Times New Roman" w:hAnsi="Times New Roman" w:cs="Times New Roman"/>
                <w:sz w:val="18"/>
                <w:szCs w:val="18"/>
              </w:rPr>
              <w:t xml:space="preserve">JE2 WT and </w:t>
            </w:r>
            <w:r w:rsidRPr="00714F3F">
              <w:rPr>
                <w:rFonts w:ascii="Times New Roman" w:hAnsi="Times New Roman" w:cs="Times New Roman"/>
                <w:b/>
                <w:bCs/>
                <w:sz w:val="18"/>
                <w:szCs w:val="18"/>
              </w:rPr>
              <w:t xml:space="preserve">(b) </w:t>
            </w:r>
            <w:r w:rsidRPr="00714F3F">
              <w:rPr>
                <w:rFonts w:ascii="Times New Roman" w:hAnsi="Times New Roman" w:cs="Times New Roman"/>
                <w:sz w:val="18"/>
                <w:szCs w:val="18"/>
              </w:rPr>
              <w:t>the (p)ppGpp</w:t>
            </w:r>
            <w:r w:rsidRPr="00714F3F">
              <w:rPr>
                <w:rFonts w:ascii="Times New Roman" w:hAnsi="Times New Roman" w:cs="Times New Roman"/>
                <w:sz w:val="18"/>
                <w:szCs w:val="18"/>
                <w:vertAlign w:val="superscript"/>
              </w:rPr>
              <w:t>0</w:t>
            </w:r>
            <w:r w:rsidRPr="00714F3F">
              <w:rPr>
                <w:rFonts w:ascii="Times New Roman" w:hAnsi="Times New Roman" w:cs="Times New Roman"/>
                <w:b/>
                <w:bCs/>
                <w:sz w:val="18"/>
                <w:szCs w:val="18"/>
                <w:vertAlign w:val="superscript"/>
              </w:rPr>
              <w:t xml:space="preserve"> </w:t>
            </w:r>
            <w:r w:rsidRPr="00714F3F">
              <w:rPr>
                <w:rFonts w:ascii="Times New Roman" w:hAnsi="Times New Roman" w:cs="Times New Roman"/>
                <w:sz w:val="18"/>
                <w:szCs w:val="18"/>
              </w:rPr>
              <w:t xml:space="preserve">mutant in the presence of pH ranging from 3.5 to 7 which employed </w:t>
            </w:r>
            <w:r w:rsidRPr="00714F3F">
              <w:rPr>
                <w:rFonts w:ascii="Times New Roman" w:hAnsi="Times New Roman" w:cs="Times New Roman"/>
                <w:sz w:val="18"/>
                <w:szCs w:val="18"/>
                <w:lang w:val="en-US"/>
              </w:rPr>
              <w:t xml:space="preserve">glutaric acid to lower the pH and triethanolamine to raise the pH. </w:t>
            </w:r>
            <w:r w:rsidRPr="00714F3F">
              <w:rPr>
                <w:rFonts w:ascii="Times New Roman" w:hAnsi="Times New Roman" w:cs="Times New Roman"/>
                <w:b/>
                <w:bCs/>
                <w:sz w:val="18"/>
                <w:szCs w:val="18"/>
                <w:lang w:val="en-US"/>
              </w:rPr>
              <w:t xml:space="preserve">c) </w:t>
            </w:r>
            <w:r w:rsidRPr="00714F3F">
              <w:rPr>
                <w:rFonts w:ascii="Times New Roman" w:hAnsi="Times New Roman" w:cs="Times New Roman"/>
                <w:sz w:val="18"/>
                <w:szCs w:val="18"/>
                <w:lang w:val="en-US"/>
              </w:rPr>
              <w:t xml:space="preserve">represents the pH 5 and 5.5 growth curves from </w:t>
            </w:r>
            <w:r w:rsidRPr="00714F3F">
              <w:rPr>
                <w:rFonts w:ascii="Times New Roman" w:hAnsi="Times New Roman" w:cs="Times New Roman"/>
                <w:b/>
                <w:bCs/>
                <w:sz w:val="18"/>
                <w:szCs w:val="18"/>
                <w:lang w:val="en-US"/>
              </w:rPr>
              <w:t xml:space="preserve">a) </w:t>
            </w:r>
            <w:r w:rsidRPr="00714F3F">
              <w:rPr>
                <w:rFonts w:ascii="Times New Roman" w:hAnsi="Times New Roman" w:cs="Times New Roman"/>
                <w:sz w:val="18"/>
                <w:szCs w:val="18"/>
                <w:lang w:val="en-US"/>
              </w:rPr>
              <w:t xml:space="preserve">and </w:t>
            </w:r>
            <w:r w:rsidRPr="00714F3F">
              <w:rPr>
                <w:rFonts w:ascii="Times New Roman" w:hAnsi="Times New Roman" w:cs="Times New Roman"/>
                <w:b/>
                <w:bCs/>
                <w:sz w:val="18"/>
                <w:szCs w:val="18"/>
                <w:lang w:val="en-US"/>
              </w:rPr>
              <w:t xml:space="preserve">b) </w:t>
            </w:r>
            <w:r w:rsidRPr="00714F3F">
              <w:rPr>
                <w:rFonts w:ascii="Times New Roman" w:hAnsi="Times New Roman" w:cs="Times New Roman"/>
                <w:sz w:val="18"/>
                <w:szCs w:val="18"/>
                <w:lang w:val="en-US"/>
              </w:rPr>
              <w:t xml:space="preserve">to visualise any differences more clearly. The inoculating fluid was made up to 12 ml with 1.2X IF-10b, 100X Dye mix H, 12X PM additive solution, </w:t>
            </w:r>
            <w:r w:rsidRPr="00714F3F">
              <w:rPr>
                <w:rFonts w:ascii="Times New Roman" w:hAnsi="Times New Roman" w:cs="Times New Roman"/>
                <w:sz w:val="18"/>
                <w:szCs w:val="18"/>
              </w:rPr>
              <w:t>ddH</w:t>
            </w:r>
            <w:r w:rsidRPr="00714F3F">
              <w:rPr>
                <w:rFonts w:ascii="Times New Roman" w:hAnsi="Times New Roman" w:cs="Times New Roman"/>
                <w:sz w:val="18"/>
                <w:szCs w:val="18"/>
                <w:vertAlign w:val="subscript"/>
              </w:rPr>
              <w:t>2</w:t>
            </w:r>
            <w:r w:rsidRPr="00714F3F">
              <w:rPr>
                <w:rFonts w:ascii="Times New Roman" w:hAnsi="Times New Roman" w:cs="Times New Roman"/>
                <w:sz w:val="18"/>
                <w:szCs w:val="18"/>
              </w:rPr>
              <w:t>O and 13.64X bacterial culture (13.64X bacterial culture had an OD</w:t>
            </w:r>
            <w:r w:rsidRPr="00714F3F">
              <w:rPr>
                <w:rFonts w:ascii="Times New Roman" w:hAnsi="Times New Roman" w:cs="Times New Roman"/>
                <w:sz w:val="18"/>
                <w:szCs w:val="18"/>
                <w:vertAlign w:val="subscript"/>
              </w:rPr>
              <w:t>600</w:t>
            </w:r>
            <w:r w:rsidRPr="00714F3F">
              <w:rPr>
                <w:rFonts w:ascii="Times New Roman" w:hAnsi="Times New Roman" w:cs="Times New Roman"/>
                <w:sz w:val="18"/>
                <w:szCs w:val="18"/>
              </w:rPr>
              <w:t xml:space="preserve"> value of 0.1/81% transmittance) and was added at 100 </w:t>
            </w:r>
            <w:r w:rsidRPr="00714F3F">
              <w:rPr>
                <w:rFonts w:ascii="Times New Roman" w:hAnsi="Times New Roman" w:cs="Times New Roman"/>
                <w:sz w:val="18"/>
                <w:szCs w:val="18"/>
                <w:lang w:val="el-GR"/>
              </w:rPr>
              <w:t>μ</w:t>
            </w:r>
            <w:r w:rsidRPr="00714F3F">
              <w:rPr>
                <w:rFonts w:ascii="Times New Roman" w:hAnsi="Times New Roman" w:cs="Times New Roman"/>
                <w:sz w:val="18"/>
                <w:szCs w:val="18"/>
              </w:rPr>
              <w:t>l/well. Growth was measured at OD</w:t>
            </w:r>
            <w:r w:rsidRPr="00714F3F">
              <w:rPr>
                <w:rFonts w:ascii="Times New Roman" w:hAnsi="Times New Roman" w:cs="Times New Roman"/>
                <w:sz w:val="18"/>
                <w:szCs w:val="18"/>
                <w:vertAlign w:val="subscript"/>
              </w:rPr>
              <w:t>590</w:t>
            </w:r>
            <w:r w:rsidRPr="00714F3F">
              <w:rPr>
                <w:rFonts w:ascii="Times New Roman" w:hAnsi="Times New Roman" w:cs="Times New Roman"/>
                <w:sz w:val="18"/>
                <w:szCs w:val="18"/>
              </w:rPr>
              <w:t xml:space="preserve"> for 20 hours in a Hidex Sense platereader. </w:t>
            </w:r>
            <w:r w:rsidRPr="00714F3F">
              <w:rPr>
                <w:rFonts w:ascii="Times New Roman" w:hAnsi="Times New Roman" w:cs="Times New Roman"/>
                <w:sz w:val="18"/>
                <w:szCs w:val="18"/>
                <w:lang w:val="en-US"/>
              </w:rPr>
              <w:t>Growth curves were performed once.</w:t>
            </w:r>
          </w:p>
        </w:tc>
      </w:tr>
    </w:tbl>
    <w:p w14:paraId="0899102F" w14:textId="77777777" w:rsidR="00187693" w:rsidRDefault="00187693" w:rsidP="00187693">
      <w:pPr>
        <w:autoSpaceDE w:val="0"/>
        <w:autoSpaceDN w:val="0"/>
        <w:adjustRightInd w:val="0"/>
        <w:spacing w:after="0" w:line="360" w:lineRule="auto"/>
        <w:jc w:val="both"/>
        <w:rPr>
          <w:rFonts w:ascii="Times New Roman" w:hAnsi="Times New Roman" w:cs="Times New Roman"/>
        </w:rPr>
      </w:pPr>
    </w:p>
    <w:p w14:paraId="730E9EF5" w14:textId="1BB532BF" w:rsidR="00187693" w:rsidRDefault="00187693" w:rsidP="0018769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t xml:space="preserve">The growth of </w:t>
      </w:r>
      <w:bookmarkStart w:id="146" w:name="_Hlk125490834"/>
      <w:r>
        <w:rPr>
          <w:rFonts w:ascii="Times New Roman" w:hAnsi="Times New Roman" w:cs="Times New Roman"/>
        </w:rPr>
        <w:t>WT, the (p)ppGpp</w:t>
      </w:r>
      <w:r>
        <w:rPr>
          <w:rFonts w:ascii="Times New Roman" w:hAnsi="Times New Roman" w:cs="Times New Roman"/>
          <w:vertAlign w:val="superscript"/>
        </w:rPr>
        <w:t>0</w:t>
      </w:r>
      <w:r>
        <w:rPr>
          <w:rFonts w:ascii="Times New Roman" w:hAnsi="Times New Roman" w:cs="Times New Roman"/>
        </w:rPr>
        <w:t xml:space="preserve"> mutant </w:t>
      </w:r>
      <w:bookmarkEnd w:id="146"/>
      <w:r>
        <w:rPr>
          <w:rFonts w:ascii="Times New Roman" w:hAnsi="Times New Roman" w:cs="Times New Roman"/>
        </w:rPr>
        <w:t xml:space="preserve">and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under acidic conditions was investigated over a 20-hour period in </w:t>
      </w:r>
      <w:r>
        <w:rPr>
          <w:rFonts w:ascii="Times New Roman" w:hAnsi="Times New Roman" w:cs="Times New Roman"/>
          <w:b/>
          <w:bCs/>
        </w:rPr>
        <w:t>Figure 4.2.</w:t>
      </w:r>
      <w:r w:rsidRPr="00942A72">
        <w:rPr>
          <w:rFonts w:ascii="Times New Roman" w:hAnsi="Times New Roman" w:cs="Times New Roman"/>
          <w:b/>
          <w:bCs/>
        </w:rPr>
        <w:t>2</w:t>
      </w:r>
      <w:r>
        <w:rPr>
          <w:rFonts w:ascii="Times New Roman" w:hAnsi="Times New Roman" w:cs="Times New Roman"/>
          <w:b/>
          <w:bCs/>
        </w:rPr>
        <w:t xml:space="preserve"> </w:t>
      </w:r>
      <w:r>
        <w:rPr>
          <w:rFonts w:ascii="Times New Roman" w:hAnsi="Times New Roman" w:cs="Times New Roman"/>
        </w:rPr>
        <w:t xml:space="preserve">and </w:t>
      </w:r>
      <w:r>
        <w:rPr>
          <w:rFonts w:ascii="Times New Roman" w:hAnsi="Times New Roman" w:cs="Times New Roman"/>
          <w:b/>
          <w:bCs/>
        </w:rPr>
        <w:t xml:space="preserve">4.2.4. </w:t>
      </w:r>
      <w:r>
        <w:rPr>
          <w:rFonts w:ascii="Times New Roman" w:hAnsi="Times New Roman" w:cs="Times New Roman"/>
        </w:rPr>
        <w:t>Next, the tolerance of WT and the (p)ppGpp</w:t>
      </w:r>
      <w:r>
        <w:rPr>
          <w:rFonts w:ascii="Times New Roman" w:hAnsi="Times New Roman" w:cs="Times New Roman"/>
          <w:vertAlign w:val="superscript"/>
        </w:rPr>
        <w:t>0</w:t>
      </w:r>
      <w:r>
        <w:rPr>
          <w:rFonts w:ascii="Times New Roman" w:hAnsi="Times New Roman" w:cs="Times New Roman"/>
        </w:rPr>
        <w:t xml:space="preserve"> mutant to itaconic acid was studied to elucidate whether there was a requirement for (p)ppGpp for survival.</w:t>
      </w:r>
      <w:r>
        <w:rPr>
          <w:rFonts w:ascii="Times New Roman" w:hAnsi="Times New Roman" w:cs="Times New Roman"/>
          <w:b/>
          <w:bCs/>
        </w:rPr>
        <w:t xml:space="preserve"> </w:t>
      </w:r>
      <w:r>
        <w:rPr>
          <w:rFonts w:ascii="Times New Roman" w:hAnsi="Times New Roman" w:cs="Times New Roman"/>
        </w:rPr>
        <w:t>Itaconic acid, a weak organic acid, is produced by immune response gene 1 (</w:t>
      </w:r>
      <w:r>
        <w:rPr>
          <w:rFonts w:ascii="Times New Roman" w:hAnsi="Times New Roman" w:cs="Times New Roman"/>
          <w:i/>
          <w:iCs/>
        </w:rPr>
        <w:t>IRG1</w:t>
      </w:r>
      <w:r>
        <w:rPr>
          <w:rFonts w:ascii="Times New Roman" w:hAnsi="Times New Roman" w:cs="Times New Roman"/>
        </w:rPr>
        <w:t xml:space="preserve">) which encodes for aconitate decarboxylase, an enzyme that converts aconitic acid to itaconic acid. It can be found in phagolysosomes and exists at physiological concentrations of approximately 55-120 pM </w:t>
      </w:r>
      <w:r w:rsidRPr="00224CC2">
        <w:rPr>
          <w:rFonts w:ascii="Times New Roman" w:hAnsi="Times New Roman" w:cs="Times New Roman"/>
          <w:b/>
          <w:bCs/>
        </w:rPr>
        <w:fldChar w:fldCharType="begin"/>
      </w:r>
      <w:r w:rsidRPr="00224CC2">
        <w:rPr>
          <w:rFonts w:ascii="Times New Roman" w:hAnsi="Times New Roman" w:cs="Times New Roman"/>
          <w:b/>
          <w:bCs/>
        </w:rPr>
        <w:instrText xml:space="preserve"> ADDIN EN.CITE &lt;EndNote&gt;&lt;Cite&gt;&lt;Author&gt;Singh&lt;/Author&gt;&lt;Year&gt;2021&lt;/Year&gt;&lt;IDText&gt;Integrative metabolomics and transcriptomics identifies itaconate as an adjunct therapy to treat ocular bacterial infection&lt;/IDText&gt;&lt;DisplayText&gt;(Singh&lt;style face="italic"&gt; et al.&lt;/style&gt;, 2021)&lt;/DisplayText&gt;&lt;record&gt;&lt;dates&gt;&lt;pub-dates&gt;&lt;date&gt;May 18&lt;/date&gt;&lt;/pub-dates&gt;&lt;year&gt;2021&lt;/year&gt;&lt;/dates&gt;&lt;urls&gt;&lt;related-urls&gt;&lt;url&gt;&amp;lt;Go to ISI&amp;gt;://WOS:000654227200011&lt;/url&gt;&lt;/related-urls&gt;&lt;/urls&gt;&lt;isbn&gt;2666-3791&lt;/isbn&gt;&lt;work-type&gt;Article&lt;/work-type&gt;&lt;titles&gt;&lt;title&gt;Integrative metabolomics and transcriptomics identifies itaconate as an adjunct therapy to treat ocular bacterial infection&lt;/title&gt;&lt;secondary-title&gt;Cell Reports Medicine&lt;/secondary-title&gt;&lt;/titles&gt;&lt;number&gt;5&lt;/number&gt;&lt;contributors&gt;&lt;authors&gt;&lt;author&gt;Singh, Sukhvinder&lt;/author&gt;&lt;author&gt;Singh, Pawan Kumar&lt;/author&gt;&lt;author&gt;Jha, Alokkumar&lt;/author&gt;&lt;author&gt;Naik, Poonam&lt;/author&gt;&lt;author&gt;Joseph, Joveeta&lt;/author&gt;&lt;author&gt;Giri, Shailendra&lt;/author&gt;&lt;author&gt;Kumar, Ashok&lt;/author&gt;&lt;/authors&gt;&lt;/contributors&gt;&lt;custom7&gt;100277&lt;/custom7&gt;&lt;added-date format="utc"&gt;1674403356&lt;/added-date&gt;&lt;ref-type name="Journal Article"&gt;17&lt;/ref-type&gt;&lt;rec-number&gt;242&lt;/rec-number&gt;&lt;last-updated-date format="utc"&gt;1674406000&lt;/last-updated-date&gt;&lt;accession-num&gt;WOS:000654227200011&lt;/accession-num&gt;&lt;electronic-resource-num&gt;10.1016/j.xcrm.2021.100277&lt;/electronic-resource-num&gt;&lt;volume&gt;2&lt;/volume&gt;&lt;/record&gt;&lt;/Cite&gt;&lt;/EndNote&gt;</w:instrText>
      </w:r>
      <w:r w:rsidRPr="00224CC2">
        <w:rPr>
          <w:rFonts w:ascii="Times New Roman" w:hAnsi="Times New Roman" w:cs="Times New Roman"/>
          <w:b/>
          <w:bCs/>
        </w:rPr>
        <w:fldChar w:fldCharType="separate"/>
      </w:r>
      <w:r w:rsidRPr="00224CC2">
        <w:rPr>
          <w:rFonts w:ascii="Times New Roman" w:hAnsi="Times New Roman" w:cs="Times New Roman"/>
          <w:b/>
          <w:bCs/>
          <w:noProof/>
        </w:rPr>
        <w:t>(Singh</w:t>
      </w:r>
      <w:r w:rsidRPr="00224CC2">
        <w:rPr>
          <w:rFonts w:ascii="Times New Roman" w:hAnsi="Times New Roman" w:cs="Times New Roman"/>
          <w:b/>
          <w:bCs/>
          <w:i/>
          <w:noProof/>
        </w:rPr>
        <w:t xml:space="preserve"> et al.</w:t>
      </w:r>
      <w:r w:rsidRPr="00224CC2">
        <w:rPr>
          <w:rFonts w:ascii="Times New Roman" w:hAnsi="Times New Roman" w:cs="Times New Roman"/>
          <w:b/>
          <w:bCs/>
          <w:noProof/>
        </w:rPr>
        <w:t>, 2021)</w:t>
      </w:r>
      <w:r w:rsidRPr="00224CC2">
        <w:rPr>
          <w:rFonts w:ascii="Times New Roman" w:hAnsi="Times New Roman" w:cs="Times New Roman"/>
          <w:b/>
          <w:bCs/>
        </w:rPr>
        <w:fldChar w:fldCharType="end"/>
      </w:r>
      <w:r>
        <w:rPr>
          <w:rFonts w:ascii="Times New Roman" w:hAnsi="Times New Roman" w:cs="Times New Roman"/>
        </w:rPr>
        <w:t xml:space="preserve">. Studies have shown that itaconic acid can exert its antimicrobial effects by inhibiting isocitrate lyase, a major component of the glyoxylate shunt which is an important pathway for optimal growth in bacteria, and has been associated with responding to ROS stress </w:t>
      </w:r>
      <w:r w:rsidRPr="002775FA">
        <w:rPr>
          <w:rFonts w:ascii="Times New Roman" w:hAnsi="Times New Roman" w:cs="Times New Roman"/>
          <w:b/>
          <w:bCs/>
        </w:rPr>
        <w:fldChar w:fldCharType="begin">
          <w:fldData xml:space="preserve">PEVuZE5vdGU+PENpdGU+PEF1dGhvcj5aaHU8L0F1dGhvcj48WWVhcj4yMDIxPC9ZZWFyPjxJRFRl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</w:fldData>
        </w:fldChar>
      </w:r>
      <w:r w:rsidRPr="002775FA">
        <w:rPr>
          <w:rFonts w:ascii="Times New Roman" w:hAnsi="Times New Roman" w:cs="Times New Roman"/>
          <w:b/>
          <w:bCs/>
        </w:rPr>
        <w:instrText xml:space="preserve"> ADDIN EN.CITE </w:instrText>
      </w:r>
      <w:r w:rsidRPr="002775FA">
        <w:rPr>
          <w:rFonts w:ascii="Times New Roman" w:hAnsi="Times New Roman" w:cs="Times New Roman"/>
          <w:b/>
          <w:bCs/>
        </w:rPr>
        <w:fldChar w:fldCharType="begin">
          <w:fldData xml:space="preserve">PEVuZE5vdGU+PENpdGU+PEF1dGhvcj5aaHU8L0F1dGhvcj48WWVhcj4yMDIxPC9ZZWFyPjxJRFRl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</w:fldData>
        </w:fldChar>
      </w:r>
      <w:r w:rsidRPr="002775FA">
        <w:rPr>
          <w:rFonts w:ascii="Times New Roman" w:hAnsi="Times New Roman" w:cs="Times New Roman"/>
          <w:b/>
          <w:bCs/>
        </w:rPr>
        <w:instrText xml:space="preserve"> ADDIN EN.CITE.DATA </w:instrText>
      </w:r>
      <w:r w:rsidRPr="002775FA">
        <w:rPr>
          <w:rFonts w:ascii="Times New Roman" w:hAnsi="Times New Roman" w:cs="Times New Roman"/>
          <w:b/>
          <w:bCs/>
        </w:rPr>
      </w:r>
      <w:r w:rsidRPr="002775FA">
        <w:rPr>
          <w:rFonts w:ascii="Times New Roman" w:hAnsi="Times New Roman" w:cs="Times New Roman"/>
          <w:b/>
          <w:bCs/>
        </w:rPr>
        <w:fldChar w:fldCharType="end"/>
      </w:r>
      <w:r w:rsidRPr="002775FA">
        <w:rPr>
          <w:rFonts w:ascii="Times New Roman" w:hAnsi="Times New Roman" w:cs="Times New Roman"/>
          <w:b/>
          <w:bCs/>
        </w:rPr>
      </w:r>
      <w:r w:rsidRPr="002775FA">
        <w:rPr>
          <w:rFonts w:ascii="Times New Roman" w:hAnsi="Times New Roman" w:cs="Times New Roman"/>
          <w:b/>
          <w:bCs/>
        </w:rPr>
        <w:fldChar w:fldCharType="separate"/>
      </w:r>
      <w:r w:rsidRPr="002775FA">
        <w:rPr>
          <w:rFonts w:ascii="Times New Roman" w:hAnsi="Times New Roman" w:cs="Times New Roman"/>
          <w:b/>
          <w:bCs/>
          <w:noProof/>
        </w:rPr>
        <w:t>(Zhu</w:t>
      </w:r>
      <w:r w:rsidRPr="002775FA">
        <w:rPr>
          <w:rFonts w:ascii="Times New Roman" w:hAnsi="Times New Roman" w:cs="Times New Roman"/>
          <w:b/>
          <w:bCs/>
          <w:i/>
          <w:noProof/>
        </w:rPr>
        <w:t xml:space="preserve"> et al.</w:t>
      </w:r>
      <w:r w:rsidRPr="002775FA">
        <w:rPr>
          <w:rFonts w:ascii="Times New Roman" w:hAnsi="Times New Roman" w:cs="Times New Roman"/>
          <w:b/>
          <w:bCs/>
          <w:noProof/>
        </w:rPr>
        <w:t>, 2021; Ahn</w:t>
      </w:r>
      <w:r w:rsidRPr="002775FA">
        <w:rPr>
          <w:rFonts w:ascii="Times New Roman" w:hAnsi="Times New Roman" w:cs="Times New Roman"/>
          <w:b/>
          <w:bCs/>
          <w:i/>
          <w:noProof/>
        </w:rPr>
        <w:t xml:space="preserve"> et al.</w:t>
      </w:r>
      <w:r w:rsidRPr="002775FA">
        <w:rPr>
          <w:rFonts w:ascii="Times New Roman" w:hAnsi="Times New Roman" w:cs="Times New Roman"/>
          <w:b/>
          <w:bCs/>
          <w:noProof/>
        </w:rPr>
        <w:t>, 2016; Lorenz and Fink, 2001)</w:t>
      </w:r>
      <w:r w:rsidRPr="002775FA">
        <w:rPr>
          <w:rFonts w:ascii="Times New Roman" w:hAnsi="Times New Roman" w:cs="Times New Roman"/>
          <w:b/>
          <w:bCs/>
        </w:rPr>
        <w:fldChar w:fldCharType="end"/>
      </w:r>
      <w:r>
        <w:rPr>
          <w:rFonts w:ascii="Times New Roman" w:hAnsi="Times New Roman" w:cs="Times New Roman"/>
        </w:rPr>
        <w:t xml:space="preserve">. Itaconic acid also has immunomodulatory effects. For example, the charged conjugate base itaconate acts to reduce inflammation during ocular infection by modulating </w:t>
      </w:r>
      <w:r w:rsidRPr="00C06625">
        <w:rPr>
          <w:rFonts w:ascii="Times New Roman" w:hAnsi="Times New Roman" w:cs="Times New Roman"/>
        </w:rPr>
        <w:t>NRF2/HO1 signal</w:t>
      </w:r>
      <w:r>
        <w:rPr>
          <w:rFonts w:ascii="Times New Roman" w:hAnsi="Times New Roman" w:cs="Times New Roman"/>
        </w:rPr>
        <w:t>l</w:t>
      </w:r>
      <w:r w:rsidRPr="00C06625">
        <w:rPr>
          <w:rFonts w:ascii="Times New Roman" w:hAnsi="Times New Roman" w:cs="Times New Roman"/>
        </w:rPr>
        <w:t>ing and inhibiting the NLRP3 inflammasome</w:t>
      </w:r>
      <w:r>
        <w:rPr>
          <w:rFonts w:ascii="Times New Roman" w:hAnsi="Times New Roman" w:cs="Times New Roman"/>
        </w:rPr>
        <w:t xml:space="preserve"> </w:t>
      </w:r>
      <w:r w:rsidRPr="00C06625">
        <w:rPr>
          <w:rFonts w:ascii="Times New Roman" w:hAnsi="Times New Roman" w:cs="Times New Roman"/>
          <w:b/>
          <w:bCs/>
        </w:rPr>
        <w:fldChar w:fldCharType="begin"/>
      </w:r>
      <w:r w:rsidRPr="00C06625">
        <w:rPr>
          <w:rFonts w:ascii="Times New Roman" w:hAnsi="Times New Roman" w:cs="Times New Roman"/>
          <w:b/>
          <w:bCs/>
        </w:rPr>
        <w:instrText xml:space="preserve"> ADDIN EN.CITE &lt;EndNote&gt;&lt;Cite&gt;&lt;Author&gt;Singh&lt;/Author&gt;&lt;Year&gt;2021&lt;/Year&gt;&lt;IDText&gt;Integrative metabolomics and transcriptomics identifies itaconate as an adjunct therapy to treat ocular bacterial infection&lt;/IDText&gt;&lt;DisplayText&gt;(Singh&lt;style face="italic"&gt; et al.&lt;/style&gt;, 2021)&lt;/DisplayText&gt;&lt;record&gt;&lt;dates&gt;&lt;pub-dates&gt;&lt;date&gt;May 18&lt;/date&gt;&lt;/pub-dates&gt;&lt;year&gt;2021&lt;/year&gt;&lt;/dates&gt;&lt;urls&gt;&lt;related-urls&gt;&lt;url&gt;&amp;lt;Go to ISI&amp;gt;://WOS:000654227200011&lt;/url&gt;&lt;/related-urls&gt;&lt;/urls&gt;&lt;isbn&gt;2666-3791&lt;/isbn&gt;&lt;work-type&gt;Article&lt;/work-type&gt;&lt;titles&gt;&lt;title&gt;Integrative metabolomics and transcriptomics identifies itaconate as an adjunct therapy to treat ocular bacterial infection&lt;/title&gt;&lt;secondary-title&gt;Cell Reports Medicine&lt;/secondary-title&gt;&lt;/titles&gt;&lt;number&gt;5&lt;/number&gt;&lt;contributors&gt;&lt;authors&gt;&lt;author&gt;Singh, Sukhvinder&lt;/author&gt;&lt;author&gt;Singh, Pawan Kumar&lt;/author&gt;&lt;author&gt;Jha, Alokkumar&lt;/author&gt;&lt;author&gt;Naik, Poonam&lt;/author&gt;&lt;author&gt;Joseph, Joveeta&lt;/author&gt;&lt;author&gt;Giri, Shailendra&lt;/author&gt;&lt;author&gt;Kumar, Ashok&lt;/author&gt;&lt;/authors&gt;&lt;/contributors&gt;&lt;custom7&gt;100277&lt;/custom7&gt;&lt;added-date format="utc"&gt;1674403356&lt;/added-date&gt;&lt;ref-type name="Journal Article"&gt;17&lt;/ref-type&gt;&lt;rec-number&gt;242&lt;/rec-number&gt;&lt;last-updated-date format="utc"&gt;1674403356&lt;/last-updated-date&gt;&lt;accession-num&gt;WOS:000654227200011&lt;/accession-num&gt;&lt;electronic-resource-num&gt;10.1016/j.xcrm.2021.100277&lt;/electronic-resource-num&gt;&lt;volume&gt;2&lt;/volume&gt;&lt;/record&gt;&lt;/Cite&gt;&lt;/EndNote&gt;</w:instrText>
      </w:r>
      <w:r w:rsidRPr="00C06625">
        <w:rPr>
          <w:rFonts w:ascii="Times New Roman" w:hAnsi="Times New Roman" w:cs="Times New Roman"/>
          <w:b/>
          <w:bCs/>
        </w:rPr>
        <w:fldChar w:fldCharType="separate"/>
      </w:r>
      <w:r w:rsidRPr="00C06625">
        <w:rPr>
          <w:rFonts w:ascii="Times New Roman" w:hAnsi="Times New Roman" w:cs="Times New Roman"/>
          <w:b/>
          <w:bCs/>
          <w:noProof/>
        </w:rPr>
        <w:t>(Singh</w:t>
      </w:r>
      <w:r w:rsidRPr="00C06625">
        <w:rPr>
          <w:rFonts w:ascii="Times New Roman" w:hAnsi="Times New Roman" w:cs="Times New Roman"/>
          <w:b/>
          <w:bCs/>
          <w:i/>
          <w:noProof/>
        </w:rPr>
        <w:t xml:space="preserve"> et al.</w:t>
      </w:r>
      <w:r w:rsidRPr="00C06625">
        <w:rPr>
          <w:rFonts w:ascii="Times New Roman" w:hAnsi="Times New Roman" w:cs="Times New Roman"/>
          <w:b/>
          <w:bCs/>
          <w:noProof/>
        </w:rPr>
        <w:t>, 2021)</w:t>
      </w:r>
      <w:r w:rsidRPr="00C06625">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Thus, the involvement of the stringent response in </w:t>
      </w:r>
      <w:r>
        <w:rPr>
          <w:rFonts w:ascii="Times New Roman" w:hAnsi="Times New Roman" w:cs="Times New Roman"/>
          <w:i/>
          <w:iCs/>
        </w:rPr>
        <w:t xml:space="preserve">S. aureus </w:t>
      </w:r>
      <w:r>
        <w:rPr>
          <w:rFonts w:ascii="Times New Roman" w:hAnsi="Times New Roman" w:cs="Times New Roman"/>
        </w:rPr>
        <w:t xml:space="preserve">tolerance to itaconic acid was investigated. </w:t>
      </w:r>
    </w:p>
    <w:p w14:paraId="12F50C93" w14:textId="77777777" w:rsidR="00187693" w:rsidRDefault="00187693" w:rsidP="00187693">
      <w:pPr>
        <w:autoSpaceDE w:val="0"/>
        <w:autoSpaceDN w:val="0"/>
        <w:adjustRightInd w:val="0"/>
        <w:spacing w:after="0" w:line="360" w:lineRule="auto"/>
        <w:jc w:val="both"/>
        <w:rPr>
          <w:rFonts w:ascii="Times New Roman" w:hAnsi="Times New Roman" w:cs="Times New Roman"/>
        </w:rPr>
      </w:pPr>
    </w:p>
    <w:p w14:paraId="5DF028B6" w14:textId="76DA7E54" w:rsidR="00187693" w:rsidRPr="002A4FAD" w:rsidRDefault="00187693" w:rsidP="0018769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t xml:space="preserve">As </w:t>
      </w:r>
      <w:r>
        <w:rPr>
          <w:rFonts w:ascii="Times New Roman" w:hAnsi="Times New Roman" w:cs="Times New Roman"/>
          <w:i/>
          <w:iCs/>
        </w:rPr>
        <w:t>Legionella pneumophila</w:t>
      </w:r>
      <w:r>
        <w:rPr>
          <w:rFonts w:ascii="Times New Roman" w:hAnsi="Times New Roman" w:cs="Times New Roman"/>
        </w:rPr>
        <w:t xml:space="preserve"> is reported to be susceptible to 5 mM itaconic acid </w:t>
      </w:r>
      <w:r>
        <w:rPr>
          <w:rFonts w:ascii="Times New Roman" w:hAnsi="Times New Roman" w:cs="Times New Roman"/>
          <w:i/>
          <w:iCs/>
        </w:rPr>
        <w:t>in vitro</w:t>
      </w:r>
      <w:r>
        <w:rPr>
          <w:rFonts w:ascii="Times New Roman" w:hAnsi="Times New Roman" w:cs="Times New Roman"/>
        </w:rPr>
        <w:t xml:space="preserve">, the tolerance of </w:t>
      </w:r>
      <w:r>
        <w:rPr>
          <w:rFonts w:ascii="Times New Roman" w:hAnsi="Times New Roman" w:cs="Times New Roman"/>
          <w:i/>
          <w:iCs/>
        </w:rPr>
        <w:t xml:space="preserve">S. aureus </w:t>
      </w:r>
      <w:r>
        <w:rPr>
          <w:rFonts w:ascii="Times New Roman" w:hAnsi="Times New Roman" w:cs="Times New Roman"/>
        </w:rPr>
        <w:t xml:space="preserve">was trialled at 5, 10, 15, 20 and 30 mM. WT </w:t>
      </w:r>
      <w:r>
        <w:rPr>
          <w:rFonts w:ascii="Times New Roman" w:hAnsi="Times New Roman" w:cs="Times New Roman"/>
          <w:i/>
        </w:rPr>
        <w:t xml:space="preserve">S. aureus </w:t>
      </w:r>
      <w:r>
        <w:rPr>
          <w:rFonts w:ascii="Times New Roman" w:hAnsi="Times New Roman" w:cs="Times New Roman"/>
          <w:iCs/>
        </w:rPr>
        <w:t>was grown</w:t>
      </w:r>
      <w:r>
        <w:rPr>
          <w:rFonts w:ascii="Times New Roman" w:hAnsi="Times New Roman" w:cs="Times New Roman"/>
          <w:i/>
        </w:rPr>
        <w:t xml:space="preserve"> </w:t>
      </w:r>
      <w:r>
        <w:rPr>
          <w:rFonts w:ascii="Times New Roman" w:hAnsi="Times New Roman" w:cs="Times New Roman"/>
        </w:rPr>
        <w:t xml:space="preserve">to early exponential phase, washed in PBS and exposed to the aforementioned concentrations of itaconic acid, after which samples were taken for CFU/ml determination. While 5 and 10 mM itaconic acid did not demonstrate bactericidal activity with regards to </w:t>
      </w:r>
      <w:r>
        <w:rPr>
          <w:rFonts w:ascii="Times New Roman" w:hAnsi="Times New Roman" w:cs="Times New Roman"/>
          <w:i/>
          <w:iCs/>
        </w:rPr>
        <w:t>S. aureus</w:t>
      </w:r>
      <w:r>
        <w:rPr>
          <w:rFonts w:ascii="Times New Roman" w:hAnsi="Times New Roman" w:cs="Times New Roman"/>
        </w:rPr>
        <w:t>, 20 mM was the optimal concentration to visualise the difference in killing between WT and the (p)ppGpp</w:t>
      </w:r>
      <w:r>
        <w:rPr>
          <w:rFonts w:ascii="Times New Roman" w:hAnsi="Times New Roman" w:cs="Times New Roman"/>
          <w:vertAlign w:val="superscript"/>
        </w:rPr>
        <w:t>0</w:t>
      </w:r>
      <w:r>
        <w:rPr>
          <w:rFonts w:ascii="Times New Roman" w:hAnsi="Times New Roman" w:cs="Times New Roman"/>
        </w:rPr>
        <w:t xml:space="preserve"> mutant and 30 mM was deemed too high a concentration (data not shown).</w:t>
      </w:r>
      <w:r>
        <w:rPr>
          <w:rFonts w:ascii="Times New Roman" w:hAnsi="Times New Roman" w:cs="Times New Roman"/>
          <w:b/>
          <w:bCs/>
        </w:rPr>
        <w:t xml:space="preserve"> </w:t>
      </w:r>
      <w:r>
        <w:rPr>
          <w:rFonts w:ascii="Times New Roman" w:hAnsi="Times New Roman" w:cs="Times New Roman"/>
        </w:rPr>
        <w:t>Thus, th</w:t>
      </w:r>
      <w:r w:rsidRPr="00061BCF">
        <w:rPr>
          <w:rFonts w:ascii="Times New Roman" w:hAnsi="Times New Roman" w:cs="Times New Roman"/>
        </w:rPr>
        <w:t>e</w:t>
      </w:r>
      <w:r>
        <w:rPr>
          <w:rFonts w:ascii="Times New Roman" w:hAnsi="Times New Roman" w:cs="Times New Roman"/>
        </w:rPr>
        <w:t xml:space="preserve"> WT and</w:t>
      </w:r>
      <w:bookmarkStart w:id="147" w:name="_Hlk125581710"/>
      <w:r>
        <w:rPr>
          <w:rFonts w:ascii="Times New Roman" w:hAnsi="Times New Roman" w:cs="Times New Roman"/>
        </w:rPr>
        <w:t xml:space="preserve"> (p)ppGpp</w:t>
      </w:r>
      <w:r>
        <w:rPr>
          <w:rFonts w:ascii="Times New Roman" w:hAnsi="Times New Roman" w:cs="Times New Roman"/>
          <w:vertAlign w:val="superscript"/>
        </w:rPr>
        <w:t>0</w:t>
      </w:r>
      <w:r>
        <w:rPr>
          <w:rFonts w:ascii="Times New Roman" w:hAnsi="Times New Roman" w:cs="Times New Roman"/>
        </w:rPr>
        <w:t xml:space="preserve"> mutant </w:t>
      </w:r>
      <w:bookmarkEnd w:id="147"/>
      <w:r>
        <w:rPr>
          <w:rFonts w:ascii="Times New Roman" w:hAnsi="Times New Roman" w:cs="Times New Roman"/>
        </w:rPr>
        <w:t>were exposed to 20 mM itaconic acid for 1 hour and the CFU</w:t>
      </w:r>
      <w:r w:rsidR="009130D4">
        <w:rPr>
          <w:rFonts w:ascii="Times New Roman" w:hAnsi="Times New Roman" w:cs="Times New Roman"/>
        </w:rPr>
        <w:t>/ml</w:t>
      </w:r>
      <w:r>
        <w:rPr>
          <w:rFonts w:ascii="Times New Roman" w:hAnsi="Times New Roman" w:cs="Times New Roman"/>
        </w:rPr>
        <w:t xml:space="preserve"> was determined </w:t>
      </w:r>
      <w:r>
        <w:rPr>
          <w:rFonts w:ascii="Times New Roman" w:hAnsi="Times New Roman" w:cs="Times New Roman"/>
          <w:b/>
          <w:bCs/>
        </w:rPr>
        <w:t xml:space="preserve">(Fig. 4.2.5). </w:t>
      </w:r>
      <w:r>
        <w:rPr>
          <w:rFonts w:ascii="Times New Roman" w:hAnsi="Times New Roman" w:cs="Times New Roman"/>
        </w:rPr>
        <w:t>Fewer (p)ppGpp</w:t>
      </w:r>
      <w:r>
        <w:rPr>
          <w:rFonts w:ascii="Times New Roman" w:hAnsi="Times New Roman" w:cs="Times New Roman"/>
          <w:vertAlign w:val="superscript"/>
        </w:rPr>
        <w:t>0</w:t>
      </w:r>
      <w:r>
        <w:rPr>
          <w:rFonts w:ascii="Times New Roman" w:hAnsi="Times New Roman" w:cs="Times New Roman"/>
        </w:rPr>
        <w:t xml:space="preserve"> colonies were consistently recovered and thus, percentage bacteria</w:t>
      </w:r>
      <w:r w:rsidR="009130D4">
        <w:rPr>
          <w:rFonts w:ascii="Times New Roman" w:hAnsi="Times New Roman" w:cs="Times New Roman"/>
        </w:rPr>
        <w:t>l</w:t>
      </w:r>
      <w:r>
        <w:rPr>
          <w:rFonts w:ascii="Times New Roman" w:hAnsi="Times New Roman" w:cs="Times New Roman"/>
        </w:rPr>
        <w:t xml:space="preserve"> survival was reduced in comparison to WT, suggesting that the absence of the stringent response decreases tolerance of </w:t>
      </w:r>
      <w:r>
        <w:rPr>
          <w:rFonts w:ascii="Times New Roman" w:hAnsi="Times New Roman" w:cs="Times New Roman"/>
          <w:i/>
          <w:iCs/>
        </w:rPr>
        <w:t>S. aureus</w:t>
      </w:r>
      <w:r>
        <w:rPr>
          <w:rFonts w:ascii="Times New Roman" w:hAnsi="Times New Roman" w:cs="Times New Roman"/>
        </w:rPr>
        <w:t xml:space="preserve"> to itaconic acid. As itaconic acid is a weak acid, its ability to decrease the pH was examined. </w:t>
      </w:r>
      <w:r w:rsidRPr="00D64DF2">
        <w:rPr>
          <w:rFonts w:ascii="Times New Roman" w:hAnsi="Times New Roman" w:cs="Times New Roman"/>
          <w:b/>
          <w:bCs/>
        </w:rPr>
        <w:t xml:space="preserve">Table </w:t>
      </w:r>
      <w:r w:rsidR="003C640C">
        <w:rPr>
          <w:rFonts w:ascii="Times New Roman" w:hAnsi="Times New Roman" w:cs="Times New Roman"/>
          <w:b/>
          <w:bCs/>
        </w:rPr>
        <w:t>5</w:t>
      </w:r>
      <w:r w:rsidRPr="00D64DF2">
        <w:rPr>
          <w:rFonts w:ascii="Times New Roman" w:hAnsi="Times New Roman" w:cs="Times New Roman"/>
        </w:rPr>
        <w:t xml:space="preserve"> shows</w:t>
      </w:r>
      <w:r>
        <w:rPr>
          <w:rFonts w:ascii="Times New Roman" w:hAnsi="Times New Roman" w:cs="Times New Roman"/>
        </w:rPr>
        <w:t xml:space="preserve"> that after the addition of 20 mM itaconic acid to PBS containing </w:t>
      </w:r>
      <w:r>
        <w:rPr>
          <w:rFonts w:ascii="Times New Roman" w:hAnsi="Times New Roman" w:cs="Times New Roman"/>
          <w:i/>
          <w:iCs/>
        </w:rPr>
        <w:t>S. aureus</w:t>
      </w:r>
      <w:r>
        <w:rPr>
          <w:rFonts w:ascii="Times New Roman" w:hAnsi="Times New Roman" w:cs="Times New Roman"/>
        </w:rPr>
        <w:t>, the pH decreases from 6 to 4 and that this change in pH is constant for</w:t>
      </w:r>
      <w:r w:rsidR="009130D4">
        <w:rPr>
          <w:rFonts w:ascii="Times New Roman" w:hAnsi="Times New Roman" w:cs="Times New Roman"/>
        </w:rPr>
        <w:t xml:space="preserve"> </w:t>
      </w:r>
      <w:r>
        <w:rPr>
          <w:rFonts w:ascii="Times New Roman" w:hAnsi="Times New Roman" w:cs="Times New Roman"/>
        </w:rPr>
        <w:t>1 hour after addition of the acid. Both the WT and (p)ppGpp</w:t>
      </w:r>
      <w:r>
        <w:rPr>
          <w:rFonts w:ascii="Times New Roman" w:hAnsi="Times New Roman" w:cs="Times New Roman"/>
          <w:vertAlign w:val="superscript"/>
        </w:rPr>
        <w:t>0</w:t>
      </w:r>
      <w:r>
        <w:rPr>
          <w:rFonts w:ascii="Times New Roman" w:hAnsi="Times New Roman" w:cs="Times New Roman"/>
        </w:rPr>
        <w:t xml:space="preserve"> mutant were also exposed to PBS only, which confirmed that killing over the course of the assay was due to itaconic acid as CFU/ml were constant from T=0 to T=1 hour (data not shown). As previously mentioned, itaconic acid has immunomodulatory functions as well as being able to decrease in pH. To determine whether microbicidal activity was due to the decrease in pH of bacterial culture</w:t>
      </w:r>
      <w:r w:rsidR="009130D4">
        <w:rPr>
          <w:rFonts w:ascii="Times New Roman" w:hAnsi="Times New Roman" w:cs="Times New Roman"/>
        </w:rPr>
        <w:t xml:space="preserve"> or by another mechanism</w:t>
      </w:r>
      <w:r>
        <w:rPr>
          <w:rFonts w:ascii="Times New Roman" w:hAnsi="Times New Roman" w:cs="Times New Roman"/>
        </w:rPr>
        <w:t xml:space="preserve">, </w:t>
      </w:r>
      <w:r>
        <w:rPr>
          <w:rFonts w:ascii="Times New Roman" w:hAnsi="Times New Roman" w:cs="Times New Roman"/>
          <w:i/>
          <w:iCs/>
        </w:rPr>
        <w:t xml:space="preserve">S. aureus </w:t>
      </w:r>
      <w:r>
        <w:rPr>
          <w:rFonts w:ascii="Times New Roman" w:hAnsi="Times New Roman" w:cs="Times New Roman"/>
        </w:rPr>
        <w:t xml:space="preserve">was exposed to </w:t>
      </w:r>
      <w:r w:rsidRPr="00363D17">
        <w:rPr>
          <w:rFonts w:ascii="Times New Roman" w:hAnsi="Times New Roman" w:cs="Times New Roman"/>
        </w:rPr>
        <w:t>20</w:t>
      </w:r>
      <w:r>
        <w:rPr>
          <w:rFonts w:ascii="Times New Roman" w:hAnsi="Times New Roman" w:cs="Times New Roman"/>
        </w:rPr>
        <w:t xml:space="preserve"> mM itaconic acid that was neutralised to pH 7.5.  </w:t>
      </w:r>
      <w:r w:rsidRPr="00363D17">
        <w:rPr>
          <w:rFonts w:ascii="Times New Roman" w:hAnsi="Times New Roman" w:cs="Times New Roman"/>
          <w:b/>
          <w:bCs/>
        </w:rPr>
        <w:t>Figure 4.</w:t>
      </w:r>
      <w:r w:rsidR="009130D4">
        <w:rPr>
          <w:rFonts w:ascii="Times New Roman" w:hAnsi="Times New Roman" w:cs="Times New Roman"/>
          <w:b/>
          <w:bCs/>
        </w:rPr>
        <w:t>2</w:t>
      </w:r>
      <w:r w:rsidRPr="00363D17">
        <w:rPr>
          <w:rFonts w:ascii="Times New Roman" w:hAnsi="Times New Roman" w:cs="Times New Roman"/>
          <w:b/>
          <w:bCs/>
        </w:rPr>
        <w:t>.</w:t>
      </w:r>
      <w:r w:rsidR="009130D4">
        <w:rPr>
          <w:rFonts w:ascii="Times New Roman" w:hAnsi="Times New Roman" w:cs="Times New Roman"/>
          <w:b/>
          <w:bCs/>
        </w:rPr>
        <w:t>6</w:t>
      </w:r>
      <w:r>
        <w:rPr>
          <w:rFonts w:ascii="Times New Roman" w:hAnsi="Times New Roman" w:cs="Times New Roman"/>
        </w:rPr>
        <w:t xml:space="preserve"> demonstrates that the neutralisation of itaconic acid abrogates its ability to kill </w:t>
      </w:r>
      <w:r>
        <w:rPr>
          <w:rFonts w:ascii="Times New Roman" w:hAnsi="Times New Roman" w:cs="Times New Roman"/>
          <w:i/>
          <w:iCs/>
        </w:rPr>
        <w:t>S. aureus</w:t>
      </w:r>
      <w:r>
        <w:rPr>
          <w:rFonts w:ascii="Times New Roman" w:hAnsi="Times New Roman" w:cs="Times New Roman"/>
        </w:rPr>
        <w:t xml:space="preserve">, while itaconic acid at pH 2.15 shows substantial killing by 30 minutes. Therefore, the decrease in pH that is achieved by itaconic acid is necessary for its killing activity in this experiment. The immunomodulatory effects of itaconic acid could not be investigated here as this experiment was performed </w:t>
      </w:r>
      <w:r>
        <w:rPr>
          <w:rFonts w:ascii="Times New Roman" w:hAnsi="Times New Roman" w:cs="Times New Roman"/>
          <w:i/>
          <w:iCs/>
        </w:rPr>
        <w:t xml:space="preserve">in vitro </w:t>
      </w:r>
      <w:r>
        <w:rPr>
          <w:rFonts w:ascii="Times New Roman" w:hAnsi="Times New Roman" w:cs="Times New Roman"/>
        </w:rPr>
        <w:t xml:space="preserve">and </w:t>
      </w:r>
      <w:r>
        <w:rPr>
          <w:rFonts w:ascii="Times New Roman" w:hAnsi="Times New Roman" w:cs="Times New Roman"/>
          <w:i/>
          <w:iCs/>
        </w:rPr>
        <w:t>in vivo</w:t>
      </w:r>
      <w:r>
        <w:rPr>
          <w:rFonts w:ascii="Times New Roman" w:hAnsi="Times New Roman" w:cs="Times New Roman"/>
        </w:rPr>
        <w:t xml:space="preserve"> studies are required to further understand how itaconic acid affects the host.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54901283" w14:textId="77777777" w:rsidTr="00A74445">
        <w:tc>
          <w:tcPr>
            <w:tcW w:w="9016" w:type="dxa"/>
          </w:tcPr>
          <w:p w14:paraId="6156A8A1" w14:textId="77777777" w:rsidR="00187693" w:rsidRDefault="00187693" w:rsidP="00A74445">
            <w:pPr>
              <w:autoSpaceDE w:val="0"/>
              <w:autoSpaceDN w:val="0"/>
              <w:adjustRightInd w:val="0"/>
              <w:spacing w:line="360" w:lineRule="auto"/>
              <w:jc w:val="both"/>
              <w:rPr>
                <w:rFonts w:ascii="Times New Roman" w:hAnsi="Times New Roman" w:cs="Times New Roman"/>
              </w:rPr>
            </w:pPr>
            <w:r w:rsidRPr="00614B0D">
              <w:rPr>
                <w:rFonts w:ascii="Times New Roman" w:hAnsi="Times New Roman" w:cs="Times New Roman"/>
                <w:noProof/>
              </w:rPr>
              <w:drawing>
                <wp:anchor distT="0" distB="0" distL="114300" distR="114300" simplePos="0" relativeHeight="251663360" behindDoc="0" locked="0" layoutInCell="1" allowOverlap="1" wp14:anchorId="7018F306" wp14:editId="08302A8A">
                  <wp:simplePos x="0" y="0"/>
                  <wp:positionH relativeFrom="column">
                    <wp:posOffset>988533</wp:posOffset>
                  </wp:positionH>
                  <wp:positionV relativeFrom="paragraph">
                    <wp:posOffset>0</wp:posOffset>
                  </wp:positionV>
                  <wp:extent cx="3213735" cy="2715895"/>
                  <wp:effectExtent l="0" t="0" r="0" b="0"/>
                  <wp:wrapSquare wrapText="bothSides"/>
                  <wp:docPr id="1898527650" name="Picture 18985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3735" cy="2715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7693" w14:paraId="226E930A" w14:textId="77777777" w:rsidTr="00A74445">
        <w:tc>
          <w:tcPr>
            <w:tcW w:w="9016" w:type="dxa"/>
          </w:tcPr>
          <w:p w14:paraId="36230641" w14:textId="77777777" w:rsidR="00187693" w:rsidRPr="00614B0D" w:rsidRDefault="00187693" w:rsidP="00A74445">
            <w:pPr>
              <w:autoSpaceDE w:val="0"/>
              <w:autoSpaceDN w:val="0"/>
              <w:adjustRightInd w:val="0"/>
              <w:jc w:val="both"/>
              <w:rPr>
                <w:rFonts w:ascii="Times New Roman" w:hAnsi="Times New Roman" w:cs="Times New Roman"/>
                <w:b/>
                <w:bCs/>
                <w:sz w:val="18"/>
                <w:szCs w:val="18"/>
              </w:rPr>
            </w:pPr>
            <w:r w:rsidRPr="00614B0D">
              <w:rPr>
                <w:rFonts w:ascii="Times New Roman" w:hAnsi="Times New Roman" w:cs="Times New Roman"/>
                <w:b/>
                <w:bCs/>
                <w:sz w:val="18"/>
                <w:szCs w:val="18"/>
              </w:rPr>
              <w:t>Figure 4.2.5. Tolerance of the (p)ppGpp</w:t>
            </w:r>
            <w:r w:rsidRPr="00614B0D">
              <w:rPr>
                <w:rFonts w:ascii="Times New Roman" w:hAnsi="Times New Roman" w:cs="Times New Roman"/>
                <w:b/>
                <w:bCs/>
                <w:sz w:val="18"/>
                <w:szCs w:val="18"/>
                <w:vertAlign w:val="superscript"/>
              </w:rPr>
              <w:t xml:space="preserve">0 </w:t>
            </w:r>
            <w:r w:rsidRPr="00614B0D">
              <w:rPr>
                <w:rFonts w:ascii="Times New Roman" w:hAnsi="Times New Roman" w:cs="Times New Roman"/>
                <w:b/>
                <w:bCs/>
                <w:sz w:val="18"/>
                <w:szCs w:val="18"/>
              </w:rPr>
              <w:t xml:space="preserve">mutant to itaconic acid stress is reduced in comparison to WT. </w:t>
            </w:r>
            <w:r w:rsidRPr="00614B0D">
              <w:rPr>
                <w:rFonts w:ascii="Times New Roman" w:hAnsi="Times New Roman" w:cs="Times New Roman"/>
                <w:sz w:val="18"/>
                <w:szCs w:val="18"/>
              </w:rPr>
              <w:t>JE2 WT (black) and (p)ppGpp</w:t>
            </w:r>
            <w:r w:rsidRPr="00614B0D">
              <w:rPr>
                <w:rFonts w:ascii="Times New Roman" w:hAnsi="Times New Roman" w:cs="Times New Roman"/>
                <w:sz w:val="18"/>
                <w:szCs w:val="18"/>
                <w:vertAlign w:val="superscript"/>
              </w:rPr>
              <w:t>0</w:t>
            </w:r>
            <w:r w:rsidRPr="00614B0D">
              <w:rPr>
                <w:rFonts w:ascii="Times New Roman" w:hAnsi="Times New Roman" w:cs="Times New Roman"/>
                <w:sz w:val="18"/>
                <w:szCs w:val="18"/>
              </w:rPr>
              <w:t xml:space="preserve"> (pink) were grown to early exponential phase (approximately OD</w:t>
            </w:r>
            <w:r w:rsidRPr="00614B0D">
              <w:rPr>
                <w:rFonts w:ascii="Times New Roman" w:hAnsi="Times New Roman" w:cs="Times New Roman"/>
                <w:sz w:val="18"/>
                <w:szCs w:val="18"/>
                <w:vertAlign w:val="subscript"/>
              </w:rPr>
              <w:t xml:space="preserve">600 </w:t>
            </w:r>
            <w:r w:rsidRPr="00614B0D">
              <w:rPr>
                <w:rFonts w:ascii="Times New Roman" w:hAnsi="Times New Roman" w:cs="Times New Roman"/>
                <w:sz w:val="18"/>
                <w:szCs w:val="18"/>
              </w:rPr>
              <w:t>0.35) in tryptic soy broth (TSB) and were subsequently washed twice in 1 x PBS. Itaconic acid was added at</w:t>
            </w:r>
            <w:r>
              <w:rPr>
                <w:rFonts w:ascii="Times New Roman" w:hAnsi="Times New Roman" w:cs="Times New Roman"/>
                <w:sz w:val="18"/>
                <w:szCs w:val="18"/>
              </w:rPr>
              <w:t xml:space="preserve"> a concentration of</w:t>
            </w:r>
            <w:r w:rsidRPr="00614B0D">
              <w:rPr>
                <w:rFonts w:ascii="Times New Roman" w:hAnsi="Times New Roman" w:cs="Times New Roman"/>
                <w:sz w:val="18"/>
                <w:szCs w:val="18"/>
              </w:rPr>
              <w:t xml:space="preserve"> 20 mM and the cultures were incubated at 37 ˚C for 1 hour after which samples were taken for CFU/ml determination. Percentage bacterial survival with mean and standard deviation plotted. Statistical analysis performed using Mann-Whitney test. ** </w:t>
            </w:r>
            <w:r w:rsidRPr="00614B0D">
              <w:rPr>
                <w:rFonts w:ascii="Times New Roman" w:hAnsi="Times New Roman" w:cs="Times New Roman"/>
                <w:i/>
                <w:iCs/>
                <w:sz w:val="18"/>
                <w:szCs w:val="18"/>
              </w:rPr>
              <w:t xml:space="preserve">P &lt; </w:t>
            </w:r>
            <w:r w:rsidRPr="00614B0D">
              <w:rPr>
                <w:rFonts w:ascii="Times New Roman" w:hAnsi="Times New Roman" w:cs="Times New Roman"/>
                <w:sz w:val="18"/>
                <w:szCs w:val="18"/>
              </w:rPr>
              <w:t>0.01.</w:t>
            </w:r>
            <w:r w:rsidRPr="00614B0D">
              <w:rPr>
                <w:rFonts w:ascii="Times New Roman" w:hAnsi="Times New Roman" w:cs="Times New Roman"/>
                <w:b/>
                <w:bCs/>
                <w:sz w:val="18"/>
                <w:szCs w:val="18"/>
              </w:rPr>
              <w:t xml:space="preserve"> </w:t>
            </w:r>
          </w:p>
          <w:p w14:paraId="78B3BD35" w14:textId="77777777" w:rsidR="00187693" w:rsidRDefault="00187693" w:rsidP="00A74445">
            <w:pPr>
              <w:autoSpaceDE w:val="0"/>
              <w:autoSpaceDN w:val="0"/>
              <w:adjustRightInd w:val="0"/>
              <w:jc w:val="both"/>
              <w:rPr>
                <w:rFonts w:ascii="Times New Roman" w:hAnsi="Times New Roman" w:cs="Times New Roman"/>
              </w:rPr>
            </w:pPr>
          </w:p>
        </w:tc>
      </w:tr>
    </w:tbl>
    <w:p w14:paraId="070BB8FC" w14:textId="77777777" w:rsidR="00187693" w:rsidRDefault="00187693" w:rsidP="00187693">
      <w:pPr>
        <w:autoSpaceDE w:val="0"/>
        <w:autoSpaceDN w:val="0"/>
        <w:adjustRightInd w:val="0"/>
        <w:spacing w:after="0" w:line="360" w:lineRule="auto"/>
        <w:jc w:val="both"/>
        <w:rPr>
          <w:rFonts w:ascii="Times New Roman" w:hAnsi="Times New Roman" w:cs="Times New Roman"/>
        </w:rPr>
      </w:pPr>
    </w:p>
    <w:tbl>
      <w:tblPr>
        <w:tblW w:w="9183" w:type="dxa"/>
        <w:tblCellMar>
          <w:left w:w="0" w:type="dxa"/>
          <w:right w:w="0" w:type="dxa"/>
        </w:tblCellMar>
        <w:tblLook w:val="0420" w:firstRow="1" w:lastRow="0" w:firstColumn="0" w:lastColumn="0" w:noHBand="0" w:noVBand="1"/>
      </w:tblPr>
      <w:tblGrid>
        <w:gridCol w:w="7417"/>
        <w:gridCol w:w="1766"/>
      </w:tblGrid>
      <w:tr w:rsidR="00187693" w:rsidRPr="00E72D4F" w14:paraId="6EEDA3CF" w14:textId="77777777" w:rsidTr="00A74445">
        <w:trPr>
          <w:trHeight w:val="419"/>
        </w:trPr>
        <w:tc>
          <w:tcPr>
            <w:tcW w:w="9183"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7C4408F" w14:textId="0DF3352D"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D64DF2">
              <w:rPr>
                <w:rFonts w:ascii="Times New Roman" w:hAnsi="Times New Roman" w:cs="Times New Roman"/>
                <w:b/>
                <w:bCs/>
              </w:rPr>
              <w:t xml:space="preserve">Table </w:t>
            </w:r>
            <w:r w:rsidR="003C640C">
              <w:rPr>
                <w:rFonts w:ascii="Times New Roman" w:hAnsi="Times New Roman" w:cs="Times New Roman"/>
                <w:b/>
                <w:bCs/>
              </w:rPr>
              <w:t>5</w:t>
            </w:r>
            <w:r w:rsidRPr="00D64DF2">
              <w:rPr>
                <w:rFonts w:ascii="Times New Roman" w:hAnsi="Times New Roman" w:cs="Times New Roman"/>
                <w:b/>
                <w:bCs/>
              </w:rPr>
              <w:t>. pH</w:t>
            </w:r>
            <w:r w:rsidRPr="00E72D4F">
              <w:rPr>
                <w:rFonts w:ascii="Times New Roman" w:hAnsi="Times New Roman" w:cs="Times New Roman"/>
                <w:b/>
                <w:bCs/>
              </w:rPr>
              <w:t xml:space="preserve"> of bacterial culture used for tolerance assays in the presence of 20 mM itaconic acid and neutralised itaconic acid.</w:t>
            </w:r>
          </w:p>
        </w:tc>
      </w:tr>
      <w:tr w:rsidR="00187693" w:rsidRPr="00E72D4F" w14:paraId="47E1DE61" w14:textId="77777777" w:rsidTr="00A74445">
        <w:trPr>
          <w:trHeight w:val="419"/>
        </w:trPr>
        <w:tc>
          <w:tcPr>
            <w:tcW w:w="7417"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hideMark/>
          </w:tcPr>
          <w:p w14:paraId="2DB231B0"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b/>
                <w:bCs/>
              </w:rPr>
              <w:t xml:space="preserve">Condition </w:t>
            </w:r>
          </w:p>
        </w:tc>
        <w:tc>
          <w:tcPr>
            <w:tcW w:w="1766"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hideMark/>
          </w:tcPr>
          <w:p w14:paraId="2828FF96"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b/>
                <w:bCs/>
              </w:rPr>
              <w:t>pH</w:t>
            </w:r>
          </w:p>
        </w:tc>
      </w:tr>
      <w:tr w:rsidR="00187693" w:rsidRPr="00E72D4F" w14:paraId="539C24BD" w14:textId="77777777" w:rsidTr="00A74445">
        <w:trPr>
          <w:trHeight w:val="419"/>
        </w:trPr>
        <w:tc>
          <w:tcPr>
            <w:tcW w:w="741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F1D149E"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Culture in PBS</w:t>
            </w:r>
          </w:p>
        </w:tc>
        <w:tc>
          <w:tcPr>
            <w:tcW w:w="176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9ACC205"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6</w:t>
            </w:r>
          </w:p>
        </w:tc>
      </w:tr>
      <w:tr w:rsidR="00187693" w:rsidRPr="00E72D4F" w14:paraId="6B044C1C" w14:textId="77777777" w:rsidTr="00A74445">
        <w:trPr>
          <w:trHeight w:val="419"/>
        </w:trPr>
        <w:tc>
          <w:tcPr>
            <w:tcW w:w="7417"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283A4838"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Itaconic acid</w:t>
            </w:r>
            <w:r>
              <w:rPr>
                <w:rFonts w:ascii="Times New Roman" w:hAnsi="Times New Roman" w:cs="Times New Roman"/>
              </w:rPr>
              <w:t xml:space="preserve"> stock solution</w:t>
            </w:r>
          </w:p>
        </w:tc>
        <w:tc>
          <w:tcPr>
            <w:tcW w:w="1766"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5EF152DA"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2.15</w:t>
            </w:r>
          </w:p>
        </w:tc>
      </w:tr>
      <w:tr w:rsidR="00187693" w:rsidRPr="00E72D4F" w14:paraId="5ACF76BD" w14:textId="77777777" w:rsidTr="00A74445">
        <w:trPr>
          <w:trHeight w:val="419"/>
        </w:trPr>
        <w:tc>
          <w:tcPr>
            <w:tcW w:w="7417" w:type="dxa"/>
            <w:tcBorders>
              <w:top w:val="nil"/>
              <w:left w:val="nil"/>
              <w:bottom w:val="nil"/>
              <w:right w:val="nil"/>
            </w:tcBorders>
            <w:shd w:val="clear" w:color="auto" w:fill="auto"/>
            <w:tcMar>
              <w:top w:w="72" w:type="dxa"/>
              <w:left w:w="144" w:type="dxa"/>
              <w:bottom w:w="72" w:type="dxa"/>
              <w:right w:w="144" w:type="dxa"/>
            </w:tcMar>
            <w:hideMark/>
          </w:tcPr>
          <w:p w14:paraId="1EE8C2FD"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Culture in PBS + itaconic acid</w:t>
            </w:r>
          </w:p>
        </w:tc>
        <w:tc>
          <w:tcPr>
            <w:tcW w:w="1766" w:type="dxa"/>
            <w:tcBorders>
              <w:top w:val="nil"/>
              <w:left w:val="nil"/>
              <w:bottom w:val="nil"/>
              <w:right w:val="nil"/>
            </w:tcBorders>
            <w:shd w:val="clear" w:color="auto" w:fill="auto"/>
            <w:tcMar>
              <w:top w:w="72" w:type="dxa"/>
              <w:left w:w="144" w:type="dxa"/>
              <w:bottom w:w="72" w:type="dxa"/>
              <w:right w:w="144" w:type="dxa"/>
            </w:tcMar>
            <w:hideMark/>
          </w:tcPr>
          <w:p w14:paraId="628D1E47"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4</w:t>
            </w:r>
          </w:p>
        </w:tc>
      </w:tr>
      <w:tr w:rsidR="00187693" w:rsidRPr="00E72D4F" w14:paraId="219AA179" w14:textId="77777777" w:rsidTr="00A74445">
        <w:trPr>
          <w:trHeight w:val="419"/>
        </w:trPr>
        <w:tc>
          <w:tcPr>
            <w:tcW w:w="7417" w:type="dxa"/>
            <w:tcBorders>
              <w:top w:val="nil"/>
              <w:left w:val="nil"/>
              <w:bottom w:val="single" w:sz="8" w:space="0" w:color="000000"/>
              <w:right w:val="nil"/>
            </w:tcBorders>
            <w:shd w:val="clear" w:color="auto" w:fill="E7E7E7"/>
            <w:tcMar>
              <w:top w:w="72" w:type="dxa"/>
              <w:left w:w="144" w:type="dxa"/>
              <w:bottom w:w="72" w:type="dxa"/>
              <w:right w:w="144" w:type="dxa"/>
            </w:tcMar>
            <w:hideMark/>
          </w:tcPr>
          <w:p w14:paraId="640B0E8B"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Culture in PBS + itaconic acid after 1 hr incubation</w:t>
            </w:r>
          </w:p>
        </w:tc>
        <w:tc>
          <w:tcPr>
            <w:tcW w:w="1766" w:type="dxa"/>
            <w:tcBorders>
              <w:top w:val="nil"/>
              <w:left w:val="nil"/>
              <w:bottom w:val="single" w:sz="8" w:space="0" w:color="000000"/>
              <w:right w:val="nil"/>
            </w:tcBorders>
            <w:shd w:val="clear" w:color="auto" w:fill="E7E7E7"/>
            <w:tcMar>
              <w:top w:w="72" w:type="dxa"/>
              <w:left w:w="144" w:type="dxa"/>
              <w:bottom w:w="72" w:type="dxa"/>
              <w:right w:w="144" w:type="dxa"/>
            </w:tcMar>
            <w:hideMark/>
          </w:tcPr>
          <w:p w14:paraId="1739DB31"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4</w:t>
            </w:r>
          </w:p>
        </w:tc>
      </w:tr>
      <w:tr w:rsidR="00187693" w:rsidRPr="00E72D4F" w14:paraId="7FDCCA73" w14:textId="77777777" w:rsidTr="00A74445">
        <w:trPr>
          <w:trHeight w:val="419"/>
        </w:trPr>
        <w:tc>
          <w:tcPr>
            <w:tcW w:w="741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4315B0D"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 xml:space="preserve">Neutralised itaconic acid </w:t>
            </w:r>
            <w:r>
              <w:rPr>
                <w:rFonts w:ascii="Times New Roman" w:hAnsi="Times New Roman" w:cs="Times New Roman"/>
              </w:rPr>
              <w:t xml:space="preserve">stock </w:t>
            </w:r>
          </w:p>
        </w:tc>
        <w:tc>
          <w:tcPr>
            <w:tcW w:w="1766"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47ECF20"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7.5</w:t>
            </w:r>
          </w:p>
        </w:tc>
      </w:tr>
      <w:tr w:rsidR="00187693" w:rsidRPr="00E72D4F" w14:paraId="73F3B7E0" w14:textId="77777777" w:rsidTr="00A74445">
        <w:trPr>
          <w:trHeight w:val="419"/>
        </w:trPr>
        <w:tc>
          <w:tcPr>
            <w:tcW w:w="7417" w:type="dxa"/>
            <w:tcBorders>
              <w:top w:val="nil"/>
              <w:left w:val="nil"/>
              <w:bottom w:val="nil"/>
              <w:right w:val="nil"/>
            </w:tcBorders>
            <w:shd w:val="clear" w:color="auto" w:fill="E7E7E7"/>
            <w:tcMar>
              <w:top w:w="72" w:type="dxa"/>
              <w:left w:w="144" w:type="dxa"/>
              <w:bottom w:w="72" w:type="dxa"/>
              <w:right w:w="144" w:type="dxa"/>
            </w:tcMar>
            <w:hideMark/>
          </w:tcPr>
          <w:p w14:paraId="544F9716"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Culture + neutralised itaconic acid</w:t>
            </w:r>
          </w:p>
        </w:tc>
        <w:tc>
          <w:tcPr>
            <w:tcW w:w="1766" w:type="dxa"/>
            <w:tcBorders>
              <w:top w:val="nil"/>
              <w:left w:val="nil"/>
              <w:bottom w:val="nil"/>
              <w:right w:val="nil"/>
            </w:tcBorders>
            <w:shd w:val="clear" w:color="auto" w:fill="E7E7E7"/>
            <w:tcMar>
              <w:top w:w="72" w:type="dxa"/>
              <w:left w:w="144" w:type="dxa"/>
              <w:bottom w:w="72" w:type="dxa"/>
              <w:right w:w="144" w:type="dxa"/>
            </w:tcMar>
            <w:hideMark/>
          </w:tcPr>
          <w:p w14:paraId="0C6403D5"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7</w:t>
            </w:r>
          </w:p>
        </w:tc>
      </w:tr>
      <w:tr w:rsidR="00187693" w:rsidRPr="00E72D4F" w14:paraId="0093363A" w14:textId="77777777" w:rsidTr="00A74445">
        <w:trPr>
          <w:trHeight w:val="515"/>
        </w:trPr>
        <w:tc>
          <w:tcPr>
            <w:tcW w:w="741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7E200BD"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Culture + neutralised itaconic acid after 1 hr incubation</w:t>
            </w:r>
          </w:p>
        </w:tc>
        <w:tc>
          <w:tcPr>
            <w:tcW w:w="1766"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4432FF2" w14:textId="77777777" w:rsidR="00187693" w:rsidRPr="00E72D4F" w:rsidRDefault="00187693" w:rsidP="00A74445">
            <w:pPr>
              <w:autoSpaceDE w:val="0"/>
              <w:autoSpaceDN w:val="0"/>
              <w:adjustRightInd w:val="0"/>
              <w:spacing w:after="0" w:line="360" w:lineRule="auto"/>
              <w:jc w:val="both"/>
              <w:rPr>
                <w:rFonts w:ascii="Times New Roman" w:hAnsi="Times New Roman" w:cs="Times New Roman"/>
              </w:rPr>
            </w:pPr>
            <w:r w:rsidRPr="00E72D4F">
              <w:rPr>
                <w:rFonts w:ascii="Times New Roman" w:hAnsi="Times New Roman" w:cs="Times New Roman"/>
              </w:rPr>
              <w:t>7</w:t>
            </w:r>
          </w:p>
        </w:tc>
      </w:tr>
    </w:tbl>
    <w:p w14:paraId="2A940459" w14:textId="77777777" w:rsidR="00187693" w:rsidRDefault="00187693" w:rsidP="00187693">
      <w:pPr>
        <w:autoSpaceDE w:val="0"/>
        <w:autoSpaceDN w:val="0"/>
        <w:adjustRightInd w:val="0"/>
        <w:spacing w:after="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02F9E1AD" w14:textId="77777777" w:rsidTr="00A74445">
        <w:tc>
          <w:tcPr>
            <w:tcW w:w="9016" w:type="dxa"/>
          </w:tcPr>
          <w:p w14:paraId="0B77836F"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ADC9F43" wp14:editId="3CD6B0D8">
                  <wp:extent cx="5630371" cy="2475914"/>
                  <wp:effectExtent l="0" t="0" r="0" b="635"/>
                  <wp:docPr id="329858424" name="Picture 3298584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58424" name="Picture 329858424"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7012" cy="2478834"/>
                          </a:xfrm>
                          <a:prstGeom prst="rect">
                            <a:avLst/>
                          </a:prstGeom>
                          <a:noFill/>
                        </pic:spPr>
                      </pic:pic>
                    </a:graphicData>
                  </a:graphic>
                </wp:inline>
              </w:drawing>
            </w:r>
          </w:p>
        </w:tc>
      </w:tr>
      <w:tr w:rsidR="00187693" w14:paraId="45419475" w14:textId="77777777" w:rsidTr="00A74445">
        <w:tc>
          <w:tcPr>
            <w:tcW w:w="9016" w:type="dxa"/>
          </w:tcPr>
          <w:p w14:paraId="47536959" w14:textId="77777777" w:rsidR="00187693" w:rsidRPr="006125FB" w:rsidRDefault="00187693" w:rsidP="00A74445">
            <w:pPr>
              <w:jc w:val="both"/>
              <w:rPr>
                <w:rFonts w:ascii="Times New Roman" w:hAnsi="Times New Roman" w:cs="Times New Roman"/>
                <w:b/>
                <w:bCs/>
                <w:sz w:val="18"/>
                <w:szCs w:val="18"/>
              </w:rPr>
            </w:pPr>
            <w:r w:rsidRPr="006125FB">
              <w:rPr>
                <w:rFonts w:ascii="Times New Roman" w:hAnsi="Times New Roman" w:cs="Times New Roman"/>
                <w:b/>
                <w:bCs/>
                <w:sz w:val="18"/>
                <w:szCs w:val="18"/>
              </w:rPr>
              <w:t xml:space="preserve">Figure 4.2.6. The antimicrobial effects of itaconic acid are due to its ability to decrease the pH of bacterial culture. </w:t>
            </w:r>
            <w:r w:rsidRPr="006125FB">
              <w:rPr>
                <w:rFonts w:ascii="Times New Roman" w:hAnsi="Times New Roman" w:cs="Times New Roman"/>
                <w:sz w:val="18"/>
                <w:szCs w:val="18"/>
              </w:rPr>
              <w:t>JE2 WT and (p)ppGpp</w:t>
            </w:r>
            <w:r w:rsidRPr="006125FB">
              <w:rPr>
                <w:rFonts w:ascii="Times New Roman" w:hAnsi="Times New Roman" w:cs="Times New Roman"/>
                <w:sz w:val="18"/>
                <w:szCs w:val="18"/>
                <w:vertAlign w:val="superscript"/>
              </w:rPr>
              <w:t>0</w:t>
            </w:r>
            <w:r w:rsidRPr="006125FB">
              <w:rPr>
                <w:rFonts w:ascii="Times New Roman" w:hAnsi="Times New Roman" w:cs="Times New Roman"/>
                <w:sz w:val="18"/>
                <w:szCs w:val="18"/>
              </w:rPr>
              <w:t xml:space="preserve"> were grown to early exponential phase (approximately OD</w:t>
            </w:r>
            <w:r w:rsidRPr="006125FB">
              <w:rPr>
                <w:rFonts w:ascii="Times New Roman" w:hAnsi="Times New Roman" w:cs="Times New Roman"/>
                <w:sz w:val="18"/>
                <w:szCs w:val="18"/>
                <w:vertAlign w:val="subscript"/>
              </w:rPr>
              <w:t xml:space="preserve">600 </w:t>
            </w:r>
            <w:r w:rsidRPr="006125FB">
              <w:rPr>
                <w:rFonts w:ascii="Times New Roman" w:hAnsi="Times New Roman" w:cs="Times New Roman"/>
                <w:sz w:val="18"/>
                <w:szCs w:val="18"/>
              </w:rPr>
              <w:t>0.35) in tryptic soy broth (TSB) and were subsequently washed twice in 1 x PBS. 20 mM itaconic acid/itaconate was added and the cultures were incubated at 37 ˚C for 0.5 hours with samples taken at the specified timepoints.</w:t>
            </w:r>
          </w:p>
          <w:p w14:paraId="65FD6611" w14:textId="77777777" w:rsidR="00187693" w:rsidRDefault="00187693" w:rsidP="00A74445">
            <w:pPr>
              <w:jc w:val="both"/>
              <w:rPr>
                <w:rFonts w:ascii="Times New Roman" w:hAnsi="Times New Roman" w:cs="Times New Roman"/>
              </w:rPr>
            </w:pPr>
          </w:p>
        </w:tc>
      </w:tr>
    </w:tbl>
    <w:p w14:paraId="7FE93720" w14:textId="77777777" w:rsidR="00187693" w:rsidRDefault="00187693" w:rsidP="00187693">
      <w:pPr>
        <w:autoSpaceDE w:val="0"/>
        <w:autoSpaceDN w:val="0"/>
        <w:adjustRightInd w:val="0"/>
        <w:spacing w:after="0" w:line="360" w:lineRule="auto"/>
        <w:jc w:val="both"/>
        <w:rPr>
          <w:rFonts w:ascii="Times New Roman" w:hAnsi="Times New Roman" w:cs="Times New Roman"/>
        </w:rPr>
      </w:pPr>
    </w:p>
    <w:p w14:paraId="30F4B2AC" w14:textId="77777777" w:rsidR="00187693" w:rsidRPr="004761F6" w:rsidRDefault="00187693" w:rsidP="00187693">
      <w:pPr>
        <w:pStyle w:val="Heading3"/>
      </w:pPr>
      <w:bookmarkStart w:id="148" w:name="_Toc142043644"/>
      <w:r>
        <w:t>4.2.3. Tolerance of the JE2 WT and (p)ppGpp</w:t>
      </w:r>
      <w:r>
        <w:rPr>
          <w:vertAlign w:val="superscript"/>
        </w:rPr>
        <w:t xml:space="preserve">0 </w:t>
      </w:r>
      <w:r>
        <w:t>mutant to reactive oxygen species</w:t>
      </w:r>
      <w:bookmarkEnd w:id="148"/>
      <w:r>
        <w:t xml:space="preserve"> </w:t>
      </w:r>
    </w:p>
    <w:p w14:paraId="367747A0" w14:textId="77777777" w:rsidR="00187693" w:rsidRDefault="00187693" w:rsidP="00187693"/>
    <w:p w14:paraId="1903A87C" w14:textId="570009F3" w:rsidR="00187693" w:rsidRDefault="00187693" w:rsidP="00187693">
      <w:pPr>
        <w:spacing w:line="360" w:lineRule="auto"/>
        <w:ind w:firstLine="720"/>
        <w:jc w:val="both"/>
        <w:rPr>
          <w:rFonts w:ascii="Times New Roman" w:hAnsi="Times New Roman" w:cs="Times New Roman"/>
        </w:rPr>
      </w:pPr>
      <w:r w:rsidRPr="002353CA">
        <w:rPr>
          <w:rFonts w:ascii="Times New Roman" w:hAnsi="Times New Roman" w:cs="Times New Roman"/>
        </w:rPr>
        <w:t xml:space="preserve">The phagolysosome contains many sources of ROS that are responsible for oxidative stress, which act to eliminate </w:t>
      </w:r>
      <w:r>
        <w:rPr>
          <w:rFonts w:ascii="Times New Roman" w:hAnsi="Times New Roman" w:cs="Times New Roman"/>
        </w:rPr>
        <w:t>phagocytosed</w:t>
      </w:r>
      <w:r w:rsidRPr="002353CA">
        <w:rPr>
          <w:rFonts w:ascii="Times New Roman" w:hAnsi="Times New Roman" w:cs="Times New Roman"/>
        </w:rPr>
        <w:t xml:space="preserve"> pathogens by damaging cellular components such as DNA, RNA and lipids </w:t>
      </w:r>
      <w:r w:rsidRPr="002353CA">
        <w:rPr>
          <w:rFonts w:ascii="Times New Roman" w:hAnsi="Times New Roman" w:cs="Times New Roman"/>
          <w:b/>
          <w:bCs/>
        </w:rPr>
        <w:fldChar w:fldCharType="begin"/>
      </w:r>
      <w:r w:rsidRPr="002353CA">
        <w:rPr>
          <w:rFonts w:ascii="Times New Roman" w:hAnsi="Times New Roman" w:cs="Times New Roman"/>
          <w:b/>
          <w:bCs/>
        </w:rPr>
        <w:instrText xml:space="preserve"> ADDIN EN.CITE &lt;EndNote&gt;&lt;Cite&gt;&lt;Author&gt;Fasnacht&lt;/Author&gt;&lt;Year&gt;2021&lt;/Year&gt;&lt;IDText&gt;Oxidative Stress in Bacteria and the Central Dogma of Molecular Biology&lt;/IDText&gt;&lt;DisplayText&gt;(Fasnacht and Polacek, 2021)&lt;/DisplayText&gt;&lt;record&gt;&lt;dates&gt;&lt;pub-dates&gt;&lt;date&gt;May 10&lt;/date&gt;&lt;/pub-dates&gt;&lt;year&gt;2021&lt;/year&gt;&lt;/dates&gt;&lt;urls&gt;&lt;related-urls&gt;&lt;url&gt;&amp;lt;Go to ISI&amp;gt;://WOS:000653068500001&lt;/url&gt;&lt;/related-urls&gt;&lt;/urls&gt;&lt;work-type&gt;Review&lt;/work-type&gt;&lt;titles&gt;&lt;title&gt;Oxidative Stress in Bacteria and the Central Dogma of Molecular Biology&lt;/title&gt;&lt;secondary-title&gt;Frontiers in Molecular Biosciences&lt;/secondary-title&gt;&lt;/titles&gt;&lt;contributors&gt;&lt;authors&gt;&lt;author&gt;Fasnacht, Michel&lt;/author&gt;&lt;author&gt;Polacek, Norbert&lt;/author&gt;&lt;/authors&gt;&lt;/contributors&gt;&lt;custom7&gt;671037&lt;/custom7&gt;&lt;added-date format="utc"&gt;1674552243&lt;/added-date&gt;&lt;ref-type name="Journal Article"&gt;17&lt;/ref-type&gt;&lt;rec-number&gt;244&lt;/rec-number&gt;&lt;last-updated-date format="utc"&gt;1674552243&lt;/last-updated-date&gt;&lt;accession-num&gt;WOS:000653068500001&lt;/accession-num&gt;&lt;electronic-resource-num&gt;10.3389/fmolb.2021.671037&lt;/electronic-resource-num&gt;&lt;volume&gt;8&lt;/volume&gt;&lt;/record&gt;&lt;/Cite&gt;&lt;/EndNote&gt;</w:instrText>
      </w:r>
      <w:r w:rsidRPr="002353CA">
        <w:rPr>
          <w:rFonts w:ascii="Times New Roman" w:hAnsi="Times New Roman" w:cs="Times New Roman"/>
          <w:b/>
          <w:bCs/>
        </w:rPr>
        <w:fldChar w:fldCharType="separate"/>
      </w:r>
      <w:r w:rsidRPr="002353CA">
        <w:rPr>
          <w:rFonts w:ascii="Times New Roman" w:hAnsi="Times New Roman" w:cs="Times New Roman"/>
          <w:b/>
          <w:bCs/>
          <w:noProof/>
        </w:rPr>
        <w:t>(Fasnacht and Polacek, 2021)</w:t>
      </w:r>
      <w:r w:rsidRPr="002353CA">
        <w:rPr>
          <w:rFonts w:ascii="Times New Roman" w:hAnsi="Times New Roman" w:cs="Times New Roman"/>
          <w:b/>
          <w:bCs/>
        </w:rPr>
        <w:fldChar w:fldCharType="end"/>
      </w:r>
      <w:r w:rsidRPr="002353CA">
        <w:rPr>
          <w:rFonts w:ascii="Times New Roman" w:hAnsi="Times New Roman" w:cs="Times New Roman"/>
        </w:rPr>
        <w:t>. The phagolysosomal membrane contains the multi-subunit NADPH oxidase, an enzyme responsible for producing superoxide</w:t>
      </w:r>
      <w:r>
        <w:rPr>
          <w:rFonts w:ascii="Times New Roman" w:hAnsi="Times New Roman" w:cs="Times New Roman"/>
        </w:rPr>
        <w:t xml:space="preserve"> anions (O</w:t>
      </w:r>
      <w:r>
        <w:rPr>
          <w:rFonts w:ascii="Times New Roman" w:hAnsi="Times New Roman" w:cs="Times New Roman"/>
          <w:vertAlign w:val="subscript"/>
        </w:rPr>
        <w:t>2</w:t>
      </w:r>
      <w:r>
        <w:rPr>
          <w:rFonts w:ascii="Times New Roman" w:hAnsi="Times New Roman" w:cs="Times New Roman"/>
          <w:vertAlign w:val="superscript"/>
        </w:rPr>
        <w:t>-</w:t>
      </w:r>
      <w:r>
        <w:rPr>
          <w:rFonts w:ascii="Times New Roman" w:hAnsi="Times New Roman" w:cs="Times New Roman"/>
        </w:rPr>
        <w:t>)</w:t>
      </w:r>
      <w:r w:rsidRPr="002353CA">
        <w:rPr>
          <w:rFonts w:ascii="Times New Roman" w:hAnsi="Times New Roman" w:cs="Times New Roman"/>
        </w:rPr>
        <w:t xml:space="preserve"> that ultimately results in the oxidative burst. Superoxide </w:t>
      </w:r>
      <w:r>
        <w:rPr>
          <w:rFonts w:ascii="Times New Roman" w:hAnsi="Times New Roman" w:cs="Times New Roman"/>
        </w:rPr>
        <w:t xml:space="preserve">anions </w:t>
      </w:r>
      <w:r w:rsidRPr="002353CA">
        <w:rPr>
          <w:rFonts w:ascii="Times New Roman" w:hAnsi="Times New Roman" w:cs="Times New Roman"/>
        </w:rPr>
        <w:t>can be converted to H</w:t>
      </w:r>
      <w:r w:rsidRPr="002353CA">
        <w:rPr>
          <w:rFonts w:ascii="Times New Roman" w:hAnsi="Times New Roman" w:cs="Times New Roman"/>
          <w:vertAlign w:val="subscript"/>
        </w:rPr>
        <w:t>2</w:t>
      </w:r>
      <w:r w:rsidRPr="002353CA">
        <w:rPr>
          <w:rFonts w:ascii="Times New Roman" w:hAnsi="Times New Roman" w:cs="Times New Roman"/>
        </w:rPr>
        <w:t>O</w:t>
      </w:r>
      <w:r w:rsidRPr="002353CA">
        <w:rPr>
          <w:rFonts w:ascii="Times New Roman" w:hAnsi="Times New Roman" w:cs="Times New Roman"/>
          <w:vertAlign w:val="subscript"/>
        </w:rPr>
        <w:t xml:space="preserve">2 </w:t>
      </w:r>
      <w:r w:rsidRPr="002353CA">
        <w:rPr>
          <w:rFonts w:ascii="Times New Roman" w:hAnsi="Times New Roman" w:cs="Times New Roman"/>
        </w:rPr>
        <w:t xml:space="preserve">by </w:t>
      </w:r>
      <w:r>
        <w:rPr>
          <w:rFonts w:ascii="Times New Roman" w:hAnsi="Times New Roman" w:cs="Times New Roman"/>
        </w:rPr>
        <w:t>SOD</w:t>
      </w:r>
      <w:r w:rsidRPr="002353CA">
        <w:rPr>
          <w:rFonts w:ascii="Times New Roman" w:hAnsi="Times New Roman" w:cs="Times New Roman"/>
        </w:rPr>
        <w:t xml:space="preserve"> and H</w:t>
      </w:r>
      <w:r w:rsidRPr="002353CA">
        <w:rPr>
          <w:rFonts w:ascii="Times New Roman" w:hAnsi="Times New Roman" w:cs="Times New Roman"/>
          <w:vertAlign w:val="subscript"/>
        </w:rPr>
        <w:t>2</w:t>
      </w:r>
      <w:r w:rsidRPr="002353CA">
        <w:rPr>
          <w:rFonts w:ascii="Times New Roman" w:hAnsi="Times New Roman" w:cs="Times New Roman"/>
        </w:rPr>
        <w:t>O</w:t>
      </w:r>
      <w:r w:rsidRPr="002353CA">
        <w:rPr>
          <w:rFonts w:ascii="Times New Roman" w:hAnsi="Times New Roman" w:cs="Times New Roman"/>
          <w:vertAlign w:val="subscript"/>
        </w:rPr>
        <w:t xml:space="preserve">2 </w:t>
      </w:r>
      <w:r w:rsidRPr="002353CA">
        <w:rPr>
          <w:rFonts w:ascii="Times New Roman" w:hAnsi="Times New Roman" w:cs="Times New Roman"/>
        </w:rPr>
        <w:t>can be converted to both HOCl and OH</w:t>
      </w:r>
      <w:r w:rsidRPr="006125FB">
        <w:rPr>
          <w:rFonts w:ascii="Times New Roman" w:hAnsi="Times New Roman" w:cs="Times New Roman"/>
          <w:vertAlign w:val="superscript"/>
        </w:rPr>
        <w:t>-</w:t>
      </w:r>
      <w:r w:rsidRPr="002353CA">
        <w:rPr>
          <w:rFonts w:ascii="Times New Roman" w:hAnsi="Times New Roman" w:cs="Times New Roman"/>
        </w:rPr>
        <w:t xml:space="preserve"> by MPO via the Fenton reaction </w:t>
      </w:r>
      <w:r w:rsidRPr="002353CA">
        <w:rPr>
          <w:rFonts w:ascii="Times New Roman" w:hAnsi="Times New Roman" w:cs="Times New Roman"/>
          <w:b/>
          <w:bCs/>
        </w:rPr>
        <w:fldChar w:fldCharType="begin"/>
      </w:r>
      <w:r w:rsidRPr="002353CA">
        <w:rPr>
          <w:rFonts w:ascii="Times New Roman" w:hAnsi="Times New Roman" w:cs="Times New Roman"/>
          <w:b/>
          <w:bCs/>
        </w:rPr>
        <w:instrText xml:space="preserve"> ADDIN EN.CITE &lt;EndNote&gt;&lt;Cite&gt;&lt;Author&gt;Pidwill&lt;/Author&gt;&lt;Year&gt;2021&lt;/Year&gt;&lt;IDText&gt;The Role of Macrophages in Staphylococcus aureus Infection&lt;/IDText&gt;&lt;DisplayText&gt;(Pidwill&lt;style face="italic"&gt; et al.&lt;/style&gt;, 2021)&lt;/DisplayText&gt;&lt;record&gt;&lt;dates&gt;&lt;pub-dates&gt;&lt;date&gt;Jan 19&lt;/date&gt;&lt;/pub-dates&gt;&lt;year&gt;2021&lt;/year&gt;&lt;/dates&gt;&lt;urls&gt;&lt;related-urls&gt;&lt;url&gt;&amp;lt;Go to ISI&amp;gt;://WOS:000613515300001&lt;/url&gt;&lt;/related-urls&gt;&lt;/urls&gt;&lt;isbn&gt;1664-3224&lt;/isbn&gt;&lt;work-type&gt;Review&lt;/work-type&gt;&lt;titles&gt;&lt;title&gt;The Role of Macrophages in Staphylococcus aureus Infection&lt;/title&gt;&lt;secondary-title&gt;Frontiers in Immunology&lt;/secondary-title&gt;&lt;/titles&gt;&lt;contributors&gt;&lt;authors&gt;&lt;author&gt;Pidwill, Grace R.&lt;/author&gt;&lt;author&gt;Gibson, Josie F.&lt;/author&gt;&lt;author&gt;Cole, Joby&lt;/author&gt;&lt;author&gt;Renshaw, Stephen A.&lt;/author&gt;&lt;author&gt;Foster, Simon J.&lt;/author&gt;&lt;/authors&gt;&lt;/contributors&gt;&lt;custom7&gt;620339&lt;/custom7&gt;&lt;added-date format="utc"&gt;1674317809&lt;/added-date&gt;&lt;ref-type name="Journal Article"&gt;17&lt;/ref-type&gt;&lt;rec-number&gt;227&lt;/rec-number&gt;&lt;last-updated-date format="utc"&gt;1674406000&lt;/last-updated-date&gt;&lt;accession-num&gt;WOS:000613515300001&lt;/accession-num&gt;&lt;electronic-resource-num&gt;10.3389/fimmu.2020.620339&lt;/electronic-resource-num&gt;&lt;volume&gt;11&lt;/volume&gt;&lt;/record&gt;&lt;/Cite&gt;&lt;/EndNote&gt;</w:instrText>
      </w:r>
      <w:r w:rsidRPr="002353CA">
        <w:rPr>
          <w:rFonts w:ascii="Times New Roman" w:hAnsi="Times New Roman" w:cs="Times New Roman"/>
          <w:b/>
          <w:bCs/>
        </w:rPr>
        <w:fldChar w:fldCharType="separate"/>
      </w:r>
      <w:r w:rsidRPr="002353CA">
        <w:rPr>
          <w:rFonts w:ascii="Times New Roman" w:hAnsi="Times New Roman" w:cs="Times New Roman"/>
          <w:b/>
          <w:bCs/>
          <w:noProof/>
        </w:rPr>
        <w:t>(Pidwill</w:t>
      </w:r>
      <w:r w:rsidRPr="002353CA">
        <w:rPr>
          <w:rFonts w:ascii="Times New Roman" w:hAnsi="Times New Roman" w:cs="Times New Roman"/>
          <w:b/>
          <w:bCs/>
          <w:i/>
          <w:noProof/>
        </w:rPr>
        <w:t xml:space="preserve"> et al.</w:t>
      </w:r>
      <w:r w:rsidRPr="002353CA">
        <w:rPr>
          <w:rFonts w:ascii="Times New Roman" w:hAnsi="Times New Roman" w:cs="Times New Roman"/>
          <w:b/>
          <w:bCs/>
          <w:noProof/>
        </w:rPr>
        <w:t>, 2021)</w:t>
      </w:r>
      <w:r w:rsidRPr="002353CA">
        <w:rPr>
          <w:rFonts w:ascii="Times New Roman" w:hAnsi="Times New Roman" w:cs="Times New Roman"/>
          <w:b/>
          <w:bCs/>
        </w:rPr>
        <w:fldChar w:fldCharType="end"/>
      </w:r>
      <w:r w:rsidRPr="002353CA">
        <w:rPr>
          <w:rFonts w:ascii="Times New Roman" w:hAnsi="Times New Roman" w:cs="Times New Roman"/>
          <w:b/>
          <w:bCs/>
        </w:rPr>
        <w:t xml:space="preserve">. </w:t>
      </w:r>
      <w:r w:rsidRPr="002353CA">
        <w:rPr>
          <w:rFonts w:ascii="Times New Roman" w:hAnsi="Times New Roman" w:cs="Times New Roman"/>
        </w:rPr>
        <w:t>H</w:t>
      </w:r>
      <w:r w:rsidRPr="002353CA">
        <w:rPr>
          <w:rFonts w:ascii="Times New Roman" w:hAnsi="Times New Roman" w:cs="Times New Roman"/>
          <w:vertAlign w:val="subscript"/>
        </w:rPr>
        <w:t>2</w:t>
      </w:r>
      <w:r w:rsidRPr="002353CA">
        <w:rPr>
          <w:rFonts w:ascii="Times New Roman" w:hAnsi="Times New Roman" w:cs="Times New Roman"/>
        </w:rPr>
        <w:t>O</w:t>
      </w:r>
      <w:r w:rsidRPr="002353CA">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xml:space="preserve">can be found at physiological concentrations of approximately 2-4 </w:t>
      </w:r>
      <w:r>
        <w:rPr>
          <w:rFonts w:ascii="Calibri" w:hAnsi="Calibri" w:cs="Calibri"/>
        </w:rPr>
        <w:t>μ</w:t>
      </w:r>
      <w:r>
        <w:rPr>
          <w:rFonts w:ascii="Times New Roman" w:hAnsi="Times New Roman" w:cs="Times New Roman"/>
        </w:rPr>
        <w:t xml:space="preserve">M in professional phagocytes </w:t>
      </w:r>
      <w:r w:rsidRPr="008B60FF">
        <w:rPr>
          <w:rFonts w:ascii="Times New Roman" w:hAnsi="Times New Roman" w:cs="Times New Roman"/>
          <w:b/>
          <w:bCs/>
        </w:rPr>
        <w:fldChar w:fldCharType="begin"/>
      </w:r>
      <w:r w:rsidRPr="008B60FF">
        <w:rPr>
          <w:rFonts w:ascii="Times New Roman" w:hAnsi="Times New Roman" w:cs="Times New Roman"/>
          <w:b/>
          <w:bCs/>
        </w:rPr>
        <w:instrText xml:space="preserve"> ADDIN EN.CITE &lt;EndNote&gt;&lt;Cite&gt;&lt;Author&gt;Winterbourn&lt;/Author&gt;&lt;Year&gt;2006&lt;/Year&gt;&lt;IDText&gt;Modeling the reactions of superoxide and myeloperoxidase in the neutrophil phagosome - Implications for microbial killing&lt;/IDText&gt;&lt;DisplayText&gt;(Winterbourn&lt;style face="italic"&gt; et al.&lt;/style&gt;, 2006)&lt;/DisplayText&gt;&lt;record&gt;&lt;dates&gt;&lt;pub-dates&gt;&lt;date&gt;Dec 29&lt;/date&gt;&lt;/pub-dates&gt;&lt;year&gt;2006&lt;/year&gt;&lt;/dates&gt;&lt;urls&gt;&lt;related-urls&gt;&lt;url&gt;&amp;lt;Go to ISI&amp;gt;://WOS:000243033900013&lt;/url&gt;&lt;/related-urls&gt;&lt;/urls&gt;&lt;work-type&gt;Article&lt;/work-type&gt;&lt;titles&gt;&lt;title&gt;Modeling the reactions of superoxide and myeloperoxidase in the neutrophil phagosome - Implications for microbial killing&lt;/title&gt;&lt;secondary-title&gt;Journal of Biological Chemistry&lt;/secondary-title&gt;&lt;/titles&gt;&lt;pages&gt;39860-39869&lt;/pages&gt;&lt;number&gt;52&lt;/number&gt;&lt;contributors&gt;&lt;authors&gt;&lt;author&gt;Winterbourn, Christine C.&lt;/author&gt;&lt;author&gt;Hampton, Mark B.&lt;/author&gt;&lt;author&gt;Livesey, John H.&lt;/author&gt;&lt;author&gt;Kettle, Anthony J.&lt;/author&gt;&lt;/authors&gt;&lt;/contributors&gt;&lt;added-date format="utc"&gt;1674560892&lt;/added-date&gt;&lt;ref-type name="Journal Article"&gt;17&lt;/ref-type&gt;&lt;rec-number&gt;247&lt;/rec-number&gt;&lt;last-updated-date format="utc"&gt;1674560892&lt;/last-updated-date&gt;&lt;accession-num&gt;WOS:000243033900013&lt;/accession-num&gt;&lt;electronic-resource-num&gt;10.1074/jbc.M605898200&lt;/electronic-resource-num&gt;&lt;volume&gt;281&lt;/volume&gt;&lt;/record&gt;&lt;/Cite&gt;&lt;/EndNote&gt;</w:instrText>
      </w:r>
      <w:r w:rsidRPr="008B60FF">
        <w:rPr>
          <w:rFonts w:ascii="Times New Roman" w:hAnsi="Times New Roman" w:cs="Times New Roman"/>
          <w:b/>
          <w:bCs/>
        </w:rPr>
        <w:fldChar w:fldCharType="separate"/>
      </w:r>
      <w:r w:rsidRPr="008B60FF">
        <w:rPr>
          <w:rFonts w:ascii="Times New Roman" w:hAnsi="Times New Roman" w:cs="Times New Roman"/>
          <w:b/>
          <w:bCs/>
          <w:noProof/>
        </w:rPr>
        <w:t>(Winterbourn</w:t>
      </w:r>
      <w:r w:rsidRPr="008B60FF">
        <w:rPr>
          <w:rFonts w:ascii="Times New Roman" w:hAnsi="Times New Roman" w:cs="Times New Roman"/>
          <w:b/>
          <w:bCs/>
          <w:i/>
          <w:noProof/>
        </w:rPr>
        <w:t xml:space="preserve"> et al.</w:t>
      </w:r>
      <w:r w:rsidRPr="008B60FF">
        <w:rPr>
          <w:rFonts w:ascii="Times New Roman" w:hAnsi="Times New Roman" w:cs="Times New Roman"/>
          <w:b/>
          <w:bCs/>
          <w:noProof/>
        </w:rPr>
        <w:t>, 2006)</w:t>
      </w:r>
      <w:r w:rsidRPr="008B60FF">
        <w:rPr>
          <w:rFonts w:ascii="Times New Roman" w:hAnsi="Times New Roman" w:cs="Times New Roman"/>
          <w:b/>
          <w:bCs/>
        </w:rPr>
        <w:fldChar w:fldCharType="end"/>
      </w:r>
      <w:r>
        <w:rPr>
          <w:rFonts w:ascii="Times New Roman" w:hAnsi="Times New Roman" w:cs="Times New Roman"/>
        </w:rPr>
        <w:t xml:space="preserve">, while HOCl can be found at higher concentrations of 20-400 </w:t>
      </w:r>
      <w:r w:rsidRPr="0037689D">
        <w:rPr>
          <w:rFonts w:ascii="Times New Roman" w:hAnsi="Times New Roman" w:cs="Times New Roman"/>
        </w:rPr>
        <w:t>μ</w:t>
      </w:r>
      <w:r>
        <w:rPr>
          <w:rFonts w:ascii="Times New Roman" w:hAnsi="Times New Roman" w:cs="Times New Roman"/>
        </w:rPr>
        <w:t xml:space="preserve">M </w:t>
      </w:r>
      <w:r w:rsidRPr="00F533E3">
        <w:rPr>
          <w:rFonts w:ascii="Times New Roman" w:hAnsi="Times New Roman" w:cs="Times New Roman"/>
          <w:b/>
          <w:bCs/>
        </w:rPr>
        <w:fldChar w:fldCharType="begin"/>
      </w:r>
      <w:r w:rsidRPr="00F533E3">
        <w:rPr>
          <w:rFonts w:ascii="Times New Roman" w:hAnsi="Times New Roman" w:cs="Times New Roman"/>
          <w:b/>
          <w:bCs/>
        </w:rPr>
        <w:instrText xml:space="preserve"> ADDIN EN.CITE &lt;EndNote&gt;&lt;Cite&gt;&lt;Author&gt;King&lt;/Author&gt;&lt;Year&gt;1997&lt;/Year&gt;&lt;IDText&gt;Secretion and inactivation of myeloperoxidase by isolated neutrophils&lt;/IDText&gt;&lt;DisplayText&gt;(King, Jefferson and Thomas, 1997)&lt;/DisplayText&gt;&lt;record&gt;&lt;dates&gt;&lt;pub-dates&gt;&lt;date&gt;Mar&lt;/date&gt;&lt;/pub-dates&gt;&lt;year&gt;1997&lt;/year&gt;&lt;/dates&gt;&lt;urls&gt;&lt;related-urls&gt;&lt;url&gt;&amp;lt;Go to ISI&amp;gt;://WOS:A1997WN15000007&lt;/url&gt;&lt;/related-urls&gt;&lt;/urls&gt;&lt;isbn&gt;0741-5400&lt;/isbn&gt;&lt;work-type&gt;Article&lt;/work-type&gt;&lt;titles&gt;&lt;title&gt;Secretion and inactivation of myeloperoxidase by isolated neutrophils&lt;/title&gt;&lt;secondary-title&gt;Journal of Leukocyte Biology&lt;/secondary-title&gt;&lt;/titles&gt;&lt;pages&gt;293-302&lt;/pages&gt;&lt;number&gt;3&lt;/number&gt;&lt;contributors&gt;&lt;authors&gt;&lt;author&gt;King, C. C.&lt;/author&gt;&lt;author&gt;Jefferson, M. M.&lt;/author&gt;&lt;author&gt;Thomas, E. L.&lt;/author&gt;&lt;/authors&gt;&lt;/contributors&gt;&lt;added-date format="utc"&gt;1674561191&lt;/added-date&gt;&lt;ref-type name="Journal Article"&gt;17&lt;/ref-type&gt;&lt;rec-number&gt;248&lt;/rec-number&gt;&lt;last-updated-date format="utc"&gt;1674561191&lt;/last-updated-date&gt;&lt;accession-num&gt;WOS:A1997WN15000007&lt;/accession-num&gt;&lt;electronic-resource-num&gt;10.1002/jlb.61.3.293&lt;/electronic-resource-num&gt;&lt;volume&gt;61&lt;/volume&gt;&lt;/record&gt;&lt;/Cite&gt;&lt;/EndNote&gt;</w:instrText>
      </w:r>
      <w:r w:rsidRPr="00F533E3">
        <w:rPr>
          <w:rFonts w:ascii="Times New Roman" w:hAnsi="Times New Roman" w:cs="Times New Roman"/>
          <w:b/>
          <w:bCs/>
        </w:rPr>
        <w:fldChar w:fldCharType="separate"/>
      </w:r>
      <w:r w:rsidRPr="00F533E3">
        <w:rPr>
          <w:rFonts w:ascii="Times New Roman" w:hAnsi="Times New Roman" w:cs="Times New Roman"/>
          <w:b/>
          <w:bCs/>
          <w:noProof/>
        </w:rPr>
        <w:t>(King, Jefferson and Thomas, 1997)</w:t>
      </w:r>
      <w:r w:rsidRPr="00F533E3">
        <w:rPr>
          <w:rFonts w:ascii="Times New Roman" w:hAnsi="Times New Roman" w:cs="Times New Roman"/>
          <w:b/>
          <w:bCs/>
        </w:rPr>
        <w:fldChar w:fldCharType="end"/>
      </w:r>
      <w:r>
        <w:rPr>
          <w:rFonts w:ascii="Times New Roman" w:hAnsi="Times New Roman" w:cs="Times New Roman"/>
        </w:rPr>
        <w:t xml:space="preserve">. </w:t>
      </w:r>
      <w:bookmarkStart w:id="149" w:name="_Hlk128096893"/>
      <w:r w:rsidRPr="002353CA">
        <w:rPr>
          <w:rFonts w:ascii="Times New Roman" w:hAnsi="Times New Roman" w:cs="Times New Roman"/>
        </w:rPr>
        <w:t>The oxidative burst produced by the phagolysosome is one of the most important host defence mechanisms employed by professional phagocytes</w:t>
      </w:r>
      <w:r>
        <w:rPr>
          <w:rFonts w:ascii="Times New Roman" w:hAnsi="Times New Roman" w:cs="Times New Roman"/>
        </w:rPr>
        <w:t xml:space="preserve"> </w:t>
      </w:r>
      <w:r w:rsidRPr="00E8579E">
        <w:rPr>
          <w:rFonts w:ascii="Times New Roman" w:hAnsi="Times New Roman" w:cs="Times New Roman"/>
          <w:b/>
          <w:bCs/>
        </w:rPr>
        <w:fldChar w:fldCharType="begin"/>
      </w:r>
      <w:r w:rsidRPr="00E8579E">
        <w:rPr>
          <w:rFonts w:ascii="Times New Roman" w:hAnsi="Times New Roman" w:cs="Times New Roman"/>
          <w:b/>
          <w:bCs/>
        </w:rPr>
        <w:instrText xml:space="preserve"> ADDIN EN.CITE &lt;EndNote&gt;&lt;Cite&gt;&lt;Author&gt;Dupre-Crochet&lt;/Author&gt;&lt;Year&gt;2013&lt;/Year&gt;&lt;IDText&gt;ROS production in phagocytes: why,  when, and where?&lt;/IDText&gt;&lt;DisplayText&gt;(Dupre-Crochet, Erard and Nubetae, 2013)&lt;/DisplayText&gt;&lt;record&gt;&lt;titles&gt;&lt;title&gt;ROS production in phagocytes: why,  when, and where?&lt;/title&gt;&lt;secondary-title&gt;Journal of Leukocyte Biology&lt;/secondary-title&gt;&lt;/titles&gt;&lt;pages&gt;657-670&lt;/pages&gt;&lt;number&gt;4&lt;/number&gt;&lt;contributors&gt;&lt;authors&gt;&lt;author&gt;Dupre-Crochet, Sophie&lt;/author&gt;&lt;author&gt;Erard, Marie&lt;/author&gt;&lt;author&gt;Nubetae, Oliver&lt;/author&gt;&lt;/authors&gt;&lt;/contributors&gt;&lt;added-date format="utc"&gt;1674558301&lt;/added-date&gt;&lt;ref-type name="Journal Article"&gt;17&lt;/ref-type&gt;&lt;dates&gt;&lt;year&gt;2013&lt;/year&gt;&lt;/dates&gt;&lt;rec-number&gt;245&lt;/rec-number&gt;&lt;last-updated-date format="utc"&gt;1674558749&lt;/last-updated-date&gt;&lt;volume&gt;94&lt;/volume&gt;&lt;/record&gt;&lt;/Cite&gt;&lt;/EndNote&gt;</w:instrText>
      </w:r>
      <w:r w:rsidRPr="00E8579E">
        <w:rPr>
          <w:rFonts w:ascii="Times New Roman" w:hAnsi="Times New Roman" w:cs="Times New Roman"/>
          <w:b/>
          <w:bCs/>
        </w:rPr>
        <w:fldChar w:fldCharType="separate"/>
      </w:r>
      <w:r w:rsidRPr="00E8579E">
        <w:rPr>
          <w:rFonts w:ascii="Times New Roman" w:hAnsi="Times New Roman" w:cs="Times New Roman"/>
          <w:b/>
          <w:bCs/>
          <w:noProof/>
        </w:rPr>
        <w:t>(Dupre-Crochet, Erard and Nubetae, 2013)</w:t>
      </w:r>
      <w:r w:rsidRPr="00E8579E">
        <w:rPr>
          <w:rFonts w:ascii="Times New Roman" w:hAnsi="Times New Roman" w:cs="Times New Roman"/>
          <w:b/>
          <w:bCs/>
        </w:rPr>
        <w:fldChar w:fldCharType="end"/>
      </w:r>
      <w:r>
        <w:rPr>
          <w:rFonts w:ascii="Times New Roman" w:hAnsi="Times New Roman" w:cs="Times New Roman"/>
        </w:rPr>
        <w:t xml:space="preserve"> </w:t>
      </w:r>
      <w:r w:rsidRPr="002353CA">
        <w:rPr>
          <w:rFonts w:ascii="Times New Roman" w:hAnsi="Times New Roman" w:cs="Times New Roman"/>
        </w:rPr>
        <w:t xml:space="preserve">and plays an integral role in </w:t>
      </w:r>
      <w:r w:rsidRPr="002353CA">
        <w:rPr>
          <w:rFonts w:ascii="Times New Roman" w:hAnsi="Times New Roman" w:cs="Times New Roman"/>
          <w:i/>
          <w:iCs/>
        </w:rPr>
        <w:t>S. aureus</w:t>
      </w:r>
      <w:r w:rsidRPr="002353CA">
        <w:rPr>
          <w:rFonts w:ascii="Times New Roman" w:hAnsi="Times New Roman" w:cs="Times New Roman"/>
        </w:rPr>
        <w:t xml:space="preserve"> clearance</w:t>
      </w:r>
      <w:r>
        <w:rPr>
          <w:rFonts w:ascii="Times New Roman" w:hAnsi="Times New Roman" w:cs="Times New Roman"/>
        </w:rPr>
        <w:t xml:space="preserve"> </w:t>
      </w:r>
      <w:r w:rsidRPr="00E8579E">
        <w:rPr>
          <w:rFonts w:ascii="Times New Roman" w:hAnsi="Times New Roman" w:cs="Times New Roman"/>
          <w:b/>
          <w:bCs/>
        </w:rPr>
        <w:fldChar w:fldCharType="begin"/>
      </w:r>
      <w:r w:rsidRPr="00E8579E">
        <w:rPr>
          <w:rFonts w:ascii="Times New Roman" w:hAnsi="Times New Roman" w:cs="Times New Roman"/>
          <w:b/>
          <w:bCs/>
        </w:rPr>
        <w:instrText xml:space="preserve"> ADDIN EN.CITE &lt;EndNote&gt;&lt;Cite&gt;&lt;Author&gt;Surewaard&lt;/Author&gt;&lt;Year&gt;2016&lt;/Year&gt;&lt;IDText&gt;Identification and treatment of the Staphylococcus aureus reservoir in vivo&lt;/IDText&gt;&lt;DisplayText&gt;(Surewaard&lt;style face="italic"&gt; et al.&lt;/style&gt;, 2016)&lt;/DisplayText&gt;&lt;record&gt;&lt;dates&gt;&lt;pub-dates&gt;&lt;date&gt;Jun 27&lt;/date&gt;&lt;/pub-dates&gt;&lt;year&gt;2016&lt;/year&gt;&lt;/dates&gt;&lt;urls&gt;&lt;related-urls&gt;&lt;url&gt;&amp;lt;Go to ISI&amp;gt;://WOS:000380849800005&lt;/url&gt;&lt;/related-urls&gt;&lt;/urls&gt;&lt;isbn&gt;0022-1007&lt;/isbn&gt;&lt;work-type&gt;Article&lt;/work-type&gt;&lt;titles&gt;&lt;title&gt;Identification and treatment of the Staphylococcus aureus reservoir in vivo&lt;/title&gt;&lt;secondary-title&gt;Journal of Experimental Medicine&lt;/secondary-title&gt;&lt;/titles&gt;&lt;pages&gt;1141-1151&lt;/pages&gt;&lt;number&gt;7&lt;/number&gt;&lt;contributors&gt;&lt;authors&gt;&lt;author&gt;Surewaard, Bas G. J.&lt;/author&gt;&lt;author&gt;Deniset, Justin F.&lt;/author&gt;&lt;author&gt;Zemp, Franz J.&lt;/author&gt;&lt;author&gt;Amrein, Matthias&lt;/author&gt;&lt;author&gt;Otto, Michael&lt;/author&gt;&lt;author&gt;Conly, John&lt;/author&gt;&lt;author&gt;Omri, Abdelwahab&lt;/author&gt;&lt;author&gt;Yates, Robin M.&lt;/author&gt;&lt;author&gt;Kubes, Paul&lt;/author&gt;&lt;/authors&gt;&lt;/contributors&gt;&lt;added-date format="utc"&gt;1674558953&lt;/added-date&gt;&lt;ref-type name="Journal Article"&gt;17&lt;/ref-type&gt;&lt;rec-number&gt;246&lt;/rec-number&gt;&lt;last-updated-date format="utc"&gt;1674558953&lt;/last-updated-date&gt;&lt;accession-num&gt;WOS:000380849800005&lt;/accession-num&gt;&lt;electronic-resource-num&gt;10.1084/jem.20160334&lt;/electronic-resource-num&gt;&lt;volume&gt;213&lt;/volume&gt;&lt;/record&gt;&lt;/Cite&gt;&lt;/EndNote&gt;</w:instrText>
      </w:r>
      <w:r w:rsidRPr="00E8579E">
        <w:rPr>
          <w:rFonts w:ascii="Times New Roman" w:hAnsi="Times New Roman" w:cs="Times New Roman"/>
          <w:b/>
          <w:bCs/>
        </w:rPr>
        <w:fldChar w:fldCharType="separate"/>
      </w:r>
      <w:r w:rsidRPr="00E8579E">
        <w:rPr>
          <w:rFonts w:ascii="Times New Roman" w:hAnsi="Times New Roman" w:cs="Times New Roman"/>
          <w:b/>
          <w:bCs/>
          <w:noProof/>
        </w:rPr>
        <w:t>(Surewaard</w:t>
      </w:r>
      <w:r w:rsidRPr="00E8579E">
        <w:rPr>
          <w:rFonts w:ascii="Times New Roman" w:hAnsi="Times New Roman" w:cs="Times New Roman"/>
          <w:b/>
          <w:bCs/>
          <w:i/>
          <w:noProof/>
        </w:rPr>
        <w:t xml:space="preserve"> et al.</w:t>
      </w:r>
      <w:r w:rsidRPr="00E8579E">
        <w:rPr>
          <w:rFonts w:ascii="Times New Roman" w:hAnsi="Times New Roman" w:cs="Times New Roman"/>
          <w:b/>
          <w:bCs/>
          <w:noProof/>
        </w:rPr>
        <w:t>, 2016)</w:t>
      </w:r>
      <w:r w:rsidRPr="00E8579E">
        <w:rPr>
          <w:rFonts w:ascii="Times New Roman" w:hAnsi="Times New Roman" w:cs="Times New Roman"/>
          <w:b/>
          <w:bCs/>
        </w:rPr>
        <w:fldChar w:fldCharType="end"/>
      </w:r>
      <w:r w:rsidRPr="002353CA">
        <w:rPr>
          <w:rFonts w:ascii="Times New Roman" w:hAnsi="Times New Roman" w:cs="Times New Roman"/>
        </w:rPr>
        <w:t>.</w:t>
      </w:r>
      <w:bookmarkEnd w:id="149"/>
    </w:p>
    <w:p w14:paraId="3C634AFA" w14:textId="551DB009"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An MSSA (p)ppGpp</w:t>
      </w:r>
      <w:r>
        <w:rPr>
          <w:rFonts w:ascii="Times New Roman" w:hAnsi="Times New Roman" w:cs="Times New Roman"/>
          <w:vertAlign w:val="superscript"/>
        </w:rPr>
        <w:t xml:space="preserve">0 </w:t>
      </w:r>
      <w:r>
        <w:rPr>
          <w:rFonts w:ascii="Times New Roman" w:hAnsi="Times New Roman" w:cs="Times New Roman"/>
        </w:rPr>
        <w:t xml:space="preserve">mutant has previously exhibited susceptibility to </w:t>
      </w:r>
      <w:r w:rsidRPr="00C45D97">
        <w:rPr>
          <w:rFonts w:ascii="Times New Roman" w:hAnsi="Times New Roman" w:cs="Times New Roman"/>
        </w:rPr>
        <w:t>H</w:t>
      </w:r>
      <w:r w:rsidRPr="00C45D97">
        <w:rPr>
          <w:rFonts w:ascii="Times New Roman" w:hAnsi="Times New Roman" w:cs="Times New Roman"/>
          <w:vertAlign w:val="subscript"/>
        </w:rPr>
        <w:t>2</w:t>
      </w:r>
      <w:r w:rsidRPr="00C45D97">
        <w:rPr>
          <w:rFonts w:ascii="Times New Roman" w:hAnsi="Times New Roman" w:cs="Times New Roman"/>
        </w:rPr>
        <w:t>O</w:t>
      </w:r>
      <w:r w:rsidRPr="00C45D97">
        <w:rPr>
          <w:rFonts w:ascii="Times New Roman" w:hAnsi="Times New Roman" w:cs="Times New Roman"/>
          <w:vertAlign w:val="subscript"/>
        </w:rPr>
        <w:t>2</w:t>
      </w:r>
      <w:r>
        <w:rPr>
          <w:rFonts w:ascii="Times New Roman" w:hAnsi="Times New Roman" w:cs="Times New Roman"/>
        </w:rPr>
        <w:t xml:space="preserve"> by incubating </w:t>
      </w:r>
      <w:r>
        <w:rPr>
          <w:rFonts w:ascii="Times New Roman" w:hAnsi="Times New Roman" w:cs="Times New Roman"/>
          <w:i/>
          <w:iCs/>
        </w:rPr>
        <w:t xml:space="preserve">S. aureus </w:t>
      </w:r>
      <w:r>
        <w:rPr>
          <w:rFonts w:ascii="Times New Roman" w:hAnsi="Times New Roman" w:cs="Times New Roman"/>
        </w:rPr>
        <w:t xml:space="preserve">with different concentrations of </w:t>
      </w:r>
      <w:r w:rsidRPr="00C45D97">
        <w:rPr>
          <w:rFonts w:ascii="Times New Roman" w:hAnsi="Times New Roman" w:cs="Times New Roman"/>
        </w:rPr>
        <w:t>H</w:t>
      </w:r>
      <w:r w:rsidRPr="00C45D97">
        <w:rPr>
          <w:rFonts w:ascii="Times New Roman" w:hAnsi="Times New Roman" w:cs="Times New Roman"/>
          <w:vertAlign w:val="subscript"/>
        </w:rPr>
        <w:t>2</w:t>
      </w:r>
      <w:r w:rsidRPr="00C45D97">
        <w:rPr>
          <w:rFonts w:ascii="Times New Roman" w:hAnsi="Times New Roman" w:cs="Times New Roman"/>
        </w:rPr>
        <w:t>O</w:t>
      </w:r>
      <w:r w:rsidRPr="00C45D97">
        <w:rPr>
          <w:rFonts w:ascii="Times New Roman" w:hAnsi="Times New Roman" w:cs="Times New Roman"/>
          <w:vertAlign w:val="subscript"/>
        </w:rPr>
        <w:t>2</w:t>
      </w:r>
      <w:r w:rsidR="0037689D">
        <w:rPr>
          <w:rFonts w:ascii="Times New Roman" w:hAnsi="Times New Roman" w:cs="Times New Roman"/>
        </w:rPr>
        <w:t>,</w:t>
      </w:r>
      <w:r>
        <w:rPr>
          <w:rFonts w:ascii="Times New Roman" w:hAnsi="Times New Roman" w:cs="Times New Roman"/>
          <w:vertAlign w:val="subscript"/>
        </w:rPr>
        <w:t xml:space="preserve"> </w:t>
      </w:r>
      <w:r>
        <w:rPr>
          <w:rFonts w:ascii="Times New Roman" w:hAnsi="Times New Roman" w:cs="Times New Roman"/>
        </w:rPr>
        <w:t xml:space="preserve">and measuring growth over time via growth curves </w:t>
      </w:r>
      <w:r w:rsidRPr="009A7967">
        <w:rPr>
          <w:rFonts w:ascii="Times New Roman" w:hAnsi="Times New Roman" w:cs="Times New Roman"/>
          <w:b/>
          <w:bCs/>
        </w:rPr>
        <w:fldChar w:fldCharType="begin"/>
      </w:r>
      <w:r w:rsidRPr="009A7967">
        <w:rPr>
          <w:rFonts w:ascii="Times New Roman" w:hAnsi="Times New Roman" w:cs="Times New Roman"/>
          <w:b/>
          <w:bCs/>
        </w:rPr>
        <w:instrText xml:space="preserve"> ADDIN EN.CITE &lt;EndNote&gt;&lt;Cite&gt;&lt;Author&gt;Horvatek&lt;/Author&gt;&lt;Year&gt;2020&lt;/Year&gt;&lt;IDText&gt;Inducible expression of (pp)pGpp synthetases in Staphylococcus aureus is associated with activation of stress response genes&lt;/IDText&gt;&lt;DisplayText&gt;(Horvatek&lt;style face="italic"&gt; et al.&lt;/style&gt;, 2020)&lt;/DisplayText&gt;&lt;record&gt;&lt;dates&gt;&lt;pub-dates&gt;&lt;date&gt;Dec&lt;/date&gt;&lt;/pub-dates&gt;&lt;year&gt;2020&lt;/year&gt;&lt;/dates&gt;&lt;urls&gt;&lt;related-urls&gt;&lt;url&gt;&amp;lt;Go to ISI&amp;gt;://WOS:000605323700002&lt;/url&gt;&lt;/related-urls&gt;&lt;/urls&gt;&lt;isbn&gt;1553-7404&lt;/isbn&gt;&lt;work-type&gt;Article&lt;/work-type&gt;&lt;titles&gt;&lt;title&gt;Inducible expression of (pp)pGpp synthetases in Staphylococcus aureus is associated with activation of stress response genes&lt;/title&gt;&lt;secondary-title&gt;Plos Genetics&lt;/secondary-title&gt;&lt;/titles&gt;&lt;number&gt;12&lt;/number&gt;&lt;contributors&gt;&lt;authors&gt;&lt;author&gt;Horvatek, Petra&lt;/author&gt;&lt;author&gt;Salzer, Andrea&lt;/author&gt;&lt;author&gt;Hanna, Andrew Magdy Fekry&lt;/author&gt;&lt;author&gt;Gratani, Fabio Lino&lt;/author&gt;&lt;author&gt;Keinhoerster, Daniela&lt;/author&gt;&lt;author&gt;Korn, Natalya&lt;/author&gt;&lt;author&gt;Borisova, Marina&lt;/author&gt;&lt;author&gt;Mayer, Christoph&lt;/author&gt;&lt;author&gt;Rejman, Dominik&lt;/author&gt;&lt;author&gt;Maeder, Ulrike&lt;/author&gt;&lt;author&gt;Wolz, Christiane&lt;/author&gt;&lt;/authors&gt;&lt;/contributors&gt;&lt;custom7&gt;e1009282&lt;/custom7&gt;&lt;added-date format="utc"&gt;1674489920&lt;/added-date&gt;&lt;ref-type name="Journal Article"&gt;17&lt;/ref-type&gt;&lt;rec-number&gt;243&lt;/rec-number&gt;&lt;last-updated-date format="utc"&gt;1674489920&lt;/last-updated-date&gt;&lt;accession-num&gt;WOS:000605323700002&lt;/accession-num&gt;&lt;electronic-resource-num&gt;10.1371/journal.pgen.1009282&lt;/electronic-resource-num&gt;&lt;volume&gt;16&lt;/volume&gt;&lt;/record&gt;&lt;/Cite&gt;&lt;/EndNote&gt;</w:instrText>
      </w:r>
      <w:r w:rsidRPr="009A7967">
        <w:rPr>
          <w:rFonts w:ascii="Times New Roman" w:hAnsi="Times New Roman" w:cs="Times New Roman"/>
          <w:b/>
          <w:bCs/>
        </w:rPr>
        <w:fldChar w:fldCharType="separate"/>
      </w:r>
      <w:r w:rsidRPr="009A7967">
        <w:rPr>
          <w:rFonts w:ascii="Times New Roman" w:hAnsi="Times New Roman" w:cs="Times New Roman"/>
          <w:b/>
          <w:bCs/>
          <w:noProof/>
        </w:rPr>
        <w:t>(Horvatek</w:t>
      </w:r>
      <w:r w:rsidRPr="009A7967">
        <w:rPr>
          <w:rFonts w:ascii="Times New Roman" w:hAnsi="Times New Roman" w:cs="Times New Roman"/>
          <w:b/>
          <w:bCs/>
          <w:i/>
          <w:noProof/>
        </w:rPr>
        <w:t xml:space="preserve"> et al.</w:t>
      </w:r>
      <w:r w:rsidRPr="009A7967">
        <w:rPr>
          <w:rFonts w:ascii="Times New Roman" w:hAnsi="Times New Roman" w:cs="Times New Roman"/>
          <w:b/>
          <w:bCs/>
          <w:noProof/>
        </w:rPr>
        <w:t>, 2020)</w:t>
      </w:r>
      <w:r w:rsidRPr="009A7967">
        <w:rPr>
          <w:rFonts w:ascii="Times New Roman" w:hAnsi="Times New Roman" w:cs="Times New Roman"/>
          <w:b/>
          <w:bCs/>
        </w:rPr>
        <w:fldChar w:fldCharType="end"/>
      </w:r>
      <w:r>
        <w:rPr>
          <w:rFonts w:ascii="Times New Roman" w:hAnsi="Times New Roman" w:cs="Times New Roman"/>
        </w:rPr>
        <w:t>. Furthermore, an MRSA (p)ppGpp</w:t>
      </w:r>
      <w:r>
        <w:rPr>
          <w:rFonts w:ascii="Times New Roman" w:hAnsi="Times New Roman" w:cs="Times New Roman"/>
          <w:vertAlign w:val="superscript"/>
        </w:rPr>
        <w:t xml:space="preserve">0 </w:t>
      </w:r>
      <w:r>
        <w:rPr>
          <w:rFonts w:ascii="Times New Roman" w:hAnsi="Times New Roman" w:cs="Times New Roman"/>
        </w:rPr>
        <w:t xml:space="preserve">mutant in the stationary growth phase </w:t>
      </w:r>
      <w:r>
        <w:rPr>
          <w:rFonts w:ascii="Times New Roman" w:hAnsi="Times New Roman" w:cs="Times New Roman"/>
          <w:i/>
          <w:iCs/>
        </w:rPr>
        <w:t>S. aureus</w:t>
      </w:r>
      <w:r>
        <w:rPr>
          <w:rFonts w:ascii="Times New Roman" w:hAnsi="Times New Roman" w:cs="Times New Roman"/>
        </w:rPr>
        <w:t xml:space="preserve"> was shown to display a reduced tolerance to </w:t>
      </w:r>
      <w:r w:rsidRPr="00C45D97">
        <w:rPr>
          <w:rFonts w:ascii="Times New Roman" w:hAnsi="Times New Roman" w:cs="Times New Roman"/>
        </w:rPr>
        <w:t>HOCl</w:t>
      </w:r>
      <w:r>
        <w:rPr>
          <w:rFonts w:ascii="Times New Roman" w:hAnsi="Times New Roman" w:cs="Times New Roman"/>
        </w:rPr>
        <w:t xml:space="preserve">  </w:t>
      </w:r>
      <w:r w:rsidRPr="009A7967">
        <w:rPr>
          <w:rFonts w:ascii="Times New Roman" w:hAnsi="Times New Roman" w:cs="Times New Roman"/>
          <w:b/>
          <w:bCs/>
        </w:rPr>
        <w:fldChar w:fldCharType="begin"/>
      </w:r>
      <w:r w:rsidRPr="009A7967">
        <w:rPr>
          <w:rFonts w:ascii="Times New Roman" w:hAnsi="Times New Roman" w:cs="Times New Roman"/>
          <w:b/>
          <w:bCs/>
        </w:rPr>
        <w:instrText xml:space="preserve"> ADDIN EN.CITE &lt;EndNote&gt;&lt;Cite&gt;&lt;Author&gt;Fritsch&lt;/Author&gt;&lt;Year&gt;2020&lt;/Year&gt;&lt;IDText&gt;The alarmone (p)ppGpp confers tolerance to oxidative stress during the stationary phase by maintenance of redox and iron homeostasis in Staphylococcus aureus&lt;/IDText&gt;&lt;DisplayText&gt;(Fritsch&lt;style face="italic"&gt; et al.&lt;/style&gt;, 2020)&lt;/DisplayText&gt;&lt;record&gt;&lt;dates&gt;&lt;pub-dates&gt;&lt;date&gt;Dec&lt;/date&gt;&lt;/pub-dates&gt;&lt;year&gt;2020&lt;/year&gt;&lt;/dates&gt;&lt;urls&gt;&lt;related-urls&gt;&lt;url&gt;&amp;lt;Go to ISI&amp;gt;://WOS:000598057000001&lt;/url&gt;&lt;/related-urls&gt;&lt;/urls&gt;&lt;isbn&gt;0891-5849&lt;/isbn&gt;&lt;work-type&gt;Article&lt;/work-type&gt;&lt;titles&gt;&lt;title&gt;The alarmone (p)ppGpp confers tolerance to oxidative stress during the stationary phase by maintenance of redox and iron homeostasis in Staphylococcus aureus&lt;/title&gt;&lt;secondary-title&gt;Free Radical Biology and Medicine&lt;/secondary-title&gt;&lt;/titles&gt;&lt;contributors&gt;&lt;authors&gt;&lt;author&gt;Fritsch, Verena Nadin&lt;/author&gt;&lt;author&gt;Vu Van, Loi&lt;/author&gt;&lt;author&gt;Busche, Tobias&lt;/author&gt;&lt;author&gt;Quach Ngoc, Tung&lt;/author&gt;&lt;author&gt;Lill, Roland&lt;/author&gt;&lt;author&gt;Horvatek, Petra&lt;/author&gt;&lt;author&gt;Wolz, Christiane&lt;/author&gt;&lt;author&gt;Kalinowski, Joern&lt;/author&gt;&lt;author&gt;Antelmann, Haike&lt;/author&gt;&lt;/authors&gt;&lt;/contributors&gt;&lt;added-date format="utc"&gt;1674562644&lt;/added-date&gt;&lt;ref-type name="Journal Article"&gt;17&lt;/ref-type&gt;&lt;rec-number&gt;249&lt;/rec-number&gt;&lt;last-updated-date format="utc"&gt;1674562644&lt;/last-updated-date&gt;&lt;accession-num&gt;WOS:000598057000001&lt;/accession-num&gt;&lt;electronic-resource-num&gt;10.1016/j.freeradbiomed.2020.10.322&lt;/electronic-resource-num&gt;&lt;volume&gt;161&lt;/volume&gt;&lt;/record&gt;&lt;/Cite&gt;&lt;/EndNote&gt;</w:instrText>
      </w:r>
      <w:r w:rsidRPr="009A7967">
        <w:rPr>
          <w:rFonts w:ascii="Times New Roman" w:hAnsi="Times New Roman" w:cs="Times New Roman"/>
          <w:b/>
          <w:bCs/>
        </w:rPr>
        <w:fldChar w:fldCharType="separate"/>
      </w:r>
      <w:r w:rsidRPr="009A7967">
        <w:rPr>
          <w:rFonts w:ascii="Times New Roman" w:hAnsi="Times New Roman" w:cs="Times New Roman"/>
          <w:b/>
          <w:bCs/>
          <w:noProof/>
        </w:rPr>
        <w:t>(Fritsch</w:t>
      </w:r>
      <w:r w:rsidRPr="009A7967">
        <w:rPr>
          <w:rFonts w:ascii="Times New Roman" w:hAnsi="Times New Roman" w:cs="Times New Roman"/>
          <w:b/>
          <w:bCs/>
          <w:i/>
          <w:noProof/>
        </w:rPr>
        <w:t xml:space="preserve"> et al.</w:t>
      </w:r>
      <w:r w:rsidRPr="009A7967">
        <w:rPr>
          <w:rFonts w:ascii="Times New Roman" w:hAnsi="Times New Roman" w:cs="Times New Roman"/>
          <w:b/>
          <w:bCs/>
          <w:noProof/>
        </w:rPr>
        <w:t>, 2020)</w:t>
      </w:r>
      <w:r w:rsidRPr="009A7967">
        <w:rPr>
          <w:rFonts w:ascii="Times New Roman" w:hAnsi="Times New Roman" w:cs="Times New Roman"/>
          <w:b/>
          <w:bCs/>
        </w:rPr>
        <w:fldChar w:fldCharType="end"/>
      </w:r>
      <w:r>
        <w:rPr>
          <w:rFonts w:ascii="Times New Roman" w:hAnsi="Times New Roman" w:cs="Times New Roman"/>
        </w:rPr>
        <w:t xml:space="preserve">. These studies demonstrate the involvement of the stringent response in surviving ROS stress within the phagolysosome. To investigate this in a JE2 MRSA background, </w:t>
      </w:r>
      <w:r w:rsidRPr="00C45D97">
        <w:rPr>
          <w:rFonts w:ascii="Times New Roman" w:hAnsi="Times New Roman" w:cs="Times New Roman"/>
          <w:i/>
          <w:iCs/>
        </w:rPr>
        <w:t>S. aureus</w:t>
      </w:r>
      <w:r>
        <w:rPr>
          <w:rFonts w:ascii="Times New Roman" w:hAnsi="Times New Roman" w:cs="Times New Roman"/>
        </w:rPr>
        <w:t xml:space="preserve"> </w:t>
      </w:r>
      <w:r w:rsidRPr="00C45D97">
        <w:rPr>
          <w:rFonts w:ascii="Times New Roman" w:hAnsi="Times New Roman" w:cs="Times New Roman"/>
        </w:rPr>
        <w:t>WT and the (p)ppGpp</w:t>
      </w:r>
      <w:r w:rsidRPr="00C45D97">
        <w:rPr>
          <w:rFonts w:ascii="Times New Roman" w:hAnsi="Times New Roman" w:cs="Times New Roman"/>
          <w:vertAlign w:val="superscript"/>
        </w:rPr>
        <w:t>0</w:t>
      </w:r>
      <w:r w:rsidRPr="00C45D97">
        <w:rPr>
          <w:rFonts w:ascii="Times New Roman" w:hAnsi="Times New Roman" w:cs="Times New Roman"/>
        </w:rPr>
        <w:t xml:space="preserve"> mutant </w:t>
      </w:r>
      <w:r>
        <w:rPr>
          <w:rFonts w:ascii="Times New Roman" w:hAnsi="Times New Roman" w:cs="Times New Roman"/>
        </w:rPr>
        <w:t xml:space="preserve">during the exponential growth phase </w:t>
      </w:r>
      <w:r w:rsidRPr="00C45D97">
        <w:rPr>
          <w:rFonts w:ascii="Times New Roman" w:hAnsi="Times New Roman" w:cs="Times New Roman"/>
        </w:rPr>
        <w:t>were exposed to H</w:t>
      </w:r>
      <w:r w:rsidRPr="00C45D97">
        <w:rPr>
          <w:rFonts w:ascii="Times New Roman" w:hAnsi="Times New Roman" w:cs="Times New Roman"/>
          <w:vertAlign w:val="subscript"/>
        </w:rPr>
        <w:t>2</w:t>
      </w:r>
      <w:r w:rsidRPr="00C45D97">
        <w:rPr>
          <w:rFonts w:ascii="Times New Roman" w:hAnsi="Times New Roman" w:cs="Times New Roman"/>
        </w:rPr>
        <w:t>O</w:t>
      </w:r>
      <w:r w:rsidRPr="00C45D97">
        <w:rPr>
          <w:rFonts w:ascii="Times New Roman" w:hAnsi="Times New Roman" w:cs="Times New Roman"/>
          <w:vertAlign w:val="subscript"/>
        </w:rPr>
        <w:t>2</w:t>
      </w:r>
      <w:r w:rsidRPr="00C45D97">
        <w:rPr>
          <w:rFonts w:ascii="Times New Roman" w:hAnsi="Times New Roman" w:cs="Times New Roman"/>
        </w:rPr>
        <w:t xml:space="preserve"> and HOCl</w:t>
      </w:r>
      <w:r>
        <w:rPr>
          <w:rFonts w:ascii="Times New Roman" w:hAnsi="Times New Roman" w:cs="Times New Roman"/>
        </w:rPr>
        <w:t xml:space="preserve"> and tolerance was quantified via percentage bacterial survival</w:t>
      </w:r>
      <w:r w:rsidRPr="00C45D97">
        <w:rPr>
          <w:rFonts w:ascii="Times New Roman" w:hAnsi="Times New Roman" w:cs="Times New Roman"/>
        </w:rPr>
        <w:t>. Similar to itaconic acid, the (p)ppGpp</w:t>
      </w:r>
      <w:r w:rsidRPr="00C45D97">
        <w:rPr>
          <w:rFonts w:ascii="Times New Roman" w:hAnsi="Times New Roman" w:cs="Times New Roman"/>
          <w:vertAlign w:val="superscript"/>
        </w:rPr>
        <w:t>0</w:t>
      </w:r>
      <w:r w:rsidRPr="00C45D97">
        <w:rPr>
          <w:rFonts w:ascii="Times New Roman" w:hAnsi="Times New Roman" w:cs="Times New Roman"/>
        </w:rPr>
        <w:t xml:space="preserve"> mutant demonstrated a reduced tolerance to both ROS stressors</w:t>
      </w:r>
      <w:r>
        <w:rPr>
          <w:rFonts w:ascii="Times New Roman" w:hAnsi="Times New Roman" w:cs="Times New Roman"/>
        </w:rPr>
        <w:t xml:space="preserve"> </w:t>
      </w:r>
      <w:r>
        <w:rPr>
          <w:rFonts w:ascii="Times New Roman" w:hAnsi="Times New Roman" w:cs="Times New Roman"/>
          <w:b/>
          <w:bCs/>
        </w:rPr>
        <w:t>(Fig. 4.2.7)</w:t>
      </w:r>
      <w:r w:rsidRPr="00C45D97">
        <w:rPr>
          <w:rFonts w:ascii="Times New Roman" w:hAnsi="Times New Roman" w:cs="Times New Roman"/>
        </w:rPr>
        <w:t>.</w:t>
      </w:r>
      <w:r>
        <w:rPr>
          <w:rFonts w:ascii="Times New Roman" w:hAnsi="Times New Roman" w:cs="Times New Roman"/>
        </w:rPr>
        <w:t xml:space="preserve"> The tolerance of </w:t>
      </w:r>
      <w:r w:rsidRPr="00C45D97">
        <w:rPr>
          <w:rFonts w:ascii="Times New Roman" w:hAnsi="Times New Roman" w:cs="Times New Roman"/>
        </w:rPr>
        <w:t>H</w:t>
      </w:r>
      <w:r w:rsidRPr="00C45D97">
        <w:rPr>
          <w:rFonts w:ascii="Times New Roman" w:hAnsi="Times New Roman" w:cs="Times New Roman"/>
          <w:vertAlign w:val="subscript"/>
        </w:rPr>
        <w:t>2</w:t>
      </w:r>
      <w:r w:rsidRPr="00C45D97">
        <w:rPr>
          <w:rFonts w:ascii="Times New Roman" w:hAnsi="Times New Roman" w:cs="Times New Roman"/>
        </w:rPr>
        <w:t>O</w:t>
      </w:r>
      <w:r w:rsidRPr="00C45D97">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xml:space="preserve">was examined during the stationary growth phase, however an inhibitory concentration of </w:t>
      </w:r>
      <w:r w:rsidRPr="00C45D97">
        <w:rPr>
          <w:rFonts w:ascii="Times New Roman" w:hAnsi="Times New Roman" w:cs="Times New Roman"/>
        </w:rPr>
        <w:t>H</w:t>
      </w:r>
      <w:r w:rsidRPr="00C45D97">
        <w:rPr>
          <w:rFonts w:ascii="Times New Roman" w:hAnsi="Times New Roman" w:cs="Times New Roman"/>
          <w:vertAlign w:val="subscript"/>
        </w:rPr>
        <w:t>2</w:t>
      </w:r>
      <w:r w:rsidRPr="00C45D97">
        <w:rPr>
          <w:rFonts w:ascii="Times New Roman" w:hAnsi="Times New Roman" w:cs="Times New Roman"/>
        </w:rPr>
        <w:t>O</w:t>
      </w:r>
      <w:r w:rsidRPr="00C45D97">
        <w:rPr>
          <w:rFonts w:ascii="Times New Roman" w:hAnsi="Times New Roman" w:cs="Times New Roman"/>
          <w:vertAlign w:val="subscript"/>
        </w:rPr>
        <w:t>2</w:t>
      </w:r>
      <w:r>
        <w:rPr>
          <w:rFonts w:ascii="Times New Roman" w:hAnsi="Times New Roman" w:cs="Times New Roman"/>
        </w:rPr>
        <w:t xml:space="preserve"> could not be determined – exponential phase </w:t>
      </w:r>
      <w:r>
        <w:rPr>
          <w:rFonts w:ascii="Times New Roman" w:hAnsi="Times New Roman" w:cs="Times New Roman"/>
          <w:i/>
          <w:iCs/>
        </w:rPr>
        <w:t xml:space="preserve">S. aureus </w:t>
      </w:r>
      <w:r>
        <w:rPr>
          <w:rFonts w:ascii="Times New Roman" w:hAnsi="Times New Roman" w:cs="Times New Roman"/>
        </w:rPr>
        <w:t xml:space="preserve">was inhibited by 100 mM </w:t>
      </w:r>
      <w:r w:rsidRPr="00C45D97">
        <w:rPr>
          <w:rFonts w:ascii="Times New Roman" w:hAnsi="Times New Roman" w:cs="Times New Roman"/>
        </w:rPr>
        <w:t>H</w:t>
      </w:r>
      <w:r w:rsidRPr="00C45D97">
        <w:rPr>
          <w:rFonts w:ascii="Times New Roman" w:hAnsi="Times New Roman" w:cs="Times New Roman"/>
          <w:vertAlign w:val="subscript"/>
        </w:rPr>
        <w:t>2</w:t>
      </w:r>
      <w:r w:rsidRPr="00C45D97">
        <w:rPr>
          <w:rFonts w:ascii="Times New Roman" w:hAnsi="Times New Roman" w:cs="Times New Roman"/>
        </w:rPr>
        <w:t>O</w:t>
      </w:r>
      <w:r w:rsidRPr="00C45D97">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xml:space="preserve">however stationary phase bacteria were able to withstand concentrations of 1 M (data not shown). Additionally, while exponential phase </w:t>
      </w:r>
      <w:r>
        <w:rPr>
          <w:rFonts w:ascii="Times New Roman" w:hAnsi="Times New Roman" w:cs="Times New Roman"/>
          <w:i/>
          <w:iCs/>
        </w:rPr>
        <w:t>S. aureus</w:t>
      </w:r>
      <w:r>
        <w:rPr>
          <w:rFonts w:ascii="Times New Roman" w:hAnsi="Times New Roman" w:cs="Times New Roman"/>
        </w:rPr>
        <w:t xml:space="preserve"> were susceptible to HOCl at 32 </w:t>
      </w:r>
      <w:r>
        <w:rPr>
          <w:rFonts w:ascii="Calibri" w:hAnsi="Calibri" w:cs="Calibri"/>
        </w:rPr>
        <w:t>μ</w:t>
      </w:r>
      <w:r>
        <w:rPr>
          <w:rFonts w:ascii="Times New Roman" w:hAnsi="Times New Roman" w:cs="Times New Roman"/>
        </w:rPr>
        <w:t xml:space="preserve">M, stationary phase bacteria were inhibited at concentration approximately 10 times this value (data not shown). In keeping with previous results, </w:t>
      </w:r>
      <w:r w:rsidRPr="00C45D97">
        <w:rPr>
          <w:rFonts w:ascii="Times New Roman" w:hAnsi="Times New Roman" w:cs="Times New Roman"/>
        </w:rPr>
        <w:t>the (p)ppGpp</w:t>
      </w:r>
      <w:r w:rsidRPr="00C45D97">
        <w:rPr>
          <w:rFonts w:ascii="Times New Roman" w:hAnsi="Times New Roman" w:cs="Times New Roman"/>
          <w:vertAlign w:val="superscript"/>
        </w:rPr>
        <w:t>0</w:t>
      </w:r>
      <w:r w:rsidRPr="00C45D97">
        <w:rPr>
          <w:rFonts w:ascii="Times New Roman" w:hAnsi="Times New Roman" w:cs="Times New Roman"/>
        </w:rPr>
        <w:t xml:space="preserve"> mutant</w:t>
      </w:r>
      <w:r>
        <w:rPr>
          <w:rFonts w:ascii="Times New Roman" w:hAnsi="Times New Roman" w:cs="Times New Roman"/>
        </w:rPr>
        <w:t xml:space="preserve"> is more susceptible to </w:t>
      </w:r>
      <w:r w:rsidRPr="00C45D97">
        <w:rPr>
          <w:rFonts w:ascii="Times New Roman" w:hAnsi="Times New Roman" w:cs="Times New Roman"/>
        </w:rPr>
        <w:t>H</w:t>
      </w:r>
      <w:r w:rsidRPr="00C45D97">
        <w:rPr>
          <w:rFonts w:ascii="Times New Roman" w:hAnsi="Times New Roman" w:cs="Times New Roman"/>
          <w:vertAlign w:val="subscript"/>
        </w:rPr>
        <w:t>2</w:t>
      </w:r>
      <w:r w:rsidRPr="00C45D97">
        <w:rPr>
          <w:rFonts w:ascii="Times New Roman" w:hAnsi="Times New Roman" w:cs="Times New Roman"/>
        </w:rPr>
        <w:t>O</w:t>
      </w:r>
      <w:r w:rsidRPr="00C45D97">
        <w:rPr>
          <w:rFonts w:ascii="Times New Roman" w:hAnsi="Times New Roman" w:cs="Times New Roman"/>
          <w:vertAlign w:val="subscript"/>
        </w:rPr>
        <w:t>2</w:t>
      </w:r>
      <w:r w:rsidRPr="00C45D97">
        <w:rPr>
          <w:rFonts w:ascii="Times New Roman" w:hAnsi="Times New Roman" w:cs="Times New Roman"/>
        </w:rPr>
        <w:t xml:space="preserve"> and HOCl</w:t>
      </w:r>
      <w:r>
        <w:rPr>
          <w:rFonts w:ascii="Times New Roman" w:hAnsi="Times New Roman" w:cs="Times New Roman"/>
        </w:rPr>
        <w:t xml:space="preserve">, further emphasising </w:t>
      </w:r>
      <w:r w:rsidRPr="00C45D97">
        <w:rPr>
          <w:rFonts w:ascii="Times New Roman" w:hAnsi="Times New Roman" w:cs="Times New Roman"/>
        </w:rPr>
        <w:t xml:space="preserve">that the </w:t>
      </w:r>
      <w:r>
        <w:rPr>
          <w:rFonts w:ascii="Times New Roman" w:hAnsi="Times New Roman" w:cs="Times New Roman"/>
        </w:rPr>
        <w:t>stringent response</w:t>
      </w:r>
      <w:r w:rsidRPr="00C45D97">
        <w:rPr>
          <w:rFonts w:ascii="Times New Roman" w:hAnsi="Times New Roman" w:cs="Times New Roman"/>
        </w:rPr>
        <w:t xml:space="preserve"> plays a role in dealing with ROS stress</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63E1182C" w14:textId="77777777" w:rsidTr="00A74445">
        <w:tc>
          <w:tcPr>
            <w:tcW w:w="9016" w:type="dxa"/>
          </w:tcPr>
          <w:p w14:paraId="48403FEC"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34B30B4" wp14:editId="469821E3">
                  <wp:extent cx="5265682" cy="2803443"/>
                  <wp:effectExtent l="0" t="0" r="0" b="0"/>
                  <wp:docPr id="782091629" name="Picture 7820916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91629" name="Picture 782091629" descr="A screenshot of a computer&#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1472" cy="2806526"/>
                          </a:xfrm>
                          <a:prstGeom prst="rect">
                            <a:avLst/>
                          </a:prstGeom>
                          <a:noFill/>
                        </pic:spPr>
                      </pic:pic>
                    </a:graphicData>
                  </a:graphic>
                </wp:inline>
              </w:drawing>
            </w:r>
          </w:p>
        </w:tc>
      </w:tr>
      <w:tr w:rsidR="00187693" w14:paraId="5C10B4CA" w14:textId="77777777" w:rsidTr="00A74445">
        <w:tc>
          <w:tcPr>
            <w:tcW w:w="9016" w:type="dxa"/>
          </w:tcPr>
          <w:p w14:paraId="4D694F36" w14:textId="77777777" w:rsidR="00187693" w:rsidRDefault="00187693" w:rsidP="00A74445">
            <w:pPr>
              <w:jc w:val="both"/>
              <w:rPr>
                <w:rFonts w:ascii="Times New Roman" w:hAnsi="Times New Roman" w:cs="Times New Roman"/>
              </w:rPr>
            </w:pPr>
            <w:r w:rsidRPr="008B74CC">
              <w:rPr>
                <w:rFonts w:ascii="Times New Roman" w:hAnsi="Times New Roman" w:cs="Times New Roman"/>
                <w:b/>
                <w:bCs/>
                <w:sz w:val="18"/>
                <w:szCs w:val="18"/>
              </w:rPr>
              <w:t>Figure 4.2.7. Tolerance of the (p)ppGpp</w:t>
            </w:r>
            <w:r w:rsidRPr="008B74CC">
              <w:rPr>
                <w:rFonts w:ascii="Times New Roman" w:hAnsi="Times New Roman" w:cs="Times New Roman"/>
                <w:b/>
                <w:bCs/>
                <w:sz w:val="18"/>
                <w:szCs w:val="18"/>
                <w:vertAlign w:val="superscript"/>
              </w:rPr>
              <w:t xml:space="preserve">0 </w:t>
            </w:r>
            <w:r w:rsidRPr="008B74CC">
              <w:rPr>
                <w:rFonts w:ascii="Times New Roman" w:hAnsi="Times New Roman" w:cs="Times New Roman"/>
                <w:b/>
                <w:bCs/>
                <w:sz w:val="18"/>
                <w:szCs w:val="18"/>
              </w:rPr>
              <w:t xml:space="preserve">mutant to reactive oxygen species found within professional phagocytes is reduced in comparison to WT. </w:t>
            </w:r>
            <w:r w:rsidRPr="008B74CC">
              <w:rPr>
                <w:rFonts w:ascii="Times New Roman" w:hAnsi="Times New Roman" w:cs="Times New Roman"/>
                <w:sz w:val="18"/>
                <w:szCs w:val="18"/>
              </w:rPr>
              <w:t>JE2 WT (black) and (p)ppGpp</w:t>
            </w:r>
            <w:r w:rsidRPr="008B74CC">
              <w:rPr>
                <w:rFonts w:ascii="Times New Roman" w:hAnsi="Times New Roman" w:cs="Times New Roman"/>
                <w:sz w:val="18"/>
                <w:szCs w:val="18"/>
                <w:vertAlign w:val="superscript"/>
              </w:rPr>
              <w:t>0</w:t>
            </w:r>
            <w:r w:rsidRPr="008B74CC">
              <w:rPr>
                <w:rFonts w:ascii="Times New Roman" w:hAnsi="Times New Roman" w:cs="Times New Roman"/>
                <w:sz w:val="18"/>
                <w:szCs w:val="18"/>
              </w:rPr>
              <w:t xml:space="preserve"> (pink) were grown to early exponential phase (approximately OD</w:t>
            </w:r>
            <w:r w:rsidRPr="008B74CC">
              <w:rPr>
                <w:rFonts w:ascii="Times New Roman" w:hAnsi="Times New Roman" w:cs="Times New Roman"/>
                <w:sz w:val="18"/>
                <w:szCs w:val="18"/>
                <w:vertAlign w:val="subscript"/>
              </w:rPr>
              <w:t xml:space="preserve">600 </w:t>
            </w:r>
            <w:r w:rsidRPr="008B74CC">
              <w:rPr>
                <w:rFonts w:ascii="Times New Roman" w:hAnsi="Times New Roman" w:cs="Times New Roman"/>
                <w:sz w:val="18"/>
                <w:szCs w:val="18"/>
              </w:rPr>
              <w:t xml:space="preserve">0.35) in TSB and were subsequently washed twice in 1 x PBS. </w:t>
            </w:r>
            <w:r w:rsidRPr="008B74CC">
              <w:rPr>
                <w:rFonts w:ascii="Times New Roman" w:hAnsi="Times New Roman" w:cs="Times New Roman"/>
                <w:b/>
                <w:bCs/>
                <w:sz w:val="18"/>
                <w:szCs w:val="18"/>
              </w:rPr>
              <w:t>(a)</w:t>
            </w:r>
            <w:r w:rsidRPr="008B74CC">
              <w:rPr>
                <w:rFonts w:ascii="Times New Roman" w:hAnsi="Times New Roman" w:cs="Times New Roman"/>
                <w:sz w:val="18"/>
                <w:szCs w:val="18"/>
              </w:rPr>
              <w:t xml:space="preserve"> Hydrogen peroxide (H</w:t>
            </w:r>
            <w:r w:rsidRPr="008B74CC">
              <w:rPr>
                <w:rFonts w:ascii="Times New Roman" w:hAnsi="Times New Roman" w:cs="Times New Roman"/>
                <w:sz w:val="18"/>
                <w:szCs w:val="18"/>
                <w:vertAlign w:val="subscript"/>
              </w:rPr>
              <w:t>2</w:t>
            </w:r>
            <w:r w:rsidRPr="008B74CC">
              <w:rPr>
                <w:rFonts w:ascii="Times New Roman" w:hAnsi="Times New Roman" w:cs="Times New Roman"/>
                <w:sz w:val="18"/>
                <w:szCs w:val="18"/>
              </w:rPr>
              <w:t>O</w:t>
            </w:r>
            <w:r w:rsidRPr="008B74CC">
              <w:rPr>
                <w:rFonts w:ascii="Times New Roman" w:hAnsi="Times New Roman" w:cs="Times New Roman"/>
                <w:sz w:val="18"/>
                <w:szCs w:val="18"/>
                <w:vertAlign w:val="subscript"/>
              </w:rPr>
              <w:t>2</w:t>
            </w:r>
            <w:r w:rsidRPr="008B74CC">
              <w:rPr>
                <w:rFonts w:ascii="Times New Roman" w:hAnsi="Times New Roman" w:cs="Times New Roman"/>
                <w:sz w:val="18"/>
                <w:szCs w:val="18"/>
              </w:rPr>
              <w:t>)</w:t>
            </w:r>
            <w:r w:rsidRPr="008B74CC">
              <w:rPr>
                <w:rFonts w:ascii="Times New Roman" w:hAnsi="Times New Roman" w:cs="Times New Roman"/>
                <w:sz w:val="18"/>
                <w:szCs w:val="18"/>
                <w:vertAlign w:val="subscript"/>
              </w:rPr>
              <w:t xml:space="preserve"> </w:t>
            </w:r>
            <w:r w:rsidRPr="008B74CC">
              <w:rPr>
                <w:rFonts w:ascii="Times New Roman" w:hAnsi="Times New Roman" w:cs="Times New Roman"/>
                <w:sz w:val="18"/>
                <w:szCs w:val="18"/>
              </w:rPr>
              <w:t xml:space="preserve">was added at 100 mM and </w:t>
            </w:r>
            <w:r w:rsidRPr="008B74CC">
              <w:rPr>
                <w:rFonts w:ascii="Times New Roman" w:hAnsi="Times New Roman" w:cs="Times New Roman"/>
                <w:b/>
                <w:bCs/>
                <w:sz w:val="18"/>
                <w:szCs w:val="18"/>
              </w:rPr>
              <w:t>(b)</w:t>
            </w:r>
            <w:r w:rsidRPr="008B74CC">
              <w:rPr>
                <w:rFonts w:ascii="Times New Roman" w:hAnsi="Times New Roman" w:cs="Times New Roman"/>
                <w:sz w:val="18"/>
                <w:szCs w:val="18"/>
              </w:rPr>
              <w:t xml:space="preserve"> hypochlorous acid (HOCl) at 32 </w:t>
            </w:r>
            <w:r w:rsidRPr="008B74CC">
              <w:rPr>
                <w:rFonts w:ascii="Times New Roman" w:hAnsi="Times New Roman" w:cs="Times New Roman"/>
                <w:sz w:val="18"/>
                <w:szCs w:val="18"/>
                <w:lang w:val="el-GR"/>
              </w:rPr>
              <w:t>μ</w:t>
            </w:r>
            <w:r w:rsidRPr="008B74CC">
              <w:rPr>
                <w:rFonts w:ascii="Times New Roman" w:hAnsi="Times New Roman" w:cs="Times New Roman"/>
                <w:sz w:val="18"/>
                <w:szCs w:val="18"/>
              </w:rPr>
              <w:t xml:space="preserve">M and the cultures were incubated at 37 ˚C for 1 hour after which samples were taken for CFU/ml determination. Percentage bacterial survival with mean and standard deviation plotted. Statistical analysis performed using Mann-Whitney test. </w:t>
            </w:r>
            <w:r w:rsidRPr="008B74CC">
              <w:rPr>
                <w:rFonts w:ascii="Times New Roman" w:hAnsi="Times New Roman" w:cs="Times New Roman"/>
                <w:i/>
                <w:iCs/>
                <w:sz w:val="18"/>
                <w:szCs w:val="18"/>
              </w:rPr>
              <w:t>* P &lt;</w:t>
            </w:r>
            <w:r w:rsidRPr="008B74CC">
              <w:rPr>
                <w:rFonts w:ascii="Times New Roman" w:hAnsi="Times New Roman" w:cs="Times New Roman"/>
                <w:sz w:val="18"/>
                <w:szCs w:val="18"/>
              </w:rPr>
              <w:t xml:space="preserve"> 0.05, ** </w:t>
            </w:r>
            <w:r w:rsidRPr="008B74CC">
              <w:rPr>
                <w:rFonts w:ascii="Times New Roman" w:hAnsi="Times New Roman" w:cs="Times New Roman"/>
                <w:i/>
                <w:iCs/>
                <w:sz w:val="18"/>
                <w:szCs w:val="18"/>
              </w:rPr>
              <w:t xml:space="preserve">P &lt; </w:t>
            </w:r>
            <w:r w:rsidRPr="008B74CC">
              <w:rPr>
                <w:rFonts w:ascii="Times New Roman" w:hAnsi="Times New Roman" w:cs="Times New Roman"/>
                <w:sz w:val="18"/>
                <w:szCs w:val="18"/>
              </w:rPr>
              <w:t xml:space="preserve">0.01. </w:t>
            </w:r>
          </w:p>
        </w:tc>
      </w:tr>
    </w:tbl>
    <w:p w14:paraId="07F491FD" w14:textId="77777777" w:rsidR="00187693" w:rsidRPr="00C45D97" w:rsidRDefault="00187693" w:rsidP="00187693">
      <w:pPr>
        <w:spacing w:line="360" w:lineRule="auto"/>
        <w:ind w:firstLine="720"/>
        <w:jc w:val="both"/>
        <w:rPr>
          <w:rFonts w:ascii="Times New Roman" w:hAnsi="Times New Roman" w:cs="Times New Roman"/>
        </w:rPr>
      </w:pPr>
    </w:p>
    <w:p w14:paraId="4C9139E7" w14:textId="77777777" w:rsidR="00187693" w:rsidRPr="001D6488" w:rsidRDefault="00187693" w:rsidP="00187693">
      <w:pPr>
        <w:pStyle w:val="Heading3"/>
      </w:pPr>
      <w:bookmarkStart w:id="150" w:name="_Toc142043645"/>
      <w:r>
        <w:t>4.2.4. The effect of (p)ppGpp overproduction on the tolerance of JE2 WT and (p)ppGpp</w:t>
      </w:r>
      <w:r>
        <w:rPr>
          <w:vertAlign w:val="superscript"/>
        </w:rPr>
        <w:t>0</w:t>
      </w:r>
      <w:r>
        <w:rPr>
          <w:i/>
          <w:iCs/>
        </w:rPr>
        <w:t xml:space="preserve"> in vitro</w:t>
      </w:r>
      <w:bookmarkEnd w:id="150"/>
    </w:p>
    <w:p w14:paraId="7A672616" w14:textId="77777777" w:rsidR="00187693" w:rsidRDefault="00187693" w:rsidP="00187693"/>
    <w:p w14:paraId="622D0BA8" w14:textId="7D40A8C2" w:rsidR="00187693" w:rsidRPr="008D4D36" w:rsidRDefault="00187693" w:rsidP="00187693">
      <w:pPr>
        <w:spacing w:line="360" w:lineRule="auto"/>
        <w:jc w:val="both"/>
        <w:rPr>
          <w:rFonts w:ascii="Times New Roman" w:hAnsi="Times New Roman" w:cs="Times New Roman"/>
          <w:i/>
          <w:iCs/>
        </w:rPr>
      </w:pPr>
      <w:r>
        <w:rPr>
          <w:rFonts w:ascii="Times New Roman" w:hAnsi="Times New Roman" w:cs="Times New Roman"/>
        </w:rPr>
        <w:t xml:space="preserve">Mutations resulting in the overproduction of (p)ppGpp have previously been identified in a clinical </w:t>
      </w:r>
      <w:r w:rsidR="0037689D">
        <w:rPr>
          <w:rFonts w:ascii="Times New Roman" w:hAnsi="Times New Roman" w:cs="Times New Roman"/>
          <w:i/>
          <w:iCs/>
        </w:rPr>
        <w:t>S.</w:t>
      </w:r>
      <w:r w:rsidRPr="0037689D">
        <w:rPr>
          <w:rFonts w:ascii="Times New Roman" w:hAnsi="Times New Roman" w:cs="Times New Roman"/>
          <w:i/>
          <w:iCs/>
        </w:rPr>
        <w:t xml:space="preserve"> aureus</w:t>
      </w:r>
      <w:r>
        <w:rPr>
          <w:rFonts w:ascii="Times New Roman" w:hAnsi="Times New Roman" w:cs="Times New Roman"/>
        </w:rPr>
        <w:t xml:space="preserve"> strain isolated from a patient with a persistent infection that was not responding to antibiotic therapy </w:t>
      </w:r>
      <w:r w:rsidRPr="00126B7D">
        <w:rPr>
          <w:rFonts w:ascii="Times New Roman" w:hAnsi="Times New Roman" w:cs="Times New Roman"/>
          <w:b/>
          <w:bCs/>
        </w:rPr>
        <w:fldChar w:fldCharType="begin"/>
      </w:r>
      <w:r w:rsidRPr="00126B7D">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2010)&lt;/DisplayText&gt;&lt;record&gt;&lt;dates&gt;&lt;pub-dates&gt;&lt;date&gt;Jun&lt;/date&gt;&lt;/pub-dates&gt;&lt;year&gt;2010&lt;/year&gt;&lt;/dates&gt;&lt;urls&gt;&lt;related-urls&gt;&lt;url&gt;&amp;lt;Go to ISI&amp;gt;://WOS:000279806300018&lt;/url&gt;&lt;/related-urls&gt;&lt;/urls&gt;&lt;isbn&gt;1553-7366&lt;/isbn&gt;&lt;titles&gt;&lt;title&gt;Two Novel Point Mutations in Clinical Staphylococcus aureus Reduce Linezolid Susceptibility and Switch on the Stringent Response to Promote Persistent Infection&lt;/title&gt;&lt;secondary-title&gt;Plos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format="utc"&gt;1663624413&lt;/last-updated-date&gt;&lt;accession-num&gt;WOS:000279806300018&lt;/accession-num&gt;&lt;electronic-resource-num&gt;10.1371/journal.ppat.1000944&lt;/electronic-resource-num&gt;&lt;volume&gt;6&lt;/volume&gt;&lt;/record&gt;&lt;/Cite&gt;&lt;/EndNote&gt;</w:instrText>
      </w:r>
      <w:r w:rsidRPr="00126B7D">
        <w:rPr>
          <w:rFonts w:ascii="Times New Roman" w:hAnsi="Times New Roman" w:cs="Times New Roman"/>
          <w:b/>
          <w:bCs/>
        </w:rPr>
        <w:fldChar w:fldCharType="separate"/>
      </w:r>
      <w:r w:rsidRPr="00126B7D">
        <w:rPr>
          <w:rFonts w:ascii="Times New Roman" w:hAnsi="Times New Roman" w:cs="Times New Roman"/>
          <w:b/>
          <w:bCs/>
          <w:noProof/>
        </w:rPr>
        <w:t>(Gao</w:t>
      </w:r>
      <w:r w:rsidRPr="00126B7D">
        <w:rPr>
          <w:rFonts w:ascii="Times New Roman" w:hAnsi="Times New Roman" w:cs="Times New Roman"/>
          <w:b/>
          <w:bCs/>
          <w:i/>
          <w:noProof/>
        </w:rPr>
        <w:t xml:space="preserve"> et al.</w:t>
      </w:r>
      <w:r w:rsidRPr="00126B7D">
        <w:rPr>
          <w:rFonts w:ascii="Times New Roman" w:hAnsi="Times New Roman" w:cs="Times New Roman"/>
          <w:b/>
          <w:bCs/>
          <w:noProof/>
        </w:rPr>
        <w:t>, 2010)</w:t>
      </w:r>
      <w:r w:rsidRPr="00126B7D">
        <w:rPr>
          <w:rFonts w:ascii="Times New Roman" w:hAnsi="Times New Roman" w:cs="Times New Roman"/>
          <w:b/>
          <w:bCs/>
        </w:rPr>
        <w:fldChar w:fldCharType="end"/>
      </w:r>
      <w:r>
        <w:rPr>
          <w:rFonts w:ascii="Times New Roman" w:hAnsi="Times New Roman" w:cs="Times New Roman"/>
        </w:rPr>
        <w:t xml:space="preserve">. This highlights the benefits of (p)ppGpp overproduction for the survival of </w:t>
      </w:r>
      <w:r>
        <w:rPr>
          <w:rFonts w:ascii="Times New Roman" w:hAnsi="Times New Roman" w:cs="Times New Roman"/>
          <w:i/>
          <w:iCs/>
        </w:rPr>
        <w:t>S. aureus</w:t>
      </w:r>
      <w:r w:rsidRPr="00C45D97">
        <w:rPr>
          <w:rFonts w:ascii="Times New Roman" w:hAnsi="Times New Roman" w:cs="Times New Roman"/>
        </w:rPr>
        <w:t xml:space="preserve">. </w:t>
      </w:r>
      <w:r>
        <w:rPr>
          <w:rFonts w:ascii="Times New Roman" w:hAnsi="Times New Roman" w:cs="Times New Roman"/>
        </w:rPr>
        <w:t xml:space="preserve">As (p)ppGpp acts to aid bacteria in surviving stresses such as nutrient limitation, excess (p)ppGpp may serve to provide enhanced protection that may explain why acquiring an HD domain mutation is favourable during persistence. However, toxic accumulation is also a possibility which may be detrimental for survival of </w:t>
      </w:r>
      <w:r>
        <w:rPr>
          <w:rFonts w:ascii="Times New Roman" w:hAnsi="Times New Roman" w:cs="Times New Roman"/>
          <w:i/>
          <w:iCs/>
        </w:rPr>
        <w:t>S. aureus</w:t>
      </w:r>
      <w:r>
        <w:rPr>
          <w:rFonts w:ascii="Times New Roman" w:hAnsi="Times New Roman" w:cs="Times New Roman"/>
        </w:rPr>
        <w:t xml:space="preserve">. </w:t>
      </w:r>
      <w:r w:rsidRPr="00C45D97">
        <w:rPr>
          <w:rFonts w:ascii="Times New Roman" w:hAnsi="Times New Roman" w:cs="Times New Roman"/>
        </w:rPr>
        <w:t xml:space="preserve">Thus, investigating how (p)ppGpp overproduction affects the tolerance of </w:t>
      </w:r>
      <w:r w:rsidRPr="001D6488">
        <w:rPr>
          <w:rFonts w:ascii="Times New Roman" w:hAnsi="Times New Roman" w:cs="Times New Roman"/>
          <w:i/>
          <w:iCs/>
        </w:rPr>
        <w:t>S. aureus</w:t>
      </w:r>
      <w:r w:rsidRPr="00C45D97">
        <w:rPr>
          <w:rFonts w:ascii="Times New Roman" w:hAnsi="Times New Roman" w:cs="Times New Roman"/>
        </w:rPr>
        <w:t xml:space="preserve"> to itaconic acid, </w:t>
      </w:r>
      <w:bookmarkStart w:id="151" w:name="_Hlk125583085"/>
      <w:r w:rsidRPr="00C45D97">
        <w:rPr>
          <w:rFonts w:ascii="Times New Roman" w:hAnsi="Times New Roman" w:cs="Times New Roman"/>
        </w:rPr>
        <w:t>H</w:t>
      </w:r>
      <w:r w:rsidRPr="00661756">
        <w:rPr>
          <w:rFonts w:ascii="Times New Roman" w:hAnsi="Times New Roman" w:cs="Times New Roman"/>
          <w:vertAlign w:val="subscript"/>
        </w:rPr>
        <w:t>2</w:t>
      </w:r>
      <w:r w:rsidRPr="00C45D97">
        <w:rPr>
          <w:rFonts w:ascii="Times New Roman" w:hAnsi="Times New Roman" w:cs="Times New Roman"/>
        </w:rPr>
        <w:t>O</w:t>
      </w:r>
      <w:r w:rsidRPr="00661756">
        <w:rPr>
          <w:rFonts w:ascii="Times New Roman" w:hAnsi="Times New Roman" w:cs="Times New Roman"/>
          <w:vertAlign w:val="subscript"/>
        </w:rPr>
        <w:t>2</w:t>
      </w:r>
      <w:r w:rsidRPr="00C45D97">
        <w:rPr>
          <w:rFonts w:ascii="Times New Roman" w:hAnsi="Times New Roman" w:cs="Times New Roman"/>
        </w:rPr>
        <w:t xml:space="preserve"> and HOCl</w:t>
      </w:r>
      <w:bookmarkEnd w:id="151"/>
      <w:r>
        <w:rPr>
          <w:rFonts w:ascii="Times New Roman" w:hAnsi="Times New Roman" w:cs="Times New Roman"/>
        </w:rPr>
        <w:t xml:space="preserve"> was of interest. Here, the JE2 pALC2073-</w:t>
      </w:r>
      <w:r>
        <w:rPr>
          <w:rFonts w:ascii="Times New Roman" w:hAnsi="Times New Roman" w:cs="Times New Roman"/>
          <w:i/>
          <w:iCs/>
        </w:rPr>
        <w:t>relQ</w:t>
      </w:r>
      <w:r>
        <w:rPr>
          <w:rFonts w:ascii="Times New Roman" w:hAnsi="Times New Roman" w:cs="Times New Roman"/>
        </w:rPr>
        <w:t xml:space="preserve"> (p)ppGpp overproduction strain was utilised. For all stressors, the overproduction of (p)ppGpp led to an increase in tolerance in comparison to the JE2 empty vector strain, with a more pronounced phenotype observed when exposed to itaconic acid and HOCl </w:t>
      </w:r>
      <w:r>
        <w:rPr>
          <w:rFonts w:ascii="Times New Roman" w:hAnsi="Times New Roman" w:cs="Times New Roman"/>
          <w:b/>
          <w:bCs/>
        </w:rPr>
        <w:t>(Fig. 4.</w:t>
      </w:r>
      <w:r w:rsidR="00EA16F8">
        <w:rPr>
          <w:rFonts w:ascii="Times New Roman" w:hAnsi="Times New Roman" w:cs="Times New Roman"/>
          <w:b/>
          <w:bCs/>
        </w:rPr>
        <w:t>2</w:t>
      </w:r>
      <w:r>
        <w:rPr>
          <w:rFonts w:ascii="Times New Roman" w:hAnsi="Times New Roman" w:cs="Times New Roman"/>
          <w:b/>
          <w:bCs/>
        </w:rPr>
        <w:t>.</w:t>
      </w:r>
      <w:r w:rsidR="00EA16F8">
        <w:rPr>
          <w:rFonts w:ascii="Times New Roman" w:hAnsi="Times New Roman" w:cs="Times New Roman"/>
          <w:b/>
          <w:bCs/>
        </w:rPr>
        <w:t>8</w:t>
      </w:r>
      <w:r>
        <w:rPr>
          <w:rFonts w:ascii="Times New Roman" w:hAnsi="Times New Roman" w:cs="Times New Roman"/>
          <w:b/>
          <w:bCs/>
        </w:rPr>
        <w:t>)</w:t>
      </w:r>
      <w:r>
        <w:rPr>
          <w:rFonts w:ascii="Times New Roman" w:hAnsi="Times New Roman" w:cs="Times New Roman"/>
        </w:rPr>
        <w:t xml:space="preserve">. These results indicate that surplus (p)ppGpp has a protective effect </w:t>
      </w:r>
      <w:r>
        <w:rPr>
          <w:rFonts w:ascii="Times New Roman" w:hAnsi="Times New Roman" w:cs="Times New Roman"/>
          <w:i/>
          <w:iCs/>
        </w:rPr>
        <w:t>in vitro</w:t>
      </w:r>
      <w:r>
        <w:rPr>
          <w:rFonts w:ascii="Times New Roman" w:hAnsi="Times New Roman" w:cs="Times New Roman"/>
        </w:rPr>
        <w:t xml:space="preserve"> and contributes to the tolerance of </w:t>
      </w:r>
      <w:r>
        <w:rPr>
          <w:rFonts w:ascii="Times New Roman" w:hAnsi="Times New Roman" w:cs="Times New Roman"/>
          <w:i/>
          <w:iCs/>
        </w:rPr>
        <w:t xml:space="preserve">S. aureus </w:t>
      </w:r>
      <w:r>
        <w:rPr>
          <w:rFonts w:ascii="Times New Roman" w:hAnsi="Times New Roman" w:cs="Times New Roman"/>
        </w:rPr>
        <w:t xml:space="preserve">to itaconic acid, </w:t>
      </w:r>
      <w:r w:rsidRPr="00C45D97">
        <w:rPr>
          <w:rFonts w:ascii="Times New Roman" w:hAnsi="Times New Roman" w:cs="Times New Roman"/>
        </w:rPr>
        <w:t>H</w:t>
      </w:r>
      <w:r w:rsidRPr="00661756">
        <w:rPr>
          <w:rFonts w:ascii="Times New Roman" w:hAnsi="Times New Roman" w:cs="Times New Roman"/>
          <w:vertAlign w:val="subscript"/>
        </w:rPr>
        <w:t>2</w:t>
      </w:r>
      <w:r w:rsidRPr="00C45D97">
        <w:rPr>
          <w:rFonts w:ascii="Times New Roman" w:hAnsi="Times New Roman" w:cs="Times New Roman"/>
        </w:rPr>
        <w:t>O</w:t>
      </w:r>
      <w:r w:rsidRPr="00661756">
        <w:rPr>
          <w:rFonts w:ascii="Times New Roman" w:hAnsi="Times New Roman" w:cs="Times New Roman"/>
          <w:vertAlign w:val="subscript"/>
        </w:rPr>
        <w:t>2</w:t>
      </w:r>
      <w:r w:rsidRPr="00C45D97">
        <w:rPr>
          <w:rFonts w:ascii="Times New Roman" w:hAnsi="Times New Roman" w:cs="Times New Roman"/>
        </w:rPr>
        <w:t xml:space="preserve"> and HOCl</w:t>
      </w:r>
      <w:r>
        <w:rPr>
          <w:rFonts w:ascii="Times New Roman" w:hAnsi="Times New Roman" w:cs="Times New Roman"/>
          <w:i/>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2B89A937" w14:textId="77777777" w:rsidTr="00A74445">
        <w:tc>
          <w:tcPr>
            <w:tcW w:w="9016" w:type="dxa"/>
          </w:tcPr>
          <w:p w14:paraId="75251AFF"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558D9A8" wp14:editId="4CA2D3DA">
                  <wp:extent cx="5535123" cy="7017488"/>
                  <wp:effectExtent l="0" t="0" r="0" b="0"/>
                  <wp:docPr id="15" name="Picture 1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5481" cy="7030620"/>
                          </a:xfrm>
                          <a:prstGeom prst="rect">
                            <a:avLst/>
                          </a:prstGeom>
                          <a:noFill/>
                        </pic:spPr>
                      </pic:pic>
                    </a:graphicData>
                  </a:graphic>
                </wp:inline>
              </w:drawing>
            </w:r>
          </w:p>
        </w:tc>
      </w:tr>
      <w:tr w:rsidR="00187693" w14:paraId="097810D1" w14:textId="77777777" w:rsidTr="00A74445">
        <w:tc>
          <w:tcPr>
            <w:tcW w:w="9016" w:type="dxa"/>
          </w:tcPr>
          <w:p w14:paraId="5B2D7121" w14:textId="77777777" w:rsidR="00187693" w:rsidRPr="008D4D36" w:rsidRDefault="00187693" w:rsidP="00A74445">
            <w:pPr>
              <w:jc w:val="both"/>
              <w:rPr>
                <w:rFonts w:ascii="Times New Roman" w:hAnsi="Times New Roman" w:cs="Times New Roman"/>
                <w:b/>
                <w:bCs/>
                <w:sz w:val="18"/>
                <w:szCs w:val="18"/>
              </w:rPr>
            </w:pPr>
            <w:r w:rsidRPr="008D4D36">
              <w:rPr>
                <w:rFonts w:ascii="Times New Roman" w:hAnsi="Times New Roman" w:cs="Times New Roman"/>
                <w:b/>
                <w:bCs/>
                <w:sz w:val="18"/>
                <w:szCs w:val="18"/>
              </w:rPr>
              <w:t xml:space="preserve">Figure 4.2.8. Tolerance of </w:t>
            </w:r>
            <w:r w:rsidRPr="008D4D36">
              <w:rPr>
                <w:rFonts w:ascii="Times New Roman" w:hAnsi="Times New Roman" w:cs="Times New Roman"/>
                <w:b/>
                <w:bCs/>
                <w:i/>
                <w:iCs/>
                <w:sz w:val="18"/>
                <w:szCs w:val="18"/>
              </w:rPr>
              <w:t xml:space="preserve">S. aureus </w:t>
            </w:r>
            <w:r w:rsidRPr="008D4D36">
              <w:rPr>
                <w:rFonts w:ascii="Times New Roman" w:hAnsi="Times New Roman" w:cs="Times New Roman"/>
                <w:b/>
                <w:bCs/>
                <w:sz w:val="18"/>
                <w:szCs w:val="18"/>
              </w:rPr>
              <w:t xml:space="preserve">to stressors found within professional phagocytes is increased in the presence of surplus (p)ppGpp. </w:t>
            </w:r>
            <w:r w:rsidRPr="008D4D36">
              <w:rPr>
                <w:rFonts w:ascii="Times New Roman" w:hAnsi="Times New Roman" w:cs="Times New Roman"/>
                <w:sz w:val="18"/>
                <w:szCs w:val="18"/>
              </w:rPr>
              <w:t>JE2 pALC2073 (black) and JE2 pALC2073-</w:t>
            </w:r>
            <w:r w:rsidRPr="008D4D36">
              <w:rPr>
                <w:rFonts w:ascii="Times New Roman" w:hAnsi="Times New Roman" w:cs="Times New Roman"/>
                <w:i/>
                <w:iCs/>
                <w:sz w:val="18"/>
                <w:szCs w:val="18"/>
              </w:rPr>
              <w:t>relQ</w:t>
            </w:r>
            <w:r w:rsidRPr="008D4D36">
              <w:rPr>
                <w:rFonts w:ascii="Times New Roman" w:hAnsi="Times New Roman" w:cs="Times New Roman"/>
                <w:sz w:val="18"/>
                <w:szCs w:val="18"/>
              </w:rPr>
              <w:t xml:space="preserve"> (orange) were grown to early exponential phase (approximately OD</w:t>
            </w:r>
            <w:r w:rsidRPr="008D4D36">
              <w:rPr>
                <w:rFonts w:ascii="Times New Roman" w:hAnsi="Times New Roman" w:cs="Times New Roman"/>
                <w:sz w:val="18"/>
                <w:szCs w:val="18"/>
                <w:vertAlign w:val="subscript"/>
              </w:rPr>
              <w:t xml:space="preserve">600 </w:t>
            </w:r>
            <w:r w:rsidRPr="008D4D36">
              <w:rPr>
                <w:rFonts w:ascii="Times New Roman" w:hAnsi="Times New Roman" w:cs="Times New Roman"/>
                <w:sz w:val="18"/>
                <w:szCs w:val="18"/>
              </w:rPr>
              <w:t xml:space="preserve">0.35) in TSB with chloramphenicol (10 </w:t>
            </w:r>
            <w:r w:rsidRPr="008D4D36">
              <w:rPr>
                <w:rFonts w:ascii="Times New Roman" w:hAnsi="Times New Roman" w:cs="Times New Roman"/>
                <w:sz w:val="18"/>
                <w:szCs w:val="18"/>
                <w:lang w:val="el-GR"/>
              </w:rPr>
              <w:t>μ</w:t>
            </w:r>
            <w:r w:rsidRPr="008D4D36">
              <w:rPr>
                <w:rFonts w:ascii="Times New Roman" w:hAnsi="Times New Roman" w:cs="Times New Roman"/>
                <w:sz w:val="18"/>
                <w:szCs w:val="18"/>
              </w:rPr>
              <w:t>g/ml) and Atc (50 ng/ml) which were used to maintain the plasmid and induce expression of the plasmid respectively. Cultures were subsequently</w:t>
            </w:r>
            <w:r w:rsidRPr="008D4D36">
              <w:rPr>
                <w:rFonts w:ascii="Times New Roman" w:hAnsi="Times New Roman" w:cs="Times New Roman"/>
                <w:b/>
                <w:bCs/>
                <w:sz w:val="18"/>
                <w:szCs w:val="18"/>
              </w:rPr>
              <w:t xml:space="preserve"> </w:t>
            </w:r>
            <w:r w:rsidRPr="008D4D36">
              <w:rPr>
                <w:rFonts w:ascii="Times New Roman" w:hAnsi="Times New Roman" w:cs="Times New Roman"/>
                <w:sz w:val="18"/>
                <w:szCs w:val="18"/>
              </w:rPr>
              <w:t xml:space="preserve">washed twice in 1 x PBS and exposed to 20 mM itaconic acid </w:t>
            </w:r>
            <w:r w:rsidRPr="008D4D36">
              <w:rPr>
                <w:rFonts w:ascii="Times New Roman" w:hAnsi="Times New Roman" w:cs="Times New Roman"/>
                <w:b/>
                <w:bCs/>
                <w:sz w:val="18"/>
                <w:szCs w:val="18"/>
              </w:rPr>
              <w:t>(a)</w:t>
            </w:r>
            <w:r>
              <w:rPr>
                <w:rFonts w:ascii="Times New Roman" w:hAnsi="Times New Roman" w:cs="Times New Roman"/>
                <w:sz w:val="18"/>
                <w:szCs w:val="18"/>
              </w:rPr>
              <w:t>,</w:t>
            </w:r>
            <w:r w:rsidRPr="008D4D36">
              <w:rPr>
                <w:rFonts w:ascii="Times New Roman" w:hAnsi="Times New Roman" w:cs="Times New Roman"/>
                <w:sz w:val="18"/>
                <w:szCs w:val="18"/>
              </w:rPr>
              <w:t xml:space="preserve"> 100 mM H</w:t>
            </w:r>
            <w:r w:rsidRPr="008D4D36">
              <w:rPr>
                <w:rFonts w:ascii="Times New Roman" w:hAnsi="Times New Roman" w:cs="Times New Roman"/>
                <w:sz w:val="18"/>
                <w:szCs w:val="18"/>
                <w:vertAlign w:val="subscript"/>
              </w:rPr>
              <w:t>2</w:t>
            </w:r>
            <w:r w:rsidRPr="008D4D36">
              <w:rPr>
                <w:rFonts w:ascii="Times New Roman" w:hAnsi="Times New Roman" w:cs="Times New Roman"/>
                <w:sz w:val="18"/>
                <w:szCs w:val="18"/>
              </w:rPr>
              <w:t>O</w:t>
            </w:r>
            <w:r w:rsidRPr="008D4D36">
              <w:rPr>
                <w:rFonts w:ascii="Times New Roman" w:hAnsi="Times New Roman" w:cs="Times New Roman"/>
                <w:sz w:val="18"/>
                <w:szCs w:val="18"/>
                <w:vertAlign w:val="subscript"/>
              </w:rPr>
              <w:t>2</w:t>
            </w:r>
            <w:r w:rsidRPr="008D4D36">
              <w:rPr>
                <w:rFonts w:ascii="Times New Roman" w:hAnsi="Times New Roman" w:cs="Times New Roman"/>
                <w:sz w:val="18"/>
                <w:szCs w:val="18"/>
              </w:rPr>
              <w:t xml:space="preserve"> </w:t>
            </w:r>
            <w:r w:rsidRPr="008D4D36">
              <w:rPr>
                <w:rFonts w:ascii="Times New Roman" w:hAnsi="Times New Roman" w:cs="Times New Roman"/>
                <w:b/>
                <w:bCs/>
                <w:sz w:val="18"/>
                <w:szCs w:val="18"/>
              </w:rPr>
              <w:t>(b)</w:t>
            </w:r>
            <w:r w:rsidRPr="008D4D36">
              <w:rPr>
                <w:rFonts w:ascii="Times New Roman" w:hAnsi="Times New Roman" w:cs="Times New Roman"/>
                <w:sz w:val="18"/>
                <w:szCs w:val="18"/>
              </w:rPr>
              <w:t xml:space="preserve">, and 32 </w:t>
            </w:r>
            <w:r w:rsidRPr="008D4D36">
              <w:rPr>
                <w:rFonts w:ascii="Times New Roman" w:hAnsi="Times New Roman" w:cs="Times New Roman"/>
                <w:sz w:val="18"/>
                <w:szCs w:val="18"/>
                <w:lang w:val="el-GR"/>
              </w:rPr>
              <w:t>μ</w:t>
            </w:r>
            <w:r w:rsidRPr="008D4D36">
              <w:rPr>
                <w:rFonts w:ascii="Times New Roman" w:hAnsi="Times New Roman" w:cs="Times New Roman"/>
                <w:sz w:val="18"/>
                <w:szCs w:val="18"/>
              </w:rPr>
              <w:t xml:space="preserve">M HOCl </w:t>
            </w:r>
            <w:r w:rsidRPr="008D4D36">
              <w:rPr>
                <w:rFonts w:ascii="Times New Roman" w:hAnsi="Times New Roman" w:cs="Times New Roman"/>
                <w:b/>
                <w:bCs/>
                <w:sz w:val="18"/>
                <w:szCs w:val="18"/>
              </w:rPr>
              <w:t>(c)</w:t>
            </w:r>
            <w:r w:rsidRPr="008D4D36">
              <w:rPr>
                <w:rFonts w:ascii="Times New Roman" w:hAnsi="Times New Roman" w:cs="Times New Roman"/>
                <w:sz w:val="18"/>
                <w:szCs w:val="18"/>
              </w:rPr>
              <w:t xml:space="preserve"> </w:t>
            </w:r>
            <w:r>
              <w:rPr>
                <w:rFonts w:ascii="Times New Roman" w:hAnsi="Times New Roman" w:cs="Times New Roman"/>
                <w:sz w:val="18"/>
                <w:szCs w:val="18"/>
              </w:rPr>
              <w:t>in the presence of</w:t>
            </w:r>
            <w:r w:rsidRPr="008D4D36">
              <w:rPr>
                <w:rFonts w:ascii="Times New Roman" w:hAnsi="Times New Roman" w:cs="Times New Roman"/>
                <w:sz w:val="18"/>
                <w:szCs w:val="18"/>
              </w:rPr>
              <w:t xml:space="preserve"> chloramphenicol (10 </w:t>
            </w:r>
            <w:r w:rsidRPr="008D4D36">
              <w:rPr>
                <w:rFonts w:ascii="Times New Roman" w:hAnsi="Times New Roman" w:cs="Times New Roman"/>
                <w:sz w:val="18"/>
                <w:szCs w:val="18"/>
                <w:lang w:val="el-GR"/>
              </w:rPr>
              <w:t>μ</w:t>
            </w:r>
            <w:r w:rsidRPr="008D4D36">
              <w:rPr>
                <w:rFonts w:ascii="Times New Roman" w:hAnsi="Times New Roman" w:cs="Times New Roman"/>
                <w:sz w:val="18"/>
                <w:szCs w:val="18"/>
              </w:rPr>
              <w:t xml:space="preserve">g/ml) and Atc (50 ng/ml). After introduction of each stressor, the cultures were incubated at 37˚C for 30 minutes after which samples were taken for CFU/ml determination. Percentage bacterial survival with mean and standard deviation </w:t>
            </w:r>
            <w:r>
              <w:rPr>
                <w:rFonts w:ascii="Times New Roman" w:hAnsi="Times New Roman" w:cs="Times New Roman"/>
                <w:sz w:val="18"/>
                <w:szCs w:val="18"/>
              </w:rPr>
              <w:t xml:space="preserve">are </w:t>
            </w:r>
            <w:r w:rsidRPr="008D4D36">
              <w:rPr>
                <w:rFonts w:ascii="Times New Roman" w:hAnsi="Times New Roman" w:cs="Times New Roman"/>
                <w:sz w:val="18"/>
                <w:szCs w:val="18"/>
              </w:rPr>
              <w:t xml:space="preserve">plotted. Statistical analysis performed using Mann-Whitney test. </w:t>
            </w:r>
            <w:r w:rsidRPr="008D4D36">
              <w:rPr>
                <w:rFonts w:ascii="Times New Roman" w:hAnsi="Times New Roman" w:cs="Times New Roman"/>
                <w:i/>
                <w:iCs/>
                <w:sz w:val="18"/>
                <w:szCs w:val="18"/>
              </w:rPr>
              <w:t>* P &lt;</w:t>
            </w:r>
            <w:r w:rsidRPr="008D4D36">
              <w:rPr>
                <w:rFonts w:ascii="Times New Roman" w:hAnsi="Times New Roman" w:cs="Times New Roman"/>
                <w:sz w:val="18"/>
                <w:szCs w:val="18"/>
              </w:rPr>
              <w:t xml:space="preserve"> 0.05, ** </w:t>
            </w:r>
            <w:r w:rsidRPr="008D4D36">
              <w:rPr>
                <w:rFonts w:ascii="Times New Roman" w:hAnsi="Times New Roman" w:cs="Times New Roman"/>
                <w:i/>
                <w:iCs/>
                <w:sz w:val="18"/>
                <w:szCs w:val="18"/>
              </w:rPr>
              <w:t>P &lt;</w:t>
            </w:r>
            <w:r w:rsidRPr="008D4D36">
              <w:rPr>
                <w:rFonts w:ascii="Times New Roman" w:hAnsi="Times New Roman" w:cs="Times New Roman"/>
                <w:sz w:val="18"/>
                <w:szCs w:val="18"/>
              </w:rPr>
              <w:t xml:space="preserve"> 0.01.</w:t>
            </w:r>
          </w:p>
          <w:p w14:paraId="7959EA22" w14:textId="77777777" w:rsidR="00187693" w:rsidRDefault="00187693" w:rsidP="00A74445">
            <w:pPr>
              <w:jc w:val="both"/>
              <w:rPr>
                <w:rFonts w:ascii="Times New Roman" w:hAnsi="Times New Roman" w:cs="Times New Roman"/>
              </w:rPr>
            </w:pPr>
          </w:p>
        </w:tc>
      </w:tr>
    </w:tbl>
    <w:p w14:paraId="5E29DC25" w14:textId="77777777" w:rsidR="00187693" w:rsidRDefault="00187693" w:rsidP="00187693">
      <w:pPr>
        <w:pStyle w:val="Heading3"/>
      </w:pPr>
      <w:bookmarkStart w:id="152" w:name="_Toc142043646"/>
      <w:r>
        <w:t>4.2.5. Determining the contribution of each synthetase to acid and ROS stress</w:t>
      </w:r>
      <w:bookmarkEnd w:id="152"/>
    </w:p>
    <w:p w14:paraId="06EF5674" w14:textId="77777777" w:rsidR="00187693" w:rsidRDefault="00187693" w:rsidP="00187693"/>
    <w:p w14:paraId="26D45FE8" w14:textId="6EB316B4" w:rsidR="00187693" w:rsidRDefault="00187693" w:rsidP="00187693">
      <w:pPr>
        <w:spacing w:line="360" w:lineRule="auto"/>
        <w:jc w:val="both"/>
        <w:rPr>
          <w:rFonts w:ascii="Times New Roman" w:hAnsi="Times New Roman" w:cs="Times New Roman"/>
        </w:rPr>
      </w:pPr>
      <w:r w:rsidRPr="0088041E">
        <w:rPr>
          <w:rFonts w:ascii="Times New Roman" w:hAnsi="Times New Roman" w:cs="Times New Roman"/>
        </w:rPr>
        <w:t xml:space="preserve">The (p)ppGpp synthetases </w:t>
      </w:r>
      <w:r>
        <w:rPr>
          <w:rFonts w:ascii="Times New Roman" w:hAnsi="Times New Roman" w:cs="Times New Roman"/>
        </w:rPr>
        <w:t xml:space="preserve">are </w:t>
      </w:r>
      <w:r w:rsidRPr="0088041E">
        <w:rPr>
          <w:rFonts w:ascii="Times New Roman" w:hAnsi="Times New Roman" w:cs="Times New Roman"/>
        </w:rPr>
        <w:t xml:space="preserve">induced upon different stresses and this can differ between species. In </w:t>
      </w:r>
      <w:r>
        <w:rPr>
          <w:rFonts w:ascii="Times New Roman" w:hAnsi="Times New Roman" w:cs="Times New Roman"/>
          <w:i/>
          <w:iCs/>
        </w:rPr>
        <w:t>E. coli</w:t>
      </w:r>
      <w:r>
        <w:rPr>
          <w:rFonts w:ascii="Times New Roman" w:hAnsi="Times New Roman" w:cs="Times New Roman"/>
        </w:rPr>
        <w:t>,</w:t>
      </w:r>
      <w:r>
        <w:rPr>
          <w:rFonts w:ascii="Times New Roman" w:hAnsi="Times New Roman" w:cs="Times New Roman"/>
          <w:i/>
          <w:iCs/>
        </w:rPr>
        <w:t xml:space="preserve"> </w:t>
      </w:r>
      <w:r w:rsidRPr="0088041E">
        <w:rPr>
          <w:rFonts w:ascii="Times New Roman" w:hAnsi="Times New Roman" w:cs="Times New Roman"/>
        </w:rPr>
        <w:t>RelA</w:t>
      </w:r>
      <w:r>
        <w:rPr>
          <w:rFonts w:ascii="Times New Roman" w:hAnsi="Times New Roman" w:cs="Times New Roman"/>
        </w:rPr>
        <w:t xml:space="preserve"> has multiple promoters </w:t>
      </w:r>
      <w:r w:rsidRPr="0061772E">
        <w:rPr>
          <w:rFonts w:ascii="Times New Roman" w:hAnsi="Times New Roman" w:cs="Times New Roman"/>
        </w:rPr>
        <w:t>P1-4</w:t>
      </w:r>
      <w:r>
        <w:rPr>
          <w:rFonts w:ascii="Times New Roman" w:hAnsi="Times New Roman" w:cs="Times New Roman"/>
        </w:rPr>
        <w:t xml:space="preserve">, from which transcription occurs and these promoters respond to different stresses. For example, while transcription from </w:t>
      </w:r>
      <w:r>
        <w:rPr>
          <w:rFonts w:ascii="Times New Roman" w:hAnsi="Times New Roman" w:cs="Times New Roman"/>
          <w:i/>
          <w:iCs/>
        </w:rPr>
        <w:t>relA</w:t>
      </w:r>
      <w:r w:rsidRPr="0061772E">
        <w:rPr>
          <w:rFonts w:ascii="Times New Roman" w:hAnsi="Times New Roman" w:cs="Times New Roman"/>
        </w:rPr>
        <w:t>P1</w:t>
      </w:r>
      <w:r>
        <w:rPr>
          <w:rFonts w:ascii="Times New Roman" w:hAnsi="Times New Roman" w:cs="Times New Roman"/>
        </w:rPr>
        <w:t xml:space="preserve"> is constitutive, transcription from </w:t>
      </w:r>
      <w:r>
        <w:rPr>
          <w:rFonts w:ascii="Times New Roman" w:hAnsi="Times New Roman" w:cs="Times New Roman"/>
          <w:i/>
          <w:iCs/>
        </w:rPr>
        <w:t>relA</w:t>
      </w:r>
      <w:r>
        <w:rPr>
          <w:rFonts w:ascii="Times New Roman" w:hAnsi="Times New Roman" w:cs="Times New Roman"/>
        </w:rPr>
        <w:t xml:space="preserve">P2 can be induced upon carbon limitation amongst others </w:t>
      </w:r>
      <w:r w:rsidRPr="00E52E99">
        <w:rPr>
          <w:rFonts w:ascii="Times New Roman" w:hAnsi="Times New Roman" w:cs="Times New Roman"/>
          <w:b/>
          <w:bCs/>
        </w:rPr>
        <w:fldChar w:fldCharType="begin"/>
      </w:r>
      <w:r w:rsidRPr="00E52E99">
        <w:rPr>
          <w:rFonts w:ascii="Times New Roman" w:hAnsi="Times New Roman" w:cs="Times New Roman"/>
          <w:b/>
          <w:bCs/>
        </w:rPr>
        <w:instrText xml:space="preserve"> ADDIN EN.CITE &lt;EndNote&gt;&lt;Cite&gt;&lt;Author&gt;Nakagawa&lt;/Author&gt;&lt;Year&gt;2006&lt;/Year&gt;&lt;IDText&gt;Identification and characterization of a second, inducible promoter of relA in Escherichia coli&lt;/IDText&gt;&lt;DisplayText&gt;(Nakagawa, Oshima and Mori, 2006)&lt;/DisplayText&gt;&lt;record&gt;&lt;dates&gt;&lt;pub-dates&gt;&lt;date&gt;Oct&lt;/date&gt;&lt;/pub-dates&gt;&lt;year&gt;2006&lt;/year&gt;&lt;/dates&gt;&lt;urls&gt;&lt;related-urls&gt;&lt;url&gt;&amp;lt;Go to ISI&amp;gt;://WOS:000243847000001&lt;/url&gt;&lt;/related-urls&gt;&lt;/urls&gt;&lt;isbn&gt;1341-7568&lt;/isbn&gt;&lt;work-type&gt;Article&lt;/work-type&gt;&lt;titles&gt;&lt;title&gt;Identification and characterization of a second, inducible promoter of relA in Escherichia coli&lt;/title&gt;&lt;secondary-title&gt;Genes &amp;amp; Genetic Systems&lt;/secondary-title&gt;&lt;/titles&gt;&lt;pages&gt;299-310&lt;/pages&gt;&lt;number&gt;5&lt;/number&gt;&lt;contributors&gt;&lt;authors&gt;&lt;author&gt;Nakagawa, Akira&lt;/author&gt;&lt;author&gt;Oshima, Taku&lt;/author&gt;&lt;author&gt;Mori, Hirotada&lt;/author&gt;&lt;/authors&gt;&lt;/contributors&gt;&lt;added-date format="utc"&gt;1674573391&lt;/added-date&gt;&lt;ref-type name="Journal Article"&gt;17&lt;/ref-type&gt;&lt;rec-number&gt;250&lt;/rec-number&gt;&lt;last-updated-date format="utc"&gt;1674573391&lt;/last-updated-date&gt;&lt;accession-num&gt;WOS:000243847000001&lt;/accession-num&gt;&lt;electronic-resource-num&gt;10.1266/ggs.81.299&lt;/electronic-resource-num&gt;&lt;volume&gt;81&lt;/volume&gt;&lt;/record&gt;&lt;/Cite&gt;&lt;/EndNote&gt;</w:instrText>
      </w:r>
      <w:r w:rsidRPr="00E52E99">
        <w:rPr>
          <w:rFonts w:ascii="Times New Roman" w:hAnsi="Times New Roman" w:cs="Times New Roman"/>
          <w:b/>
          <w:bCs/>
        </w:rPr>
        <w:fldChar w:fldCharType="separate"/>
      </w:r>
      <w:r w:rsidRPr="00E52E99">
        <w:rPr>
          <w:rFonts w:ascii="Times New Roman" w:hAnsi="Times New Roman" w:cs="Times New Roman"/>
          <w:b/>
          <w:bCs/>
          <w:noProof/>
        </w:rPr>
        <w:t>(Nakagawa, Oshima and Mori, 2006)</w:t>
      </w:r>
      <w:r w:rsidRPr="00E52E99">
        <w:rPr>
          <w:rFonts w:ascii="Times New Roman" w:hAnsi="Times New Roman" w:cs="Times New Roman"/>
          <w:b/>
          <w:bCs/>
        </w:rPr>
        <w:fldChar w:fldCharType="end"/>
      </w:r>
      <w:r>
        <w:rPr>
          <w:rFonts w:ascii="Times New Roman" w:hAnsi="Times New Roman" w:cs="Times New Roman"/>
        </w:rPr>
        <w:t xml:space="preserve">. The bifunctional synthetase SpoT from </w:t>
      </w:r>
      <w:r>
        <w:rPr>
          <w:rFonts w:ascii="Times New Roman" w:hAnsi="Times New Roman" w:cs="Times New Roman"/>
          <w:i/>
          <w:iCs/>
        </w:rPr>
        <w:t>E. coli</w:t>
      </w:r>
      <w:r>
        <w:rPr>
          <w:rFonts w:ascii="Times New Roman" w:hAnsi="Times New Roman" w:cs="Times New Roman"/>
        </w:rPr>
        <w:t xml:space="preserve"> interacts with uncharged ACP which serves as a sensor of cellular fatty acid levels </w:t>
      </w:r>
      <w:r w:rsidRPr="00F93699">
        <w:rPr>
          <w:rFonts w:ascii="Times New Roman" w:hAnsi="Times New Roman" w:cs="Times New Roman"/>
          <w:b/>
          <w:bCs/>
        </w:rPr>
        <w:fldChar w:fldCharType="begin"/>
      </w:r>
      <w:r w:rsidRPr="00F93699">
        <w:rPr>
          <w:rFonts w:ascii="Times New Roman" w:hAnsi="Times New Roman" w:cs="Times New Roman"/>
          <w:b/>
          <w:bCs/>
        </w:rPr>
        <w:instrText xml:space="preserve"> ADDIN EN.CITE &lt;EndNote&gt;&lt;Cite&gt;&lt;Author&gt;Battesti&lt;/Author&gt;&lt;Year&gt;2006&lt;/Year&gt;&lt;IDText&gt;Acyl carrier protein/SpoT interaction, the switch linking SpoT-dependent stress response to fatty acid metabolism&lt;/IDText&gt;&lt;DisplayText&gt;(Battesti and Bouveret, 2006)&lt;/DisplayText&gt;&lt;record&gt;&lt;dates&gt;&lt;pub-dates&gt;&lt;date&gt;Nov&lt;/date&gt;&lt;/pub-dates&gt;&lt;year&gt;2006&lt;/year&gt;&lt;/dates&gt;&lt;urls&gt;&lt;related-urls&gt;&lt;url&gt;&amp;lt;Go to ISI&amp;gt;://WOS:000241562100010&lt;/url&gt;&lt;/related-urls&gt;&lt;/urls&gt;&lt;isbn&gt;0950-382X&lt;/isbn&gt;&lt;work-type&gt;Article&lt;/work-type&gt;&lt;titles&gt;&lt;title&gt;Acyl carrier protein/SpoT interaction, the switch linking SpoT-dependent stress response to fatty acid metabolism&lt;/title&gt;&lt;secondary-title&gt;Molecular Microbiology&lt;/secondary-title&gt;&lt;/titles&gt;&lt;pages&gt;1048-1063&lt;/pages&gt;&lt;number&gt;4&lt;/number&gt;&lt;contributors&gt;&lt;authors&gt;&lt;author&gt;Battesti, Aurelia&lt;/author&gt;&lt;author&gt;Bouveret, Emmanuelle&lt;/author&gt;&lt;/authors&gt;&lt;/contributors&gt;&lt;added-date format="utc"&gt;1674574556&lt;/added-date&gt;&lt;ref-type name="Journal Article"&gt;17&lt;/ref-type&gt;&lt;rec-number&gt;251&lt;/rec-number&gt;&lt;last-updated-date format="utc"&gt;1674574556&lt;/last-updated-date&gt;&lt;accession-num&gt;WOS:000241562100010&lt;/accession-num&gt;&lt;electronic-resource-num&gt;10.1111/j.1365-2958.2006.05442.x&lt;/electronic-resource-num&gt;&lt;volume&gt;62&lt;/volume&gt;&lt;/record&gt;&lt;/Cite&gt;&lt;/EndNote&gt;</w:instrText>
      </w:r>
      <w:r w:rsidRPr="00F93699">
        <w:rPr>
          <w:rFonts w:ascii="Times New Roman" w:hAnsi="Times New Roman" w:cs="Times New Roman"/>
          <w:b/>
          <w:bCs/>
        </w:rPr>
        <w:fldChar w:fldCharType="separate"/>
      </w:r>
      <w:r w:rsidRPr="00F93699">
        <w:rPr>
          <w:rFonts w:ascii="Times New Roman" w:hAnsi="Times New Roman" w:cs="Times New Roman"/>
          <w:b/>
          <w:bCs/>
          <w:noProof/>
        </w:rPr>
        <w:t>(Battesti and Bouveret, 2006)</w:t>
      </w:r>
      <w:r w:rsidRPr="00F93699">
        <w:rPr>
          <w:rFonts w:ascii="Times New Roman" w:hAnsi="Times New Roman" w:cs="Times New Roman"/>
          <w:b/>
          <w:bCs/>
        </w:rPr>
        <w:fldChar w:fldCharType="end"/>
      </w:r>
      <w:r>
        <w:rPr>
          <w:rFonts w:ascii="Times New Roman" w:hAnsi="Times New Roman" w:cs="Times New Roman"/>
        </w:rPr>
        <w:t>. In contrast, fewer studies have been conducted on signals that trigger Rel</w:t>
      </w:r>
      <w:r>
        <w:rPr>
          <w:rFonts w:ascii="Times New Roman" w:hAnsi="Times New Roman" w:cs="Times New Roman"/>
          <w:i/>
          <w:iCs/>
          <w:vertAlign w:val="subscript"/>
        </w:rPr>
        <w:t>Sau</w:t>
      </w:r>
      <w:r>
        <w:rPr>
          <w:rFonts w:ascii="Times New Roman" w:hAnsi="Times New Roman" w:cs="Times New Roman"/>
        </w:rPr>
        <w:t xml:space="preserve"> however,</w:t>
      </w:r>
      <w:r>
        <w:rPr>
          <w:rFonts w:ascii="Times New Roman" w:hAnsi="Times New Roman" w:cs="Times New Roman"/>
          <w:i/>
          <w:iCs/>
        </w:rPr>
        <w:t xml:space="preserve"> </w:t>
      </w:r>
      <w:r>
        <w:rPr>
          <w:rFonts w:ascii="Times New Roman" w:hAnsi="Times New Roman" w:cs="Times New Roman"/>
        </w:rPr>
        <w:t>it is well known that Rel responds to amino acid limitation by interacting with stalled ribosomes, as the absence of Rel renders bacteria</w:t>
      </w:r>
      <w:r>
        <w:rPr>
          <w:rFonts w:ascii="Times New Roman" w:hAnsi="Times New Roman" w:cs="Times New Roman"/>
          <w:i/>
          <w:iCs/>
        </w:rPr>
        <w:t xml:space="preserve"> </w:t>
      </w:r>
      <w:r>
        <w:rPr>
          <w:rFonts w:ascii="Times New Roman" w:hAnsi="Times New Roman" w:cs="Times New Roman"/>
        </w:rPr>
        <w:t xml:space="preserve">unable to grow in the presence of the isoleucyl-tRNA synthetase inhibitor mupirocin </w:t>
      </w:r>
      <w:r w:rsidRPr="00E52E99">
        <w:rPr>
          <w:rFonts w:ascii="Times New Roman" w:hAnsi="Times New Roman" w:cs="Times New Roman"/>
          <w:b/>
          <w:bCs/>
        </w:rPr>
        <w:fldChar w:fldCharType="begin"/>
      </w:r>
      <w:r w:rsidRPr="00E52E99">
        <w:rPr>
          <w:rFonts w:ascii="Times New Roman" w:hAnsi="Times New Roman" w:cs="Times New Roman"/>
          <w:b/>
          <w:bCs/>
        </w:rPr>
        <w:instrText xml:space="preserve"> ADDIN EN.CITE &lt;EndNote&gt;&lt;Cite&gt;&lt;Author&gt;Cassels&lt;/Author&gt;&lt;Year&gt;1995&lt;/Year&gt;&lt;IDText&gt;OCCURRENCE OF THE REGULATORY NUCLEOTIDES PPGPP AND PPPGPP FOLLOWING INDUCTION OF THE STRINGENT RESPONSE IN STAPHYLOCOCCI&lt;/IDText&gt;&lt;DisplayText&gt;(Cassels, Oliva and Knowles, 1995)&lt;/DisplayText&gt;&lt;record&gt;&lt;dates&gt;&lt;pub-dates&gt;&lt;date&gt;Sep&lt;/date&gt;&lt;/pub-dates&gt;&lt;year&gt;1995&lt;/year&gt;&lt;/dates&gt;&lt;urls&gt;&lt;related-urls&gt;&lt;url&gt;&amp;lt;Go to ISI&amp;gt;://WOS:A1995RR98100047&lt;/url&gt;&lt;/related-urls&gt;&lt;/urls&gt;&lt;isbn&gt;0021-9193&lt;/isbn&gt;&lt;titles&gt;&lt;title&gt;OCCURRENCE OF THE REGULATORY NUCLEOTIDES PPGPP AND PPPGPP FOLLOWING INDUCTION OF THE STRINGENT RESPONSE IN STAPHYLOCOCCI&lt;/title&gt;&lt;secondary-title&gt;Journal of Bacteriology&lt;/secondary-title&gt;&lt;/titles&gt;&lt;pages&gt;5161-5165&lt;/pages&gt;&lt;number&gt;17&lt;/number&gt;&lt;contributors&gt;&lt;authors&gt;&lt;author&gt;Cassels, R.&lt;/author&gt;&lt;author&gt;Oliva, B.&lt;/author&gt;&lt;author&gt;Knowles, D.&lt;/author&gt;&lt;/authors&gt;&lt;/contributors&gt;&lt;added-date format="utc"&gt;1663612898&lt;/added-date&gt;&lt;ref-type name="Journal Article"&gt;17&lt;/ref-type&gt;&lt;rec-number&gt;69&lt;/rec-number&gt;&lt;last-updated-date format="utc"&gt;1663624413&lt;/last-updated-date&gt;&lt;accession-num&gt;WOS:A1995RR98100047&lt;/accession-num&gt;&lt;electronic-resource-num&gt;10.1128/jb.177.17.5161-5165.1995&lt;/electronic-resource-num&gt;&lt;volume&gt;177&lt;/volume&gt;&lt;/record&gt;&lt;/Cite&gt;&lt;/EndNote&gt;</w:instrText>
      </w:r>
      <w:r w:rsidRPr="00E52E99">
        <w:rPr>
          <w:rFonts w:ascii="Times New Roman" w:hAnsi="Times New Roman" w:cs="Times New Roman"/>
          <w:b/>
          <w:bCs/>
        </w:rPr>
        <w:fldChar w:fldCharType="separate"/>
      </w:r>
      <w:r w:rsidRPr="00E52E99">
        <w:rPr>
          <w:rFonts w:ascii="Times New Roman" w:hAnsi="Times New Roman" w:cs="Times New Roman"/>
          <w:b/>
          <w:bCs/>
          <w:noProof/>
        </w:rPr>
        <w:t>(Cassels, Oliva and Knowles, 1995)</w:t>
      </w:r>
      <w:r w:rsidRPr="00E52E99">
        <w:rPr>
          <w:rFonts w:ascii="Times New Roman" w:hAnsi="Times New Roman" w:cs="Times New Roman"/>
          <w:b/>
          <w:bCs/>
        </w:rPr>
        <w:fldChar w:fldCharType="end"/>
      </w:r>
      <w:r>
        <w:rPr>
          <w:rFonts w:ascii="Times New Roman" w:hAnsi="Times New Roman" w:cs="Times New Roman"/>
        </w:rPr>
        <w:t xml:space="preserve">. More recently however, the c-di-GMP-binding protein DarB was shown to interact with and activate Rel </w:t>
      </w:r>
      <w:r w:rsidRPr="00ED21B8">
        <w:rPr>
          <w:rFonts w:ascii="Times New Roman" w:hAnsi="Times New Roman" w:cs="Times New Roman"/>
          <w:b/>
          <w:bCs/>
        </w:rPr>
        <w:fldChar w:fldCharType="begin"/>
      </w:r>
      <w:r w:rsidRPr="00ED21B8">
        <w:rPr>
          <w:rFonts w:ascii="Times New Roman" w:hAnsi="Times New Roman" w:cs="Times New Roman"/>
          <w:b/>
          <w:bCs/>
        </w:rPr>
        <w:instrText xml:space="preserve"> ADDIN EN.CITE &lt;EndNote&gt;&lt;Cite&gt;&lt;Author&gt;Ainelo&lt;/Author&gt;&lt;Year&gt;2023&lt;/Year&gt;&lt;IDText&gt;The structure of DarB in complex with RelNTD reveals nonribosomal activation of Rel stringent factors&lt;/IDText&gt;&lt;DisplayText&gt;(Ainelo&lt;style face="italic"&gt; et al.&lt;/style&gt;, 2023)&lt;/DisplayText&gt;&lt;record&gt;&lt;dates&gt;&lt;pub-dates&gt;&lt;date&gt;2023-Jan-18&lt;/date&gt;&lt;/pub-dates&gt;&lt;year&gt;2023&lt;/year&gt;&lt;/dates&gt;&lt;urls&gt;&lt;related-urls&gt;&lt;url&gt;&amp;lt;Go to ISI&amp;gt;://MEDLINE:36652515&lt;/url&gt;&lt;/related-urls&gt;&lt;/urls&gt;&lt;titles&gt;&lt;title&gt;The structure of DarB in complex with RelNTD reveals nonribosomal activation of Rel stringent factors&lt;/title&gt;&lt;secondary-title&gt;Science advances&lt;/secondary-title&gt;&lt;/titles&gt;&lt;pages&gt;eade4077-eade4077&lt;/pages&gt;&lt;number&gt;3&lt;/number&gt;&lt;contributors&gt;&lt;authors&gt;&lt;author&gt;Ainelo, Andres&lt;/author&gt;&lt;author&gt;Caballero-Montes, Julien&lt;/author&gt;&lt;author&gt;Bulvas, Ondrej&lt;/author&gt;&lt;author&gt;Ernits, Karin&lt;/author&gt;&lt;author&gt;Coppieters &amp;apos;t Wallant, Kyo&lt;/author&gt;&lt;author&gt;Takada, Hiraku&lt;/author&gt;&lt;author&gt;Craig, Sophie Z.&lt;/author&gt;&lt;author&gt;Mazzucchelli, Gabriel&lt;/author&gt;&lt;author&gt;Zedek, Safia&lt;/author&gt;&lt;author&gt;Pichova, Iva&lt;/author&gt;&lt;author&gt;Atkinson, Gemma C.&lt;/author&gt;&lt;author&gt;Talavera, Ariel&lt;/author&gt;&lt;author&gt;Martens, Chloe&lt;/author&gt;&lt;author&gt;Hauryliuk, Vasili&lt;/author&gt;&lt;author&gt;Garcia-Pino, Abel&lt;/author&gt;&lt;/authors&gt;&lt;/contributors&gt;&lt;added-date format="utc"&gt;1674588836&lt;/added-date&gt;&lt;ref-type name="Journal Article"&gt;17&lt;/ref-type&gt;&lt;rec-number&gt;254&lt;/rec-number&gt;&lt;last-updated-date format="utc"&gt;1674588836&lt;/last-updated-date&gt;&lt;accession-num&gt;MEDLINE:36652515&lt;/accession-num&gt;&lt;electronic-resource-num&gt;10.1126/sciadv.ade4077&lt;/electronic-resource-num&gt;&lt;volume&gt;9&lt;/volume&gt;&lt;/record&gt;&lt;/Cite&gt;&lt;/EndNote&gt;</w:instrText>
      </w:r>
      <w:r w:rsidRPr="00ED21B8">
        <w:rPr>
          <w:rFonts w:ascii="Times New Roman" w:hAnsi="Times New Roman" w:cs="Times New Roman"/>
          <w:b/>
          <w:bCs/>
        </w:rPr>
        <w:fldChar w:fldCharType="separate"/>
      </w:r>
      <w:r w:rsidRPr="00ED21B8">
        <w:rPr>
          <w:rFonts w:ascii="Times New Roman" w:hAnsi="Times New Roman" w:cs="Times New Roman"/>
          <w:b/>
          <w:bCs/>
          <w:noProof/>
        </w:rPr>
        <w:t>(Ainelo</w:t>
      </w:r>
      <w:r w:rsidRPr="00ED21B8">
        <w:rPr>
          <w:rFonts w:ascii="Times New Roman" w:hAnsi="Times New Roman" w:cs="Times New Roman"/>
          <w:b/>
          <w:bCs/>
          <w:i/>
          <w:noProof/>
        </w:rPr>
        <w:t xml:space="preserve"> et al.</w:t>
      </w:r>
      <w:r w:rsidRPr="00ED21B8">
        <w:rPr>
          <w:rFonts w:ascii="Times New Roman" w:hAnsi="Times New Roman" w:cs="Times New Roman"/>
          <w:b/>
          <w:bCs/>
          <w:noProof/>
        </w:rPr>
        <w:t>, 2023)</w:t>
      </w:r>
      <w:r w:rsidRPr="00ED21B8">
        <w:rPr>
          <w:rFonts w:ascii="Times New Roman" w:hAnsi="Times New Roman" w:cs="Times New Roman"/>
          <w:b/>
          <w:bCs/>
        </w:rPr>
        <w:fldChar w:fldCharType="end"/>
      </w:r>
      <w:r>
        <w:rPr>
          <w:rFonts w:ascii="Times New Roman" w:hAnsi="Times New Roman" w:cs="Times New Roman"/>
        </w:rPr>
        <w:t xml:space="preserve">, thus providing an alternative method of Rel activation other than  amino acid starvation conditions only. Studies also demonstrate that expression of RelP and RelQ can be induced upon stresses such as cell wall-targeting antibiotics </w:t>
      </w:r>
      <w:r w:rsidRPr="00CC7111">
        <w:rPr>
          <w:rFonts w:ascii="Times New Roman" w:hAnsi="Times New Roman" w:cs="Times New Roman"/>
          <w:b/>
          <w:bCs/>
        </w:rPr>
        <w:fldChar w:fldCharType="begin">
          <w:fldData xml:space="preserve">PEVuZE5vdGU+PENpdGU+PEF1dGhvcj5BYnJhbmNoZXM8L0F1dGhvcj48WWVhcj4yMDA5PC9ZZWFy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</w:fldData>
        </w:fldChar>
      </w:r>
      <w:r w:rsidRPr="00CC7111">
        <w:rPr>
          <w:rFonts w:ascii="Times New Roman" w:hAnsi="Times New Roman" w:cs="Times New Roman"/>
          <w:b/>
          <w:bCs/>
        </w:rPr>
        <w:instrText xml:space="preserve"> ADDIN EN.CITE </w:instrText>
      </w:r>
      <w:r w:rsidRPr="00CC7111">
        <w:rPr>
          <w:rFonts w:ascii="Times New Roman" w:hAnsi="Times New Roman" w:cs="Times New Roman"/>
          <w:b/>
          <w:bCs/>
        </w:rPr>
        <w:fldChar w:fldCharType="begin">
          <w:fldData xml:space="preserve">PEVuZE5vdGU+PENpdGU+PEF1dGhvcj5BYnJhbmNoZXM8L0F1dGhvcj48WWVhcj4yMDA5PC9ZZWFy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</w:fldData>
        </w:fldChar>
      </w:r>
      <w:r w:rsidRPr="00CC7111">
        <w:rPr>
          <w:rFonts w:ascii="Times New Roman" w:hAnsi="Times New Roman" w:cs="Times New Roman"/>
          <w:b/>
          <w:bCs/>
        </w:rPr>
        <w:instrText xml:space="preserve"> ADDIN EN.CITE.DATA </w:instrText>
      </w:r>
      <w:r w:rsidRPr="00CC7111">
        <w:rPr>
          <w:rFonts w:ascii="Times New Roman" w:hAnsi="Times New Roman" w:cs="Times New Roman"/>
          <w:b/>
          <w:bCs/>
        </w:rPr>
      </w:r>
      <w:r w:rsidRPr="00CC7111">
        <w:rPr>
          <w:rFonts w:ascii="Times New Roman" w:hAnsi="Times New Roman" w:cs="Times New Roman"/>
          <w:b/>
          <w:bCs/>
        </w:rPr>
        <w:fldChar w:fldCharType="end"/>
      </w:r>
      <w:r w:rsidRPr="00CC7111">
        <w:rPr>
          <w:rFonts w:ascii="Times New Roman" w:hAnsi="Times New Roman" w:cs="Times New Roman"/>
          <w:b/>
          <w:bCs/>
        </w:rPr>
      </w:r>
      <w:r w:rsidRPr="00CC7111">
        <w:rPr>
          <w:rFonts w:ascii="Times New Roman" w:hAnsi="Times New Roman" w:cs="Times New Roman"/>
          <w:b/>
          <w:bCs/>
        </w:rPr>
        <w:fldChar w:fldCharType="separate"/>
      </w:r>
      <w:r w:rsidRPr="00CC7111">
        <w:rPr>
          <w:rFonts w:ascii="Times New Roman" w:hAnsi="Times New Roman" w:cs="Times New Roman"/>
          <w:b/>
          <w:bCs/>
          <w:noProof/>
        </w:rPr>
        <w:t>(Abranches</w:t>
      </w:r>
      <w:r w:rsidRPr="00CC7111">
        <w:rPr>
          <w:rFonts w:ascii="Times New Roman" w:hAnsi="Times New Roman" w:cs="Times New Roman"/>
          <w:b/>
          <w:bCs/>
          <w:i/>
          <w:noProof/>
        </w:rPr>
        <w:t xml:space="preserve"> et al.</w:t>
      </w:r>
      <w:r w:rsidRPr="00CC7111">
        <w:rPr>
          <w:rFonts w:ascii="Times New Roman" w:hAnsi="Times New Roman" w:cs="Times New Roman"/>
          <w:b/>
          <w:bCs/>
          <w:noProof/>
        </w:rPr>
        <w:t>, 2009; Geiger</w:t>
      </w:r>
      <w:r w:rsidRPr="00CC7111">
        <w:rPr>
          <w:rFonts w:ascii="Times New Roman" w:hAnsi="Times New Roman" w:cs="Times New Roman"/>
          <w:b/>
          <w:bCs/>
          <w:i/>
          <w:noProof/>
        </w:rPr>
        <w:t xml:space="preserve"> et al.</w:t>
      </w:r>
      <w:r w:rsidRPr="00CC7111">
        <w:rPr>
          <w:rFonts w:ascii="Times New Roman" w:hAnsi="Times New Roman" w:cs="Times New Roman"/>
          <w:b/>
          <w:bCs/>
          <w:noProof/>
        </w:rPr>
        <w:t>, 2014)</w:t>
      </w:r>
      <w:r w:rsidRPr="00CC7111">
        <w:rPr>
          <w:rFonts w:ascii="Times New Roman" w:hAnsi="Times New Roman" w:cs="Times New Roman"/>
          <w:b/>
          <w:bCs/>
        </w:rPr>
        <w:fldChar w:fldCharType="end"/>
      </w:r>
      <w:r>
        <w:rPr>
          <w:rFonts w:ascii="Times New Roman" w:hAnsi="Times New Roman" w:cs="Times New Roman"/>
        </w:rPr>
        <w:t xml:space="preserve">, alkaline </w:t>
      </w:r>
      <w:r w:rsidRPr="004C0105">
        <w:rPr>
          <w:rFonts w:ascii="Times New Roman" w:hAnsi="Times New Roman" w:cs="Times New Roman"/>
        </w:rPr>
        <w:t>shock</w:t>
      </w:r>
      <w:r w:rsidRPr="005F56FF">
        <w:rPr>
          <w:rFonts w:ascii="Times New Roman" w:hAnsi="Times New Roman" w:cs="Times New Roman"/>
          <w:b/>
          <w:bCs/>
        </w:rPr>
        <w:t xml:space="preserve"> </w:t>
      </w:r>
      <w:r w:rsidRPr="005F56FF">
        <w:rPr>
          <w:rFonts w:ascii="Times New Roman" w:hAnsi="Times New Roman" w:cs="Times New Roman"/>
          <w:b/>
          <w:bCs/>
        </w:rPr>
        <w:fldChar w:fldCharType="begin">
          <w:fldData xml:space="preserve">PEVuZE5vdGU+PENpdGU+PEF1dGhvcj5BYnJhbmNoZXM8L0F1dGhvcj48WWVhcj4yMDA5PC9ZZWFy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</w:fldData>
        </w:fldChar>
      </w:r>
      <w:r w:rsidRPr="005F56FF">
        <w:rPr>
          <w:rFonts w:ascii="Times New Roman" w:hAnsi="Times New Roman" w:cs="Times New Roman"/>
          <w:b/>
          <w:bCs/>
        </w:rPr>
        <w:instrText xml:space="preserve"> ADDIN EN.CITE </w:instrText>
      </w:r>
      <w:r w:rsidRPr="005F56FF">
        <w:rPr>
          <w:rFonts w:ascii="Times New Roman" w:hAnsi="Times New Roman" w:cs="Times New Roman"/>
          <w:b/>
          <w:bCs/>
        </w:rPr>
        <w:fldChar w:fldCharType="begin">
          <w:fldData xml:space="preserve">PEVuZE5vdGU+PENpdGU+PEF1dGhvcj5BYnJhbmNoZXM8L0F1dGhvcj48WWVhcj4yMDA5PC9ZZWFy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</w:fldData>
        </w:fldChar>
      </w:r>
      <w:r w:rsidRPr="005F56FF">
        <w:rPr>
          <w:rFonts w:ascii="Times New Roman" w:hAnsi="Times New Roman" w:cs="Times New Roman"/>
          <w:b/>
          <w:bCs/>
        </w:rPr>
        <w:instrText xml:space="preserve"> ADDIN EN.CITE.DATA </w:instrText>
      </w:r>
      <w:r w:rsidRPr="005F56FF">
        <w:rPr>
          <w:rFonts w:ascii="Times New Roman" w:hAnsi="Times New Roman" w:cs="Times New Roman"/>
          <w:b/>
          <w:bCs/>
        </w:rPr>
      </w:r>
      <w:r w:rsidRPr="005F56FF">
        <w:rPr>
          <w:rFonts w:ascii="Times New Roman" w:hAnsi="Times New Roman" w:cs="Times New Roman"/>
          <w:b/>
          <w:bCs/>
        </w:rPr>
        <w:fldChar w:fldCharType="end"/>
      </w:r>
      <w:r w:rsidRPr="005F56FF">
        <w:rPr>
          <w:rFonts w:ascii="Times New Roman" w:hAnsi="Times New Roman" w:cs="Times New Roman"/>
          <w:b/>
          <w:bCs/>
        </w:rPr>
      </w:r>
      <w:r w:rsidRPr="005F56FF">
        <w:rPr>
          <w:rFonts w:ascii="Times New Roman" w:hAnsi="Times New Roman" w:cs="Times New Roman"/>
          <w:b/>
          <w:bCs/>
        </w:rPr>
        <w:fldChar w:fldCharType="separate"/>
      </w:r>
      <w:r w:rsidRPr="005F56FF">
        <w:rPr>
          <w:rFonts w:ascii="Times New Roman" w:hAnsi="Times New Roman" w:cs="Times New Roman"/>
          <w:b/>
          <w:bCs/>
          <w:noProof/>
        </w:rPr>
        <w:t>(Abranches</w:t>
      </w:r>
      <w:r w:rsidRPr="005F56FF">
        <w:rPr>
          <w:rFonts w:ascii="Times New Roman" w:hAnsi="Times New Roman" w:cs="Times New Roman"/>
          <w:b/>
          <w:bCs/>
          <w:i/>
          <w:noProof/>
        </w:rPr>
        <w:t xml:space="preserve"> et al.</w:t>
      </w:r>
      <w:r w:rsidRPr="005F56FF">
        <w:rPr>
          <w:rFonts w:ascii="Times New Roman" w:hAnsi="Times New Roman" w:cs="Times New Roman"/>
          <w:b/>
          <w:bCs/>
          <w:noProof/>
        </w:rPr>
        <w:t>, 2009; Nanamiya</w:t>
      </w:r>
      <w:r w:rsidRPr="005F56FF">
        <w:rPr>
          <w:rFonts w:ascii="Times New Roman" w:hAnsi="Times New Roman" w:cs="Times New Roman"/>
          <w:b/>
          <w:bCs/>
          <w:i/>
          <w:noProof/>
        </w:rPr>
        <w:t xml:space="preserve"> et al.</w:t>
      </w:r>
      <w:r w:rsidRPr="005F56FF">
        <w:rPr>
          <w:rFonts w:ascii="Times New Roman" w:hAnsi="Times New Roman" w:cs="Times New Roman"/>
          <w:b/>
          <w:bCs/>
          <w:noProof/>
        </w:rPr>
        <w:t>, 2008)</w:t>
      </w:r>
      <w:r w:rsidRPr="005F56FF">
        <w:rPr>
          <w:rFonts w:ascii="Times New Roman" w:hAnsi="Times New Roman" w:cs="Times New Roman"/>
          <w:b/>
          <w:bCs/>
        </w:rPr>
        <w:fldChar w:fldCharType="end"/>
      </w:r>
      <w:r>
        <w:rPr>
          <w:rFonts w:ascii="Times New Roman" w:hAnsi="Times New Roman" w:cs="Times New Roman"/>
        </w:rPr>
        <w:t xml:space="preserve">, ethanol shock </w:t>
      </w:r>
      <w:r w:rsidRPr="005F56FF">
        <w:rPr>
          <w:rFonts w:ascii="Times New Roman" w:hAnsi="Times New Roman" w:cs="Times New Roman"/>
          <w:b/>
          <w:bCs/>
        </w:rPr>
        <w:fldChar w:fldCharType="begin"/>
      </w:r>
      <w:r w:rsidRPr="005F56FF">
        <w:rPr>
          <w:rFonts w:ascii="Times New Roman" w:hAnsi="Times New Roman" w:cs="Times New Roman"/>
          <w:b/>
          <w:bCs/>
        </w:rPr>
        <w:instrText xml:space="preserve"> ADDIN EN.CITE &lt;EndNote&gt;&lt;Cite&gt;&lt;Author&gt;Pando&lt;/Author&gt;&lt;Year&gt;2017&lt;/Year&gt;&lt;IDText&gt;Ethanol-induced stress response of Staphylococcus aureus&lt;/IDText&gt;&lt;DisplayText&gt;(Pando&lt;style face="italic"&gt; et al.&lt;/style&gt;, 2017)&lt;/DisplayText&gt;&lt;record&gt;&lt;dates&gt;&lt;pub-dates&gt;&lt;date&gt;Sep&lt;/date&gt;&lt;/pub-dates&gt;&lt;year&gt;2017&lt;/year&gt;&lt;/dates&gt;&lt;urls&gt;&lt;related-urls&gt;&lt;url&gt;&amp;lt;Go to ISI&amp;gt;://WOS:000435584900001&lt;/url&gt;&lt;/related-urls&gt;&lt;/urls&gt;&lt;isbn&gt;0008-4166&lt;/isbn&gt;&lt;work-type&gt;Article&lt;/work-type&gt;&lt;titles&gt;&lt;title&gt;Ethanol-induced stress response of Staphylococcus aureus&lt;/title&gt;&lt;secondary-title&gt;Canadian Journal of Microbiology&lt;/secondary-title&gt;&lt;/titles&gt;&lt;pages&gt;745-757&lt;/pages&gt;&lt;number&gt;9&lt;/number&gt;&lt;contributors&gt;&lt;authors&gt;&lt;author&gt;Pando, Jasmine M.&lt;/author&gt;&lt;author&gt;Pfeltz, Richard F.&lt;/author&gt;&lt;author&gt;Cuaron, Jesus A.&lt;/author&gt;&lt;author&gt;Nagarajan, Vijayaraj&lt;/author&gt;&lt;author&gt;Mishra, Mukti N.&lt;/author&gt;&lt;author&gt;Torres, Nathanial J.&lt;/author&gt;&lt;author&gt;Elasri, Mohamed O.&lt;/author&gt;&lt;author&gt;Wilkinson, Brian J.&lt;/author&gt;&lt;author&gt;Gustafson, John E.&lt;/author&gt;&lt;/authors&gt;&lt;/contributors&gt;&lt;added-date format="utc"&gt;1674575946&lt;/added-date&gt;&lt;ref-type name="Journal Article"&gt;17&lt;/ref-type&gt;&lt;rec-number&gt;253&lt;/rec-number&gt;&lt;last-updated-date format="utc"&gt;1674575946&lt;/last-updated-date&gt;&lt;accession-num&gt;WOS:000435584900001&lt;/accession-num&gt;&lt;electronic-resource-num&gt;10.1139/cjm-2017-0221&lt;/electronic-resource-num&gt;&lt;volume&gt;63&lt;/volume&gt;&lt;/record&gt;&lt;/Cite&gt;&lt;/EndNote&gt;</w:instrText>
      </w:r>
      <w:r w:rsidRPr="005F56FF">
        <w:rPr>
          <w:rFonts w:ascii="Times New Roman" w:hAnsi="Times New Roman" w:cs="Times New Roman"/>
          <w:b/>
          <w:bCs/>
        </w:rPr>
        <w:fldChar w:fldCharType="separate"/>
      </w:r>
      <w:r w:rsidRPr="005F56FF">
        <w:rPr>
          <w:rFonts w:ascii="Times New Roman" w:hAnsi="Times New Roman" w:cs="Times New Roman"/>
          <w:b/>
          <w:bCs/>
          <w:noProof/>
        </w:rPr>
        <w:t>(Pando</w:t>
      </w:r>
      <w:r w:rsidRPr="005F56FF">
        <w:rPr>
          <w:rFonts w:ascii="Times New Roman" w:hAnsi="Times New Roman" w:cs="Times New Roman"/>
          <w:b/>
          <w:bCs/>
          <w:i/>
          <w:noProof/>
        </w:rPr>
        <w:t xml:space="preserve"> et al.</w:t>
      </w:r>
      <w:r w:rsidRPr="005F56FF">
        <w:rPr>
          <w:rFonts w:ascii="Times New Roman" w:hAnsi="Times New Roman" w:cs="Times New Roman"/>
          <w:b/>
          <w:bCs/>
          <w:noProof/>
        </w:rPr>
        <w:t>, 2017)</w:t>
      </w:r>
      <w:r w:rsidRPr="005F56FF">
        <w:rPr>
          <w:rFonts w:ascii="Times New Roman" w:hAnsi="Times New Roman" w:cs="Times New Roman"/>
          <w:b/>
          <w:bCs/>
        </w:rPr>
        <w:fldChar w:fldCharType="end"/>
      </w:r>
      <w:r>
        <w:rPr>
          <w:rFonts w:ascii="Times New Roman" w:hAnsi="Times New Roman" w:cs="Times New Roman"/>
        </w:rPr>
        <w:t xml:space="preserve"> and cationic AMPs </w:t>
      </w:r>
      <w:r w:rsidRPr="00CC7111">
        <w:rPr>
          <w:rFonts w:ascii="Times New Roman" w:hAnsi="Times New Roman" w:cs="Times New Roman"/>
          <w:b/>
          <w:bCs/>
        </w:rPr>
        <w:fldChar w:fldCharType="begin"/>
      </w:r>
      <w:r w:rsidRPr="00CC7111">
        <w:rPr>
          <w:rFonts w:ascii="Times New Roman" w:hAnsi="Times New Roman" w:cs="Times New Roman"/>
          <w:b/>
          <w:bCs/>
        </w:rPr>
        <w:instrText xml:space="preserve"> ADDIN EN.CITE &lt;EndNote&gt;&lt;Cite&gt;&lt;Author&gt;Pietiäinen&lt;/Author&gt;&lt;Year&gt;2005&lt;/Year&gt;&lt;IDText&gt;Cationic antimicrobial peptides elicit a complex stress response in Bacillus subtilis that involves ECF-type sigma factors and two-component signal transduction systems&lt;/IDText&gt;&lt;DisplayText&gt;(Pietiäinen&lt;style face="italic"&gt; et al.&lt;/style&gt;, 2005)&lt;/DisplayText&gt;&lt;record&gt;&lt;dates&gt;&lt;pub-dates&gt;&lt;date&gt;May&lt;/date&gt;&lt;/pub-dates&gt;&lt;year&gt;2005&lt;/year&gt;&lt;/dates&gt;&lt;urls&gt;&lt;related-urls&gt;&lt;/related-urls&gt;&lt;/urls&gt;&lt;isbn&gt;1350-0872&lt;/isbn&gt;&lt;work-type&gt;Article&lt;/work-type&gt;&lt;titles&gt;&lt;title&gt;Cationic antimicrobial peptides elicit a complex stress response in Bacillus subtilis that involves ECF-type sigma factors and two-component signal transduction systems&lt;/title&gt;&lt;secondary-title&gt;Microbiology-Sgm&lt;/secondary-title&gt;&lt;/titles&gt;&lt;pages&gt;1577-1592&lt;/pages&gt;&lt;contributors&gt;&lt;authors&gt;&lt;author&gt;Pietiäinen, M.&lt;/author&gt;&lt;author&gt;Gardemeister, M.&lt;/author&gt;&lt;author&gt;Mecklin, M.&lt;/author&gt;&lt;author&gt;Leskela, S.&lt;/author&gt;&lt;author&gt;Sarvas, M.&lt;/author&gt;&lt;author&gt;Kontinen, V. P.&lt;/author&gt;&lt;/authors&gt;&lt;/contributors&gt;&lt;added-date format="utc"&gt;1674574873&lt;/added-date&gt;&lt;ref-type name="Journal Article"&gt;17&lt;/ref-type&gt;&lt;rec-number&gt;252&lt;/rec-number&gt;&lt;last-updated-date format="utc"&gt;1674575034&lt;/last-updated-date&gt;&lt;accession-num&gt;WOS:000229272100026&lt;/accession-num&gt;&lt;electronic-resource-num&gt;10.1099/mic.0.27761-0&lt;/electronic-resource-num&gt;&lt;volume&gt;151&lt;/volume&gt;&lt;/record&gt;&lt;/Cite&gt;&lt;/EndNote&gt;</w:instrText>
      </w:r>
      <w:r w:rsidRPr="00CC7111">
        <w:rPr>
          <w:rFonts w:ascii="Times New Roman" w:hAnsi="Times New Roman" w:cs="Times New Roman"/>
          <w:b/>
          <w:bCs/>
        </w:rPr>
        <w:fldChar w:fldCharType="separate"/>
      </w:r>
      <w:r w:rsidRPr="00CC7111">
        <w:rPr>
          <w:rFonts w:ascii="Times New Roman" w:hAnsi="Times New Roman" w:cs="Times New Roman"/>
          <w:b/>
          <w:bCs/>
          <w:noProof/>
        </w:rPr>
        <w:t>(Pietiäinen</w:t>
      </w:r>
      <w:r w:rsidRPr="00CC7111">
        <w:rPr>
          <w:rFonts w:ascii="Times New Roman" w:hAnsi="Times New Roman" w:cs="Times New Roman"/>
          <w:b/>
          <w:bCs/>
          <w:i/>
          <w:noProof/>
        </w:rPr>
        <w:t xml:space="preserve"> et al.</w:t>
      </w:r>
      <w:r w:rsidRPr="00CC7111">
        <w:rPr>
          <w:rFonts w:ascii="Times New Roman" w:hAnsi="Times New Roman" w:cs="Times New Roman"/>
          <w:b/>
          <w:bCs/>
          <w:noProof/>
        </w:rPr>
        <w:t>, 2005)</w:t>
      </w:r>
      <w:r w:rsidRPr="00CC7111">
        <w:rPr>
          <w:rFonts w:ascii="Times New Roman" w:hAnsi="Times New Roman" w:cs="Times New Roman"/>
          <w:b/>
          <w:bCs/>
        </w:rPr>
        <w:fldChar w:fldCharType="end"/>
      </w:r>
      <w:r>
        <w:rPr>
          <w:rFonts w:ascii="Times New Roman" w:hAnsi="Times New Roman" w:cs="Times New Roman"/>
        </w:rPr>
        <w:t xml:space="preserve"> but it is unclear which synthetases are induced upon acid and ROS stress. To elucidate this, the (p)ppGpp</w:t>
      </w:r>
      <w:r>
        <w:rPr>
          <w:rFonts w:ascii="Times New Roman" w:hAnsi="Times New Roman" w:cs="Times New Roman"/>
          <w:vertAlign w:val="superscript"/>
        </w:rPr>
        <w:t xml:space="preserve">0 </w:t>
      </w:r>
      <w:r>
        <w:rPr>
          <w:rFonts w:ascii="Times New Roman" w:hAnsi="Times New Roman" w:cs="Times New Roman"/>
        </w:rPr>
        <w:t xml:space="preserve">mutant complemented with </w:t>
      </w:r>
      <w:r>
        <w:rPr>
          <w:rFonts w:ascii="Times New Roman" w:hAnsi="Times New Roman" w:cs="Times New Roman"/>
          <w:i/>
          <w:iCs/>
        </w:rPr>
        <w:t xml:space="preserve">rel </w:t>
      </w:r>
      <w:r>
        <w:rPr>
          <w:rFonts w:ascii="Times New Roman" w:hAnsi="Times New Roman" w:cs="Times New Roman"/>
        </w:rPr>
        <w:t>and</w:t>
      </w:r>
      <w:r>
        <w:rPr>
          <w:rFonts w:ascii="Times New Roman" w:hAnsi="Times New Roman" w:cs="Times New Roman"/>
          <w:i/>
          <w:iCs/>
        </w:rPr>
        <w:t xml:space="preserve"> relP </w:t>
      </w:r>
      <w:r>
        <w:rPr>
          <w:rFonts w:ascii="Times New Roman" w:hAnsi="Times New Roman" w:cs="Times New Roman"/>
        </w:rPr>
        <w:t>in pCL55-iTET</w:t>
      </w:r>
      <w:r>
        <w:rPr>
          <w:rFonts w:ascii="Times New Roman" w:hAnsi="Times New Roman" w:cs="Times New Roman"/>
          <w:vertAlign w:val="subscript"/>
        </w:rPr>
        <w:t>r862</w:t>
      </w:r>
      <w:r>
        <w:rPr>
          <w:rFonts w:ascii="Times New Roman" w:hAnsi="Times New Roman" w:cs="Times New Roman"/>
        </w:rPr>
        <w:t>, an Atc-inducible integrative vector (part of the laboratory strain collection), were utilised to identify if a particular synthetase was responsible for producing (p)ppGpp for a particular stress. For the following experiments, only itaconic acid and one ROS stressor (</w:t>
      </w:r>
      <w:r w:rsidRPr="00C45D97">
        <w:rPr>
          <w:rFonts w:ascii="Times New Roman" w:hAnsi="Times New Roman" w:cs="Times New Roman"/>
        </w:rPr>
        <w:t>H</w:t>
      </w:r>
      <w:r w:rsidRPr="00661756">
        <w:rPr>
          <w:rFonts w:ascii="Times New Roman" w:hAnsi="Times New Roman" w:cs="Times New Roman"/>
          <w:vertAlign w:val="subscript"/>
        </w:rPr>
        <w:t>2</w:t>
      </w:r>
      <w:r w:rsidRPr="00C45D97">
        <w:rPr>
          <w:rFonts w:ascii="Times New Roman" w:hAnsi="Times New Roman" w:cs="Times New Roman"/>
        </w:rPr>
        <w:t>O</w:t>
      </w:r>
      <w:r w:rsidRPr="00661756">
        <w:rPr>
          <w:rFonts w:ascii="Times New Roman" w:hAnsi="Times New Roman" w:cs="Times New Roman"/>
          <w:vertAlign w:val="subscript"/>
        </w:rPr>
        <w:t>2</w:t>
      </w:r>
      <w:r>
        <w:rPr>
          <w:rFonts w:ascii="Times New Roman" w:hAnsi="Times New Roman" w:cs="Times New Roman"/>
        </w:rPr>
        <w:t xml:space="preserve">) were utilised. In the presence of itaconic acid, percentage survival of </w:t>
      </w:r>
      <w:r w:rsidRPr="00C45D97">
        <w:rPr>
          <w:rFonts w:ascii="Times New Roman" w:hAnsi="Times New Roman" w:cs="Times New Roman"/>
        </w:rPr>
        <w:t>the (p)ppGpp</w:t>
      </w:r>
      <w:r w:rsidRPr="00C45D97">
        <w:rPr>
          <w:rFonts w:ascii="Times New Roman" w:hAnsi="Times New Roman" w:cs="Times New Roman"/>
          <w:vertAlign w:val="superscript"/>
        </w:rPr>
        <w:t>0</w:t>
      </w:r>
      <w:r w:rsidRPr="00C45D97">
        <w:rPr>
          <w:rFonts w:ascii="Times New Roman" w:hAnsi="Times New Roman" w:cs="Times New Roman"/>
        </w:rPr>
        <w:t xml:space="preserve"> mutant</w:t>
      </w:r>
      <w:r>
        <w:rPr>
          <w:rFonts w:ascii="Times New Roman" w:hAnsi="Times New Roman" w:cs="Times New Roman"/>
        </w:rPr>
        <w:t xml:space="preserve"> complemented with </w:t>
      </w:r>
      <w:r>
        <w:rPr>
          <w:rFonts w:ascii="Times New Roman" w:hAnsi="Times New Roman" w:cs="Times New Roman"/>
          <w:i/>
          <w:iCs/>
        </w:rPr>
        <w:t xml:space="preserve">rel </w:t>
      </w:r>
      <w:r>
        <w:rPr>
          <w:rFonts w:ascii="Times New Roman" w:hAnsi="Times New Roman" w:cs="Times New Roman"/>
        </w:rPr>
        <w:t xml:space="preserve">showed no difference in growth in comparison to </w:t>
      </w:r>
      <w:r w:rsidRPr="00C45D97">
        <w:rPr>
          <w:rFonts w:ascii="Times New Roman" w:hAnsi="Times New Roman" w:cs="Times New Roman"/>
        </w:rPr>
        <w:t>the (p)ppGpp</w:t>
      </w:r>
      <w:r w:rsidRPr="00C45D97">
        <w:rPr>
          <w:rFonts w:ascii="Times New Roman" w:hAnsi="Times New Roman" w:cs="Times New Roman"/>
          <w:vertAlign w:val="superscript"/>
        </w:rPr>
        <w:t>0</w:t>
      </w:r>
      <w:r w:rsidRPr="00C45D97">
        <w:rPr>
          <w:rFonts w:ascii="Times New Roman" w:hAnsi="Times New Roman" w:cs="Times New Roman"/>
        </w:rPr>
        <w:t xml:space="preserve"> mutant</w:t>
      </w:r>
      <w:r>
        <w:rPr>
          <w:rFonts w:ascii="Times New Roman" w:hAnsi="Times New Roman" w:cs="Times New Roman"/>
        </w:rPr>
        <w:t xml:space="preserve"> </w:t>
      </w:r>
      <w:r>
        <w:rPr>
          <w:rFonts w:ascii="Times New Roman" w:hAnsi="Times New Roman" w:cs="Times New Roman"/>
          <w:b/>
          <w:bCs/>
        </w:rPr>
        <w:t>(Fig. 4.</w:t>
      </w:r>
      <w:r w:rsidR="00EA16F8">
        <w:rPr>
          <w:rFonts w:ascii="Times New Roman" w:hAnsi="Times New Roman" w:cs="Times New Roman"/>
          <w:b/>
          <w:bCs/>
        </w:rPr>
        <w:t>2</w:t>
      </w:r>
      <w:r>
        <w:rPr>
          <w:rFonts w:ascii="Times New Roman" w:hAnsi="Times New Roman" w:cs="Times New Roman"/>
          <w:b/>
          <w:bCs/>
        </w:rPr>
        <w:t>.</w:t>
      </w:r>
      <w:r w:rsidR="00EA16F8">
        <w:rPr>
          <w:rFonts w:ascii="Times New Roman" w:hAnsi="Times New Roman" w:cs="Times New Roman"/>
          <w:b/>
          <w:bCs/>
        </w:rPr>
        <w:t>9</w:t>
      </w:r>
      <w:r>
        <w:rPr>
          <w:rFonts w:ascii="Times New Roman" w:hAnsi="Times New Roman" w:cs="Times New Roman"/>
          <w:b/>
          <w:bCs/>
        </w:rPr>
        <w:t>a)</w:t>
      </w:r>
      <w:r>
        <w:rPr>
          <w:rFonts w:ascii="Times New Roman" w:hAnsi="Times New Roman" w:cs="Times New Roman"/>
        </w:rPr>
        <w:t xml:space="preserve">. In contrast, complementing </w:t>
      </w:r>
      <w:r>
        <w:rPr>
          <w:rFonts w:ascii="Times New Roman" w:hAnsi="Times New Roman" w:cs="Times New Roman"/>
          <w:i/>
          <w:iCs/>
        </w:rPr>
        <w:t>relP</w:t>
      </w:r>
      <w:r>
        <w:rPr>
          <w:rFonts w:ascii="Times New Roman" w:hAnsi="Times New Roman" w:cs="Times New Roman"/>
        </w:rPr>
        <w:t xml:space="preserve"> seemed to increase percentage survival</w:t>
      </w:r>
      <w:r w:rsidR="00F52F0A">
        <w:rPr>
          <w:rFonts w:ascii="Times New Roman" w:hAnsi="Times New Roman" w:cs="Times New Roman"/>
        </w:rPr>
        <w:t xml:space="preserve"> in comparison to the </w:t>
      </w:r>
      <w:r w:rsidR="00F52F0A" w:rsidRPr="00C45D97">
        <w:rPr>
          <w:rFonts w:ascii="Times New Roman" w:hAnsi="Times New Roman" w:cs="Times New Roman"/>
        </w:rPr>
        <w:t>(p)ppGpp</w:t>
      </w:r>
      <w:r w:rsidR="00F52F0A" w:rsidRPr="00C45D97">
        <w:rPr>
          <w:rFonts w:ascii="Times New Roman" w:hAnsi="Times New Roman" w:cs="Times New Roman"/>
          <w:vertAlign w:val="superscript"/>
        </w:rPr>
        <w:t>0</w:t>
      </w:r>
      <w:r w:rsidR="00F52F0A" w:rsidRPr="00C45D97">
        <w:rPr>
          <w:rFonts w:ascii="Times New Roman" w:hAnsi="Times New Roman" w:cs="Times New Roman"/>
        </w:rPr>
        <w:t xml:space="preserve"> mutant</w:t>
      </w:r>
      <w:r>
        <w:rPr>
          <w:rFonts w:ascii="Times New Roman" w:hAnsi="Times New Roman" w:cs="Times New Roman"/>
        </w:rPr>
        <w:t xml:space="preserve"> </w:t>
      </w:r>
      <w:r>
        <w:rPr>
          <w:rFonts w:ascii="Times New Roman" w:hAnsi="Times New Roman" w:cs="Times New Roman"/>
          <w:b/>
          <w:bCs/>
        </w:rPr>
        <w:t>(Fig. 4.</w:t>
      </w:r>
      <w:r w:rsidR="00EA16F8">
        <w:rPr>
          <w:rFonts w:ascii="Times New Roman" w:hAnsi="Times New Roman" w:cs="Times New Roman"/>
          <w:b/>
          <w:bCs/>
        </w:rPr>
        <w:t>2</w:t>
      </w:r>
      <w:r>
        <w:rPr>
          <w:rFonts w:ascii="Times New Roman" w:hAnsi="Times New Roman" w:cs="Times New Roman"/>
          <w:b/>
          <w:bCs/>
        </w:rPr>
        <w:t>.</w:t>
      </w:r>
      <w:r w:rsidR="00EA16F8">
        <w:rPr>
          <w:rFonts w:ascii="Times New Roman" w:hAnsi="Times New Roman" w:cs="Times New Roman"/>
          <w:b/>
          <w:bCs/>
        </w:rPr>
        <w:t>9</w:t>
      </w:r>
      <w:r>
        <w:rPr>
          <w:rFonts w:ascii="Times New Roman" w:hAnsi="Times New Roman" w:cs="Times New Roman"/>
          <w:b/>
          <w:bCs/>
        </w:rPr>
        <w:t>a)</w:t>
      </w:r>
      <w:r>
        <w:rPr>
          <w:rFonts w:ascii="Times New Roman" w:hAnsi="Times New Roman" w:cs="Times New Roman"/>
        </w:rPr>
        <w:t xml:space="preserve">, and therefore tolerance, suggesting that the (p)ppGpp produced by RelP and not Rel, or the presence of the RelP protein itself, is important for acid stress. As RelP must form a tetramer to function as a synthetase, and (p)ppGpp can allosterically bind to and increase (p)ppGpp production by RelP </w:t>
      </w:r>
      <w:r w:rsidRPr="002C6E1F">
        <w:rPr>
          <w:rFonts w:ascii="Times New Roman" w:hAnsi="Times New Roman" w:cs="Times New Roman"/>
          <w:b/>
          <w:bCs/>
        </w:rPr>
        <w:fldChar w:fldCharType="begin">
          <w:fldData xml:space="preserve">PEVuZE5vdGU+PENpdGU+PEF1dGhvcj5NYW5hdjwvQXV0aG9yPjxZZWFyPjIwMTg8L1llYXI+PElE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</w:fldData>
        </w:fldChar>
      </w:r>
      <w:r w:rsidRPr="002C6E1F">
        <w:rPr>
          <w:rFonts w:ascii="Times New Roman" w:hAnsi="Times New Roman" w:cs="Times New Roman"/>
          <w:b/>
          <w:bCs/>
        </w:rPr>
        <w:instrText xml:space="preserve"> ADDIN EN.CITE </w:instrText>
      </w:r>
      <w:r w:rsidRPr="002C6E1F">
        <w:rPr>
          <w:rFonts w:ascii="Times New Roman" w:hAnsi="Times New Roman" w:cs="Times New Roman"/>
          <w:b/>
          <w:bCs/>
        </w:rPr>
        <w:fldChar w:fldCharType="begin">
          <w:fldData xml:space="preserve">PEVuZE5vdGU+PENpdGU+PEF1dGhvcj5NYW5hdjwvQXV0aG9yPjxZZWFyPjIwMTg8L1llYXI+PElE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</w:fldData>
        </w:fldChar>
      </w:r>
      <w:r w:rsidRPr="002C6E1F">
        <w:rPr>
          <w:rFonts w:ascii="Times New Roman" w:hAnsi="Times New Roman" w:cs="Times New Roman"/>
          <w:b/>
          <w:bCs/>
        </w:rPr>
        <w:instrText xml:space="preserve"> ADDIN EN.CITE.DATA </w:instrText>
      </w:r>
      <w:r w:rsidRPr="002C6E1F">
        <w:rPr>
          <w:rFonts w:ascii="Times New Roman" w:hAnsi="Times New Roman" w:cs="Times New Roman"/>
          <w:b/>
          <w:bCs/>
        </w:rPr>
      </w:r>
      <w:r w:rsidRPr="002C6E1F">
        <w:rPr>
          <w:rFonts w:ascii="Times New Roman" w:hAnsi="Times New Roman" w:cs="Times New Roman"/>
          <w:b/>
          <w:bCs/>
        </w:rPr>
        <w:fldChar w:fldCharType="end"/>
      </w:r>
      <w:r w:rsidRPr="002C6E1F">
        <w:rPr>
          <w:rFonts w:ascii="Times New Roman" w:hAnsi="Times New Roman" w:cs="Times New Roman"/>
          <w:b/>
          <w:bCs/>
        </w:rPr>
      </w:r>
      <w:r w:rsidRPr="002C6E1F">
        <w:rPr>
          <w:rFonts w:ascii="Times New Roman" w:hAnsi="Times New Roman" w:cs="Times New Roman"/>
          <w:b/>
          <w:bCs/>
        </w:rPr>
        <w:fldChar w:fldCharType="separate"/>
      </w:r>
      <w:r w:rsidRPr="002C6E1F">
        <w:rPr>
          <w:rFonts w:ascii="Times New Roman" w:hAnsi="Times New Roman" w:cs="Times New Roman"/>
          <w:b/>
          <w:bCs/>
          <w:noProof/>
        </w:rPr>
        <w:t>(Manav</w:t>
      </w:r>
      <w:r w:rsidRPr="002C6E1F">
        <w:rPr>
          <w:rFonts w:ascii="Times New Roman" w:hAnsi="Times New Roman" w:cs="Times New Roman"/>
          <w:b/>
          <w:bCs/>
          <w:i/>
          <w:noProof/>
        </w:rPr>
        <w:t xml:space="preserve"> et al.</w:t>
      </w:r>
      <w:r w:rsidRPr="002C6E1F">
        <w:rPr>
          <w:rFonts w:ascii="Times New Roman" w:hAnsi="Times New Roman" w:cs="Times New Roman"/>
          <w:b/>
          <w:bCs/>
          <w:noProof/>
        </w:rPr>
        <w:t>, 2018; Steinchen</w:t>
      </w:r>
      <w:r w:rsidRPr="002C6E1F">
        <w:rPr>
          <w:rFonts w:ascii="Times New Roman" w:hAnsi="Times New Roman" w:cs="Times New Roman"/>
          <w:b/>
          <w:bCs/>
          <w:i/>
          <w:noProof/>
        </w:rPr>
        <w:t xml:space="preserve"> et al.</w:t>
      </w:r>
      <w:r w:rsidRPr="002C6E1F">
        <w:rPr>
          <w:rFonts w:ascii="Times New Roman" w:hAnsi="Times New Roman" w:cs="Times New Roman"/>
          <w:b/>
          <w:bCs/>
          <w:noProof/>
        </w:rPr>
        <w:t>, 2018)</w:t>
      </w:r>
      <w:r w:rsidRPr="002C6E1F">
        <w:rPr>
          <w:rFonts w:ascii="Times New Roman" w:hAnsi="Times New Roman" w:cs="Times New Roman"/>
          <w:b/>
          <w:bCs/>
        </w:rPr>
        <w:fldChar w:fldCharType="end"/>
      </w:r>
      <w:r>
        <w:rPr>
          <w:rFonts w:ascii="Times New Roman" w:hAnsi="Times New Roman" w:cs="Times New Roman"/>
        </w:rPr>
        <w:t xml:space="preserve">, it could be this translational regulation that allows RelP to increase tolerance of </w:t>
      </w:r>
      <w:r>
        <w:rPr>
          <w:rFonts w:ascii="Times New Roman" w:hAnsi="Times New Roman" w:cs="Times New Roman"/>
          <w:i/>
          <w:iCs/>
        </w:rPr>
        <w:t>S. aureus.</w:t>
      </w:r>
      <w:r>
        <w:rPr>
          <w:rFonts w:ascii="Times New Roman" w:hAnsi="Times New Roman" w:cs="Times New Roman"/>
        </w:rPr>
        <w:t xml:space="preserve"> When these strains were exposed to </w:t>
      </w:r>
      <w:r w:rsidRPr="00C45D97">
        <w:rPr>
          <w:rFonts w:ascii="Times New Roman" w:hAnsi="Times New Roman" w:cs="Times New Roman"/>
        </w:rPr>
        <w:t>H</w:t>
      </w:r>
      <w:r w:rsidRPr="00661756">
        <w:rPr>
          <w:rFonts w:ascii="Times New Roman" w:hAnsi="Times New Roman" w:cs="Times New Roman"/>
          <w:vertAlign w:val="subscript"/>
        </w:rPr>
        <w:t>2</w:t>
      </w:r>
      <w:r w:rsidRPr="00C45D97">
        <w:rPr>
          <w:rFonts w:ascii="Times New Roman" w:hAnsi="Times New Roman" w:cs="Times New Roman"/>
        </w:rPr>
        <w:t>O</w:t>
      </w:r>
      <w:r w:rsidRPr="00661756">
        <w:rPr>
          <w:rFonts w:ascii="Times New Roman" w:hAnsi="Times New Roman" w:cs="Times New Roman"/>
          <w:vertAlign w:val="subscript"/>
        </w:rPr>
        <w:t>2</w:t>
      </w:r>
      <w:r>
        <w:rPr>
          <w:rFonts w:ascii="Times New Roman" w:hAnsi="Times New Roman" w:cs="Times New Roman"/>
        </w:rPr>
        <w:t xml:space="preserve">, the presence of </w:t>
      </w:r>
      <w:r>
        <w:rPr>
          <w:rFonts w:ascii="Times New Roman" w:hAnsi="Times New Roman" w:cs="Times New Roman"/>
          <w:i/>
          <w:iCs/>
        </w:rPr>
        <w:t xml:space="preserve">rel </w:t>
      </w:r>
      <w:r>
        <w:rPr>
          <w:rFonts w:ascii="Times New Roman" w:hAnsi="Times New Roman" w:cs="Times New Roman"/>
        </w:rPr>
        <w:t xml:space="preserve">and </w:t>
      </w:r>
      <w:r>
        <w:rPr>
          <w:rFonts w:ascii="Times New Roman" w:hAnsi="Times New Roman" w:cs="Times New Roman"/>
          <w:i/>
          <w:iCs/>
        </w:rPr>
        <w:t>relP</w:t>
      </w:r>
      <w:r>
        <w:rPr>
          <w:rFonts w:ascii="Times New Roman" w:hAnsi="Times New Roman" w:cs="Times New Roman"/>
        </w:rPr>
        <w:t xml:space="preserve"> </w:t>
      </w:r>
      <w:r w:rsidR="00F52F0A">
        <w:rPr>
          <w:rFonts w:ascii="Times New Roman" w:hAnsi="Times New Roman" w:cs="Times New Roman"/>
        </w:rPr>
        <w:t xml:space="preserve">only demonstrated a tolerance phenotype similar to WT </w:t>
      </w:r>
      <w:r w:rsidR="00F52F0A">
        <w:rPr>
          <w:rFonts w:ascii="Times New Roman" w:hAnsi="Times New Roman" w:cs="Times New Roman"/>
          <w:b/>
          <w:bCs/>
        </w:rPr>
        <w:t>(Fig. 4.2.9b)</w:t>
      </w:r>
      <w:r w:rsidR="00F52F0A">
        <w:rPr>
          <w:rFonts w:ascii="Times New Roman" w:hAnsi="Times New Roman" w:cs="Times New Roman"/>
        </w:rPr>
        <w:t>.</w:t>
      </w:r>
      <w:r w:rsidR="0043759B">
        <w:rPr>
          <w:rFonts w:ascii="Times New Roman" w:hAnsi="Times New Roman" w:cs="Times New Roman"/>
        </w:rPr>
        <w:t xml:space="preserve"> Therefore, it </w:t>
      </w:r>
      <w:r>
        <w:rPr>
          <w:rFonts w:ascii="Times New Roman" w:hAnsi="Times New Roman" w:cs="Times New Roman"/>
        </w:rPr>
        <w:t>may be</w:t>
      </w:r>
      <w:r w:rsidR="0043759B">
        <w:rPr>
          <w:rFonts w:ascii="Times New Roman" w:hAnsi="Times New Roman" w:cs="Times New Roman"/>
        </w:rPr>
        <w:t xml:space="preserve"> that both synthetases are</w:t>
      </w:r>
      <w:r>
        <w:rPr>
          <w:rFonts w:ascii="Times New Roman" w:hAnsi="Times New Roman" w:cs="Times New Roman"/>
        </w:rPr>
        <w:t xml:space="preserve"> involved </w:t>
      </w:r>
      <w:r w:rsidR="00EA16F8">
        <w:rPr>
          <w:rFonts w:ascii="Times New Roman" w:hAnsi="Times New Roman" w:cs="Times New Roman"/>
        </w:rPr>
        <w:t xml:space="preserve">in </w:t>
      </w:r>
      <w:r>
        <w:rPr>
          <w:rFonts w:ascii="Times New Roman" w:hAnsi="Times New Roman" w:cs="Times New Roman"/>
        </w:rPr>
        <w:t>responding to ROS stress, but that not one synthetase is more advantageous than the 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3243B000" w14:textId="77777777" w:rsidTr="00A74445">
        <w:tc>
          <w:tcPr>
            <w:tcW w:w="9016" w:type="dxa"/>
          </w:tcPr>
          <w:p w14:paraId="3C7010DD" w14:textId="4DE7ABB1" w:rsidR="00187693" w:rsidRDefault="0056502D" w:rsidP="00066900">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11CDE2C1" wp14:editId="4B1E0DA3">
                  <wp:extent cx="5422506" cy="3824577"/>
                  <wp:effectExtent l="0" t="0" r="0" b="0"/>
                  <wp:docPr id="2116487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1706" cy="3838119"/>
                          </a:xfrm>
                          <a:prstGeom prst="rect">
                            <a:avLst/>
                          </a:prstGeom>
                          <a:noFill/>
                        </pic:spPr>
                      </pic:pic>
                    </a:graphicData>
                  </a:graphic>
                </wp:inline>
              </w:drawing>
            </w:r>
          </w:p>
        </w:tc>
      </w:tr>
      <w:tr w:rsidR="00187693" w14:paraId="131B1D35" w14:textId="77777777" w:rsidTr="00A74445">
        <w:tc>
          <w:tcPr>
            <w:tcW w:w="9016" w:type="dxa"/>
          </w:tcPr>
          <w:p w14:paraId="6976D993" w14:textId="77777777" w:rsidR="00A55B6D" w:rsidRPr="00A55B6D" w:rsidRDefault="00A55B6D" w:rsidP="00A55B6D">
            <w:pPr>
              <w:jc w:val="both"/>
              <w:rPr>
                <w:rFonts w:ascii="Times New Roman" w:hAnsi="Times New Roman" w:cs="Times New Roman"/>
                <w:b/>
                <w:bCs/>
                <w:sz w:val="18"/>
                <w:szCs w:val="18"/>
              </w:rPr>
            </w:pPr>
            <w:r w:rsidRPr="00A55B6D">
              <w:rPr>
                <w:rFonts w:ascii="Times New Roman" w:hAnsi="Times New Roman" w:cs="Times New Roman"/>
                <w:b/>
                <w:bCs/>
                <w:sz w:val="18"/>
                <w:szCs w:val="18"/>
              </w:rPr>
              <w:t xml:space="preserve">Figure 4.2.9. (p)ppGpp produced by Rel and RelP are sufficient to tolerate oxidative stress however only RelP is required to tolerate acid stress. </w:t>
            </w:r>
            <w:r w:rsidRPr="00A55B6D">
              <w:rPr>
                <w:rFonts w:ascii="Times New Roman" w:hAnsi="Times New Roman" w:cs="Times New Roman"/>
                <w:sz w:val="18"/>
                <w:szCs w:val="18"/>
              </w:rPr>
              <w:t>JE2 pCL55-iTET</w:t>
            </w:r>
            <w:r w:rsidRPr="00A55B6D">
              <w:rPr>
                <w:rFonts w:ascii="Times New Roman" w:hAnsi="Times New Roman" w:cs="Times New Roman"/>
                <w:sz w:val="18"/>
                <w:szCs w:val="18"/>
                <w:vertAlign w:val="subscript"/>
              </w:rPr>
              <w:t xml:space="preserve">r862 </w:t>
            </w:r>
            <w:r w:rsidRPr="00A55B6D">
              <w:rPr>
                <w:rFonts w:ascii="Times New Roman" w:hAnsi="Times New Roman" w:cs="Times New Roman"/>
                <w:sz w:val="18"/>
                <w:szCs w:val="18"/>
              </w:rPr>
              <w:t>(black), (p)ppGpp</w:t>
            </w:r>
            <w:r w:rsidRPr="00A55B6D">
              <w:rPr>
                <w:rFonts w:ascii="Times New Roman" w:hAnsi="Times New Roman" w:cs="Times New Roman"/>
                <w:sz w:val="18"/>
                <w:szCs w:val="18"/>
                <w:vertAlign w:val="superscript"/>
              </w:rPr>
              <w:t>0</w:t>
            </w:r>
            <w:r w:rsidRPr="00A55B6D">
              <w:rPr>
                <w:rFonts w:ascii="Times New Roman" w:hAnsi="Times New Roman" w:cs="Times New Roman"/>
                <w:i/>
                <w:iCs/>
                <w:sz w:val="18"/>
                <w:szCs w:val="18"/>
              </w:rPr>
              <w:t xml:space="preserve"> </w:t>
            </w:r>
            <w:r w:rsidRPr="00A55B6D">
              <w:rPr>
                <w:rFonts w:ascii="Times New Roman" w:hAnsi="Times New Roman" w:cs="Times New Roman"/>
                <w:sz w:val="18"/>
                <w:szCs w:val="18"/>
              </w:rPr>
              <w:t>pCL55-iTET</w:t>
            </w:r>
            <w:r w:rsidRPr="00A55B6D">
              <w:rPr>
                <w:rFonts w:ascii="Times New Roman" w:hAnsi="Times New Roman" w:cs="Times New Roman"/>
                <w:sz w:val="18"/>
                <w:szCs w:val="18"/>
                <w:vertAlign w:val="subscript"/>
              </w:rPr>
              <w:t xml:space="preserve">r862 </w:t>
            </w:r>
            <w:r w:rsidRPr="00A55B6D">
              <w:rPr>
                <w:rFonts w:ascii="Times New Roman" w:hAnsi="Times New Roman" w:cs="Times New Roman"/>
                <w:sz w:val="18"/>
                <w:szCs w:val="18"/>
              </w:rPr>
              <w:t>(pink) and (p)ppGpp</w:t>
            </w:r>
            <w:r w:rsidRPr="00A55B6D">
              <w:rPr>
                <w:rFonts w:ascii="Times New Roman" w:hAnsi="Times New Roman" w:cs="Times New Roman"/>
                <w:sz w:val="18"/>
                <w:szCs w:val="18"/>
                <w:vertAlign w:val="superscript"/>
              </w:rPr>
              <w:t>0</w:t>
            </w:r>
            <w:r w:rsidRPr="00A55B6D">
              <w:rPr>
                <w:rFonts w:ascii="Times New Roman" w:hAnsi="Times New Roman" w:cs="Times New Roman"/>
                <w:sz w:val="18"/>
                <w:szCs w:val="18"/>
              </w:rPr>
              <w:t xml:space="preserve"> pCL55-iTET</w:t>
            </w:r>
            <w:r w:rsidRPr="00A55B6D">
              <w:rPr>
                <w:rFonts w:ascii="Times New Roman" w:hAnsi="Times New Roman" w:cs="Times New Roman"/>
                <w:sz w:val="18"/>
                <w:szCs w:val="18"/>
                <w:vertAlign w:val="subscript"/>
              </w:rPr>
              <w:t>r862</w:t>
            </w:r>
            <w:r w:rsidRPr="00A55B6D">
              <w:rPr>
                <w:rFonts w:ascii="Times New Roman" w:hAnsi="Times New Roman" w:cs="Times New Roman"/>
                <w:sz w:val="18"/>
                <w:szCs w:val="18"/>
              </w:rPr>
              <w:t>-</w:t>
            </w:r>
            <w:r w:rsidRPr="00A55B6D">
              <w:rPr>
                <w:rFonts w:ascii="Times New Roman" w:hAnsi="Times New Roman" w:cs="Times New Roman"/>
                <w:i/>
                <w:iCs/>
                <w:sz w:val="18"/>
                <w:szCs w:val="18"/>
              </w:rPr>
              <w:t>rel</w:t>
            </w:r>
            <w:r w:rsidRPr="00A55B6D">
              <w:rPr>
                <w:rFonts w:ascii="Times New Roman" w:hAnsi="Times New Roman" w:cs="Times New Roman"/>
                <w:sz w:val="18"/>
                <w:szCs w:val="18"/>
              </w:rPr>
              <w:t xml:space="preserve"> (lilac) and (p)ppGpp</w:t>
            </w:r>
            <w:r w:rsidRPr="00A55B6D">
              <w:rPr>
                <w:rFonts w:ascii="Times New Roman" w:hAnsi="Times New Roman" w:cs="Times New Roman"/>
                <w:sz w:val="18"/>
                <w:szCs w:val="18"/>
                <w:vertAlign w:val="superscript"/>
              </w:rPr>
              <w:t>0</w:t>
            </w:r>
            <w:r w:rsidRPr="00A55B6D">
              <w:rPr>
                <w:rFonts w:ascii="Times New Roman" w:hAnsi="Times New Roman" w:cs="Times New Roman"/>
                <w:sz w:val="18"/>
                <w:szCs w:val="18"/>
              </w:rPr>
              <w:t xml:space="preserve"> pCL55-iTET</w:t>
            </w:r>
            <w:r w:rsidRPr="00A55B6D">
              <w:rPr>
                <w:rFonts w:ascii="Times New Roman" w:hAnsi="Times New Roman" w:cs="Times New Roman"/>
                <w:sz w:val="18"/>
                <w:szCs w:val="18"/>
                <w:vertAlign w:val="subscript"/>
              </w:rPr>
              <w:t>r862</w:t>
            </w:r>
            <w:r w:rsidRPr="00A55B6D">
              <w:rPr>
                <w:rFonts w:ascii="Times New Roman" w:hAnsi="Times New Roman" w:cs="Times New Roman"/>
                <w:sz w:val="18"/>
                <w:szCs w:val="18"/>
              </w:rPr>
              <w:t>-</w:t>
            </w:r>
            <w:r w:rsidRPr="00A55B6D">
              <w:rPr>
                <w:rFonts w:ascii="Times New Roman" w:hAnsi="Times New Roman" w:cs="Times New Roman"/>
                <w:i/>
                <w:iCs/>
                <w:sz w:val="18"/>
                <w:szCs w:val="18"/>
              </w:rPr>
              <w:t xml:space="preserve">relP </w:t>
            </w:r>
            <w:r w:rsidRPr="00A55B6D">
              <w:rPr>
                <w:rFonts w:ascii="Times New Roman" w:hAnsi="Times New Roman" w:cs="Times New Roman"/>
                <w:sz w:val="18"/>
                <w:szCs w:val="18"/>
              </w:rPr>
              <w:t>(blue) were grown to early exponential phase (approximately OD</w:t>
            </w:r>
            <w:r w:rsidRPr="00A55B6D">
              <w:rPr>
                <w:rFonts w:ascii="Times New Roman" w:hAnsi="Times New Roman" w:cs="Times New Roman"/>
                <w:sz w:val="18"/>
                <w:szCs w:val="18"/>
                <w:vertAlign w:val="subscript"/>
              </w:rPr>
              <w:t xml:space="preserve">600 </w:t>
            </w:r>
            <w:r w:rsidRPr="00A55B6D">
              <w:rPr>
                <w:rFonts w:ascii="Times New Roman" w:hAnsi="Times New Roman" w:cs="Times New Roman"/>
                <w:sz w:val="18"/>
                <w:szCs w:val="18"/>
              </w:rPr>
              <w:t xml:space="preserve">0.35) in tryptic soy broth (TSB) with Atc (50 ng/ml) to induce expression of the plasmid. Cultures were subsequently washed twice in 1 x PBS. </w:t>
            </w:r>
            <w:r w:rsidRPr="00A55B6D">
              <w:rPr>
                <w:rFonts w:ascii="Times New Roman" w:hAnsi="Times New Roman" w:cs="Times New Roman"/>
                <w:b/>
                <w:bCs/>
                <w:sz w:val="18"/>
                <w:szCs w:val="18"/>
              </w:rPr>
              <w:t>(a)</w:t>
            </w:r>
            <w:r w:rsidRPr="00A55B6D">
              <w:rPr>
                <w:rFonts w:ascii="Times New Roman" w:hAnsi="Times New Roman" w:cs="Times New Roman"/>
                <w:sz w:val="18"/>
                <w:szCs w:val="18"/>
              </w:rPr>
              <w:t xml:space="preserve"> 20 mM itaconic acid and </w:t>
            </w:r>
            <w:r w:rsidRPr="00A55B6D">
              <w:rPr>
                <w:rFonts w:ascii="Times New Roman" w:hAnsi="Times New Roman" w:cs="Times New Roman"/>
                <w:b/>
                <w:bCs/>
                <w:sz w:val="18"/>
                <w:szCs w:val="18"/>
              </w:rPr>
              <w:t>(b)</w:t>
            </w:r>
            <w:r w:rsidRPr="00A55B6D">
              <w:rPr>
                <w:rFonts w:ascii="Times New Roman" w:hAnsi="Times New Roman" w:cs="Times New Roman"/>
                <w:sz w:val="18"/>
                <w:szCs w:val="18"/>
              </w:rPr>
              <w:t xml:space="preserve"> 100 mM H</w:t>
            </w:r>
            <w:r w:rsidRPr="00A55B6D">
              <w:rPr>
                <w:rFonts w:ascii="Times New Roman" w:hAnsi="Times New Roman" w:cs="Times New Roman"/>
                <w:sz w:val="18"/>
                <w:szCs w:val="18"/>
                <w:vertAlign w:val="subscript"/>
              </w:rPr>
              <w:t>2</w:t>
            </w:r>
            <w:r w:rsidRPr="00A55B6D">
              <w:rPr>
                <w:rFonts w:ascii="Times New Roman" w:hAnsi="Times New Roman" w:cs="Times New Roman"/>
                <w:sz w:val="18"/>
                <w:szCs w:val="18"/>
              </w:rPr>
              <w:t>O</w:t>
            </w:r>
            <w:r w:rsidRPr="00A55B6D">
              <w:rPr>
                <w:rFonts w:ascii="Times New Roman" w:hAnsi="Times New Roman" w:cs="Times New Roman"/>
                <w:sz w:val="18"/>
                <w:szCs w:val="18"/>
                <w:vertAlign w:val="subscript"/>
              </w:rPr>
              <w:t>2</w:t>
            </w:r>
            <w:r w:rsidRPr="00A55B6D">
              <w:rPr>
                <w:rFonts w:ascii="Times New Roman" w:hAnsi="Times New Roman" w:cs="Times New Roman"/>
                <w:sz w:val="18"/>
                <w:szCs w:val="18"/>
              </w:rPr>
              <w:t xml:space="preserve"> was added to </w:t>
            </w:r>
            <w:r w:rsidRPr="00A55B6D">
              <w:rPr>
                <w:rFonts w:ascii="Times New Roman" w:hAnsi="Times New Roman" w:cs="Times New Roman"/>
                <w:i/>
                <w:iCs/>
                <w:sz w:val="18"/>
                <w:szCs w:val="18"/>
              </w:rPr>
              <w:t xml:space="preserve">S. aureus </w:t>
            </w:r>
            <w:r w:rsidRPr="00A55B6D">
              <w:rPr>
                <w:rFonts w:ascii="Times New Roman" w:hAnsi="Times New Roman" w:cs="Times New Roman"/>
                <w:sz w:val="18"/>
                <w:szCs w:val="18"/>
              </w:rPr>
              <w:t xml:space="preserve">cultures as well as Atc (50 ng/ml). After introduction of each stressor, cultures were incubated at 37 ˚C for 30 minutes after which samples were taken for CFU/ml determination. Percentage bacterial survival was calculated with mean and standard deviation plotted. Statistical analysis was performed using Kruskal-Wallis test with Dunn's multiple comparisons test. * </w:t>
            </w:r>
            <w:r w:rsidRPr="00A55B6D">
              <w:rPr>
                <w:rFonts w:ascii="Times New Roman" w:hAnsi="Times New Roman" w:cs="Times New Roman"/>
                <w:i/>
                <w:iCs/>
                <w:sz w:val="18"/>
                <w:szCs w:val="18"/>
              </w:rPr>
              <w:t>P</w:t>
            </w:r>
            <w:r w:rsidRPr="00A55B6D">
              <w:rPr>
                <w:rFonts w:ascii="Times New Roman" w:hAnsi="Times New Roman" w:cs="Times New Roman"/>
                <w:sz w:val="18"/>
                <w:szCs w:val="18"/>
              </w:rPr>
              <w:t xml:space="preserve"> &lt; 0.05, ** </w:t>
            </w:r>
            <w:r w:rsidRPr="00A55B6D">
              <w:rPr>
                <w:rFonts w:ascii="Times New Roman" w:hAnsi="Times New Roman" w:cs="Times New Roman"/>
                <w:i/>
                <w:iCs/>
                <w:sz w:val="18"/>
                <w:szCs w:val="18"/>
              </w:rPr>
              <w:t>P</w:t>
            </w:r>
            <w:r w:rsidRPr="00A55B6D">
              <w:rPr>
                <w:rFonts w:ascii="Times New Roman" w:hAnsi="Times New Roman" w:cs="Times New Roman"/>
                <w:sz w:val="18"/>
                <w:szCs w:val="18"/>
              </w:rPr>
              <w:t xml:space="preserve"> &lt; 0.01.</w:t>
            </w:r>
          </w:p>
          <w:p w14:paraId="69C3AEF0" w14:textId="2346AD66" w:rsidR="00187693" w:rsidRDefault="00187693" w:rsidP="00A74445">
            <w:pPr>
              <w:jc w:val="both"/>
              <w:rPr>
                <w:rFonts w:ascii="Times New Roman" w:hAnsi="Times New Roman" w:cs="Times New Roman"/>
              </w:rPr>
            </w:pPr>
          </w:p>
        </w:tc>
      </w:tr>
    </w:tbl>
    <w:p w14:paraId="123C42F0" w14:textId="77777777" w:rsidR="00187693" w:rsidRPr="00D265C6" w:rsidRDefault="00187693" w:rsidP="00187693">
      <w:pPr>
        <w:spacing w:line="360" w:lineRule="auto"/>
        <w:jc w:val="both"/>
        <w:rPr>
          <w:rFonts w:ascii="Times New Roman" w:hAnsi="Times New Roman" w:cs="Times New Roman"/>
        </w:rPr>
      </w:pPr>
    </w:p>
    <w:p w14:paraId="2CE0AC02" w14:textId="77777777" w:rsidR="00187693" w:rsidRPr="00CA2CE7" w:rsidRDefault="00187693" w:rsidP="00187693">
      <w:pPr>
        <w:pStyle w:val="Heading3"/>
      </w:pPr>
      <w:bookmarkStart w:id="153" w:name="_Toc142043647"/>
      <w:r>
        <w:t xml:space="preserve">4.2.6. The effect of a </w:t>
      </w:r>
      <w:r>
        <w:rPr>
          <w:i/>
          <w:iCs/>
        </w:rPr>
        <w:t>codY</w:t>
      </w:r>
      <w:r>
        <w:t xml:space="preserve"> deletion on the tolerance of JE2 WT and (p)ppGpp</w:t>
      </w:r>
      <w:r>
        <w:rPr>
          <w:vertAlign w:val="superscript"/>
        </w:rPr>
        <w:t>0</w:t>
      </w:r>
      <w:bookmarkEnd w:id="153"/>
    </w:p>
    <w:p w14:paraId="423392C2" w14:textId="77777777" w:rsidR="00187693" w:rsidRDefault="00187693" w:rsidP="00187693"/>
    <w:p w14:paraId="4F91E1A2" w14:textId="28AB983C"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The </w:t>
      </w:r>
      <w:r w:rsidRPr="00C34B71">
        <w:rPr>
          <w:rFonts w:ascii="Times New Roman" w:hAnsi="Times New Roman" w:cs="Times New Roman"/>
        </w:rPr>
        <w:t>CodY transcription</w:t>
      </w:r>
      <w:r>
        <w:rPr>
          <w:rFonts w:ascii="Times New Roman" w:hAnsi="Times New Roman" w:cs="Times New Roman"/>
        </w:rPr>
        <w:t xml:space="preserve"> factor</w:t>
      </w:r>
      <w:r w:rsidRPr="00C34B71">
        <w:rPr>
          <w:rFonts w:ascii="Times New Roman" w:hAnsi="Times New Roman" w:cs="Times New Roman"/>
        </w:rPr>
        <w:t xml:space="preserve"> represses genes related to stress including nitrogen and amino acid metabolism, as well as some virulence-associated genes</w:t>
      </w:r>
      <w:r>
        <w:rPr>
          <w:rFonts w:ascii="Times New Roman" w:hAnsi="Times New Roman" w:cs="Times New Roman"/>
        </w:rPr>
        <w:t xml:space="preserve"> </w:t>
      </w:r>
      <w:r w:rsidRPr="00F31077">
        <w:rPr>
          <w:rFonts w:ascii="Times New Roman" w:hAnsi="Times New Roman" w:cs="Times New Roman"/>
          <w:b/>
          <w:bCs/>
        </w:rPr>
        <w:fldChar w:fldCharType="begin">
          <w:fldData xml:space="preserve">PEVuZE5vdGU+PENpdGU+PEF1dGhvcj5Qb2hsPC9BdXRob3I+PFllYXI+MjAwOTwvWWVhcj48SURU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PEVuZE5vdGU+PENpdGU+PEF1dGhvcj5Qb2hsPC9BdXRob3I+PFllYXI+MjAwOTwvWWVhcj48SURU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F31077">
        <w:rPr>
          <w:rFonts w:ascii="Times New Roman" w:hAnsi="Times New Roman" w:cs="Times New Roman"/>
          <w:b/>
          <w:bCs/>
        </w:rPr>
      </w:r>
      <w:r w:rsidRPr="00F31077">
        <w:rPr>
          <w:rFonts w:ascii="Times New Roman" w:hAnsi="Times New Roman" w:cs="Times New Roman"/>
          <w:b/>
          <w:bCs/>
        </w:rPr>
        <w:fldChar w:fldCharType="separate"/>
      </w:r>
      <w:r>
        <w:rPr>
          <w:rFonts w:ascii="Times New Roman" w:hAnsi="Times New Roman" w:cs="Times New Roman"/>
          <w:b/>
          <w:bCs/>
          <w:noProof/>
        </w:rPr>
        <w:t>(Pohl</w:t>
      </w:r>
      <w:r w:rsidRPr="002C6E1F">
        <w:rPr>
          <w:rFonts w:ascii="Times New Roman" w:hAnsi="Times New Roman" w:cs="Times New Roman"/>
          <w:b/>
          <w:bCs/>
          <w:i/>
          <w:noProof/>
        </w:rPr>
        <w:t xml:space="preserve"> et al.</w:t>
      </w:r>
      <w:r>
        <w:rPr>
          <w:rFonts w:ascii="Times New Roman" w:hAnsi="Times New Roman" w:cs="Times New Roman"/>
          <w:b/>
          <w:bCs/>
          <w:noProof/>
        </w:rPr>
        <w:t>, 2009; Sonenshein, 2005)</w:t>
      </w:r>
      <w:r w:rsidRPr="00F31077">
        <w:rPr>
          <w:rFonts w:ascii="Times New Roman" w:hAnsi="Times New Roman" w:cs="Times New Roman"/>
          <w:b/>
          <w:bCs/>
        </w:rPr>
        <w:fldChar w:fldCharType="end"/>
      </w:r>
      <w:r>
        <w:rPr>
          <w:rFonts w:ascii="Times New Roman" w:hAnsi="Times New Roman" w:cs="Times New Roman"/>
        </w:rPr>
        <w:t>, under nutrient-rich conditions.</w:t>
      </w:r>
      <w:r w:rsidRPr="00C34B71">
        <w:rPr>
          <w:rFonts w:ascii="Times New Roman" w:hAnsi="Times New Roman" w:cs="Times New Roman"/>
        </w:rPr>
        <w:t xml:space="preserve"> </w:t>
      </w:r>
      <w:r>
        <w:rPr>
          <w:rFonts w:ascii="Times New Roman" w:hAnsi="Times New Roman" w:cs="Times New Roman"/>
        </w:rPr>
        <w:t xml:space="preserve">In </w:t>
      </w:r>
      <w:r>
        <w:rPr>
          <w:rFonts w:ascii="Times New Roman" w:hAnsi="Times New Roman" w:cs="Times New Roman"/>
          <w:i/>
          <w:iCs/>
        </w:rPr>
        <w:t xml:space="preserve">S. </w:t>
      </w:r>
      <w:r w:rsidRPr="00A82E77">
        <w:rPr>
          <w:rFonts w:ascii="Times New Roman" w:hAnsi="Times New Roman" w:cs="Times New Roman"/>
          <w:i/>
          <w:iCs/>
        </w:rPr>
        <w:t>aureus</w:t>
      </w:r>
      <w:r w:rsidRPr="00A82E77">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this </w:t>
      </w:r>
      <w:r w:rsidRPr="00C34B71">
        <w:rPr>
          <w:rFonts w:ascii="Times New Roman" w:hAnsi="Times New Roman" w:cs="Times New Roman"/>
        </w:rPr>
        <w:t xml:space="preserve">repression requires GTP and BCAA as cofactors. During the </w:t>
      </w:r>
      <w:r>
        <w:rPr>
          <w:rFonts w:ascii="Times New Roman" w:hAnsi="Times New Roman" w:cs="Times New Roman"/>
        </w:rPr>
        <w:t>stringent response</w:t>
      </w:r>
      <w:r w:rsidRPr="00C34B71">
        <w:rPr>
          <w:rFonts w:ascii="Times New Roman" w:hAnsi="Times New Roman" w:cs="Times New Roman"/>
        </w:rPr>
        <w:t>, as (p)ppGpp levels rise, cellular GTP pools deplete, leading to the derepression of CodY and thus the expression of these stress-related genes in order to cope with the change in environment</w:t>
      </w:r>
      <w:r>
        <w:rPr>
          <w:rFonts w:ascii="Times New Roman" w:hAnsi="Times New Roman" w:cs="Times New Roman"/>
        </w:rPr>
        <w:t xml:space="preserve"> </w:t>
      </w:r>
      <w:r w:rsidRPr="008E79F6">
        <w:rPr>
          <w:rFonts w:ascii="Times New Roman" w:hAnsi="Times New Roman" w:cs="Times New Roman"/>
          <w:b/>
          <w:bCs/>
        </w:rPr>
        <w:fldChar w:fldCharType="begin"/>
      </w:r>
      <w:r w:rsidRPr="008E79F6">
        <w:rPr>
          <w:rFonts w:ascii="Times New Roman" w:hAnsi="Times New Roman" w:cs="Times New Roman"/>
          <w:b/>
          <w:bCs/>
        </w:rPr>
        <w:instrText xml:space="preserve"> ADDIN EN.CITE &lt;EndNote&gt;&lt;Cite&gt;&lt;Author&gt;Majerczyk&lt;/Author&gt;&lt;Year&gt;2008&lt;/Year&gt;&lt;IDText&gt;Staphylococcus aureus CodY negatively regulates virulence gene expression&lt;/IDText&gt;&lt;DisplayText&gt;(Majerczyk&lt;style face="italic"&gt; et al.&lt;/style&gt;, 2008)&lt;/DisplayText&gt;&lt;record&gt;&lt;dates&gt;&lt;pub-dates&gt;&lt;date&gt;Apr&lt;/date&gt;&lt;/pub-dates&gt;&lt;year&gt;2008&lt;/year&gt;&lt;/dates&gt;&lt;urls&gt;&lt;related-urls&gt;&lt;url&gt;&amp;lt;Go to ISI&amp;gt;://WOS:000254323300002&lt;/url&gt;&lt;/related-urls&gt;&lt;/urls&gt;&lt;isbn&gt;0021-9193&lt;/isbn&gt;&lt;titles&gt;&lt;title&gt;Staphylococcus aureus CodY negatively regulates virulence gene expression&lt;/title&gt;&lt;secondary-title&gt;Journal of Bacteriology&lt;/secondary-title&gt;&lt;/titles&gt;&lt;pages&gt;2257-2265&lt;/pages&gt;&lt;number&gt;7&lt;/number&gt;&lt;contributors&gt;&lt;authors&gt;&lt;author&gt;Majerczyk, Charlotte D.&lt;/author&gt;&lt;author&gt;Sadykov, Marat R.&lt;/author&gt;&lt;author&gt;Luong, Thanh T.&lt;/author&gt;&lt;author&gt;Lee, Chia&lt;/author&gt;&lt;author&gt;Somerville, Greg A.&lt;/author&gt;&lt;author&gt;Sonenshein, Abraham L.&lt;/author&gt;&lt;/authors&gt;&lt;/contributors&gt;&lt;added-date format="utc"&gt;1663623569&lt;/added-date&gt;&lt;ref-type name="Journal Article"&gt;17&lt;/ref-type&gt;&lt;rec-number&gt;124&lt;/rec-number&gt;&lt;last-updated-date format="utc"&gt;1663624413&lt;/last-updated-date&gt;&lt;accession-num&gt;WOS:000254323300002&lt;/accession-num&gt;&lt;electronic-resource-num&gt;10.1128/jb.01545-07&lt;/electronic-resource-num&gt;&lt;volume&gt;190&lt;/volume&gt;&lt;/record&gt;&lt;/Cite&gt;&lt;/EndNote&gt;</w:instrText>
      </w:r>
      <w:r w:rsidRPr="008E79F6">
        <w:rPr>
          <w:rFonts w:ascii="Times New Roman" w:hAnsi="Times New Roman" w:cs="Times New Roman"/>
          <w:b/>
          <w:bCs/>
        </w:rPr>
        <w:fldChar w:fldCharType="separate"/>
      </w:r>
      <w:r w:rsidRPr="008E79F6">
        <w:rPr>
          <w:rFonts w:ascii="Times New Roman" w:hAnsi="Times New Roman" w:cs="Times New Roman"/>
          <w:b/>
          <w:bCs/>
          <w:noProof/>
        </w:rPr>
        <w:t>(Majerczyk</w:t>
      </w:r>
      <w:r w:rsidRPr="008E79F6">
        <w:rPr>
          <w:rFonts w:ascii="Times New Roman" w:hAnsi="Times New Roman" w:cs="Times New Roman"/>
          <w:b/>
          <w:bCs/>
          <w:i/>
          <w:noProof/>
        </w:rPr>
        <w:t xml:space="preserve"> et al.</w:t>
      </w:r>
      <w:r w:rsidRPr="008E79F6">
        <w:rPr>
          <w:rFonts w:ascii="Times New Roman" w:hAnsi="Times New Roman" w:cs="Times New Roman"/>
          <w:b/>
          <w:bCs/>
          <w:noProof/>
        </w:rPr>
        <w:t>, 2008)</w:t>
      </w:r>
      <w:r w:rsidRPr="008E79F6">
        <w:rPr>
          <w:rFonts w:ascii="Times New Roman" w:hAnsi="Times New Roman" w:cs="Times New Roman"/>
          <w:b/>
          <w:bCs/>
        </w:rPr>
        <w:fldChar w:fldCharType="end"/>
      </w:r>
      <w:r w:rsidRPr="00C34B71">
        <w:rPr>
          <w:rFonts w:ascii="Times New Roman" w:hAnsi="Times New Roman" w:cs="Times New Roman"/>
        </w:rPr>
        <w:t xml:space="preserve">. </w:t>
      </w:r>
      <w:r>
        <w:rPr>
          <w:rFonts w:ascii="Times New Roman" w:hAnsi="Times New Roman" w:cs="Times New Roman"/>
        </w:rPr>
        <w:t xml:space="preserve">A study has shown that upon amino acid starvation in </w:t>
      </w:r>
      <w:r>
        <w:rPr>
          <w:rFonts w:ascii="Times New Roman" w:hAnsi="Times New Roman" w:cs="Times New Roman"/>
          <w:i/>
          <w:iCs/>
        </w:rPr>
        <w:t>S. aureus</w:t>
      </w:r>
      <w:r>
        <w:rPr>
          <w:rFonts w:ascii="Times New Roman" w:hAnsi="Times New Roman" w:cs="Times New Roman"/>
        </w:rPr>
        <w:t>, 143 genes were upregulated due to CodY</w:t>
      </w:r>
      <w:r w:rsidR="00086AFF">
        <w:rPr>
          <w:rFonts w:ascii="Times New Roman" w:hAnsi="Times New Roman" w:cs="Times New Roman"/>
        </w:rPr>
        <w:t xml:space="preserve"> derepression</w:t>
      </w:r>
      <w:r>
        <w:rPr>
          <w:rFonts w:ascii="Times New Roman" w:hAnsi="Times New Roman" w:cs="Times New Roman"/>
        </w:rPr>
        <w:t xml:space="preserve">, however 161 genes were downregulated independently of CodY, suggesting that CodY is mainly involved in the upregulation of genes during the stringent response and not downregulation </w:t>
      </w:r>
      <w:r w:rsidRPr="00CC6017">
        <w:rPr>
          <w:rFonts w:ascii="Times New Roman" w:hAnsi="Times New Roman" w:cs="Times New Roman"/>
          <w:b/>
          <w:bCs/>
        </w:rPr>
        <w:fldChar w:fldCharType="begin"/>
      </w:r>
      <w:r w:rsidRPr="00CC6017">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2012)&lt;/DisplayText&gt;&lt;record&gt;&lt;dates&gt;&lt;pub-dates&gt;&lt;date&gt;2013-06-04&lt;/date&gt;&lt;/pub-dates&gt;&lt;year&gt;2012&lt;/year&gt;&lt;/dates&gt;&lt;urls&gt;&lt;related-urls&gt;&lt;url&gt;&amp;lt;Go to ISI&amp;gt;://DRCI:DATA2013076003393588&lt;/url&gt;&lt;/related-urls&gt;&lt;/urls&gt;&lt;titles&gt;&lt;title&gt;The Stringent Response of Staphylococcus aureus and Its Impact on Survival after Phagocytosis through the Induction of Intracellular PSMs Expression&lt;/title&gt;&lt;secondary-title&gt;Figshare&lt;/secondary-title&gt;&lt;/titles&gt;&lt;contributors&gt;&lt;authors&gt;&lt;author&gt;Geiger,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format="utc"&gt;1663624413&lt;/last-updated-date&gt;&lt;accession-num&gt;DRCI:DATA2013076003393588&lt;/accession-num&gt;&lt;volume&gt;1&lt;/volume&gt;&lt;/record&gt;&lt;/Cite&gt;&lt;/EndNote&gt;</w:instrText>
      </w:r>
      <w:r w:rsidRPr="00CC6017">
        <w:rPr>
          <w:rFonts w:ascii="Times New Roman" w:hAnsi="Times New Roman" w:cs="Times New Roman"/>
          <w:b/>
          <w:bCs/>
        </w:rPr>
        <w:fldChar w:fldCharType="separate"/>
      </w:r>
      <w:r w:rsidRPr="00CC6017">
        <w:rPr>
          <w:rFonts w:ascii="Times New Roman" w:hAnsi="Times New Roman" w:cs="Times New Roman"/>
          <w:b/>
          <w:bCs/>
          <w:noProof/>
        </w:rPr>
        <w:t>(Geiger</w:t>
      </w:r>
      <w:r w:rsidRPr="00CC6017">
        <w:rPr>
          <w:rFonts w:ascii="Times New Roman" w:hAnsi="Times New Roman" w:cs="Times New Roman"/>
          <w:b/>
          <w:bCs/>
          <w:i/>
          <w:noProof/>
        </w:rPr>
        <w:t xml:space="preserve"> et al.</w:t>
      </w:r>
      <w:r w:rsidRPr="00CC6017">
        <w:rPr>
          <w:rFonts w:ascii="Times New Roman" w:hAnsi="Times New Roman" w:cs="Times New Roman"/>
          <w:b/>
          <w:bCs/>
          <w:noProof/>
        </w:rPr>
        <w:t>, 2012)</w:t>
      </w:r>
      <w:r w:rsidRPr="00CC6017">
        <w:rPr>
          <w:rFonts w:ascii="Times New Roman" w:hAnsi="Times New Roman" w:cs="Times New Roman"/>
          <w:b/>
          <w:bCs/>
        </w:rPr>
        <w:fldChar w:fldCharType="end"/>
      </w:r>
      <w:r>
        <w:rPr>
          <w:rFonts w:ascii="Times New Roman" w:hAnsi="Times New Roman" w:cs="Times New Roman"/>
        </w:rPr>
        <w:t>. As CodY derepression up</w:t>
      </w:r>
      <w:r w:rsidRPr="00C34B71">
        <w:rPr>
          <w:rFonts w:ascii="Times New Roman" w:hAnsi="Times New Roman" w:cs="Times New Roman"/>
        </w:rPr>
        <w:t xml:space="preserve">regulates </w:t>
      </w:r>
      <w:r>
        <w:rPr>
          <w:rFonts w:ascii="Times New Roman" w:hAnsi="Times New Roman" w:cs="Times New Roman"/>
        </w:rPr>
        <w:t>genes</w:t>
      </w:r>
      <w:r w:rsidRPr="00C34B71">
        <w:rPr>
          <w:rFonts w:ascii="Times New Roman" w:hAnsi="Times New Roman" w:cs="Times New Roman"/>
        </w:rPr>
        <w:t xml:space="preserve"> involved in amino acid metabolism</w:t>
      </w:r>
      <w:r>
        <w:rPr>
          <w:rFonts w:ascii="Times New Roman" w:hAnsi="Times New Roman" w:cs="Times New Roman"/>
        </w:rPr>
        <w:t xml:space="preserve">, it may be that the (p)ppGpp produced by Rel relieves CodY as these genes are </w:t>
      </w:r>
      <w:r w:rsidRPr="00C34B71">
        <w:rPr>
          <w:rFonts w:ascii="Times New Roman" w:hAnsi="Times New Roman" w:cs="Times New Roman"/>
        </w:rPr>
        <w:t>necessary during amino acid limitation.</w:t>
      </w:r>
      <w:r>
        <w:rPr>
          <w:rFonts w:ascii="Times New Roman" w:hAnsi="Times New Roman" w:cs="Times New Roman"/>
        </w:rPr>
        <w:t xml:space="preserve"> Consequently</w:t>
      </w:r>
      <w:r w:rsidRPr="00C34B71">
        <w:rPr>
          <w:rFonts w:ascii="Times New Roman" w:hAnsi="Times New Roman" w:cs="Times New Roman"/>
        </w:rPr>
        <w:t xml:space="preserve">, it was hypothesised that the absence of </w:t>
      </w:r>
      <w:r>
        <w:rPr>
          <w:rFonts w:ascii="Times New Roman" w:hAnsi="Times New Roman" w:cs="Times New Roman"/>
        </w:rPr>
        <w:t>C</w:t>
      </w:r>
      <w:r w:rsidRPr="00F04A20">
        <w:rPr>
          <w:rFonts w:ascii="Times New Roman" w:hAnsi="Times New Roman" w:cs="Times New Roman"/>
        </w:rPr>
        <w:t xml:space="preserve">odY </w:t>
      </w:r>
      <w:r w:rsidRPr="00C34B71">
        <w:rPr>
          <w:rFonts w:ascii="Times New Roman" w:hAnsi="Times New Roman" w:cs="Times New Roman"/>
        </w:rPr>
        <w:t xml:space="preserve">may affect how </w:t>
      </w:r>
      <w:r w:rsidRPr="00C34B71">
        <w:rPr>
          <w:rFonts w:ascii="Times New Roman" w:hAnsi="Times New Roman" w:cs="Times New Roman"/>
          <w:i/>
          <w:iCs/>
        </w:rPr>
        <w:t>S. aureus</w:t>
      </w:r>
      <w:r w:rsidRPr="00C34B71">
        <w:rPr>
          <w:rFonts w:ascii="Times New Roman" w:hAnsi="Times New Roman" w:cs="Times New Roman"/>
        </w:rPr>
        <w:t xml:space="preserve"> respond to these stresses. To examine this, the laboratory strain JE2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sidRPr="00C34B71">
        <w:rPr>
          <w:rFonts w:ascii="Times New Roman" w:hAnsi="Times New Roman" w:cs="Times New Roman"/>
        </w:rPr>
        <w:t>was subject to the tolerance assay in the presence of itaconic acid and H</w:t>
      </w:r>
      <w:r w:rsidRPr="00C34B71">
        <w:rPr>
          <w:rFonts w:ascii="Times New Roman" w:hAnsi="Times New Roman" w:cs="Times New Roman"/>
          <w:vertAlign w:val="subscript"/>
        </w:rPr>
        <w:t>2</w:t>
      </w:r>
      <w:r w:rsidRPr="00C34B71">
        <w:rPr>
          <w:rFonts w:ascii="Times New Roman" w:hAnsi="Times New Roman" w:cs="Times New Roman"/>
        </w:rPr>
        <w:t>O</w:t>
      </w:r>
      <w:r w:rsidRPr="00C34B71">
        <w:rPr>
          <w:rFonts w:ascii="Times New Roman" w:hAnsi="Times New Roman" w:cs="Times New Roman"/>
          <w:vertAlign w:val="subscript"/>
        </w:rPr>
        <w:t>2</w:t>
      </w:r>
      <w:r w:rsidRPr="00C34B71">
        <w:rPr>
          <w:rFonts w:ascii="Times New Roman" w:hAnsi="Times New Roman" w:cs="Times New Roman"/>
        </w:rPr>
        <w:t xml:space="preserve"> to understand whether the genes repressed by CodY can aid survival in the presence of these stresses.</w:t>
      </w:r>
      <w:r>
        <w:rPr>
          <w:rFonts w:ascii="Times New Roman" w:hAnsi="Times New Roman" w:cs="Times New Roman"/>
        </w:rPr>
        <w:t xml:space="preserve"> As this strain lacks CodY, the genes that CodY represses are being expressed. In comparison to WT and </w:t>
      </w:r>
      <w:r w:rsidRPr="00C45D97">
        <w:rPr>
          <w:rFonts w:ascii="Times New Roman" w:hAnsi="Times New Roman" w:cs="Times New Roman"/>
        </w:rPr>
        <w:t>the (p)ppGpp</w:t>
      </w:r>
      <w:r w:rsidRPr="00C45D97">
        <w:rPr>
          <w:rFonts w:ascii="Times New Roman" w:hAnsi="Times New Roman" w:cs="Times New Roman"/>
          <w:vertAlign w:val="superscript"/>
        </w:rPr>
        <w:t>0</w:t>
      </w:r>
      <w:r w:rsidRPr="00C45D97">
        <w:rPr>
          <w:rFonts w:ascii="Times New Roman" w:hAnsi="Times New Roman" w:cs="Times New Roman"/>
        </w:rPr>
        <w:t xml:space="preserve"> mutant</w:t>
      </w:r>
      <w:r>
        <w:rPr>
          <w:rFonts w:ascii="Times New Roman" w:hAnsi="Times New Roman" w:cs="Times New Roman"/>
        </w:rPr>
        <w:t xml:space="preserve">, the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mutant in the presence of both itaconic acid and </w:t>
      </w:r>
      <w:r w:rsidRPr="00C34B71">
        <w:rPr>
          <w:rFonts w:ascii="Times New Roman" w:hAnsi="Times New Roman" w:cs="Times New Roman"/>
        </w:rPr>
        <w:t>H</w:t>
      </w:r>
      <w:r w:rsidRPr="00C34B71">
        <w:rPr>
          <w:rFonts w:ascii="Times New Roman" w:hAnsi="Times New Roman" w:cs="Times New Roman"/>
          <w:vertAlign w:val="subscript"/>
        </w:rPr>
        <w:t>2</w:t>
      </w:r>
      <w:r w:rsidRPr="00C34B71">
        <w:rPr>
          <w:rFonts w:ascii="Times New Roman" w:hAnsi="Times New Roman" w:cs="Times New Roman"/>
        </w:rPr>
        <w:t>O</w:t>
      </w:r>
      <w:r w:rsidRPr="00C34B71">
        <w:rPr>
          <w:rFonts w:ascii="Times New Roman" w:hAnsi="Times New Roman" w:cs="Times New Roman"/>
          <w:vertAlign w:val="subscript"/>
        </w:rPr>
        <w:t>2</w:t>
      </w:r>
      <w:r>
        <w:rPr>
          <w:rFonts w:ascii="Times New Roman" w:hAnsi="Times New Roman" w:cs="Times New Roman"/>
          <w:b/>
          <w:bCs/>
        </w:rPr>
        <w:t xml:space="preserve"> </w:t>
      </w:r>
      <w:r>
        <w:rPr>
          <w:rFonts w:ascii="Times New Roman" w:hAnsi="Times New Roman" w:cs="Times New Roman"/>
        </w:rPr>
        <w:t xml:space="preserve">were considerably more tolerant </w:t>
      </w:r>
      <w:r>
        <w:rPr>
          <w:rFonts w:ascii="Times New Roman" w:hAnsi="Times New Roman" w:cs="Times New Roman"/>
          <w:b/>
          <w:bCs/>
        </w:rPr>
        <w:t>(Fig. 4.4.7)</w:t>
      </w:r>
      <w:r>
        <w:rPr>
          <w:rFonts w:ascii="Times New Roman" w:hAnsi="Times New Roman" w:cs="Times New Roman"/>
        </w:rPr>
        <w:t xml:space="preserve">, suggesting that the expression of genes repressed by CodY are beneficial for the survival of </w:t>
      </w:r>
      <w:r>
        <w:rPr>
          <w:rFonts w:ascii="Times New Roman" w:hAnsi="Times New Roman" w:cs="Times New Roman"/>
          <w:i/>
          <w:iCs/>
        </w:rPr>
        <w:t>S. aureus.</w:t>
      </w:r>
      <w:r>
        <w:rPr>
          <w:rFonts w:ascii="Times New Roman" w:hAnsi="Times New Roman" w:cs="Times New Roman"/>
        </w:rPr>
        <w:t xml:space="preserve"> Since an increased tolerance phenotype was observed in the absence of CodY, a </w:t>
      </w:r>
      <w:r w:rsidRPr="00C45D97">
        <w:rPr>
          <w:rFonts w:ascii="Times New Roman" w:hAnsi="Times New Roman" w:cs="Times New Roman"/>
        </w:rPr>
        <w:t>(p)ppGpp</w:t>
      </w:r>
      <w:r w:rsidRPr="00C45D97">
        <w:rPr>
          <w:rFonts w:ascii="Times New Roman" w:hAnsi="Times New Roman" w:cs="Times New Roman"/>
          <w:vertAlign w:val="superscript"/>
        </w:rPr>
        <w:t>0</w:t>
      </w:r>
      <w:r>
        <w:rPr>
          <w:rFonts w:ascii="Times New Roman" w:hAnsi="Times New Roman" w:cs="Times New Roman"/>
          <w:vertAlign w:val="superscript"/>
        </w:rPr>
        <w:t xml:space="preserve"> </w:t>
      </w:r>
      <w:r>
        <w:rPr>
          <w:rFonts w:ascii="Times New Roman" w:hAnsi="Times New Roman" w:cs="Times New Roman"/>
        </w:rPr>
        <w:t xml:space="preserve">background lacking CodY was also constructed by phage transduction to study the affect. In this instance, a </w:t>
      </w:r>
      <w:r w:rsidRPr="00C45D97">
        <w:rPr>
          <w:rFonts w:ascii="Times New Roman" w:hAnsi="Times New Roman" w:cs="Times New Roman"/>
        </w:rPr>
        <w:t>(p)ppGpp</w:t>
      </w:r>
      <w:r w:rsidRPr="00C45D97">
        <w:rPr>
          <w:rFonts w:ascii="Times New Roman" w:hAnsi="Times New Roman" w:cs="Times New Roman"/>
          <w:vertAlign w:val="superscript"/>
        </w:rPr>
        <w:t>0</w:t>
      </w:r>
      <w:r>
        <w:rPr>
          <w:rFonts w:ascii="Times New Roman" w:hAnsi="Times New Roman" w:cs="Times New Roman"/>
          <w:vertAlign w:val="superscript"/>
        </w:rPr>
        <w:t xml:space="preserve">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strain restored survival in the presence of both itaconic acid and </w:t>
      </w:r>
      <w:r w:rsidRPr="00C34B71">
        <w:rPr>
          <w:rFonts w:ascii="Times New Roman" w:hAnsi="Times New Roman" w:cs="Times New Roman"/>
        </w:rPr>
        <w:t>H</w:t>
      </w:r>
      <w:r w:rsidRPr="00C34B71">
        <w:rPr>
          <w:rFonts w:ascii="Times New Roman" w:hAnsi="Times New Roman" w:cs="Times New Roman"/>
          <w:vertAlign w:val="subscript"/>
        </w:rPr>
        <w:t>2</w:t>
      </w:r>
      <w:r w:rsidRPr="00C34B71">
        <w:rPr>
          <w:rFonts w:ascii="Times New Roman" w:hAnsi="Times New Roman" w:cs="Times New Roman"/>
        </w:rPr>
        <w:t>O</w:t>
      </w:r>
      <w:r w:rsidRPr="00C34B71">
        <w:rPr>
          <w:rFonts w:ascii="Times New Roman" w:hAnsi="Times New Roman" w:cs="Times New Roman"/>
          <w:vertAlign w:val="subscript"/>
        </w:rPr>
        <w:t>2</w:t>
      </w:r>
      <w:r>
        <w:rPr>
          <w:rFonts w:ascii="Times New Roman" w:hAnsi="Times New Roman" w:cs="Times New Roman"/>
        </w:rPr>
        <w:t xml:space="preserve"> in comparison to the </w:t>
      </w:r>
      <w:r w:rsidRPr="00C45D97">
        <w:rPr>
          <w:rFonts w:ascii="Times New Roman" w:hAnsi="Times New Roman" w:cs="Times New Roman"/>
        </w:rPr>
        <w:t>(p)ppGpp</w:t>
      </w:r>
      <w:r w:rsidRPr="00C45D97">
        <w:rPr>
          <w:rFonts w:ascii="Times New Roman" w:hAnsi="Times New Roman" w:cs="Times New Roman"/>
          <w:vertAlign w:val="superscript"/>
        </w:rPr>
        <w:t>0</w:t>
      </w:r>
      <w:r w:rsidRPr="00C45D97">
        <w:rPr>
          <w:rFonts w:ascii="Times New Roman" w:hAnsi="Times New Roman" w:cs="Times New Roman"/>
        </w:rPr>
        <w:t xml:space="preserve"> mutant</w:t>
      </w:r>
      <w:r>
        <w:rPr>
          <w:rFonts w:ascii="Times New Roman" w:hAnsi="Times New Roman" w:cs="Times New Roman"/>
        </w:rPr>
        <w:t xml:space="preserve">, and to a level equivalent to the </w:t>
      </w:r>
      <w:r w:rsidRPr="00C34B71">
        <w:rPr>
          <w:rFonts w:ascii="Times New Roman" w:hAnsi="Times New Roman" w:cs="Times New Roman"/>
        </w:rPr>
        <w:t>JE2</w:t>
      </w:r>
      <w:r>
        <w:rPr>
          <w:rFonts w:ascii="Times New Roman" w:hAnsi="Times New Roman" w:cs="Times New Roman"/>
        </w:rPr>
        <w:t xml:space="preserve">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mutant </w:t>
      </w:r>
      <w:r>
        <w:rPr>
          <w:rFonts w:ascii="Times New Roman" w:hAnsi="Times New Roman" w:cs="Times New Roman"/>
          <w:b/>
          <w:bCs/>
        </w:rPr>
        <w:t>(Fig. 4.4.7)</w:t>
      </w:r>
      <w:r>
        <w:rPr>
          <w:rFonts w:ascii="Times New Roman" w:hAnsi="Times New Roman" w:cs="Times New Roman"/>
        </w:rPr>
        <w:t xml:space="preserve">. These results describe a role for CodY in the tolerance of </w:t>
      </w:r>
      <w:r>
        <w:rPr>
          <w:rFonts w:ascii="Times New Roman" w:hAnsi="Times New Roman" w:cs="Times New Roman"/>
          <w:i/>
          <w:iCs/>
        </w:rPr>
        <w:t>S. aureus</w:t>
      </w:r>
      <w:r>
        <w:rPr>
          <w:rFonts w:ascii="Times New Roman" w:hAnsi="Times New Roman" w:cs="Times New Roman"/>
        </w:rPr>
        <w:t xml:space="preserve"> </w:t>
      </w:r>
      <w:r w:rsidRPr="00F02F29">
        <w:rPr>
          <w:rFonts w:ascii="Times New Roman" w:hAnsi="Times New Roman" w:cs="Times New Roman"/>
          <w:i/>
          <w:iCs/>
        </w:rPr>
        <w:t>in vitro</w:t>
      </w:r>
      <w:r>
        <w:rPr>
          <w:rFonts w:ascii="Times New Roman" w:hAnsi="Times New Roman" w:cs="Times New Roman"/>
          <w:i/>
          <w:iCs/>
        </w:rPr>
        <w:t xml:space="preserve"> </w:t>
      </w:r>
      <w:r>
        <w:rPr>
          <w:rFonts w:ascii="Times New Roman" w:hAnsi="Times New Roman" w:cs="Times New Roman"/>
        </w:rPr>
        <w:t xml:space="preserve">and indicate that it is the repression of CodY in the </w:t>
      </w:r>
      <w:r w:rsidRPr="00C45D97">
        <w:rPr>
          <w:rFonts w:ascii="Times New Roman" w:hAnsi="Times New Roman" w:cs="Times New Roman"/>
        </w:rPr>
        <w:t>(p)ppGpp</w:t>
      </w:r>
      <w:r w:rsidRPr="00C45D97">
        <w:rPr>
          <w:rFonts w:ascii="Times New Roman" w:hAnsi="Times New Roman" w:cs="Times New Roman"/>
          <w:vertAlign w:val="superscript"/>
        </w:rPr>
        <w:t>0</w:t>
      </w:r>
      <w:r w:rsidRPr="00C45D97">
        <w:rPr>
          <w:rFonts w:ascii="Times New Roman" w:hAnsi="Times New Roman" w:cs="Times New Roman"/>
        </w:rPr>
        <w:t xml:space="preserve"> mutant</w:t>
      </w:r>
      <w:r>
        <w:rPr>
          <w:rFonts w:ascii="Times New Roman" w:hAnsi="Times New Roman" w:cs="Times New Roman"/>
        </w:rPr>
        <w:t xml:space="preserve"> strain that renders it susceptible to itaconic acid and </w:t>
      </w:r>
      <w:r w:rsidRPr="00C34B71">
        <w:rPr>
          <w:rFonts w:ascii="Times New Roman" w:hAnsi="Times New Roman" w:cs="Times New Roman"/>
        </w:rPr>
        <w:t>H</w:t>
      </w:r>
      <w:r w:rsidRPr="00C34B71">
        <w:rPr>
          <w:rFonts w:ascii="Times New Roman" w:hAnsi="Times New Roman" w:cs="Times New Roman"/>
          <w:vertAlign w:val="subscript"/>
        </w:rPr>
        <w:t>2</w:t>
      </w:r>
      <w:r w:rsidRPr="00C34B71">
        <w:rPr>
          <w:rFonts w:ascii="Times New Roman" w:hAnsi="Times New Roman" w:cs="Times New Roman"/>
        </w:rPr>
        <w:t>O</w:t>
      </w:r>
      <w:r w:rsidRPr="00C34B71">
        <w:rPr>
          <w:rFonts w:ascii="Times New Roman" w:hAnsi="Times New Roman" w:cs="Times New Roman"/>
          <w:vertAlign w:val="subscript"/>
        </w:rPr>
        <w:t>2</w:t>
      </w:r>
      <w:r>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09CD95A7" w14:textId="77777777" w:rsidTr="00A74445">
        <w:tc>
          <w:tcPr>
            <w:tcW w:w="9016" w:type="dxa"/>
          </w:tcPr>
          <w:p w14:paraId="2A89F6CB" w14:textId="73426FC9" w:rsidR="00187693" w:rsidRDefault="000B3602" w:rsidP="00066900">
            <w:pPr>
              <w:tabs>
                <w:tab w:val="left" w:pos="1390"/>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2429010" wp14:editId="13ECAE1F">
                  <wp:extent cx="5354490" cy="3897323"/>
                  <wp:effectExtent l="0" t="0" r="0" b="0"/>
                  <wp:docPr id="1863019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6396" cy="3905989"/>
                          </a:xfrm>
                          <a:prstGeom prst="rect">
                            <a:avLst/>
                          </a:prstGeom>
                          <a:noFill/>
                        </pic:spPr>
                      </pic:pic>
                    </a:graphicData>
                  </a:graphic>
                </wp:inline>
              </w:drawing>
            </w:r>
          </w:p>
        </w:tc>
      </w:tr>
      <w:tr w:rsidR="00187693" w14:paraId="35D0CBFC" w14:textId="77777777" w:rsidTr="00A74445">
        <w:tc>
          <w:tcPr>
            <w:tcW w:w="9016" w:type="dxa"/>
          </w:tcPr>
          <w:p w14:paraId="36320FBA" w14:textId="77777777" w:rsidR="000B3602" w:rsidRPr="000B3602" w:rsidRDefault="000B3602" w:rsidP="000B3602">
            <w:pPr>
              <w:jc w:val="both"/>
              <w:rPr>
                <w:rFonts w:ascii="Times New Roman" w:hAnsi="Times New Roman" w:cs="Times New Roman"/>
                <w:sz w:val="18"/>
                <w:szCs w:val="18"/>
              </w:rPr>
            </w:pPr>
            <w:r w:rsidRPr="000B3602">
              <w:rPr>
                <w:rFonts w:ascii="Times New Roman" w:hAnsi="Times New Roman" w:cs="Times New Roman"/>
                <w:b/>
                <w:bCs/>
                <w:sz w:val="18"/>
                <w:szCs w:val="18"/>
              </w:rPr>
              <w:t>Figure 4.2.10. The absence of CodY restores tolerance of the (p)ppGpp</w:t>
            </w:r>
            <w:r w:rsidRPr="000B3602">
              <w:rPr>
                <w:rFonts w:ascii="Times New Roman" w:hAnsi="Times New Roman" w:cs="Times New Roman"/>
                <w:b/>
                <w:bCs/>
                <w:sz w:val="18"/>
                <w:szCs w:val="18"/>
                <w:vertAlign w:val="superscript"/>
              </w:rPr>
              <w:t>0</w:t>
            </w:r>
            <w:r w:rsidRPr="000B3602">
              <w:rPr>
                <w:rFonts w:ascii="Times New Roman" w:hAnsi="Times New Roman" w:cs="Times New Roman"/>
                <w:b/>
                <w:bCs/>
                <w:i/>
                <w:iCs/>
                <w:sz w:val="18"/>
                <w:szCs w:val="18"/>
              </w:rPr>
              <w:t xml:space="preserve"> </w:t>
            </w:r>
            <w:r w:rsidRPr="000B3602">
              <w:rPr>
                <w:rFonts w:ascii="Times New Roman" w:hAnsi="Times New Roman" w:cs="Times New Roman"/>
                <w:b/>
                <w:bCs/>
                <w:sz w:val="18"/>
                <w:szCs w:val="18"/>
              </w:rPr>
              <w:t>null</w:t>
            </w:r>
            <w:r w:rsidRPr="000B3602">
              <w:rPr>
                <w:rFonts w:ascii="Times New Roman" w:hAnsi="Times New Roman" w:cs="Times New Roman"/>
                <w:b/>
                <w:bCs/>
                <w:i/>
                <w:iCs/>
                <w:sz w:val="18"/>
                <w:szCs w:val="18"/>
              </w:rPr>
              <w:t xml:space="preserve"> </w:t>
            </w:r>
            <w:r w:rsidRPr="000B3602">
              <w:rPr>
                <w:rFonts w:ascii="Times New Roman" w:hAnsi="Times New Roman" w:cs="Times New Roman"/>
                <w:b/>
                <w:bCs/>
                <w:sz w:val="18"/>
                <w:szCs w:val="18"/>
              </w:rPr>
              <w:t>mutant to WT levels in the presence of itaconic acid and H</w:t>
            </w:r>
            <w:r w:rsidRPr="000B3602">
              <w:rPr>
                <w:rFonts w:ascii="Times New Roman" w:hAnsi="Times New Roman" w:cs="Times New Roman"/>
                <w:b/>
                <w:bCs/>
                <w:sz w:val="18"/>
                <w:szCs w:val="18"/>
                <w:vertAlign w:val="subscript"/>
              </w:rPr>
              <w:t>2</w:t>
            </w:r>
            <w:r w:rsidRPr="000B3602">
              <w:rPr>
                <w:rFonts w:ascii="Times New Roman" w:hAnsi="Times New Roman" w:cs="Times New Roman"/>
                <w:b/>
                <w:bCs/>
                <w:sz w:val="18"/>
                <w:szCs w:val="18"/>
              </w:rPr>
              <w:t>O</w:t>
            </w:r>
            <w:r w:rsidRPr="000B3602">
              <w:rPr>
                <w:rFonts w:ascii="Times New Roman" w:hAnsi="Times New Roman" w:cs="Times New Roman"/>
                <w:b/>
                <w:bCs/>
                <w:sz w:val="18"/>
                <w:szCs w:val="18"/>
                <w:vertAlign w:val="subscript"/>
              </w:rPr>
              <w:t>2</w:t>
            </w:r>
            <w:r w:rsidRPr="000B3602">
              <w:rPr>
                <w:rFonts w:ascii="Times New Roman" w:hAnsi="Times New Roman" w:cs="Times New Roman"/>
                <w:b/>
                <w:bCs/>
                <w:sz w:val="18"/>
                <w:szCs w:val="18"/>
              </w:rPr>
              <w:t xml:space="preserve"> </w:t>
            </w:r>
            <w:r w:rsidRPr="000B3602">
              <w:rPr>
                <w:rFonts w:ascii="Times New Roman" w:hAnsi="Times New Roman" w:cs="Times New Roman"/>
                <w:b/>
                <w:bCs/>
                <w:i/>
                <w:iCs/>
                <w:sz w:val="18"/>
                <w:szCs w:val="18"/>
              </w:rPr>
              <w:t xml:space="preserve">in vitro. </w:t>
            </w:r>
            <w:r w:rsidRPr="000B3602">
              <w:rPr>
                <w:rFonts w:ascii="Times New Roman" w:hAnsi="Times New Roman" w:cs="Times New Roman"/>
                <w:sz w:val="18"/>
                <w:szCs w:val="18"/>
              </w:rPr>
              <w:t>JE2 WT (black), (p)ppGpp</w:t>
            </w:r>
            <w:r w:rsidRPr="000B3602">
              <w:rPr>
                <w:rFonts w:ascii="Times New Roman" w:hAnsi="Times New Roman" w:cs="Times New Roman"/>
                <w:sz w:val="18"/>
                <w:szCs w:val="18"/>
                <w:vertAlign w:val="superscript"/>
              </w:rPr>
              <w:t>0</w:t>
            </w:r>
            <w:r w:rsidRPr="000B3602">
              <w:rPr>
                <w:rFonts w:ascii="Times New Roman" w:hAnsi="Times New Roman" w:cs="Times New Roman"/>
                <w:i/>
                <w:iCs/>
                <w:sz w:val="18"/>
                <w:szCs w:val="18"/>
              </w:rPr>
              <w:t xml:space="preserve"> </w:t>
            </w:r>
            <w:r w:rsidRPr="000B3602">
              <w:rPr>
                <w:rFonts w:ascii="Times New Roman" w:hAnsi="Times New Roman" w:cs="Times New Roman"/>
                <w:sz w:val="18"/>
                <w:szCs w:val="18"/>
              </w:rPr>
              <w:t xml:space="preserve">(pink) and JE2 </w:t>
            </w:r>
            <w:r w:rsidRPr="000B3602">
              <w:rPr>
                <w:rFonts w:ascii="Times New Roman" w:hAnsi="Times New Roman" w:cs="Times New Roman"/>
                <w:i/>
                <w:iCs/>
                <w:sz w:val="18"/>
                <w:szCs w:val="18"/>
              </w:rPr>
              <w:t>codY</w:t>
            </w:r>
            <w:r w:rsidRPr="000B3602">
              <w:rPr>
                <w:rFonts w:ascii="Times New Roman" w:hAnsi="Times New Roman" w:cs="Times New Roman"/>
                <w:sz w:val="18"/>
                <w:szCs w:val="18"/>
              </w:rPr>
              <w:t>::Tn</w:t>
            </w:r>
            <w:r w:rsidRPr="000B3602">
              <w:rPr>
                <w:rFonts w:ascii="Times New Roman" w:hAnsi="Times New Roman" w:cs="Times New Roman"/>
                <w:i/>
                <w:iCs/>
                <w:sz w:val="18"/>
                <w:szCs w:val="18"/>
              </w:rPr>
              <w:t xml:space="preserve"> </w:t>
            </w:r>
            <w:r w:rsidRPr="000B3602">
              <w:rPr>
                <w:rFonts w:ascii="Times New Roman" w:hAnsi="Times New Roman" w:cs="Times New Roman"/>
                <w:sz w:val="18"/>
                <w:szCs w:val="18"/>
              </w:rPr>
              <w:t>(teal) and (p)ppGpp</w:t>
            </w:r>
            <w:r w:rsidRPr="000B3602">
              <w:rPr>
                <w:rFonts w:ascii="Times New Roman" w:hAnsi="Times New Roman" w:cs="Times New Roman"/>
                <w:sz w:val="18"/>
                <w:szCs w:val="18"/>
                <w:vertAlign w:val="superscript"/>
              </w:rPr>
              <w:t>0</w:t>
            </w:r>
            <w:r w:rsidRPr="000B3602">
              <w:rPr>
                <w:rFonts w:ascii="Times New Roman" w:hAnsi="Times New Roman" w:cs="Times New Roman"/>
                <w:i/>
                <w:iCs/>
                <w:sz w:val="18"/>
                <w:szCs w:val="18"/>
              </w:rPr>
              <w:t xml:space="preserve"> codY</w:t>
            </w:r>
            <w:r w:rsidRPr="000B3602">
              <w:rPr>
                <w:rFonts w:ascii="Times New Roman" w:hAnsi="Times New Roman" w:cs="Times New Roman"/>
                <w:sz w:val="18"/>
                <w:szCs w:val="18"/>
              </w:rPr>
              <w:t>::Tn</w:t>
            </w:r>
            <w:r w:rsidRPr="000B3602">
              <w:rPr>
                <w:rFonts w:ascii="Times New Roman" w:hAnsi="Times New Roman" w:cs="Times New Roman"/>
                <w:i/>
                <w:iCs/>
                <w:sz w:val="18"/>
                <w:szCs w:val="18"/>
              </w:rPr>
              <w:t xml:space="preserve"> </w:t>
            </w:r>
            <w:r w:rsidRPr="000B3602">
              <w:rPr>
                <w:rFonts w:ascii="Times New Roman" w:hAnsi="Times New Roman" w:cs="Times New Roman"/>
                <w:sz w:val="18"/>
                <w:szCs w:val="18"/>
              </w:rPr>
              <w:t>(purple) were grown to early exponential phase (approximately OD</w:t>
            </w:r>
            <w:r w:rsidRPr="000B3602">
              <w:rPr>
                <w:rFonts w:ascii="Times New Roman" w:hAnsi="Times New Roman" w:cs="Times New Roman"/>
                <w:sz w:val="18"/>
                <w:szCs w:val="18"/>
                <w:vertAlign w:val="subscript"/>
              </w:rPr>
              <w:t xml:space="preserve">600 </w:t>
            </w:r>
            <w:r w:rsidRPr="000B3602">
              <w:rPr>
                <w:rFonts w:ascii="Times New Roman" w:hAnsi="Times New Roman" w:cs="Times New Roman"/>
                <w:sz w:val="18"/>
                <w:szCs w:val="18"/>
              </w:rPr>
              <w:t xml:space="preserve">0.35) in tryptic soy broth (TSB) and were subsequently washed twice in 1x PBS. </w:t>
            </w:r>
            <w:r w:rsidRPr="000B3602">
              <w:rPr>
                <w:rFonts w:ascii="Times New Roman" w:hAnsi="Times New Roman" w:cs="Times New Roman"/>
                <w:b/>
                <w:bCs/>
                <w:sz w:val="18"/>
                <w:szCs w:val="18"/>
              </w:rPr>
              <w:t>(a)</w:t>
            </w:r>
            <w:r w:rsidRPr="000B3602">
              <w:rPr>
                <w:rFonts w:ascii="Times New Roman" w:hAnsi="Times New Roman" w:cs="Times New Roman"/>
                <w:sz w:val="18"/>
                <w:szCs w:val="18"/>
              </w:rPr>
              <w:t xml:space="preserve"> Itaconic acid was added at 20 mM and </w:t>
            </w:r>
            <w:r w:rsidRPr="000B3602">
              <w:rPr>
                <w:rFonts w:ascii="Times New Roman" w:hAnsi="Times New Roman" w:cs="Times New Roman"/>
                <w:b/>
                <w:bCs/>
                <w:sz w:val="18"/>
                <w:szCs w:val="18"/>
              </w:rPr>
              <w:t>(b)</w:t>
            </w:r>
            <w:r w:rsidRPr="000B3602">
              <w:rPr>
                <w:rFonts w:ascii="Times New Roman" w:hAnsi="Times New Roman" w:cs="Times New Roman"/>
                <w:sz w:val="18"/>
                <w:szCs w:val="18"/>
              </w:rPr>
              <w:t xml:space="preserve"> H</w:t>
            </w:r>
            <w:r w:rsidRPr="000B3602">
              <w:rPr>
                <w:rFonts w:ascii="Times New Roman" w:hAnsi="Times New Roman" w:cs="Times New Roman"/>
                <w:sz w:val="18"/>
                <w:szCs w:val="18"/>
                <w:vertAlign w:val="subscript"/>
              </w:rPr>
              <w:t>2</w:t>
            </w:r>
            <w:r w:rsidRPr="000B3602">
              <w:rPr>
                <w:rFonts w:ascii="Times New Roman" w:hAnsi="Times New Roman" w:cs="Times New Roman"/>
                <w:sz w:val="18"/>
                <w:szCs w:val="18"/>
              </w:rPr>
              <w:t>O</w:t>
            </w:r>
            <w:r w:rsidRPr="000B3602">
              <w:rPr>
                <w:rFonts w:ascii="Times New Roman" w:hAnsi="Times New Roman" w:cs="Times New Roman"/>
                <w:sz w:val="18"/>
                <w:szCs w:val="18"/>
                <w:vertAlign w:val="subscript"/>
              </w:rPr>
              <w:t xml:space="preserve">2 </w:t>
            </w:r>
            <w:r w:rsidRPr="000B3602">
              <w:rPr>
                <w:rFonts w:ascii="Times New Roman" w:hAnsi="Times New Roman" w:cs="Times New Roman"/>
                <w:sz w:val="18"/>
                <w:szCs w:val="18"/>
              </w:rPr>
              <w:t xml:space="preserve">at 100 mM and the cultures were incubated at 37 ˚C for 30 minutes after which samples were taken for CFU/ml determination. Percentage bacterial survival with mean and standard deviation plotted. Statistical analysis was performed using one-way ANOVA with Tukey's multiple comparisons test. * </w:t>
            </w:r>
            <w:r w:rsidRPr="000B3602">
              <w:rPr>
                <w:rFonts w:ascii="Times New Roman" w:hAnsi="Times New Roman" w:cs="Times New Roman"/>
                <w:i/>
                <w:iCs/>
                <w:sz w:val="18"/>
                <w:szCs w:val="18"/>
              </w:rPr>
              <w:t>P</w:t>
            </w:r>
            <w:r w:rsidRPr="000B3602">
              <w:rPr>
                <w:rFonts w:ascii="Times New Roman" w:hAnsi="Times New Roman" w:cs="Times New Roman"/>
                <w:sz w:val="18"/>
                <w:szCs w:val="18"/>
              </w:rPr>
              <w:t xml:space="preserve"> &lt; 0.05, ** </w:t>
            </w:r>
            <w:r w:rsidRPr="000B3602">
              <w:rPr>
                <w:rFonts w:ascii="Times New Roman" w:hAnsi="Times New Roman" w:cs="Times New Roman"/>
                <w:i/>
                <w:iCs/>
                <w:sz w:val="18"/>
                <w:szCs w:val="18"/>
              </w:rPr>
              <w:t>P</w:t>
            </w:r>
            <w:r w:rsidRPr="000B3602">
              <w:rPr>
                <w:rFonts w:ascii="Times New Roman" w:hAnsi="Times New Roman" w:cs="Times New Roman"/>
                <w:sz w:val="18"/>
                <w:szCs w:val="18"/>
              </w:rPr>
              <w:t xml:space="preserve"> &lt; 0.01, **** </w:t>
            </w:r>
            <w:r w:rsidRPr="000B3602">
              <w:rPr>
                <w:rFonts w:ascii="Times New Roman" w:hAnsi="Times New Roman" w:cs="Times New Roman"/>
                <w:i/>
                <w:iCs/>
                <w:sz w:val="18"/>
                <w:szCs w:val="18"/>
              </w:rPr>
              <w:t>P</w:t>
            </w:r>
            <w:r w:rsidRPr="000B3602">
              <w:rPr>
                <w:rFonts w:ascii="Times New Roman" w:hAnsi="Times New Roman" w:cs="Times New Roman"/>
                <w:sz w:val="18"/>
                <w:szCs w:val="18"/>
              </w:rPr>
              <w:t xml:space="preserve"> &lt; 0.0001.</w:t>
            </w:r>
          </w:p>
          <w:p w14:paraId="2EF2DB38" w14:textId="6B4E4ECD" w:rsidR="00187693" w:rsidRDefault="00187693" w:rsidP="00A74445">
            <w:pPr>
              <w:jc w:val="both"/>
              <w:rPr>
                <w:rFonts w:ascii="Times New Roman" w:hAnsi="Times New Roman" w:cs="Times New Roman"/>
              </w:rPr>
            </w:pPr>
          </w:p>
        </w:tc>
      </w:tr>
    </w:tbl>
    <w:p w14:paraId="262E57D1" w14:textId="77777777" w:rsidR="00187693" w:rsidRDefault="00187693" w:rsidP="00187693">
      <w:pPr>
        <w:spacing w:line="360" w:lineRule="auto"/>
        <w:jc w:val="both"/>
        <w:rPr>
          <w:rFonts w:ascii="Times New Roman" w:hAnsi="Times New Roman" w:cs="Times New Roman"/>
        </w:rPr>
      </w:pPr>
    </w:p>
    <w:p w14:paraId="42958342" w14:textId="77777777" w:rsidR="00AC5366" w:rsidRPr="00F02F29" w:rsidRDefault="00AC5366" w:rsidP="00187693">
      <w:pPr>
        <w:spacing w:line="360" w:lineRule="auto"/>
        <w:jc w:val="both"/>
        <w:rPr>
          <w:rFonts w:ascii="Times New Roman" w:hAnsi="Times New Roman" w:cs="Times New Roman"/>
        </w:rPr>
      </w:pPr>
    </w:p>
    <w:p w14:paraId="5AEBBB86" w14:textId="77777777" w:rsidR="00187693" w:rsidRDefault="00187693" w:rsidP="00187693">
      <w:pPr>
        <w:pStyle w:val="Heading2"/>
      </w:pPr>
      <w:bookmarkStart w:id="154" w:name="_Toc142043648"/>
      <w:r>
        <w:t>4.3. Discussion</w:t>
      </w:r>
      <w:bookmarkEnd w:id="154"/>
    </w:p>
    <w:p w14:paraId="2085F247" w14:textId="77777777" w:rsidR="00187693" w:rsidRPr="0012654B" w:rsidRDefault="00187693" w:rsidP="00187693"/>
    <w:p w14:paraId="4DAC452A" w14:textId="77777777" w:rsidR="00187693" w:rsidRPr="009C750A" w:rsidRDefault="00187693" w:rsidP="00187693">
      <w:pPr>
        <w:spacing w:line="360" w:lineRule="auto"/>
        <w:jc w:val="both"/>
        <w:rPr>
          <w:rFonts w:ascii="Times New Roman" w:hAnsi="Times New Roman" w:cs="Times New Roman"/>
        </w:rPr>
      </w:pPr>
      <w:bookmarkStart w:id="155" w:name="_Hlk126323287"/>
      <w:r w:rsidRPr="009C750A">
        <w:rPr>
          <w:rFonts w:ascii="Times New Roman" w:hAnsi="Times New Roman" w:cs="Times New Roman"/>
        </w:rPr>
        <w:t xml:space="preserve">This chapter outlines the contribution of the stringent response for the survival of </w:t>
      </w:r>
      <w:r w:rsidRPr="009C750A">
        <w:rPr>
          <w:rFonts w:ascii="Times New Roman" w:hAnsi="Times New Roman" w:cs="Times New Roman"/>
          <w:i/>
          <w:iCs/>
        </w:rPr>
        <w:t xml:space="preserve">S. aureus </w:t>
      </w:r>
      <w:r>
        <w:rPr>
          <w:rFonts w:ascii="Times New Roman" w:hAnsi="Times New Roman" w:cs="Times New Roman"/>
        </w:rPr>
        <w:t xml:space="preserve">when exposed to conditions that can be found </w:t>
      </w:r>
      <w:r w:rsidRPr="009C750A">
        <w:rPr>
          <w:rFonts w:ascii="Times New Roman" w:hAnsi="Times New Roman" w:cs="Times New Roman"/>
        </w:rPr>
        <w:t>within both professional and non-professional phagocytes. Therefore, to understand the mechanisms by which the staphylococcal</w:t>
      </w:r>
      <w:r w:rsidRPr="009C750A">
        <w:rPr>
          <w:rFonts w:ascii="Times New Roman" w:hAnsi="Times New Roman" w:cs="Times New Roman"/>
          <w:i/>
          <w:iCs/>
        </w:rPr>
        <w:t xml:space="preserve"> </w:t>
      </w:r>
      <w:r w:rsidRPr="009C750A">
        <w:rPr>
          <w:rFonts w:ascii="Times New Roman" w:hAnsi="Times New Roman" w:cs="Times New Roman"/>
        </w:rPr>
        <w:t xml:space="preserve">stringent response may be involved, stringent response mutants were exposed to stresses that occur within the phagolysosome such as AMPs, acid and ROS stress and their viability under these stresses were investigated. </w:t>
      </w:r>
    </w:p>
    <w:bookmarkEnd w:id="155"/>
    <w:p w14:paraId="64E63F03" w14:textId="6314D158" w:rsidR="00187693" w:rsidRPr="009C750A" w:rsidRDefault="00187693" w:rsidP="00187693">
      <w:pPr>
        <w:spacing w:line="360" w:lineRule="auto"/>
        <w:ind w:firstLine="720"/>
        <w:jc w:val="both"/>
        <w:rPr>
          <w:rFonts w:ascii="Times New Roman" w:hAnsi="Times New Roman" w:cs="Times New Roman"/>
          <w:b/>
          <w:bCs/>
        </w:rPr>
      </w:pPr>
      <w:r w:rsidRPr="0012654B">
        <w:rPr>
          <w:rFonts w:ascii="Times New Roman" w:hAnsi="Times New Roman" w:cs="Times New Roman"/>
        </w:rPr>
        <w:t xml:space="preserve">To study how the </w:t>
      </w:r>
      <w:r>
        <w:rPr>
          <w:rFonts w:ascii="Times New Roman" w:hAnsi="Times New Roman" w:cs="Times New Roman"/>
        </w:rPr>
        <w:t>stringent response</w:t>
      </w:r>
      <w:r w:rsidRPr="0012654B">
        <w:rPr>
          <w:rFonts w:ascii="Times New Roman" w:hAnsi="Times New Roman" w:cs="Times New Roman"/>
        </w:rPr>
        <w:t xml:space="preserve"> is important for </w:t>
      </w:r>
      <w:r w:rsidRPr="0012654B">
        <w:rPr>
          <w:rFonts w:ascii="Times New Roman" w:hAnsi="Times New Roman" w:cs="Times New Roman"/>
          <w:i/>
          <w:iCs/>
        </w:rPr>
        <w:t xml:space="preserve">S. aureus </w:t>
      </w:r>
      <w:r w:rsidRPr="0012654B">
        <w:rPr>
          <w:rFonts w:ascii="Times New Roman" w:hAnsi="Times New Roman" w:cs="Times New Roman"/>
        </w:rPr>
        <w:t xml:space="preserve">survival in the harsh conditions of the phagolysosomal environment, </w:t>
      </w:r>
      <w:r>
        <w:rPr>
          <w:rFonts w:ascii="Times New Roman" w:hAnsi="Times New Roman" w:cs="Times New Roman"/>
        </w:rPr>
        <w:t>stringent response</w:t>
      </w:r>
      <w:r w:rsidRPr="0012654B">
        <w:rPr>
          <w:rFonts w:ascii="Times New Roman" w:hAnsi="Times New Roman" w:cs="Times New Roman"/>
        </w:rPr>
        <w:t xml:space="preserve"> mutants were exposed to various stressors. At the concentrations of AMP</w:t>
      </w:r>
      <w:r>
        <w:rPr>
          <w:rFonts w:ascii="Times New Roman" w:hAnsi="Times New Roman" w:cs="Times New Roman"/>
        </w:rPr>
        <w:t>s (LL-37 and polymyxin B)</w:t>
      </w:r>
      <w:r w:rsidRPr="0012654B">
        <w:rPr>
          <w:rFonts w:ascii="Times New Roman" w:hAnsi="Times New Roman" w:cs="Times New Roman"/>
        </w:rPr>
        <w:t xml:space="preserve"> used in this study, differences in growth were not observed between the mutants and WT </w:t>
      </w:r>
      <w:r w:rsidRPr="0012654B">
        <w:rPr>
          <w:rFonts w:ascii="Times New Roman" w:hAnsi="Times New Roman" w:cs="Times New Roman"/>
          <w:b/>
          <w:bCs/>
        </w:rPr>
        <w:t>(Fig. 4.</w:t>
      </w:r>
      <w:r>
        <w:rPr>
          <w:rFonts w:ascii="Times New Roman" w:hAnsi="Times New Roman" w:cs="Times New Roman"/>
          <w:b/>
          <w:bCs/>
        </w:rPr>
        <w:t>2</w:t>
      </w:r>
      <w:r w:rsidRPr="0012654B">
        <w:rPr>
          <w:rFonts w:ascii="Times New Roman" w:hAnsi="Times New Roman" w:cs="Times New Roman"/>
          <w:b/>
          <w:bCs/>
        </w:rPr>
        <w:t xml:space="preserve">.1) </w:t>
      </w:r>
      <w:r w:rsidRPr="0012654B">
        <w:rPr>
          <w:rFonts w:ascii="Times New Roman" w:hAnsi="Times New Roman" w:cs="Times New Roman"/>
        </w:rPr>
        <w:t>due</w:t>
      </w:r>
      <w:r w:rsidR="00086AFF">
        <w:rPr>
          <w:rFonts w:ascii="Times New Roman" w:hAnsi="Times New Roman" w:cs="Times New Roman"/>
        </w:rPr>
        <w:t xml:space="preserve"> to</w:t>
      </w:r>
      <w:r w:rsidRPr="0012654B">
        <w:rPr>
          <w:rFonts w:ascii="Times New Roman" w:hAnsi="Times New Roman" w:cs="Times New Roman"/>
        </w:rPr>
        <w:t xml:space="preserve"> unsuitable concentrations of AMP used. This therefore did not allow the role of the </w:t>
      </w:r>
      <w:r>
        <w:rPr>
          <w:rFonts w:ascii="Times New Roman" w:hAnsi="Times New Roman" w:cs="Times New Roman"/>
        </w:rPr>
        <w:t>stringent response</w:t>
      </w:r>
      <w:r w:rsidRPr="0012654B">
        <w:rPr>
          <w:rFonts w:ascii="Times New Roman" w:hAnsi="Times New Roman" w:cs="Times New Roman"/>
        </w:rPr>
        <w:t xml:space="preserve"> to be probed. Further optimisation is required to titrate the concentrations of AMP required to detect a difference, especially as an increase in </w:t>
      </w:r>
      <w:r w:rsidRPr="0012654B">
        <w:rPr>
          <w:rFonts w:ascii="Times New Roman" w:hAnsi="Times New Roman" w:cs="Times New Roman"/>
          <w:i/>
          <w:iCs/>
        </w:rPr>
        <w:t>spoT</w:t>
      </w:r>
      <w:r w:rsidRPr="0012654B">
        <w:rPr>
          <w:rFonts w:ascii="Times New Roman" w:hAnsi="Times New Roman" w:cs="Times New Roman"/>
        </w:rPr>
        <w:t xml:space="preserve"> </w:t>
      </w:r>
      <w:r w:rsidR="009A21F0">
        <w:rPr>
          <w:rFonts w:ascii="Times New Roman" w:hAnsi="Times New Roman" w:cs="Times New Roman"/>
        </w:rPr>
        <w:t xml:space="preserve">and </w:t>
      </w:r>
      <w:r w:rsidR="009A21F0">
        <w:rPr>
          <w:rFonts w:ascii="Times New Roman" w:hAnsi="Times New Roman" w:cs="Times New Roman"/>
          <w:i/>
          <w:iCs/>
        </w:rPr>
        <w:t xml:space="preserve">relP </w:t>
      </w:r>
      <w:r w:rsidRPr="0012654B">
        <w:rPr>
          <w:rFonts w:ascii="Times New Roman" w:hAnsi="Times New Roman" w:cs="Times New Roman"/>
        </w:rPr>
        <w:t>transcription has been reported in the presence of AMPs</w:t>
      </w:r>
      <w:r>
        <w:rPr>
          <w:rFonts w:ascii="Times New Roman" w:hAnsi="Times New Roman" w:cs="Times New Roman"/>
        </w:rPr>
        <w:t xml:space="preserve"> </w:t>
      </w:r>
      <w:r w:rsidRPr="00156568">
        <w:rPr>
          <w:rFonts w:ascii="Times New Roman" w:hAnsi="Times New Roman" w:cs="Times New Roman"/>
          <w:b/>
          <w:bCs/>
        </w:rPr>
        <w:fldChar w:fldCharType="begin">
          <w:fldData xml:space="preserve">PEVuZE5vdGU+PENpdGU+PEF1dGhvcj5TY290dGk8L0F1dGhvcj48WWVhcj4yMDIyPC9ZZWFyPjxJ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==
</w:fldData>
        </w:fldChar>
      </w:r>
      <w:r w:rsidR="009A21F0">
        <w:rPr>
          <w:rFonts w:ascii="Times New Roman" w:hAnsi="Times New Roman" w:cs="Times New Roman"/>
          <w:b/>
          <w:bCs/>
        </w:rPr>
        <w:instrText xml:space="preserve"> ADDIN EN.CITE </w:instrText>
      </w:r>
      <w:r w:rsidR="009A21F0">
        <w:rPr>
          <w:rFonts w:ascii="Times New Roman" w:hAnsi="Times New Roman" w:cs="Times New Roman"/>
          <w:b/>
          <w:bCs/>
        </w:rPr>
        <w:fldChar w:fldCharType="begin">
          <w:fldData xml:space="preserve">PEVuZE5vdGU+PENpdGU+PEF1dGhvcj5TY290dGk8L0F1dGhvcj48WWVhcj4yMDIyPC9ZZWFyPjxJ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==
</w:fldData>
        </w:fldChar>
      </w:r>
      <w:r w:rsidR="009A21F0">
        <w:rPr>
          <w:rFonts w:ascii="Times New Roman" w:hAnsi="Times New Roman" w:cs="Times New Roman"/>
          <w:b/>
          <w:bCs/>
        </w:rPr>
        <w:instrText xml:space="preserve"> ADDIN EN.CITE.DATA </w:instrText>
      </w:r>
      <w:r w:rsidR="009A21F0">
        <w:rPr>
          <w:rFonts w:ascii="Times New Roman" w:hAnsi="Times New Roman" w:cs="Times New Roman"/>
          <w:b/>
          <w:bCs/>
        </w:rPr>
      </w:r>
      <w:r w:rsidR="009A21F0">
        <w:rPr>
          <w:rFonts w:ascii="Times New Roman" w:hAnsi="Times New Roman" w:cs="Times New Roman"/>
          <w:b/>
          <w:bCs/>
        </w:rPr>
        <w:fldChar w:fldCharType="end"/>
      </w:r>
      <w:r w:rsidRPr="00156568">
        <w:rPr>
          <w:rFonts w:ascii="Times New Roman" w:hAnsi="Times New Roman" w:cs="Times New Roman"/>
          <w:b/>
          <w:bCs/>
        </w:rPr>
      </w:r>
      <w:r w:rsidRPr="00156568">
        <w:rPr>
          <w:rFonts w:ascii="Times New Roman" w:hAnsi="Times New Roman" w:cs="Times New Roman"/>
          <w:b/>
          <w:bCs/>
        </w:rPr>
        <w:fldChar w:fldCharType="separate"/>
      </w:r>
      <w:r w:rsidR="009A21F0">
        <w:rPr>
          <w:rFonts w:ascii="Times New Roman" w:hAnsi="Times New Roman" w:cs="Times New Roman"/>
          <w:b/>
          <w:bCs/>
          <w:noProof/>
        </w:rPr>
        <w:t>(Scotti</w:t>
      </w:r>
      <w:r w:rsidR="009A21F0" w:rsidRPr="009A21F0">
        <w:rPr>
          <w:rFonts w:ascii="Times New Roman" w:hAnsi="Times New Roman" w:cs="Times New Roman"/>
          <w:b/>
          <w:bCs/>
          <w:i/>
          <w:noProof/>
        </w:rPr>
        <w:t xml:space="preserve"> et al.</w:t>
      </w:r>
      <w:r w:rsidR="009A21F0">
        <w:rPr>
          <w:rFonts w:ascii="Times New Roman" w:hAnsi="Times New Roman" w:cs="Times New Roman"/>
          <w:b/>
          <w:bCs/>
          <w:noProof/>
        </w:rPr>
        <w:t>, 2022; Pietiäinen</w:t>
      </w:r>
      <w:r w:rsidR="009A21F0" w:rsidRPr="009A21F0">
        <w:rPr>
          <w:rFonts w:ascii="Times New Roman" w:hAnsi="Times New Roman" w:cs="Times New Roman"/>
          <w:b/>
          <w:bCs/>
          <w:i/>
          <w:noProof/>
        </w:rPr>
        <w:t xml:space="preserve"> et al.</w:t>
      </w:r>
      <w:r w:rsidR="009A21F0">
        <w:rPr>
          <w:rFonts w:ascii="Times New Roman" w:hAnsi="Times New Roman" w:cs="Times New Roman"/>
          <w:b/>
          <w:bCs/>
          <w:noProof/>
        </w:rPr>
        <w:t>, 2005)</w:t>
      </w:r>
      <w:r w:rsidRPr="00156568">
        <w:rPr>
          <w:rFonts w:ascii="Times New Roman" w:hAnsi="Times New Roman" w:cs="Times New Roman"/>
          <w:b/>
          <w:bCs/>
        </w:rPr>
        <w:fldChar w:fldCharType="end"/>
      </w:r>
      <w:r>
        <w:rPr>
          <w:rFonts w:ascii="Times New Roman" w:hAnsi="Times New Roman" w:cs="Times New Roman"/>
        </w:rPr>
        <w:t xml:space="preserve">. </w:t>
      </w:r>
      <w:r w:rsidRPr="0012654B">
        <w:rPr>
          <w:rFonts w:ascii="Times New Roman" w:hAnsi="Times New Roman" w:cs="Times New Roman"/>
        </w:rPr>
        <w:t xml:space="preserve">It is interesting that polymyxins such as polymyxin B have antimicrobial effects again </w:t>
      </w:r>
      <w:r w:rsidRPr="0012654B">
        <w:rPr>
          <w:rFonts w:ascii="Times New Roman" w:hAnsi="Times New Roman" w:cs="Times New Roman"/>
          <w:i/>
          <w:iCs/>
        </w:rPr>
        <w:t>S. aureus</w:t>
      </w:r>
      <w:r w:rsidRPr="0012654B">
        <w:rPr>
          <w:rFonts w:ascii="Times New Roman" w:hAnsi="Times New Roman" w:cs="Times New Roman"/>
        </w:rPr>
        <w:t xml:space="preserve"> as they specifically target LPS which, </w:t>
      </w:r>
      <w:r w:rsidRPr="0012654B">
        <w:rPr>
          <w:rFonts w:ascii="Times New Roman" w:hAnsi="Times New Roman" w:cs="Times New Roman"/>
          <w:i/>
          <w:iCs/>
        </w:rPr>
        <w:t xml:space="preserve">S. aureus </w:t>
      </w:r>
      <w:r w:rsidRPr="0012654B">
        <w:rPr>
          <w:rFonts w:ascii="Times New Roman" w:hAnsi="Times New Roman" w:cs="Times New Roman"/>
        </w:rPr>
        <w:t>lacks</w:t>
      </w:r>
      <w:r w:rsidR="009A21F0">
        <w:rPr>
          <w:rFonts w:ascii="Times New Roman" w:hAnsi="Times New Roman" w:cs="Times New Roman"/>
        </w:rPr>
        <w:t>, and this phenomenon should be further investigated to understand the mechanism of action in the absence of LPS</w:t>
      </w:r>
      <w:r w:rsidRPr="0012654B">
        <w:rPr>
          <w:rFonts w:ascii="Times New Roman" w:hAnsi="Times New Roman" w:cs="Times New Roman"/>
        </w:rPr>
        <w:t xml:space="preserve">. While polymyxin B did lead to a decrease in growth at both 32 and 64 μg/ml </w:t>
      </w:r>
      <w:r w:rsidRPr="0012654B">
        <w:rPr>
          <w:rFonts w:ascii="Times New Roman" w:hAnsi="Times New Roman" w:cs="Times New Roman"/>
          <w:i/>
          <w:iCs/>
        </w:rPr>
        <w:t xml:space="preserve">in vitro, </w:t>
      </w:r>
      <w:r w:rsidRPr="0012654B">
        <w:rPr>
          <w:rFonts w:ascii="Times New Roman" w:hAnsi="Times New Roman" w:cs="Times New Roman"/>
        </w:rPr>
        <w:t>pol</w:t>
      </w:r>
      <w:r>
        <w:rPr>
          <w:rFonts w:ascii="Times New Roman" w:hAnsi="Times New Roman" w:cs="Times New Roman"/>
        </w:rPr>
        <w:t>y</w:t>
      </w:r>
      <w:r w:rsidRPr="0012654B">
        <w:rPr>
          <w:rFonts w:ascii="Times New Roman" w:hAnsi="Times New Roman" w:cs="Times New Roman"/>
        </w:rPr>
        <w:t xml:space="preserve">myxins such as colistin do not have any effect against Gram-positive bacteria like </w:t>
      </w:r>
      <w:r w:rsidRPr="0012654B">
        <w:rPr>
          <w:rFonts w:ascii="Times New Roman" w:hAnsi="Times New Roman" w:cs="Times New Roman"/>
          <w:i/>
          <w:iCs/>
        </w:rPr>
        <w:t>S. aureus</w:t>
      </w:r>
      <w:r w:rsidRPr="0012654B">
        <w:rPr>
          <w:rFonts w:ascii="Times New Roman" w:hAnsi="Times New Roman" w:cs="Times New Roman"/>
        </w:rPr>
        <w:t xml:space="preserve"> at clinically relevant concentrations</w:t>
      </w:r>
      <w:r>
        <w:rPr>
          <w:rFonts w:ascii="Times New Roman" w:hAnsi="Times New Roman" w:cs="Times New Roman"/>
        </w:rPr>
        <w:t xml:space="preserve"> </w:t>
      </w:r>
      <w:r w:rsidRPr="00156568">
        <w:rPr>
          <w:rFonts w:ascii="Times New Roman" w:hAnsi="Times New Roman" w:cs="Times New Roman"/>
          <w:b/>
          <w:bCs/>
        </w:rPr>
        <w:fldChar w:fldCharType="begin">
          <w:fldData xml:space="preserve">PEVuZE5vdGU+PENpdGU+PEF1dGhvcj5CZXR0czwvQXV0aG9yPjxZZWFyPjIwMTY8L1llYXI+PElE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</w:fldData>
        </w:fldChar>
      </w:r>
      <w:r w:rsidRPr="00156568">
        <w:rPr>
          <w:rFonts w:ascii="Times New Roman" w:hAnsi="Times New Roman" w:cs="Times New Roman"/>
          <w:b/>
          <w:bCs/>
        </w:rPr>
        <w:instrText xml:space="preserve"> ADDIN EN.CITE </w:instrText>
      </w:r>
      <w:r w:rsidRPr="00156568">
        <w:rPr>
          <w:rFonts w:ascii="Times New Roman" w:hAnsi="Times New Roman" w:cs="Times New Roman"/>
          <w:b/>
          <w:bCs/>
        </w:rPr>
        <w:fldChar w:fldCharType="begin">
          <w:fldData xml:space="preserve">PEVuZE5vdGU+PENpdGU+PEF1dGhvcj5CZXR0czwvQXV0aG9yPjxZZWFyPjIwMTY8L1llYXI+PElE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</w:fldData>
        </w:fldChar>
      </w:r>
      <w:r w:rsidRPr="00156568">
        <w:rPr>
          <w:rFonts w:ascii="Times New Roman" w:hAnsi="Times New Roman" w:cs="Times New Roman"/>
          <w:b/>
          <w:bCs/>
        </w:rPr>
        <w:instrText xml:space="preserve"> ADDIN EN.CITE.DATA </w:instrText>
      </w:r>
      <w:r w:rsidRPr="00156568">
        <w:rPr>
          <w:rFonts w:ascii="Times New Roman" w:hAnsi="Times New Roman" w:cs="Times New Roman"/>
          <w:b/>
          <w:bCs/>
        </w:rPr>
      </w:r>
      <w:r w:rsidRPr="00156568">
        <w:rPr>
          <w:rFonts w:ascii="Times New Roman" w:hAnsi="Times New Roman" w:cs="Times New Roman"/>
          <w:b/>
          <w:bCs/>
        </w:rPr>
        <w:fldChar w:fldCharType="end"/>
      </w:r>
      <w:r w:rsidRPr="00156568">
        <w:rPr>
          <w:rFonts w:ascii="Times New Roman" w:hAnsi="Times New Roman" w:cs="Times New Roman"/>
          <w:b/>
          <w:bCs/>
        </w:rPr>
      </w:r>
      <w:r w:rsidRPr="00156568">
        <w:rPr>
          <w:rFonts w:ascii="Times New Roman" w:hAnsi="Times New Roman" w:cs="Times New Roman"/>
          <w:b/>
          <w:bCs/>
        </w:rPr>
        <w:fldChar w:fldCharType="separate"/>
      </w:r>
      <w:r w:rsidRPr="00156568">
        <w:rPr>
          <w:rFonts w:ascii="Times New Roman" w:hAnsi="Times New Roman" w:cs="Times New Roman"/>
          <w:b/>
          <w:bCs/>
          <w:noProof/>
        </w:rPr>
        <w:t>(Betts</w:t>
      </w:r>
      <w:r w:rsidRPr="00156568">
        <w:rPr>
          <w:rFonts w:ascii="Times New Roman" w:hAnsi="Times New Roman" w:cs="Times New Roman"/>
          <w:b/>
          <w:bCs/>
          <w:i/>
          <w:noProof/>
        </w:rPr>
        <w:t xml:space="preserve"> et al.</w:t>
      </w:r>
      <w:r w:rsidRPr="00156568">
        <w:rPr>
          <w:rFonts w:ascii="Times New Roman" w:hAnsi="Times New Roman" w:cs="Times New Roman"/>
          <w:b/>
          <w:bCs/>
          <w:noProof/>
        </w:rPr>
        <w:t>, 2016; Sabnis</w:t>
      </w:r>
      <w:r w:rsidRPr="00156568">
        <w:rPr>
          <w:rFonts w:ascii="Times New Roman" w:hAnsi="Times New Roman" w:cs="Times New Roman"/>
          <w:b/>
          <w:bCs/>
          <w:i/>
          <w:noProof/>
        </w:rPr>
        <w:t xml:space="preserve"> et al.</w:t>
      </w:r>
      <w:r w:rsidRPr="00156568">
        <w:rPr>
          <w:rFonts w:ascii="Times New Roman" w:hAnsi="Times New Roman" w:cs="Times New Roman"/>
          <w:b/>
          <w:bCs/>
          <w:noProof/>
        </w:rPr>
        <w:t>, 2021)</w:t>
      </w:r>
      <w:r w:rsidRPr="00156568">
        <w:rPr>
          <w:rFonts w:ascii="Times New Roman" w:hAnsi="Times New Roman" w:cs="Times New Roman"/>
          <w:b/>
          <w:bCs/>
        </w:rPr>
        <w:fldChar w:fldCharType="end"/>
      </w:r>
      <w:r>
        <w:rPr>
          <w:rFonts w:ascii="Times New Roman" w:hAnsi="Times New Roman" w:cs="Times New Roman"/>
        </w:rPr>
        <w:t xml:space="preserve">. It may be that the staphylococcal stringent response does not contribute to the survival of </w:t>
      </w:r>
      <w:r>
        <w:rPr>
          <w:rFonts w:ascii="Times New Roman" w:hAnsi="Times New Roman" w:cs="Times New Roman"/>
          <w:i/>
          <w:iCs/>
        </w:rPr>
        <w:t xml:space="preserve">S. aureus </w:t>
      </w:r>
      <w:r>
        <w:rPr>
          <w:rFonts w:ascii="Times New Roman" w:hAnsi="Times New Roman" w:cs="Times New Roman"/>
        </w:rPr>
        <w:t xml:space="preserve">to the AMPs examined, however further studies are required to determine the optimal concentration of the AMPs in order to confirm this. </w:t>
      </w:r>
    </w:p>
    <w:p w14:paraId="700C3F5D" w14:textId="1DF9FAEF" w:rsidR="00187693" w:rsidRPr="00252827" w:rsidRDefault="00187693" w:rsidP="00187693">
      <w:pPr>
        <w:spacing w:line="360" w:lineRule="auto"/>
        <w:ind w:firstLine="720"/>
        <w:jc w:val="both"/>
        <w:rPr>
          <w:rFonts w:ascii="Times New Roman" w:hAnsi="Times New Roman" w:cs="Times New Roman"/>
          <w:color w:val="FF0000"/>
        </w:rPr>
      </w:pPr>
      <w:r w:rsidRPr="0012654B">
        <w:rPr>
          <w:rFonts w:ascii="Times New Roman" w:hAnsi="Times New Roman" w:cs="Times New Roman"/>
        </w:rPr>
        <w:t xml:space="preserve">Phagosome maturation is accompanied by acidification which acts to kill phagocytosed bacteria. The low pH is also required for the function of cathepsin proteases and LL-37 cathelicidin. Growing </w:t>
      </w:r>
      <w:r w:rsidRPr="0012654B">
        <w:rPr>
          <w:rFonts w:ascii="Times New Roman" w:hAnsi="Times New Roman" w:cs="Times New Roman"/>
          <w:i/>
          <w:iCs/>
        </w:rPr>
        <w:t>S. aureus</w:t>
      </w:r>
      <w:r w:rsidRPr="0012654B">
        <w:rPr>
          <w:rFonts w:ascii="Times New Roman" w:hAnsi="Times New Roman" w:cs="Times New Roman"/>
        </w:rPr>
        <w:t xml:space="preserve"> in </w:t>
      </w:r>
      <w:r>
        <w:rPr>
          <w:rFonts w:ascii="Times New Roman" w:hAnsi="Times New Roman" w:cs="Times New Roman"/>
        </w:rPr>
        <w:t>pH 4.5 tris maleate-</w:t>
      </w:r>
      <w:r w:rsidRPr="0012654B">
        <w:rPr>
          <w:rFonts w:ascii="Times New Roman" w:hAnsi="Times New Roman" w:cs="Times New Roman"/>
        </w:rPr>
        <w:t>buffered rich media showed a slight growth defect of the (p)ppGpp</w:t>
      </w:r>
      <w:r w:rsidRPr="0012654B">
        <w:rPr>
          <w:rFonts w:ascii="Times New Roman" w:hAnsi="Times New Roman" w:cs="Times New Roman"/>
          <w:vertAlign w:val="superscript"/>
        </w:rPr>
        <w:t>0</w:t>
      </w:r>
      <w:r w:rsidRPr="0012654B">
        <w:rPr>
          <w:rFonts w:ascii="Times New Roman" w:hAnsi="Times New Roman" w:cs="Times New Roman"/>
        </w:rPr>
        <w:t xml:space="preserve"> mutant</w:t>
      </w:r>
      <w:r>
        <w:rPr>
          <w:rFonts w:ascii="Times New Roman" w:hAnsi="Times New Roman" w:cs="Times New Roman"/>
        </w:rPr>
        <w:t xml:space="preserve"> in comparison to </w:t>
      </w:r>
      <w:r w:rsidRPr="00FF2C40">
        <w:rPr>
          <w:rFonts w:ascii="Times New Roman" w:hAnsi="Times New Roman" w:cs="Times New Roman"/>
          <w:color w:val="000000" w:themeColor="text1"/>
        </w:rPr>
        <w:t xml:space="preserve">WT </w:t>
      </w:r>
      <w:r w:rsidRPr="00FF2C40">
        <w:rPr>
          <w:rFonts w:ascii="Times New Roman" w:hAnsi="Times New Roman" w:cs="Times New Roman"/>
          <w:b/>
          <w:bCs/>
          <w:color w:val="000000" w:themeColor="text1"/>
        </w:rPr>
        <w:t>(Fig. 4.2.2a)</w:t>
      </w:r>
      <w:r w:rsidRPr="00FF2C40">
        <w:rPr>
          <w:rFonts w:ascii="Times New Roman" w:hAnsi="Times New Roman" w:cs="Times New Roman"/>
          <w:color w:val="000000" w:themeColor="text1"/>
        </w:rPr>
        <w:t xml:space="preserve">. </w:t>
      </w:r>
      <w:r w:rsidRPr="0012654B">
        <w:rPr>
          <w:rFonts w:ascii="Times New Roman" w:hAnsi="Times New Roman" w:cs="Times New Roman"/>
        </w:rPr>
        <w:t xml:space="preserve">This may have been because although the low pH was unsuitable for </w:t>
      </w:r>
      <w:r w:rsidRPr="00FF2C40">
        <w:rPr>
          <w:rFonts w:ascii="Times New Roman" w:hAnsi="Times New Roman" w:cs="Times New Roman"/>
          <w:color w:val="000000" w:themeColor="text1"/>
        </w:rPr>
        <w:t xml:space="preserve">growth of the mutant, the nutrients in TSB may have made the media too rich to perceive a bigger difference. </w:t>
      </w:r>
      <w:r>
        <w:rPr>
          <w:rFonts w:ascii="Times New Roman" w:hAnsi="Times New Roman" w:cs="Times New Roman"/>
          <w:color w:val="000000" w:themeColor="text1"/>
        </w:rPr>
        <w:t>In comparison</w:t>
      </w:r>
      <w:r w:rsidRPr="00FF2C40">
        <w:rPr>
          <w:rFonts w:ascii="Times New Roman" w:hAnsi="Times New Roman" w:cs="Times New Roman"/>
          <w:color w:val="000000" w:themeColor="text1"/>
        </w:rPr>
        <w:t xml:space="preserve">, the growth curves performed using Biolog Phenotype MicroArray PM10 plate did not reveal any differences in growth between </w:t>
      </w:r>
      <w:r>
        <w:rPr>
          <w:rFonts w:ascii="Times New Roman" w:hAnsi="Times New Roman" w:cs="Times New Roman"/>
          <w:color w:val="000000" w:themeColor="text1"/>
        </w:rPr>
        <w:t>the WT</w:t>
      </w:r>
      <w:r>
        <w:rPr>
          <w:rFonts w:ascii="Times New Roman" w:hAnsi="Times New Roman" w:cs="Times New Roman"/>
        </w:rPr>
        <w:t xml:space="preserve"> and</w:t>
      </w:r>
      <w:r w:rsidRPr="0012654B">
        <w:rPr>
          <w:rFonts w:ascii="Times New Roman" w:hAnsi="Times New Roman" w:cs="Times New Roman"/>
        </w:rPr>
        <w:t xml:space="preserve"> (p)ppGpp</w:t>
      </w:r>
      <w:r w:rsidRPr="0012654B">
        <w:rPr>
          <w:rFonts w:ascii="Times New Roman" w:hAnsi="Times New Roman" w:cs="Times New Roman"/>
          <w:vertAlign w:val="superscript"/>
        </w:rPr>
        <w:t>0</w:t>
      </w:r>
      <w:r w:rsidRPr="0012654B">
        <w:rPr>
          <w:rFonts w:ascii="Times New Roman" w:hAnsi="Times New Roman" w:cs="Times New Roman"/>
        </w:rPr>
        <w:t xml:space="preserve"> mutant</w:t>
      </w:r>
      <w:r w:rsidRPr="00FF2C40">
        <w:rPr>
          <w:rFonts w:ascii="Times New Roman" w:hAnsi="Times New Roman" w:cs="Times New Roman"/>
          <w:color w:val="000000" w:themeColor="text1"/>
        </w:rPr>
        <w:t xml:space="preserve"> </w:t>
      </w:r>
      <w:r>
        <w:rPr>
          <w:rFonts w:ascii="Times New Roman" w:hAnsi="Times New Roman" w:cs="Times New Roman"/>
          <w:b/>
          <w:bCs/>
          <w:color w:val="000000" w:themeColor="text1"/>
        </w:rPr>
        <w:t>(Fig. 4.2.4)</w:t>
      </w:r>
      <w:r>
        <w:rPr>
          <w:rFonts w:ascii="Times New Roman" w:hAnsi="Times New Roman" w:cs="Times New Roman"/>
          <w:color w:val="000000" w:themeColor="text1"/>
        </w:rPr>
        <w:t>. However, this was only performed once and thus must be repeated in order to ascertain whether a difference in growth can be observed at low pH.</w:t>
      </w:r>
      <w:r w:rsidRPr="0012654B">
        <w:rPr>
          <w:rFonts w:ascii="Times New Roman" w:hAnsi="Times New Roman" w:cs="Times New Roman"/>
        </w:rPr>
        <w:t xml:space="preserve"> </w:t>
      </w:r>
      <w:r>
        <w:rPr>
          <w:rFonts w:ascii="Times New Roman" w:hAnsi="Times New Roman" w:cs="Times New Roman"/>
          <w:color w:val="000000" w:themeColor="text1"/>
        </w:rPr>
        <w:t xml:space="preserve">At both neutral and acidic pH in rich media, the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mutant </w:t>
      </w:r>
      <w:r>
        <w:rPr>
          <w:rFonts w:ascii="Times New Roman" w:hAnsi="Times New Roman" w:cs="Times New Roman"/>
          <w:color w:val="000000" w:themeColor="text1"/>
        </w:rPr>
        <w:t xml:space="preserve">displayed a slight growth defect comparison to WT during exponential phase </w:t>
      </w:r>
      <w:r>
        <w:rPr>
          <w:rFonts w:ascii="Times New Roman" w:hAnsi="Times New Roman" w:cs="Times New Roman"/>
          <w:b/>
          <w:bCs/>
          <w:color w:val="000000" w:themeColor="text1"/>
        </w:rPr>
        <w:t>(Fig. 4.2.2b and e)</w:t>
      </w:r>
      <w:r>
        <w:rPr>
          <w:rFonts w:ascii="Times New Roman" w:hAnsi="Times New Roman" w:cs="Times New Roman"/>
          <w:color w:val="000000" w:themeColor="text1"/>
        </w:rPr>
        <w:t xml:space="preserve">, suggesting that when measuring growth under low pH, and therefore the ability of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 xml:space="preserve">to resist acid stress, the absence of CodY is not beneficial. </w:t>
      </w:r>
      <w:r>
        <w:rPr>
          <w:rFonts w:ascii="Times New Roman" w:hAnsi="Times New Roman" w:cs="Times New Roman"/>
        </w:rPr>
        <w:t xml:space="preserve">The tolerance of the </w:t>
      </w:r>
      <w:r w:rsidRPr="0012654B">
        <w:rPr>
          <w:rFonts w:ascii="Times New Roman" w:hAnsi="Times New Roman" w:cs="Times New Roman"/>
        </w:rPr>
        <w:t>(p)ppGpp</w:t>
      </w:r>
      <w:r w:rsidRPr="0012654B">
        <w:rPr>
          <w:rFonts w:ascii="Times New Roman" w:hAnsi="Times New Roman" w:cs="Times New Roman"/>
          <w:vertAlign w:val="superscript"/>
        </w:rPr>
        <w:t>0</w:t>
      </w:r>
      <w:r w:rsidRPr="0012654B">
        <w:rPr>
          <w:rFonts w:ascii="Times New Roman" w:hAnsi="Times New Roman" w:cs="Times New Roman"/>
        </w:rPr>
        <w:t xml:space="preserve"> mutant</w:t>
      </w:r>
      <w:r>
        <w:rPr>
          <w:rFonts w:ascii="Times New Roman" w:hAnsi="Times New Roman" w:cs="Times New Roman"/>
        </w:rPr>
        <w:t xml:space="preserve"> to itaconic acid</w:t>
      </w:r>
      <w:r w:rsidRPr="00FF2C4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was decreased in comparison to WT </w:t>
      </w:r>
      <w:r>
        <w:rPr>
          <w:rFonts w:ascii="Times New Roman" w:hAnsi="Times New Roman" w:cs="Times New Roman"/>
          <w:b/>
          <w:bCs/>
          <w:color w:val="000000" w:themeColor="text1"/>
        </w:rPr>
        <w:t>(Fig. 4.2.5)</w:t>
      </w:r>
      <w:r>
        <w:rPr>
          <w:rFonts w:ascii="Times New Roman" w:hAnsi="Times New Roman" w:cs="Times New Roman"/>
          <w:color w:val="000000" w:themeColor="text1"/>
        </w:rPr>
        <w:t xml:space="preserve">. </w:t>
      </w:r>
      <w:r>
        <w:rPr>
          <w:rFonts w:ascii="Times New Roman" w:hAnsi="Times New Roman" w:cs="Times New Roman"/>
        </w:rPr>
        <w:t xml:space="preserve">Tolerance of </w:t>
      </w:r>
      <w:r>
        <w:rPr>
          <w:rFonts w:ascii="Times New Roman" w:hAnsi="Times New Roman" w:cs="Times New Roman"/>
          <w:i/>
          <w:iCs/>
        </w:rPr>
        <w:t xml:space="preserve">S. aureus </w:t>
      </w:r>
      <w:r>
        <w:rPr>
          <w:rFonts w:ascii="Times New Roman" w:hAnsi="Times New Roman" w:cs="Times New Roman"/>
        </w:rPr>
        <w:t>to itaconic acid was measured</w:t>
      </w:r>
      <w:r w:rsidRPr="0012654B">
        <w:rPr>
          <w:rFonts w:ascii="Times New Roman" w:hAnsi="Times New Roman" w:cs="Times New Roman"/>
        </w:rPr>
        <w:t xml:space="preserve"> in PBS, which lacks the nutrients for </w:t>
      </w:r>
      <w:r w:rsidRPr="0012654B">
        <w:rPr>
          <w:rFonts w:ascii="Times New Roman" w:hAnsi="Times New Roman" w:cs="Times New Roman"/>
          <w:i/>
          <w:iCs/>
        </w:rPr>
        <w:t>S. aureus</w:t>
      </w:r>
      <w:r w:rsidRPr="0012654B">
        <w:rPr>
          <w:rFonts w:ascii="Times New Roman" w:hAnsi="Times New Roman" w:cs="Times New Roman"/>
        </w:rPr>
        <w:t xml:space="preserve"> to grow</w:t>
      </w:r>
      <w:r>
        <w:rPr>
          <w:rFonts w:ascii="Times New Roman" w:hAnsi="Times New Roman" w:cs="Times New Roman"/>
        </w:rPr>
        <w:t xml:space="preserve"> and therefore perhaps </w:t>
      </w:r>
      <w:r w:rsidRPr="0012654B">
        <w:rPr>
          <w:rFonts w:ascii="Times New Roman" w:hAnsi="Times New Roman" w:cs="Times New Roman"/>
        </w:rPr>
        <w:t xml:space="preserve">enabled </w:t>
      </w:r>
      <w:r>
        <w:rPr>
          <w:rFonts w:ascii="Times New Roman" w:hAnsi="Times New Roman" w:cs="Times New Roman"/>
        </w:rPr>
        <w:t>a greater</w:t>
      </w:r>
      <w:r w:rsidRPr="0012654B">
        <w:rPr>
          <w:rFonts w:ascii="Times New Roman" w:hAnsi="Times New Roman" w:cs="Times New Roman"/>
        </w:rPr>
        <w:t xml:space="preserve"> distinction between WT and the (p)ppGpp</w:t>
      </w:r>
      <w:r w:rsidRPr="0012654B">
        <w:rPr>
          <w:rFonts w:ascii="Times New Roman" w:hAnsi="Times New Roman" w:cs="Times New Roman"/>
          <w:vertAlign w:val="superscript"/>
        </w:rPr>
        <w:t>0</w:t>
      </w:r>
      <w:r w:rsidRPr="0012654B">
        <w:rPr>
          <w:rFonts w:ascii="Times New Roman" w:hAnsi="Times New Roman" w:cs="Times New Roman"/>
        </w:rPr>
        <w:t xml:space="preserve"> mutant</w:t>
      </w:r>
      <w:r>
        <w:rPr>
          <w:rFonts w:ascii="Times New Roman" w:hAnsi="Times New Roman" w:cs="Times New Roman"/>
        </w:rPr>
        <w:t xml:space="preserve"> than when buffered rich media was used to measure resistance to acid stress in </w:t>
      </w:r>
      <w:r>
        <w:rPr>
          <w:rFonts w:ascii="Times New Roman" w:hAnsi="Times New Roman" w:cs="Times New Roman"/>
          <w:b/>
          <w:bCs/>
        </w:rPr>
        <w:t>Figure 4.2.2a</w:t>
      </w:r>
      <w:r w:rsidRPr="0012654B">
        <w:rPr>
          <w:rFonts w:ascii="Times New Roman" w:hAnsi="Times New Roman" w:cs="Times New Roman"/>
        </w:rPr>
        <w:t>.</w:t>
      </w:r>
      <w:r>
        <w:rPr>
          <w:rFonts w:ascii="Times New Roman" w:hAnsi="Times New Roman" w:cs="Times New Roman"/>
        </w:rPr>
        <w:t xml:space="preserve"> It should be noted that tolerance assays conducted with itaconic acid would often show variation between biological repeats, thus requiring many repeats. As </w:t>
      </w:r>
      <w:r w:rsidRPr="005E1A36">
        <w:rPr>
          <w:rFonts w:ascii="Times New Roman" w:hAnsi="Times New Roman" w:cs="Times New Roman"/>
          <w:color w:val="000000" w:themeColor="text1"/>
        </w:rPr>
        <w:t>a result, the Shapiro-Wilk test was performed into order to determine the normality of the data set</w:t>
      </w:r>
      <w:r w:rsidR="00C12B6F">
        <w:rPr>
          <w:rFonts w:ascii="Times New Roman" w:hAnsi="Times New Roman" w:cs="Times New Roman"/>
          <w:color w:val="000000" w:themeColor="text1"/>
        </w:rPr>
        <w:t xml:space="preserve"> before a statistical test was performed</w:t>
      </w:r>
      <w:r w:rsidRPr="005E1A36">
        <w:rPr>
          <w:rFonts w:ascii="Times New Roman" w:hAnsi="Times New Roman" w:cs="Times New Roman"/>
          <w:color w:val="000000" w:themeColor="text1"/>
        </w:rPr>
        <w:t>. Also, even though the ability of itaconic acid to decrease pH was determined to be its microbicidal characteristic in this assay, this does not take into account the contribution of the immunomodulatory effects of itaconic acid</w:t>
      </w:r>
      <w:r>
        <w:rPr>
          <w:rFonts w:ascii="Times New Roman" w:hAnsi="Times New Roman" w:cs="Times New Roman"/>
          <w:color w:val="000000" w:themeColor="text1"/>
        </w:rPr>
        <w:t>,</w:t>
      </w:r>
      <w:r w:rsidRPr="005E1A36">
        <w:rPr>
          <w:rFonts w:ascii="Times New Roman" w:hAnsi="Times New Roman" w:cs="Times New Roman"/>
          <w:color w:val="000000" w:themeColor="text1"/>
        </w:rPr>
        <w:t xml:space="preserve"> and this can only be investigated within the host.</w:t>
      </w:r>
      <w:r>
        <w:rPr>
          <w:rFonts w:ascii="Times New Roman" w:hAnsi="Times New Roman" w:cs="Times New Roman"/>
          <w:color w:val="FF0000"/>
        </w:rPr>
        <w:t xml:space="preserve"> </w:t>
      </w:r>
      <w:r w:rsidRPr="0012654B">
        <w:rPr>
          <w:rFonts w:ascii="Times New Roman" w:hAnsi="Times New Roman" w:cs="Times New Roman"/>
        </w:rPr>
        <w:t>Furthermore, a decrease in tolerance of the (p)ppGpp</w:t>
      </w:r>
      <w:r w:rsidRPr="0012654B">
        <w:rPr>
          <w:rFonts w:ascii="Times New Roman" w:hAnsi="Times New Roman" w:cs="Times New Roman"/>
          <w:vertAlign w:val="superscript"/>
        </w:rPr>
        <w:t>0</w:t>
      </w:r>
      <w:r w:rsidRPr="0012654B">
        <w:rPr>
          <w:rFonts w:ascii="Times New Roman" w:hAnsi="Times New Roman" w:cs="Times New Roman"/>
        </w:rPr>
        <w:t xml:space="preserve"> mutant was also observed in the presence of ROS such as 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sidRPr="0012654B">
        <w:rPr>
          <w:rFonts w:ascii="Times New Roman" w:hAnsi="Times New Roman" w:cs="Times New Roman"/>
        </w:rPr>
        <w:t xml:space="preserve"> and HOCl. Therefore, the</w:t>
      </w:r>
      <w:r w:rsidRPr="00CF0C44">
        <w:rPr>
          <w:rFonts w:ascii="Times New Roman" w:hAnsi="Times New Roman" w:cs="Times New Roman"/>
        </w:rPr>
        <w:t xml:space="preserve"> </w:t>
      </w:r>
      <w:r>
        <w:rPr>
          <w:rFonts w:ascii="Times New Roman" w:hAnsi="Times New Roman" w:cs="Times New Roman"/>
        </w:rPr>
        <w:t>stringent response</w:t>
      </w:r>
      <w:r w:rsidRPr="0012654B">
        <w:rPr>
          <w:rFonts w:ascii="Times New Roman" w:hAnsi="Times New Roman" w:cs="Times New Roman"/>
        </w:rPr>
        <w:t xml:space="preserve"> </w:t>
      </w:r>
      <w:r>
        <w:rPr>
          <w:rFonts w:ascii="Times New Roman" w:hAnsi="Times New Roman" w:cs="Times New Roman"/>
        </w:rPr>
        <w:t xml:space="preserve">has a role in aiding the survival of </w:t>
      </w:r>
      <w:r>
        <w:rPr>
          <w:rFonts w:ascii="Times New Roman" w:hAnsi="Times New Roman" w:cs="Times New Roman"/>
          <w:i/>
          <w:iCs/>
        </w:rPr>
        <w:t xml:space="preserve">S. aureus </w:t>
      </w:r>
      <w:r>
        <w:rPr>
          <w:rFonts w:ascii="Times New Roman" w:hAnsi="Times New Roman" w:cs="Times New Roman"/>
        </w:rPr>
        <w:t xml:space="preserve">under itaconic acid, </w:t>
      </w:r>
      <w:r w:rsidRPr="0012654B">
        <w:rPr>
          <w:rFonts w:ascii="Times New Roman" w:hAnsi="Times New Roman" w:cs="Times New Roman"/>
        </w:rPr>
        <w:t>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sidRPr="0012654B">
        <w:rPr>
          <w:rFonts w:ascii="Times New Roman" w:hAnsi="Times New Roman" w:cs="Times New Roman"/>
        </w:rPr>
        <w:t xml:space="preserve"> and HOCl</w:t>
      </w:r>
      <w:r>
        <w:rPr>
          <w:rFonts w:ascii="Times New Roman" w:hAnsi="Times New Roman" w:cs="Times New Roman"/>
        </w:rPr>
        <w:t xml:space="preserve"> stress.</w:t>
      </w:r>
    </w:p>
    <w:p w14:paraId="20E7B47E" w14:textId="442E5B57" w:rsidR="00187693" w:rsidRPr="00035F9F" w:rsidRDefault="00187693" w:rsidP="00187693">
      <w:pPr>
        <w:spacing w:before="240" w:line="360" w:lineRule="auto"/>
        <w:ind w:firstLine="720"/>
        <w:jc w:val="both"/>
        <w:rPr>
          <w:rFonts w:ascii="Times New Roman" w:hAnsi="Times New Roman" w:cs="Times New Roman"/>
        </w:rPr>
      </w:pPr>
      <w:r w:rsidRPr="0012654B">
        <w:rPr>
          <w:rFonts w:ascii="Times New Roman" w:hAnsi="Times New Roman" w:cs="Times New Roman"/>
        </w:rPr>
        <w:t xml:space="preserve">As the absence of (p)ppGpp </w:t>
      </w:r>
      <w:r>
        <w:rPr>
          <w:rFonts w:ascii="Times New Roman" w:hAnsi="Times New Roman" w:cs="Times New Roman"/>
        </w:rPr>
        <w:t>decreases</w:t>
      </w:r>
      <w:r w:rsidRPr="0012654B">
        <w:rPr>
          <w:rFonts w:ascii="Times New Roman" w:hAnsi="Times New Roman" w:cs="Times New Roman"/>
        </w:rPr>
        <w:t xml:space="preserve"> the ability of </w:t>
      </w:r>
      <w:r w:rsidRPr="0012654B">
        <w:rPr>
          <w:rFonts w:ascii="Times New Roman" w:hAnsi="Times New Roman" w:cs="Times New Roman"/>
          <w:i/>
          <w:iCs/>
        </w:rPr>
        <w:t>S. aureus</w:t>
      </w:r>
      <w:r w:rsidRPr="0012654B">
        <w:rPr>
          <w:rFonts w:ascii="Times New Roman" w:hAnsi="Times New Roman" w:cs="Times New Roman"/>
        </w:rPr>
        <w:t xml:space="preserve"> to tolerate these stressors, it was then found that the overproduction of (p)ppGpp functions to increase tolerance</w:t>
      </w:r>
      <w:r w:rsidRPr="004F5A57">
        <w:rPr>
          <w:rFonts w:ascii="Times New Roman" w:hAnsi="Times New Roman" w:cs="Times New Roman"/>
          <w:b/>
          <w:bCs/>
        </w:rPr>
        <w:t xml:space="preserve">. </w:t>
      </w:r>
      <w:r w:rsidRPr="003D2488">
        <w:rPr>
          <w:rFonts w:ascii="Times New Roman" w:hAnsi="Times New Roman" w:cs="Times New Roman"/>
        </w:rPr>
        <w:t>Gao and colleagues</w:t>
      </w:r>
      <w:r>
        <w:rPr>
          <w:rFonts w:ascii="Times New Roman" w:hAnsi="Times New Roman" w:cs="Times New Roman"/>
        </w:rPr>
        <w:t xml:space="preserve"> had demonstrated that (p)ppGpp overproduction </w:t>
      </w:r>
      <w:r>
        <w:rPr>
          <w:rFonts w:ascii="Times New Roman" w:hAnsi="Times New Roman" w:cs="Times New Roman"/>
          <w:i/>
          <w:iCs/>
        </w:rPr>
        <w:t xml:space="preserve">in vivo </w:t>
      </w:r>
      <w:r>
        <w:rPr>
          <w:rFonts w:ascii="Times New Roman" w:hAnsi="Times New Roman" w:cs="Times New Roman"/>
        </w:rPr>
        <w:t>led to persistence and provides a survival advantage</w:t>
      </w:r>
      <w:r w:rsidR="00503350">
        <w:rPr>
          <w:rFonts w:ascii="Times New Roman" w:hAnsi="Times New Roman" w:cs="Times New Roman"/>
        </w:rPr>
        <w:t xml:space="preserve"> </w:t>
      </w:r>
      <w:r w:rsidR="00503350" w:rsidRPr="00503350">
        <w:rPr>
          <w:rFonts w:ascii="Times New Roman" w:hAnsi="Times New Roman" w:cs="Times New Roman"/>
          <w:b/>
          <w:bCs/>
        </w:rPr>
        <w:fldChar w:fldCharType="begin"/>
      </w:r>
      <w:r w:rsidR="00503350" w:rsidRPr="00503350">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related-urls&gt;&lt;/urls&gt;&lt;isbn&gt;1553-7366&lt;/isbn&gt;&lt;titles&gt;&lt;title&gt;&lt;style font="default" size="100%"&gt;Two Novel Point Mutations in Clinical &lt;/style&gt;&lt;style face="italic" font="default" size="100%"&gt;Staphylococcus aureus&lt;/style&gt;&lt;style font="default" size="100%"&gt; Reduce Linezolid Susceptibility and Switch on the Stringent Response to Promote Persistent Infection&lt;/style&gt;&lt;/title&gt;&lt;secondary-title&gt;Plos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format="utc"&gt;1678058042&lt;/last-updated-date&gt;&lt;accession-num&gt;WOS:000279806300018&lt;/accession-num&gt;&lt;electronic-resource-num&gt;10.1371/journal.ppat.1000944&lt;/electronic-resource-num&gt;&lt;volume&gt;6&lt;/volume&gt;&lt;/record&gt;&lt;/Cite&gt;&lt;/EndNote&gt;</w:instrText>
      </w:r>
      <w:r w:rsidR="00503350" w:rsidRPr="00503350">
        <w:rPr>
          <w:rFonts w:ascii="Times New Roman" w:hAnsi="Times New Roman" w:cs="Times New Roman"/>
          <w:b/>
          <w:bCs/>
        </w:rPr>
        <w:fldChar w:fldCharType="separate"/>
      </w:r>
      <w:r w:rsidR="00503350" w:rsidRPr="00503350">
        <w:rPr>
          <w:rFonts w:ascii="Times New Roman" w:hAnsi="Times New Roman" w:cs="Times New Roman"/>
          <w:b/>
          <w:bCs/>
          <w:noProof/>
        </w:rPr>
        <w:t>(Gao</w:t>
      </w:r>
      <w:r w:rsidR="00503350" w:rsidRPr="00503350">
        <w:rPr>
          <w:rFonts w:ascii="Times New Roman" w:hAnsi="Times New Roman" w:cs="Times New Roman"/>
          <w:b/>
          <w:bCs/>
          <w:i/>
          <w:noProof/>
        </w:rPr>
        <w:t xml:space="preserve"> et al.</w:t>
      </w:r>
      <w:r w:rsidR="00503350" w:rsidRPr="00503350">
        <w:rPr>
          <w:rFonts w:ascii="Times New Roman" w:hAnsi="Times New Roman" w:cs="Times New Roman"/>
          <w:b/>
          <w:bCs/>
          <w:noProof/>
        </w:rPr>
        <w:t>, 2010)</w:t>
      </w:r>
      <w:r w:rsidR="00503350" w:rsidRPr="00503350">
        <w:rPr>
          <w:rFonts w:ascii="Times New Roman" w:hAnsi="Times New Roman" w:cs="Times New Roman"/>
          <w:b/>
          <w:bCs/>
        </w:rPr>
        <w:fldChar w:fldCharType="end"/>
      </w:r>
      <w:r>
        <w:rPr>
          <w:rFonts w:ascii="Times New Roman" w:hAnsi="Times New Roman" w:cs="Times New Roman"/>
        </w:rPr>
        <w:t xml:space="preserve">. The </w:t>
      </w:r>
      <w:r>
        <w:rPr>
          <w:rFonts w:ascii="Times New Roman" w:hAnsi="Times New Roman" w:cs="Times New Roman"/>
          <w:i/>
          <w:iCs/>
        </w:rPr>
        <w:t xml:space="preserve">in vitro </w:t>
      </w:r>
      <w:r>
        <w:rPr>
          <w:rFonts w:ascii="Times New Roman" w:hAnsi="Times New Roman" w:cs="Times New Roman"/>
        </w:rPr>
        <w:t xml:space="preserve">experiments in </w:t>
      </w:r>
      <w:r w:rsidRPr="00252827">
        <w:rPr>
          <w:rFonts w:ascii="Times New Roman" w:hAnsi="Times New Roman" w:cs="Times New Roman"/>
          <w:b/>
          <w:bCs/>
          <w:color w:val="000000" w:themeColor="text1"/>
        </w:rPr>
        <w:t>Figure 4.2.8</w:t>
      </w:r>
      <w:r w:rsidRPr="00252827">
        <w:rPr>
          <w:rFonts w:ascii="Times New Roman" w:hAnsi="Times New Roman" w:cs="Times New Roman"/>
          <w:color w:val="000000" w:themeColor="text1"/>
        </w:rPr>
        <w:t xml:space="preserve"> reveal </w:t>
      </w:r>
      <w:r w:rsidRPr="0012654B">
        <w:rPr>
          <w:rFonts w:ascii="Times New Roman" w:hAnsi="Times New Roman" w:cs="Times New Roman"/>
        </w:rPr>
        <w:t xml:space="preserve">that (p)ppGpp overproduction can result </w:t>
      </w:r>
      <w:r>
        <w:rPr>
          <w:rFonts w:ascii="Times New Roman" w:hAnsi="Times New Roman" w:cs="Times New Roman"/>
        </w:rPr>
        <w:t>in increased</w:t>
      </w:r>
      <w:r w:rsidRPr="0012654B">
        <w:rPr>
          <w:rFonts w:ascii="Times New Roman" w:hAnsi="Times New Roman" w:cs="Times New Roman"/>
        </w:rPr>
        <w:t xml:space="preserve"> tolerance</w:t>
      </w:r>
      <w:r>
        <w:rPr>
          <w:rFonts w:ascii="Times New Roman" w:hAnsi="Times New Roman" w:cs="Times New Roman"/>
        </w:rPr>
        <w:t xml:space="preserve">, also suggesting that surplus (p)ppGpp is beneficial for viability under stress as shown </w:t>
      </w:r>
      <w:r>
        <w:rPr>
          <w:rFonts w:ascii="Times New Roman" w:hAnsi="Times New Roman" w:cs="Times New Roman"/>
          <w:i/>
          <w:iCs/>
        </w:rPr>
        <w:t>in vivo</w:t>
      </w:r>
      <w:r>
        <w:rPr>
          <w:rFonts w:ascii="Times New Roman" w:hAnsi="Times New Roman" w:cs="Times New Roman"/>
        </w:rPr>
        <w:t xml:space="preserve"> </w:t>
      </w:r>
      <w:r w:rsidRPr="004F5A57">
        <w:rPr>
          <w:rFonts w:ascii="Times New Roman" w:hAnsi="Times New Roman" w:cs="Times New Roman"/>
          <w:b/>
          <w:bCs/>
        </w:rPr>
        <w:fldChar w:fldCharType="begin"/>
      </w:r>
      <w:r w:rsidRPr="004F5A57">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related-urls&gt;&lt;/urls&gt;&lt;isbn&gt;1553-7366&lt;/isbn&gt;&lt;titles&gt;&lt;title&gt;&lt;style font="default" size="100%"&gt;Two Novel Point Mutations in Clinical &lt;/style&gt;&lt;style face="italic" font="default" size="100%"&gt;Staphylococcus aureus&lt;/style&gt;&lt;style font="default" size="100%"&gt; Reduce Linezolid Susceptibility and Switch on the Stringent Response to Promote Persistent Infection&lt;/style&gt;&lt;/title&gt;&lt;secondary-title&gt;Plos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format="utc"&gt;1675729855&lt;/last-updated-date&gt;&lt;accession-num&gt;WOS:000279806300018&lt;/accession-num&gt;&lt;electronic-resource-num&gt;10.1371/journal.ppat.1000944&lt;/electronic-resource-num&gt;&lt;volume&gt;6&lt;/volume&gt;&lt;/record&gt;&lt;/Cite&gt;&lt;/EndNote&gt;</w:instrText>
      </w:r>
      <w:r w:rsidRPr="004F5A57">
        <w:rPr>
          <w:rFonts w:ascii="Times New Roman" w:hAnsi="Times New Roman" w:cs="Times New Roman"/>
          <w:b/>
          <w:bCs/>
        </w:rPr>
        <w:fldChar w:fldCharType="separate"/>
      </w:r>
      <w:r w:rsidRPr="004F5A57">
        <w:rPr>
          <w:rFonts w:ascii="Times New Roman" w:hAnsi="Times New Roman" w:cs="Times New Roman"/>
          <w:b/>
          <w:bCs/>
          <w:noProof/>
        </w:rPr>
        <w:t>(Gao</w:t>
      </w:r>
      <w:r w:rsidRPr="004F5A57">
        <w:rPr>
          <w:rFonts w:ascii="Times New Roman" w:hAnsi="Times New Roman" w:cs="Times New Roman"/>
          <w:b/>
          <w:bCs/>
          <w:i/>
          <w:noProof/>
        </w:rPr>
        <w:t xml:space="preserve"> et al.</w:t>
      </w:r>
      <w:r w:rsidRPr="004F5A57">
        <w:rPr>
          <w:rFonts w:ascii="Times New Roman" w:hAnsi="Times New Roman" w:cs="Times New Roman"/>
          <w:b/>
          <w:bCs/>
          <w:noProof/>
        </w:rPr>
        <w:t>, 2010)</w:t>
      </w:r>
      <w:r w:rsidRPr="004F5A57">
        <w:rPr>
          <w:rFonts w:ascii="Times New Roman" w:hAnsi="Times New Roman" w:cs="Times New Roman"/>
          <w:b/>
          <w:bCs/>
        </w:rPr>
        <w:fldChar w:fldCharType="end"/>
      </w:r>
      <w:r>
        <w:rPr>
          <w:rFonts w:ascii="Times New Roman" w:hAnsi="Times New Roman" w:cs="Times New Roman"/>
        </w:rPr>
        <w:t>.</w:t>
      </w:r>
      <w:r w:rsidRPr="0012654B">
        <w:rPr>
          <w:rFonts w:ascii="Times New Roman" w:hAnsi="Times New Roman" w:cs="Times New Roman"/>
        </w:rPr>
        <w:t xml:space="preserve"> </w:t>
      </w:r>
      <w:r>
        <w:rPr>
          <w:rFonts w:ascii="Times New Roman" w:hAnsi="Times New Roman" w:cs="Times New Roman"/>
        </w:rPr>
        <w:t>Other stringent response mutants have arisen in a clinical setting</w:t>
      </w:r>
      <w:r w:rsidRPr="0012654B">
        <w:rPr>
          <w:rFonts w:ascii="Times New Roman" w:hAnsi="Times New Roman" w:cs="Times New Roman"/>
        </w:rPr>
        <w:t>,</w:t>
      </w:r>
      <w:r>
        <w:rPr>
          <w:rFonts w:ascii="Times New Roman" w:hAnsi="Times New Roman" w:cs="Times New Roman"/>
        </w:rPr>
        <w:t xml:space="preserve"> for example,</w:t>
      </w:r>
      <w:r w:rsidRPr="0012654B">
        <w:rPr>
          <w:rFonts w:ascii="Times New Roman" w:hAnsi="Times New Roman" w:cs="Times New Roman"/>
        </w:rPr>
        <w:t xml:space="preserve"> another HD domain mutation </w:t>
      </w:r>
      <w:r w:rsidR="00503350">
        <w:rPr>
          <w:rFonts w:ascii="Times New Roman" w:hAnsi="Times New Roman" w:cs="Times New Roman"/>
        </w:rPr>
        <w:t>w</w:t>
      </w:r>
      <w:r w:rsidRPr="0012654B">
        <w:rPr>
          <w:rFonts w:ascii="Times New Roman" w:hAnsi="Times New Roman" w:cs="Times New Roman"/>
        </w:rPr>
        <w:t xml:space="preserve">as shown to partially induce the </w:t>
      </w:r>
      <w:r>
        <w:rPr>
          <w:rFonts w:ascii="Times New Roman" w:hAnsi="Times New Roman" w:cs="Times New Roman"/>
        </w:rPr>
        <w:t>stringent response</w:t>
      </w:r>
      <w:r w:rsidRPr="0012654B">
        <w:rPr>
          <w:rFonts w:ascii="Times New Roman" w:hAnsi="Times New Roman" w:cs="Times New Roman"/>
        </w:rPr>
        <w:t xml:space="preserve"> in a case of </w:t>
      </w:r>
      <w:r w:rsidRPr="0012654B">
        <w:rPr>
          <w:rFonts w:ascii="Times New Roman" w:hAnsi="Times New Roman" w:cs="Times New Roman"/>
          <w:i/>
          <w:iCs/>
        </w:rPr>
        <w:t xml:space="preserve">E. faecium </w:t>
      </w:r>
      <w:r w:rsidRPr="0012654B">
        <w:rPr>
          <w:rFonts w:ascii="Times New Roman" w:hAnsi="Times New Roman" w:cs="Times New Roman"/>
        </w:rPr>
        <w:t xml:space="preserve">persistent bacteraemia </w:t>
      </w:r>
      <w:r w:rsidRPr="006C761A">
        <w:rPr>
          <w:rFonts w:ascii="Times New Roman" w:hAnsi="Times New Roman" w:cs="Times New Roman"/>
          <w:b/>
          <w:bCs/>
        </w:rPr>
        <w:fldChar w:fldCharType="begin"/>
      </w:r>
      <w:r w:rsidRPr="006C761A">
        <w:rPr>
          <w:rFonts w:ascii="Times New Roman" w:hAnsi="Times New Roman" w:cs="Times New Roman"/>
          <w:b/>
          <w:bCs/>
        </w:rPr>
        <w:instrText xml:space="preserve"> ADDIN EN.CITE &lt;EndNote&gt;&lt;Cite&gt;&lt;Author&gt;Honsa&lt;/Author&gt;&lt;Year&gt;2017&lt;/Year&gt;&lt;IDText&gt;RelA Mutant Enterococcus faecium with Multiantibiotic Tolerance Arising in an Immunocompromised Host&lt;/IDText&gt;&lt;DisplayText&gt;(Honsa&lt;style face="italic"&gt; et al.&lt;/style&gt;, 2017)&lt;/DisplayText&gt;&lt;record&gt;&lt;dates&gt;&lt;pub-dates&gt;&lt;date&gt;Jan-Feb&lt;/date&gt;&lt;/pub-dates&gt;&lt;year&gt;2017&lt;/year&gt;&lt;/dates&gt;&lt;urls&gt;&lt;related-urls&gt;&lt;url&gt;&amp;lt;Go to ISI&amp;gt;://WOS:000395835000029&lt;/url&gt;&lt;/related-urls&gt;&lt;/urls&gt;&lt;isbn&gt;2150-7511&lt;/isbn&gt;&lt;work-type&gt;Article&lt;/work-type&gt;&lt;titles&gt;&lt;title&gt;RelA Mutant Enterococcus faecium with Multiantibiotic Tolerance Arising in an Immunocompromised Host&lt;/title&gt;&lt;secondary-title&gt;Mbio&lt;/secondary-title&gt;&lt;/titles&gt;&lt;number&gt;1&lt;/number&gt;&lt;contributors&gt;&lt;authors&gt;&lt;author&gt;Honsa, Erin S.&lt;/author&gt;&lt;author&gt;Cooper, Vaughn S.&lt;/author&gt;&lt;author&gt;Mhaissen, Mohammed N.&lt;/author&gt;&lt;author&gt;Frank, Matthew&lt;/author&gt;&lt;author&gt;Shaker, Jessica&lt;/author&gt;&lt;author&gt;Iverson, Amy&lt;/author&gt;&lt;author&gt;Rubnitz, Jeffrey&lt;/author&gt;&lt;author&gt;Hayden, Randall T.&lt;/author&gt;&lt;author&gt;Lee, Richard E.&lt;/author&gt;&lt;author&gt;Rock, Charles O.&lt;/author&gt;&lt;author&gt;Tuomanen, Elaine I.&lt;/author&gt;&lt;author&gt;Wolf, Joshua&lt;/author&gt;&lt;author&gt;Rosch, Jason W.&lt;/author&gt;&lt;/authors&gt;&lt;/contributors&gt;&lt;custom7&gt;e02124-16&lt;/custom7&gt;&lt;added-date format="utc"&gt;1674693101&lt;/added-date&gt;&lt;ref-type name="Journal Article"&gt;17&lt;/ref-type&gt;&lt;rec-number&gt;270&lt;/rec-number&gt;&lt;last-updated-date format="utc"&gt;1674693101&lt;/last-updated-date&gt;&lt;accession-num&gt;WOS:000395835000029&lt;/accession-num&gt;&lt;electronic-resource-num&gt;10.1128/mBio.02124-16&lt;/electronic-resource-num&gt;&lt;volume&gt;8&lt;/volume&gt;&lt;/record&gt;&lt;/Cite&gt;&lt;/EndNote&gt;</w:instrText>
      </w:r>
      <w:r w:rsidRPr="006C761A">
        <w:rPr>
          <w:rFonts w:ascii="Times New Roman" w:hAnsi="Times New Roman" w:cs="Times New Roman"/>
          <w:b/>
          <w:bCs/>
        </w:rPr>
        <w:fldChar w:fldCharType="separate"/>
      </w:r>
      <w:r w:rsidRPr="006C761A">
        <w:rPr>
          <w:rFonts w:ascii="Times New Roman" w:hAnsi="Times New Roman" w:cs="Times New Roman"/>
          <w:b/>
          <w:bCs/>
          <w:noProof/>
        </w:rPr>
        <w:t>(Honsa</w:t>
      </w:r>
      <w:r w:rsidRPr="006C761A">
        <w:rPr>
          <w:rFonts w:ascii="Times New Roman" w:hAnsi="Times New Roman" w:cs="Times New Roman"/>
          <w:b/>
          <w:bCs/>
          <w:i/>
          <w:noProof/>
        </w:rPr>
        <w:t xml:space="preserve"> et al.</w:t>
      </w:r>
      <w:r w:rsidRPr="006C761A">
        <w:rPr>
          <w:rFonts w:ascii="Times New Roman" w:hAnsi="Times New Roman" w:cs="Times New Roman"/>
          <w:b/>
          <w:bCs/>
          <w:noProof/>
        </w:rPr>
        <w:t>, 2017)</w:t>
      </w:r>
      <w:r w:rsidRPr="006C761A">
        <w:rPr>
          <w:rFonts w:ascii="Times New Roman" w:hAnsi="Times New Roman" w:cs="Times New Roman"/>
          <w:b/>
          <w:bCs/>
        </w:rPr>
        <w:fldChar w:fldCharType="end"/>
      </w:r>
      <w:r>
        <w:rPr>
          <w:rFonts w:ascii="Times New Roman" w:hAnsi="Times New Roman" w:cs="Times New Roman"/>
        </w:rPr>
        <w:t>.</w:t>
      </w:r>
      <w:r w:rsidRPr="0012654B">
        <w:rPr>
          <w:rFonts w:ascii="Times New Roman" w:hAnsi="Times New Roman" w:cs="Times New Roman"/>
        </w:rPr>
        <w:t xml:space="preserve"> </w:t>
      </w:r>
      <w:r w:rsidRPr="003D2488">
        <w:rPr>
          <w:rFonts w:ascii="Times New Roman" w:hAnsi="Times New Roman" w:cs="Times New Roman"/>
        </w:rPr>
        <w:t>Honsa and colleagues</w:t>
      </w:r>
      <w:r w:rsidRPr="006C761A">
        <w:rPr>
          <w:rFonts w:ascii="Times New Roman" w:hAnsi="Times New Roman" w:cs="Times New Roman"/>
        </w:rPr>
        <w:t xml:space="preserve"> </w:t>
      </w:r>
      <w:r w:rsidRPr="0012654B">
        <w:rPr>
          <w:rFonts w:ascii="Times New Roman" w:hAnsi="Times New Roman" w:cs="Times New Roman"/>
        </w:rPr>
        <w:t>also revealed that this clinical isolate was tolerant to multiple antibiotics. These cases highlight how the</w:t>
      </w:r>
      <w:r>
        <w:rPr>
          <w:rFonts w:ascii="Times New Roman" w:hAnsi="Times New Roman" w:cs="Times New Roman"/>
        </w:rPr>
        <w:t xml:space="preserve"> uncontrolled</w:t>
      </w:r>
      <w:r w:rsidRPr="0012654B">
        <w:rPr>
          <w:rFonts w:ascii="Times New Roman" w:hAnsi="Times New Roman" w:cs="Times New Roman"/>
        </w:rPr>
        <w:t xml:space="preserve"> </w:t>
      </w:r>
      <w:r>
        <w:rPr>
          <w:rFonts w:ascii="Times New Roman" w:hAnsi="Times New Roman" w:cs="Times New Roman"/>
        </w:rPr>
        <w:t>stringent response</w:t>
      </w:r>
      <w:r w:rsidRPr="0012654B">
        <w:rPr>
          <w:rFonts w:ascii="Times New Roman" w:hAnsi="Times New Roman" w:cs="Times New Roman"/>
        </w:rPr>
        <w:t xml:space="preserve"> </w:t>
      </w:r>
      <w:r w:rsidR="00503350">
        <w:rPr>
          <w:rFonts w:ascii="Times New Roman" w:hAnsi="Times New Roman" w:cs="Times New Roman"/>
        </w:rPr>
        <w:t>can</w:t>
      </w:r>
      <w:r w:rsidRPr="0012654B">
        <w:rPr>
          <w:rFonts w:ascii="Times New Roman" w:hAnsi="Times New Roman" w:cs="Times New Roman"/>
        </w:rPr>
        <w:t xml:space="preserve"> have an impact on patient outcomes. </w:t>
      </w:r>
    </w:p>
    <w:p w14:paraId="74041A37" w14:textId="461E55C5" w:rsidR="00187693" w:rsidRDefault="00187693" w:rsidP="00187693">
      <w:pPr>
        <w:spacing w:before="240" w:line="360" w:lineRule="auto"/>
        <w:ind w:firstLine="720"/>
        <w:jc w:val="both"/>
        <w:rPr>
          <w:rFonts w:ascii="Times New Roman" w:hAnsi="Times New Roman" w:cs="Times New Roman"/>
        </w:rPr>
      </w:pPr>
      <w:r w:rsidRPr="0012654B">
        <w:rPr>
          <w:rFonts w:ascii="Times New Roman" w:hAnsi="Times New Roman" w:cs="Times New Roman"/>
        </w:rPr>
        <w:t>The (p)ppGpp synthetases are induced upon various stresses as previously mentioned. Here, the presence of RelP was able to increase tolerance</w:t>
      </w:r>
      <w:r>
        <w:rPr>
          <w:rFonts w:ascii="Times New Roman" w:hAnsi="Times New Roman" w:cs="Times New Roman"/>
        </w:rPr>
        <w:t xml:space="preserve"> to itaconic acid</w:t>
      </w:r>
      <w:r w:rsidRPr="0012654B">
        <w:rPr>
          <w:rFonts w:ascii="Times New Roman" w:hAnsi="Times New Roman" w:cs="Times New Roman"/>
        </w:rPr>
        <w:t xml:space="preserve"> beyond WT levels</w:t>
      </w:r>
      <w:r>
        <w:rPr>
          <w:rFonts w:ascii="Times New Roman" w:hAnsi="Times New Roman" w:cs="Times New Roman"/>
        </w:rPr>
        <w:t>,</w:t>
      </w:r>
      <w:r w:rsidRPr="0012654B">
        <w:rPr>
          <w:rFonts w:ascii="Times New Roman" w:hAnsi="Times New Roman" w:cs="Times New Roman"/>
        </w:rPr>
        <w:t xml:space="preserve"> while Rel was unable</w:t>
      </w:r>
      <w:r>
        <w:rPr>
          <w:rFonts w:ascii="Times New Roman" w:hAnsi="Times New Roman" w:cs="Times New Roman"/>
        </w:rPr>
        <w:t xml:space="preserve"> </w:t>
      </w:r>
      <w:r>
        <w:rPr>
          <w:rFonts w:ascii="Times New Roman" w:hAnsi="Times New Roman" w:cs="Times New Roman"/>
          <w:b/>
          <w:bCs/>
        </w:rPr>
        <w:t>(Fig. 4.2.9a)</w:t>
      </w:r>
      <w:r w:rsidRPr="0012654B">
        <w:rPr>
          <w:rFonts w:ascii="Times New Roman" w:hAnsi="Times New Roman" w:cs="Times New Roman"/>
        </w:rPr>
        <w:t>. For 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sidRPr="0012654B">
        <w:rPr>
          <w:rFonts w:ascii="Times New Roman" w:hAnsi="Times New Roman" w:cs="Times New Roman"/>
        </w:rPr>
        <w:t>, neither synthetase was solely responsible for coping with the ROS stress suggesting that they both may be involved</w:t>
      </w:r>
      <w:r>
        <w:rPr>
          <w:rFonts w:ascii="Times New Roman" w:hAnsi="Times New Roman" w:cs="Times New Roman"/>
        </w:rPr>
        <w:t xml:space="preserve"> or the production of (p)ppGpp alone is sufficient, regardless of its source </w:t>
      </w:r>
      <w:r>
        <w:rPr>
          <w:rFonts w:ascii="Times New Roman" w:hAnsi="Times New Roman" w:cs="Times New Roman"/>
          <w:b/>
          <w:bCs/>
        </w:rPr>
        <w:t>(Fig. 4.2.9b)</w:t>
      </w:r>
      <w:r w:rsidRPr="0012654B">
        <w:rPr>
          <w:rFonts w:ascii="Times New Roman" w:hAnsi="Times New Roman" w:cs="Times New Roman"/>
        </w:rPr>
        <w:t xml:space="preserve">. Further studies could include investigating the effect of complementing </w:t>
      </w:r>
      <w:r w:rsidRPr="0012654B">
        <w:rPr>
          <w:rFonts w:ascii="Times New Roman" w:hAnsi="Times New Roman" w:cs="Times New Roman"/>
          <w:i/>
          <w:iCs/>
        </w:rPr>
        <w:t>relQ</w:t>
      </w:r>
      <w:r w:rsidRPr="0012654B">
        <w:rPr>
          <w:rFonts w:ascii="Times New Roman" w:hAnsi="Times New Roman" w:cs="Times New Roman"/>
        </w:rPr>
        <w:t xml:space="preserve"> in a (p)ppGpp</w:t>
      </w:r>
      <w:r w:rsidRPr="0012654B">
        <w:rPr>
          <w:rFonts w:ascii="Times New Roman" w:hAnsi="Times New Roman" w:cs="Times New Roman"/>
          <w:vertAlign w:val="superscript"/>
        </w:rPr>
        <w:t>0</w:t>
      </w:r>
      <w:r w:rsidRPr="0012654B">
        <w:rPr>
          <w:rFonts w:ascii="Times New Roman" w:hAnsi="Times New Roman" w:cs="Times New Roman"/>
        </w:rPr>
        <w:t xml:space="preserve"> background, as a previous study has shown that after the uptake of </w:t>
      </w:r>
      <w:r w:rsidRPr="0012654B">
        <w:rPr>
          <w:rFonts w:ascii="Times New Roman" w:hAnsi="Times New Roman" w:cs="Times New Roman"/>
          <w:i/>
          <w:iCs/>
        </w:rPr>
        <w:t>S. aureus</w:t>
      </w:r>
      <w:r w:rsidRPr="0012654B">
        <w:rPr>
          <w:rFonts w:ascii="Times New Roman" w:hAnsi="Times New Roman" w:cs="Times New Roman"/>
        </w:rPr>
        <w:t xml:space="preserve"> by macrophages, </w:t>
      </w:r>
      <w:r w:rsidRPr="0012654B">
        <w:rPr>
          <w:rFonts w:ascii="Times New Roman" w:hAnsi="Times New Roman" w:cs="Times New Roman"/>
          <w:i/>
          <w:iCs/>
        </w:rPr>
        <w:t>relP</w:t>
      </w:r>
      <w:r w:rsidRPr="0012654B">
        <w:rPr>
          <w:rFonts w:ascii="Times New Roman" w:hAnsi="Times New Roman" w:cs="Times New Roman"/>
        </w:rPr>
        <w:t xml:space="preserve"> and </w:t>
      </w:r>
      <w:r w:rsidRPr="0012654B">
        <w:rPr>
          <w:rFonts w:ascii="Times New Roman" w:hAnsi="Times New Roman" w:cs="Times New Roman"/>
          <w:i/>
          <w:iCs/>
        </w:rPr>
        <w:t>relQ</w:t>
      </w:r>
      <w:r w:rsidRPr="0012654B">
        <w:rPr>
          <w:rFonts w:ascii="Times New Roman" w:hAnsi="Times New Roman" w:cs="Times New Roman"/>
        </w:rPr>
        <w:t xml:space="preserve"> transcription were highly upregulated within 30 minutes with </w:t>
      </w:r>
      <w:r w:rsidRPr="0012654B">
        <w:rPr>
          <w:rFonts w:ascii="Times New Roman" w:hAnsi="Times New Roman" w:cs="Times New Roman"/>
          <w:i/>
          <w:iCs/>
        </w:rPr>
        <w:t>rel</w:t>
      </w:r>
      <w:r w:rsidRPr="0012654B">
        <w:rPr>
          <w:rFonts w:ascii="Times New Roman" w:hAnsi="Times New Roman" w:cs="Times New Roman"/>
        </w:rPr>
        <w:t xml:space="preserve"> transcribed at a lower level</w:t>
      </w:r>
      <w:r>
        <w:rPr>
          <w:rFonts w:ascii="Times New Roman" w:hAnsi="Times New Roman" w:cs="Times New Roman"/>
        </w:rPr>
        <w:t xml:space="preserve"> </w:t>
      </w:r>
      <w:r w:rsidRPr="00156568">
        <w:rPr>
          <w:rFonts w:ascii="Times New Roman" w:hAnsi="Times New Roman" w:cs="Times New Roman"/>
          <w:b/>
          <w:bCs/>
        </w:rPr>
        <w:fldChar w:fldCharType="begin"/>
      </w:r>
      <w:r w:rsidRPr="00156568">
        <w:rPr>
          <w:rFonts w:ascii="Times New Roman" w:hAnsi="Times New Roman" w:cs="Times New Roman"/>
          <w:b/>
          <w:bCs/>
        </w:rPr>
        <w:instrText xml:space="preserve"> ADDIN EN.CITE &lt;EndNote&gt;&lt;Cite&gt;&lt;Author&gt;Peyrusson&lt;/Author&gt;&lt;Year&gt;2020&lt;/Year&gt;&lt;IDText&gt;Intracellular Staphylococcus aureus persisters upon antibiotic exposure&lt;/IDText&gt;&lt;DisplayText&gt;(Peyrusson&lt;style face="italic"&gt; et al.&lt;/style&gt;, 2020)&lt;/DisplayText&gt;&lt;record&gt;&lt;dates&gt;&lt;pub-dates&gt;&lt;date&gt;May 4&lt;/date&gt;&lt;/pub-dates&gt;&lt;year&gt;2020&lt;/year&gt;&lt;/dates&gt;&lt;urls&gt;&lt;related-urls&gt;&lt;url&gt;&amp;lt;Go to ISI&amp;gt;://WOS:000533952200018&lt;/url&gt;&lt;/related-urls&gt;&lt;/urls&gt;&lt;isbn&gt;2041-1723&lt;/isbn&gt;&lt;titles&gt;&lt;title&gt;Intracellular Staphylococcus aureus persisters upon antibiotic exposure&lt;/title&gt;&lt;secondary-title&gt;Nature Communications&lt;/secondary-title&gt;&lt;/titles&gt;&lt;number&gt;1&lt;/number&gt;&lt;contributors&gt;&lt;authors&gt;&lt;author&gt;Peyrusson, Frederic&lt;/author&gt;&lt;author&gt;Varet, Hugo&lt;/author&gt;&lt;author&gt;Tiep Khac, Nguyen&lt;/author&gt;&lt;author&gt;Legendre, Rachel&lt;/author&gt;&lt;author&gt;Sismeiro, Odile&lt;/author&gt;&lt;author&gt;Coppee, Jean-Yves&lt;/author&gt;&lt;author&gt;Wolz, Christiane&lt;/author&gt;&lt;author&gt;Tenson, Tanel&lt;/author&gt;&lt;author&gt;Van Bambeke, Francoise&lt;/author&gt;&lt;/authors&gt;&lt;/contributors&gt;&lt;custom7&gt;2200&lt;/custom7&gt;&lt;added-date format="utc"&gt;1663614022&lt;/added-date&gt;&lt;ref-type name="Journal Article"&gt;17&lt;/ref-type&gt;&lt;rec-number&gt;80&lt;/rec-number&gt;&lt;last-updated-date format="utc"&gt;1663624413&lt;/last-updated-date&gt;&lt;accession-num&gt;WOS:000533952200018&lt;/accession-num&gt;&lt;electronic-resource-num&gt;10.1038/s41467-020-15966-7&lt;/electronic-resource-num&gt;&lt;volume&gt;11&lt;/volume&gt;&lt;/record&gt;&lt;/Cite&gt;&lt;/EndNote&gt;</w:instrText>
      </w:r>
      <w:r w:rsidRPr="00156568">
        <w:rPr>
          <w:rFonts w:ascii="Times New Roman" w:hAnsi="Times New Roman" w:cs="Times New Roman"/>
          <w:b/>
          <w:bCs/>
        </w:rPr>
        <w:fldChar w:fldCharType="separate"/>
      </w:r>
      <w:r w:rsidRPr="00156568">
        <w:rPr>
          <w:rFonts w:ascii="Times New Roman" w:hAnsi="Times New Roman" w:cs="Times New Roman"/>
          <w:b/>
          <w:bCs/>
          <w:noProof/>
        </w:rPr>
        <w:t>(Peyrusson</w:t>
      </w:r>
      <w:r w:rsidRPr="00156568">
        <w:rPr>
          <w:rFonts w:ascii="Times New Roman" w:hAnsi="Times New Roman" w:cs="Times New Roman"/>
          <w:b/>
          <w:bCs/>
          <w:i/>
          <w:noProof/>
        </w:rPr>
        <w:t xml:space="preserve"> et al.</w:t>
      </w:r>
      <w:r w:rsidRPr="00156568">
        <w:rPr>
          <w:rFonts w:ascii="Times New Roman" w:hAnsi="Times New Roman" w:cs="Times New Roman"/>
          <w:b/>
          <w:bCs/>
          <w:noProof/>
        </w:rPr>
        <w:t>, 2020)</w:t>
      </w:r>
      <w:r w:rsidRPr="00156568">
        <w:rPr>
          <w:rFonts w:ascii="Times New Roman" w:hAnsi="Times New Roman" w:cs="Times New Roman"/>
          <w:b/>
          <w:bCs/>
        </w:rPr>
        <w:fldChar w:fldCharType="end"/>
      </w:r>
      <w:r>
        <w:rPr>
          <w:rFonts w:ascii="Times New Roman" w:hAnsi="Times New Roman" w:cs="Times New Roman"/>
        </w:rPr>
        <w:t>.</w:t>
      </w:r>
      <w:r w:rsidRPr="0012654B">
        <w:rPr>
          <w:rFonts w:ascii="Times New Roman" w:hAnsi="Times New Roman" w:cs="Times New Roman"/>
        </w:rPr>
        <w:t xml:space="preserve"> These data coincide with what was observed in this study, </w:t>
      </w:r>
      <w:r>
        <w:rPr>
          <w:rFonts w:ascii="Times New Roman" w:hAnsi="Times New Roman" w:cs="Times New Roman"/>
        </w:rPr>
        <w:t>suggesting</w:t>
      </w:r>
      <w:r w:rsidRPr="0012654B">
        <w:rPr>
          <w:rFonts w:ascii="Times New Roman" w:hAnsi="Times New Roman" w:cs="Times New Roman"/>
        </w:rPr>
        <w:t xml:space="preserve"> that Rel is not the synthetase </w:t>
      </w:r>
      <w:r>
        <w:rPr>
          <w:rFonts w:ascii="Times New Roman" w:hAnsi="Times New Roman" w:cs="Times New Roman"/>
        </w:rPr>
        <w:t>activated</w:t>
      </w:r>
      <w:r w:rsidRPr="0012654B">
        <w:rPr>
          <w:rFonts w:ascii="Times New Roman" w:hAnsi="Times New Roman" w:cs="Times New Roman"/>
        </w:rPr>
        <w:t xml:space="preserve"> upon acid stress</w:t>
      </w:r>
      <w:r>
        <w:rPr>
          <w:rFonts w:ascii="Times New Roman" w:hAnsi="Times New Roman" w:cs="Times New Roman"/>
        </w:rPr>
        <w:t>, implying that acid stress may induce RelP and also possibly RelQ in a pathway that is independent of Rel.</w:t>
      </w:r>
      <w:r w:rsidRPr="0012654B">
        <w:rPr>
          <w:rFonts w:ascii="Times New Roman" w:hAnsi="Times New Roman" w:cs="Times New Roman"/>
        </w:rPr>
        <w:t xml:space="preserve"> </w:t>
      </w:r>
      <w:r>
        <w:rPr>
          <w:rFonts w:ascii="Times New Roman" w:hAnsi="Times New Roman" w:cs="Times New Roman"/>
        </w:rPr>
        <w:t>It is possible that since RelP and not Rel, is able to complement upon induction with Atc, RelP may physically interact with a downstream effector.</w:t>
      </w:r>
    </w:p>
    <w:p w14:paraId="5C6EA504" w14:textId="4AF5D3B0" w:rsidR="00187693" w:rsidRPr="00F90CAB" w:rsidRDefault="00187693" w:rsidP="00187693">
      <w:pPr>
        <w:spacing w:before="240" w:line="360" w:lineRule="auto"/>
        <w:ind w:firstLine="720"/>
        <w:jc w:val="both"/>
        <w:rPr>
          <w:rFonts w:ascii="Times New Roman" w:hAnsi="Times New Roman" w:cs="Times New Roman"/>
        </w:rPr>
      </w:pPr>
      <w:r w:rsidRPr="0012654B">
        <w:rPr>
          <w:rFonts w:ascii="Times New Roman" w:hAnsi="Times New Roman" w:cs="Times New Roman"/>
        </w:rPr>
        <w:t xml:space="preserve">Furthermore, it would be interesting to use </w:t>
      </w:r>
      <w:r>
        <w:rPr>
          <w:rFonts w:ascii="Times New Roman" w:hAnsi="Times New Roman" w:cs="Times New Roman"/>
        </w:rPr>
        <w:t>itaconic acid,</w:t>
      </w:r>
      <w:r w:rsidRPr="00572AE7">
        <w:rPr>
          <w:rFonts w:ascii="Times New Roman" w:hAnsi="Times New Roman" w:cs="Times New Roman"/>
        </w:rPr>
        <w:t xml:space="preserve"> </w:t>
      </w:r>
      <w:r w:rsidRPr="0012654B">
        <w:rPr>
          <w:rFonts w:ascii="Times New Roman" w:hAnsi="Times New Roman" w:cs="Times New Roman"/>
        </w:rPr>
        <w:t>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sidRPr="0012654B">
        <w:rPr>
          <w:rFonts w:ascii="Times New Roman" w:hAnsi="Times New Roman" w:cs="Times New Roman"/>
        </w:rPr>
        <w:t xml:space="preserve"> and HOCl in combination. All three stressors were used at concentrations higher than they occur physiologically e.g. 100 mM 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 xml:space="preserve">2 </w:t>
      </w:r>
      <w:r w:rsidRPr="0012654B">
        <w:rPr>
          <w:rFonts w:ascii="Times New Roman" w:hAnsi="Times New Roman" w:cs="Times New Roman"/>
        </w:rPr>
        <w:t xml:space="preserve">was necessary for inhibition of </w:t>
      </w:r>
      <w:r w:rsidRPr="0012654B">
        <w:rPr>
          <w:rFonts w:ascii="Times New Roman" w:hAnsi="Times New Roman" w:cs="Times New Roman"/>
          <w:i/>
          <w:iCs/>
        </w:rPr>
        <w:t>S. aureus</w:t>
      </w:r>
      <w:r w:rsidRPr="0012654B">
        <w:rPr>
          <w:rFonts w:ascii="Times New Roman" w:hAnsi="Times New Roman" w:cs="Times New Roman"/>
        </w:rPr>
        <w:t xml:space="preserve"> however phagolysosomal concentrations are reported to be approximately 2-4 μM</w:t>
      </w:r>
      <w:r>
        <w:rPr>
          <w:rFonts w:ascii="Times New Roman" w:hAnsi="Times New Roman" w:cs="Times New Roman"/>
        </w:rPr>
        <w:t xml:space="preserve"> </w:t>
      </w:r>
      <w:r w:rsidRPr="00156568">
        <w:rPr>
          <w:rFonts w:ascii="Times New Roman" w:hAnsi="Times New Roman" w:cs="Times New Roman"/>
          <w:b/>
          <w:bCs/>
        </w:rPr>
        <w:fldChar w:fldCharType="begin"/>
      </w:r>
      <w:r w:rsidRPr="00156568">
        <w:rPr>
          <w:rFonts w:ascii="Times New Roman" w:hAnsi="Times New Roman" w:cs="Times New Roman"/>
          <w:b/>
          <w:bCs/>
        </w:rPr>
        <w:instrText xml:space="preserve"> ADDIN EN.CITE &lt;EndNote&gt;&lt;Cite&gt;&lt;Author&gt;Winterbourn&lt;/Author&gt;&lt;Year&gt;2006&lt;/Year&gt;&lt;IDText&gt;Modeling the reactions of superoxide and myeloperoxidase in the neutrophil phagosome - Implications for microbial killing&lt;/IDText&gt;&lt;DisplayText&gt;(Winterbourn&lt;style face="italic"&gt; et al.&lt;/style&gt;, 2006)&lt;/DisplayText&gt;&lt;record&gt;&lt;dates&gt;&lt;pub-dates&gt;&lt;date&gt;Dec 29&lt;/date&gt;&lt;/pub-dates&gt;&lt;year&gt;2006&lt;/year&gt;&lt;/dates&gt;&lt;urls&gt;&lt;related-urls&gt;&lt;url&gt;&amp;lt;Go to ISI&amp;gt;://WOS:000243033900013&lt;/url&gt;&lt;/related-urls&gt;&lt;/urls&gt;&lt;work-type&gt;Article&lt;/work-type&gt;&lt;titles&gt;&lt;title&gt;Modeling the reactions of superoxide and myeloperoxidase in the neutrophil phagosome - Implications for microbial killing&lt;/title&gt;&lt;secondary-title&gt;Journal of Biological Chemistry&lt;/secondary-title&gt;&lt;/titles&gt;&lt;pages&gt;39860-39869&lt;/pages&gt;&lt;number&gt;52&lt;/number&gt;&lt;contributors&gt;&lt;authors&gt;&lt;author&gt;Winterbourn, Christine C.&lt;/author&gt;&lt;author&gt;Hampton, Mark B.&lt;/author&gt;&lt;author&gt;Livesey, John H.&lt;/author&gt;&lt;author&gt;Kettle, Anthony J.&lt;/author&gt;&lt;/authors&gt;&lt;/contributors&gt;&lt;added-date format="utc"&gt;1674560892&lt;/added-date&gt;&lt;ref-type name="Journal Article"&gt;17&lt;/ref-type&gt;&lt;rec-number&gt;247&lt;/rec-number&gt;&lt;last-updated-date format="utc"&gt;1674560892&lt;/last-updated-date&gt;&lt;accession-num&gt;WOS:000243033900013&lt;/accession-num&gt;&lt;electronic-resource-num&gt;10.1074/jbc.M605898200&lt;/electronic-resource-num&gt;&lt;volume&gt;281&lt;/volume&gt;&lt;/record&gt;&lt;/Cite&gt;&lt;/EndNote&gt;</w:instrText>
      </w:r>
      <w:r w:rsidRPr="00156568">
        <w:rPr>
          <w:rFonts w:ascii="Times New Roman" w:hAnsi="Times New Roman" w:cs="Times New Roman"/>
          <w:b/>
          <w:bCs/>
        </w:rPr>
        <w:fldChar w:fldCharType="separate"/>
      </w:r>
      <w:r w:rsidRPr="00156568">
        <w:rPr>
          <w:rFonts w:ascii="Times New Roman" w:hAnsi="Times New Roman" w:cs="Times New Roman"/>
          <w:b/>
          <w:bCs/>
          <w:noProof/>
        </w:rPr>
        <w:t>(Winterbourn</w:t>
      </w:r>
      <w:r w:rsidRPr="00156568">
        <w:rPr>
          <w:rFonts w:ascii="Times New Roman" w:hAnsi="Times New Roman" w:cs="Times New Roman"/>
          <w:b/>
          <w:bCs/>
          <w:i/>
          <w:noProof/>
        </w:rPr>
        <w:t xml:space="preserve"> et al.</w:t>
      </w:r>
      <w:r w:rsidRPr="00156568">
        <w:rPr>
          <w:rFonts w:ascii="Times New Roman" w:hAnsi="Times New Roman" w:cs="Times New Roman"/>
          <w:b/>
          <w:bCs/>
          <w:noProof/>
        </w:rPr>
        <w:t>, 2006)</w:t>
      </w:r>
      <w:r w:rsidRPr="00156568">
        <w:rPr>
          <w:rFonts w:ascii="Times New Roman" w:hAnsi="Times New Roman" w:cs="Times New Roman"/>
          <w:b/>
          <w:bCs/>
        </w:rPr>
        <w:fldChar w:fldCharType="end"/>
      </w:r>
      <w:r>
        <w:rPr>
          <w:rFonts w:ascii="Times New Roman" w:hAnsi="Times New Roman" w:cs="Times New Roman"/>
        </w:rPr>
        <w:t>.</w:t>
      </w:r>
      <w:r w:rsidRPr="0012654B">
        <w:rPr>
          <w:rFonts w:ascii="Times New Roman" w:hAnsi="Times New Roman" w:cs="Times New Roman"/>
          <w:b/>
          <w:bCs/>
          <w:color w:val="000000" w:themeColor="text1"/>
        </w:rPr>
        <w:t xml:space="preserve"> </w:t>
      </w:r>
      <w:r w:rsidRPr="0012654B">
        <w:rPr>
          <w:rFonts w:ascii="Times New Roman" w:hAnsi="Times New Roman" w:cs="Times New Roman"/>
          <w:color w:val="000000" w:themeColor="text1"/>
        </w:rPr>
        <w:t xml:space="preserve">Using these stressors in combination may be more representative of what naturally occurs </w:t>
      </w:r>
      <w:r w:rsidRPr="0012654B">
        <w:rPr>
          <w:rFonts w:ascii="Times New Roman" w:hAnsi="Times New Roman" w:cs="Times New Roman"/>
          <w:i/>
          <w:iCs/>
          <w:color w:val="000000" w:themeColor="text1"/>
        </w:rPr>
        <w:t>in vivo</w:t>
      </w:r>
      <w:r w:rsidRPr="0012654B">
        <w:rPr>
          <w:rFonts w:ascii="Times New Roman" w:hAnsi="Times New Roman" w:cs="Times New Roman"/>
          <w:color w:val="000000" w:themeColor="text1"/>
        </w:rPr>
        <w:t xml:space="preserve"> and may also requi</w:t>
      </w:r>
      <w:r>
        <w:rPr>
          <w:rFonts w:ascii="Times New Roman" w:hAnsi="Times New Roman" w:cs="Times New Roman"/>
          <w:color w:val="000000" w:themeColor="text1"/>
        </w:rPr>
        <w:t>r</w:t>
      </w:r>
      <w:r w:rsidRPr="0012654B">
        <w:rPr>
          <w:rFonts w:ascii="Times New Roman" w:hAnsi="Times New Roman" w:cs="Times New Roman"/>
          <w:color w:val="000000" w:themeColor="text1"/>
        </w:rPr>
        <w:t>e lower concentrations. For example, the glyoxylate shunt, an important metabolic pathway in bacteria, is involved in coping with ROS stress. As itaconic acid inhibits isocitrate lyase, an important component of the glyoxylate shunt</w:t>
      </w:r>
      <w:r>
        <w:rPr>
          <w:rFonts w:ascii="Times New Roman" w:hAnsi="Times New Roman" w:cs="Times New Roman"/>
          <w:color w:val="000000" w:themeColor="text1"/>
        </w:rPr>
        <w:t xml:space="preserve"> </w:t>
      </w:r>
      <w:r w:rsidRPr="00156568">
        <w:rPr>
          <w:rFonts w:ascii="Times New Roman" w:hAnsi="Times New Roman" w:cs="Times New Roman"/>
          <w:b/>
          <w:bCs/>
          <w:color w:val="000000" w:themeColor="text1"/>
        </w:rPr>
        <w:fldChar w:fldCharType="begin">
          <w:fldData xml:space="preserve">PEVuZE5vdGU+PENpdGU+PEF1dGhvcj5BaG48L0F1dGhvcj48WWVhcj4yMDE2PC9ZZWFyPjxJRFRl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</w:fldData>
        </w:fldChar>
      </w:r>
      <w:r w:rsidRPr="00156568">
        <w:rPr>
          <w:rFonts w:ascii="Times New Roman" w:hAnsi="Times New Roman" w:cs="Times New Roman"/>
          <w:b/>
          <w:bCs/>
          <w:color w:val="000000" w:themeColor="text1"/>
        </w:rPr>
        <w:instrText xml:space="preserve"> ADDIN EN.CITE </w:instrText>
      </w:r>
      <w:r w:rsidRPr="00156568">
        <w:rPr>
          <w:rFonts w:ascii="Times New Roman" w:hAnsi="Times New Roman" w:cs="Times New Roman"/>
          <w:b/>
          <w:bCs/>
          <w:color w:val="000000" w:themeColor="text1"/>
        </w:rPr>
        <w:fldChar w:fldCharType="begin">
          <w:fldData xml:space="preserve">PEVuZE5vdGU+PENpdGU+PEF1dGhvcj5BaG48L0F1dGhvcj48WWVhcj4yMDE2PC9ZZWFyPjxJRFRl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</w:fldData>
        </w:fldChar>
      </w:r>
      <w:r w:rsidRPr="00156568">
        <w:rPr>
          <w:rFonts w:ascii="Times New Roman" w:hAnsi="Times New Roman" w:cs="Times New Roman"/>
          <w:b/>
          <w:bCs/>
          <w:color w:val="000000" w:themeColor="text1"/>
        </w:rPr>
        <w:instrText xml:space="preserve"> ADDIN EN.CITE.DATA </w:instrText>
      </w:r>
      <w:r w:rsidRPr="00156568">
        <w:rPr>
          <w:rFonts w:ascii="Times New Roman" w:hAnsi="Times New Roman" w:cs="Times New Roman"/>
          <w:b/>
          <w:bCs/>
          <w:color w:val="000000" w:themeColor="text1"/>
        </w:rPr>
      </w:r>
      <w:r w:rsidRPr="00156568">
        <w:rPr>
          <w:rFonts w:ascii="Times New Roman" w:hAnsi="Times New Roman" w:cs="Times New Roman"/>
          <w:b/>
          <w:bCs/>
          <w:color w:val="000000" w:themeColor="text1"/>
        </w:rPr>
        <w:fldChar w:fldCharType="end"/>
      </w:r>
      <w:r w:rsidRPr="00156568">
        <w:rPr>
          <w:rFonts w:ascii="Times New Roman" w:hAnsi="Times New Roman" w:cs="Times New Roman"/>
          <w:b/>
          <w:bCs/>
          <w:color w:val="000000" w:themeColor="text1"/>
        </w:rPr>
      </w:r>
      <w:r w:rsidRPr="00156568">
        <w:rPr>
          <w:rFonts w:ascii="Times New Roman" w:hAnsi="Times New Roman" w:cs="Times New Roman"/>
          <w:b/>
          <w:bCs/>
          <w:color w:val="000000" w:themeColor="text1"/>
        </w:rPr>
        <w:fldChar w:fldCharType="separate"/>
      </w:r>
      <w:r w:rsidRPr="00156568">
        <w:rPr>
          <w:rFonts w:ascii="Times New Roman" w:hAnsi="Times New Roman" w:cs="Times New Roman"/>
          <w:b/>
          <w:bCs/>
          <w:noProof/>
          <w:color w:val="000000" w:themeColor="text1"/>
        </w:rPr>
        <w:t>(Ahn</w:t>
      </w:r>
      <w:r w:rsidRPr="00156568">
        <w:rPr>
          <w:rFonts w:ascii="Times New Roman" w:hAnsi="Times New Roman" w:cs="Times New Roman"/>
          <w:b/>
          <w:bCs/>
          <w:i/>
          <w:noProof/>
          <w:color w:val="000000" w:themeColor="text1"/>
        </w:rPr>
        <w:t xml:space="preserve"> et al.</w:t>
      </w:r>
      <w:r w:rsidRPr="00156568">
        <w:rPr>
          <w:rFonts w:ascii="Times New Roman" w:hAnsi="Times New Roman" w:cs="Times New Roman"/>
          <w:b/>
          <w:bCs/>
          <w:noProof/>
          <w:color w:val="000000" w:themeColor="text1"/>
        </w:rPr>
        <w:t>, 2016; Lorenz and Fink, 2001)</w:t>
      </w:r>
      <w:r w:rsidRPr="00156568">
        <w:rPr>
          <w:rFonts w:ascii="Times New Roman" w:hAnsi="Times New Roman" w:cs="Times New Roman"/>
          <w:b/>
          <w:bCs/>
          <w:color w:val="000000" w:themeColor="text1"/>
        </w:rPr>
        <w:fldChar w:fldCharType="end"/>
      </w:r>
      <w:r w:rsidRPr="0012654B">
        <w:rPr>
          <w:rFonts w:ascii="Times New Roman" w:hAnsi="Times New Roman" w:cs="Times New Roman"/>
          <w:color w:val="000000" w:themeColor="text1"/>
        </w:rPr>
        <w:t xml:space="preserve">, quantifying the tolerance of </w:t>
      </w:r>
      <w:r w:rsidRPr="0012654B">
        <w:rPr>
          <w:rFonts w:ascii="Times New Roman" w:hAnsi="Times New Roman" w:cs="Times New Roman"/>
          <w:i/>
          <w:iCs/>
          <w:color w:val="000000" w:themeColor="text1"/>
        </w:rPr>
        <w:t xml:space="preserve">S. aureus </w:t>
      </w:r>
      <w:r w:rsidRPr="0012654B">
        <w:rPr>
          <w:rFonts w:ascii="Times New Roman" w:hAnsi="Times New Roman" w:cs="Times New Roman"/>
          <w:color w:val="000000" w:themeColor="text1"/>
        </w:rPr>
        <w:t>using itaconic acid and a source of ROS in combination may yield interesting results.</w:t>
      </w:r>
      <w:r>
        <w:rPr>
          <w:rFonts w:ascii="Times New Roman" w:hAnsi="Times New Roman" w:cs="Times New Roman"/>
          <w:color w:val="000000" w:themeColor="text1"/>
        </w:rPr>
        <w:t xml:space="preserve"> In this chapter, the effect of the stringent response on survival of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 xml:space="preserve">in the presence of ROS were studied. Reactive nitrogen species were also investigated in the form of spermine NONOate, a nitric oxide donor, however growth inhibition was not observed at the concentrations used (data not shown). </w:t>
      </w:r>
    </w:p>
    <w:p w14:paraId="1BBD802B" w14:textId="0823466F" w:rsidR="00187693" w:rsidRPr="00F90CAB" w:rsidRDefault="00187693" w:rsidP="00187693">
      <w:pPr>
        <w:spacing w:line="360" w:lineRule="auto"/>
        <w:ind w:firstLine="720"/>
        <w:jc w:val="both"/>
        <w:rPr>
          <w:rFonts w:ascii="Times New Roman" w:hAnsi="Times New Roman" w:cs="Times New Roman"/>
          <w:color w:val="FF0000"/>
        </w:rPr>
      </w:pPr>
      <w:r>
        <w:rPr>
          <w:rFonts w:ascii="Times New Roman" w:hAnsi="Times New Roman" w:cs="Times New Roman"/>
        </w:rPr>
        <w:t xml:space="preserve">Based on the literature, the effect of itaconic acid on </w:t>
      </w:r>
      <w:r>
        <w:rPr>
          <w:rFonts w:ascii="Times New Roman" w:hAnsi="Times New Roman" w:cs="Times New Roman"/>
          <w:i/>
          <w:iCs/>
        </w:rPr>
        <w:t xml:space="preserve">S. aureus </w:t>
      </w:r>
      <w:r>
        <w:rPr>
          <w:rFonts w:ascii="Times New Roman" w:hAnsi="Times New Roman" w:cs="Times New Roman"/>
        </w:rPr>
        <w:t>tolerance has not been studied. However, an MSSA</w:t>
      </w:r>
      <w:r>
        <w:rPr>
          <w:rFonts w:ascii="Times New Roman" w:hAnsi="Times New Roman" w:cs="Times New Roman"/>
          <w:i/>
          <w:iCs/>
        </w:rPr>
        <w:t xml:space="preserve"> </w:t>
      </w:r>
      <w:r w:rsidRPr="0012654B">
        <w:rPr>
          <w:rFonts w:ascii="Times New Roman" w:hAnsi="Times New Roman" w:cs="Times New Roman"/>
        </w:rPr>
        <w:t>(p)ppGpp</w:t>
      </w:r>
      <w:r w:rsidRPr="0012654B">
        <w:rPr>
          <w:rFonts w:ascii="Times New Roman" w:hAnsi="Times New Roman" w:cs="Times New Roman"/>
          <w:vertAlign w:val="superscript"/>
        </w:rPr>
        <w:t>0</w:t>
      </w:r>
      <w:r w:rsidRPr="0012654B">
        <w:rPr>
          <w:rFonts w:ascii="Times New Roman" w:hAnsi="Times New Roman" w:cs="Times New Roman"/>
        </w:rPr>
        <w:t xml:space="preserve"> mutant</w:t>
      </w:r>
      <w:r>
        <w:rPr>
          <w:rFonts w:ascii="Times New Roman" w:hAnsi="Times New Roman" w:cs="Times New Roman"/>
        </w:rPr>
        <w:t xml:space="preserve"> was unable to grow in the presence of 3.2 mM </w:t>
      </w:r>
      <w:r w:rsidRPr="0012654B">
        <w:rPr>
          <w:rFonts w:ascii="Times New Roman" w:hAnsi="Times New Roman" w:cs="Times New Roman"/>
        </w:rPr>
        <w:t>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Pr>
          <w:rFonts w:ascii="Times New Roman" w:hAnsi="Times New Roman" w:cs="Times New Roman"/>
        </w:rPr>
        <w:t xml:space="preserve"> over 20 hours and was more susceptible to killing via a killing assay in comparison to WT </w:t>
      </w:r>
      <w:r w:rsidRPr="006C761A">
        <w:rPr>
          <w:rFonts w:ascii="Times New Roman" w:hAnsi="Times New Roman" w:cs="Times New Roman"/>
          <w:b/>
          <w:bCs/>
        </w:rPr>
        <w:fldChar w:fldCharType="begin"/>
      </w:r>
      <w:r w:rsidRPr="006C761A">
        <w:rPr>
          <w:rFonts w:ascii="Times New Roman" w:hAnsi="Times New Roman" w:cs="Times New Roman"/>
          <w:b/>
          <w:bCs/>
        </w:rPr>
        <w:instrText xml:space="preserve"> ADDIN EN.CITE &lt;EndNote&gt;&lt;Cite&gt;&lt;Author&gt;Horvatek&lt;/Author&gt;&lt;Year&gt;2020&lt;/Year&gt;&lt;IDText&gt;Inducible expression of (pp)pGpp synthetases in Staphylococcus aureus is associated with activation of stress response genes&lt;/IDText&gt;&lt;DisplayText&gt;(Horvatek&lt;style face="italic"&gt; et al.&lt;/style&gt;, 2020)&lt;/DisplayText&gt;&lt;record&gt;&lt;dates&gt;&lt;pub-dates&gt;&lt;date&gt;Dec&lt;/date&gt;&lt;/pub-dates&gt;&lt;year&gt;2020&lt;/year&gt;&lt;/dates&gt;&lt;urls&gt;&lt;related-urls&gt;&lt;url&gt;&amp;lt;Go to ISI&amp;gt;://WOS:000605323700002&lt;/url&gt;&lt;/related-urls&gt;&lt;/urls&gt;&lt;isbn&gt;1553-7404&lt;/isbn&gt;&lt;work-type&gt;Article&lt;/work-type&gt;&lt;titles&gt;&lt;title&gt;Inducible expression of (pp)pGpp synthetases in Staphylococcus aureus is associated with activation of stress response genes&lt;/title&gt;&lt;secondary-title&gt;Plos Genetics&lt;/secondary-title&gt;&lt;/titles&gt;&lt;number&gt;12&lt;/number&gt;&lt;contributors&gt;&lt;authors&gt;&lt;author&gt;Horvatek, Petra&lt;/author&gt;&lt;author&gt;Salzer, Andrea&lt;/author&gt;&lt;author&gt;Hanna, Andrew Magdy Fekry&lt;/author&gt;&lt;author&gt;Gratani, Fabio Lino&lt;/author&gt;&lt;author&gt;Keinhoerster, Daniela&lt;/author&gt;&lt;author&gt;Korn, Natalya&lt;/author&gt;&lt;author&gt;Borisova, Marina&lt;/author&gt;&lt;author&gt;Mayer, Christoph&lt;/author&gt;&lt;author&gt;Rejman, Dominik&lt;/author&gt;&lt;author&gt;Maeder, Ulrike&lt;/author&gt;&lt;author&gt;Wolz, Christiane&lt;/author&gt;&lt;/authors&gt;&lt;/contributors&gt;&lt;custom7&gt;e1009282&lt;/custom7&gt;&lt;added-date format="utc"&gt;1674489920&lt;/added-date&gt;&lt;ref-type name="Journal Article"&gt;17&lt;/ref-type&gt;&lt;rec-number&gt;243&lt;/rec-number&gt;&lt;last-updated-date format="utc"&gt;1674489920&lt;/last-updated-date&gt;&lt;accession-num&gt;WOS:000605323700002&lt;/accession-num&gt;&lt;electronic-resource-num&gt;10.1371/journal.pgen.1009282&lt;/electronic-resource-num&gt;&lt;volume&gt;16&lt;/volume&gt;&lt;/record&gt;&lt;/Cite&gt;&lt;/EndNote&gt;</w:instrText>
      </w:r>
      <w:r w:rsidRPr="006C761A">
        <w:rPr>
          <w:rFonts w:ascii="Times New Roman" w:hAnsi="Times New Roman" w:cs="Times New Roman"/>
          <w:b/>
          <w:bCs/>
        </w:rPr>
        <w:fldChar w:fldCharType="separate"/>
      </w:r>
      <w:r w:rsidRPr="006C761A">
        <w:rPr>
          <w:rFonts w:ascii="Times New Roman" w:hAnsi="Times New Roman" w:cs="Times New Roman"/>
          <w:b/>
          <w:bCs/>
          <w:noProof/>
        </w:rPr>
        <w:t>(Horvatek</w:t>
      </w:r>
      <w:r w:rsidRPr="006C761A">
        <w:rPr>
          <w:rFonts w:ascii="Times New Roman" w:hAnsi="Times New Roman" w:cs="Times New Roman"/>
          <w:b/>
          <w:bCs/>
          <w:i/>
          <w:noProof/>
        </w:rPr>
        <w:t xml:space="preserve"> et al.</w:t>
      </w:r>
      <w:r w:rsidRPr="006C761A">
        <w:rPr>
          <w:rFonts w:ascii="Times New Roman" w:hAnsi="Times New Roman" w:cs="Times New Roman"/>
          <w:b/>
          <w:bCs/>
          <w:noProof/>
        </w:rPr>
        <w:t>, 2020)</w:t>
      </w:r>
      <w:r w:rsidRPr="006C761A">
        <w:rPr>
          <w:rFonts w:ascii="Times New Roman" w:hAnsi="Times New Roman" w:cs="Times New Roman"/>
          <w:b/>
          <w:bCs/>
        </w:rPr>
        <w:fldChar w:fldCharType="end"/>
      </w:r>
      <w:r>
        <w:rPr>
          <w:rFonts w:ascii="Times New Roman" w:hAnsi="Times New Roman" w:cs="Times New Roman"/>
        </w:rPr>
        <w:t>.</w:t>
      </w:r>
      <w:r w:rsidRPr="004E5A36">
        <w:rPr>
          <w:rFonts w:ascii="Times New Roman" w:hAnsi="Times New Roman" w:cs="Times New Roman"/>
          <w:b/>
          <w:bCs/>
          <w:color w:val="FF0000"/>
        </w:rPr>
        <w:t xml:space="preserve"> </w:t>
      </w:r>
      <w:r w:rsidRPr="004E5A36">
        <w:rPr>
          <w:rFonts w:ascii="Times New Roman" w:hAnsi="Times New Roman" w:cs="Times New Roman"/>
        </w:rPr>
        <w:t xml:space="preserve">The killing assay used by </w:t>
      </w:r>
      <w:r w:rsidRPr="006C761A">
        <w:rPr>
          <w:rFonts w:ascii="Times New Roman" w:hAnsi="Times New Roman" w:cs="Times New Roman"/>
          <w:b/>
          <w:bCs/>
        </w:rPr>
        <w:t xml:space="preserve">Horvatek </w:t>
      </w:r>
      <w:r w:rsidRPr="006C761A">
        <w:rPr>
          <w:rFonts w:ascii="Times New Roman" w:hAnsi="Times New Roman" w:cs="Times New Roman"/>
          <w:b/>
          <w:bCs/>
          <w:i/>
          <w:iCs/>
        </w:rPr>
        <w:t>et al</w:t>
      </w:r>
      <w:r w:rsidRPr="006C761A">
        <w:rPr>
          <w:rFonts w:ascii="Times New Roman" w:hAnsi="Times New Roman" w:cs="Times New Roman"/>
          <w:b/>
          <w:bCs/>
        </w:rPr>
        <w:t>.,</w:t>
      </w:r>
      <w:r w:rsidRPr="004E5A36">
        <w:rPr>
          <w:rFonts w:ascii="Times New Roman" w:hAnsi="Times New Roman" w:cs="Times New Roman"/>
        </w:rPr>
        <w:t xml:space="preserve"> required 80 mM</w:t>
      </w:r>
      <w:r>
        <w:rPr>
          <w:rFonts w:ascii="Times New Roman" w:hAnsi="Times New Roman" w:cs="Times New Roman"/>
          <w:b/>
          <w:bCs/>
        </w:rPr>
        <w:t xml:space="preserve"> </w:t>
      </w:r>
      <w:r w:rsidRPr="0012654B">
        <w:rPr>
          <w:rFonts w:ascii="Times New Roman" w:hAnsi="Times New Roman" w:cs="Times New Roman"/>
        </w:rPr>
        <w:t>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xml:space="preserve">for inhibition, however in this study, 100 mM </w:t>
      </w:r>
      <w:r w:rsidRPr="0012654B">
        <w:rPr>
          <w:rFonts w:ascii="Times New Roman" w:hAnsi="Times New Roman" w:cs="Times New Roman"/>
        </w:rPr>
        <w:t>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Pr>
          <w:rFonts w:ascii="Times New Roman" w:hAnsi="Times New Roman" w:cs="Times New Roman"/>
        </w:rPr>
        <w:t xml:space="preserve"> was required. Additionally, a study that quantified the tolerance of MRSA to HOCl showed that stationary phase bacteria required 3.5 mM HOCl to demonstrate inhibition of </w:t>
      </w:r>
      <w:r>
        <w:rPr>
          <w:rFonts w:ascii="Times New Roman" w:hAnsi="Times New Roman" w:cs="Times New Roman"/>
          <w:i/>
          <w:iCs/>
        </w:rPr>
        <w:t xml:space="preserve">S. aureus </w:t>
      </w:r>
      <w:r w:rsidRPr="006C761A">
        <w:rPr>
          <w:rFonts w:ascii="Times New Roman" w:hAnsi="Times New Roman" w:cs="Times New Roman"/>
          <w:b/>
          <w:bCs/>
        </w:rPr>
        <w:fldChar w:fldCharType="begin"/>
      </w:r>
      <w:r w:rsidRPr="006C761A">
        <w:rPr>
          <w:rFonts w:ascii="Times New Roman" w:hAnsi="Times New Roman" w:cs="Times New Roman"/>
          <w:b/>
          <w:bCs/>
        </w:rPr>
        <w:instrText xml:space="preserve"> ADDIN EN.CITE &lt;EndNote&gt;&lt;Cite&gt;&lt;Author&gt;Fritsch&lt;/Author&gt;&lt;Year&gt;2020&lt;/Year&gt;&lt;IDText&gt;The alarmone (p)ppGpp confers tolerance to oxidative stress during the stationary phase by maintenance of redox and iron homeostasis in Staphylococcus aureus&lt;/IDText&gt;&lt;DisplayText&gt;(Fritsch&lt;style face="italic"&gt; et al.&lt;/style&gt;, 2020)&lt;/DisplayText&gt;&lt;record&gt;&lt;dates&gt;&lt;pub-dates&gt;&lt;date&gt;Dec&lt;/date&gt;&lt;/pub-dates&gt;&lt;year&gt;2020&lt;/year&gt;&lt;/dates&gt;&lt;urls&gt;&lt;related-urls&gt;&lt;url&gt;&amp;lt;Go to ISI&amp;gt;://WOS:000598057000001&lt;/url&gt;&lt;/related-urls&gt;&lt;/urls&gt;&lt;isbn&gt;0891-5849&lt;/isbn&gt;&lt;work-type&gt;Article&lt;/work-type&gt;&lt;titles&gt;&lt;title&gt;The alarmone (p)ppGpp confers tolerance to oxidative stress during the stationary phase by maintenance of redox and iron homeostasis in Staphylococcus aureus&lt;/title&gt;&lt;secondary-title&gt;Free Radical Biology and Medicine&lt;/secondary-title&gt;&lt;/titles&gt;&lt;contributors&gt;&lt;authors&gt;&lt;author&gt;Fritsch, Verena Nadin&lt;/author&gt;&lt;author&gt;Vu Van, Loi&lt;/author&gt;&lt;author&gt;Busche, Tobias&lt;/author&gt;&lt;author&gt;Quach Ngoc, Tung&lt;/author&gt;&lt;author&gt;Lill, Roland&lt;/author&gt;&lt;author&gt;Horvatek, Petra&lt;/author&gt;&lt;author&gt;Wolz, Christiane&lt;/author&gt;&lt;author&gt;Kalinowski, Joern&lt;/author&gt;&lt;author&gt;Antelmann, Haike&lt;/author&gt;&lt;/authors&gt;&lt;/contributors&gt;&lt;added-date format="utc"&gt;1674562644&lt;/added-date&gt;&lt;ref-type name="Journal Article"&gt;17&lt;/ref-type&gt;&lt;rec-number&gt;249&lt;/rec-number&gt;&lt;last-updated-date format="utc"&gt;1674562644&lt;/last-updated-date&gt;&lt;accession-num&gt;WOS:000598057000001&lt;/accession-num&gt;&lt;electronic-resource-num&gt;10.1016/j.freeradbiomed.2020.10.322&lt;/electronic-resource-num&gt;&lt;volume&gt;161&lt;/volume&gt;&lt;/record&gt;&lt;/Cite&gt;&lt;/EndNote&gt;</w:instrText>
      </w:r>
      <w:r w:rsidRPr="006C761A">
        <w:rPr>
          <w:rFonts w:ascii="Times New Roman" w:hAnsi="Times New Roman" w:cs="Times New Roman"/>
          <w:b/>
          <w:bCs/>
        </w:rPr>
        <w:fldChar w:fldCharType="separate"/>
      </w:r>
      <w:r w:rsidRPr="006C761A">
        <w:rPr>
          <w:rFonts w:ascii="Times New Roman" w:hAnsi="Times New Roman" w:cs="Times New Roman"/>
          <w:b/>
          <w:bCs/>
          <w:noProof/>
        </w:rPr>
        <w:t>(Fritsch et al., 2020)</w:t>
      </w:r>
      <w:r w:rsidRPr="006C761A">
        <w:rPr>
          <w:rFonts w:ascii="Times New Roman" w:hAnsi="Times New Roman" w:cs="Times New Roman"/>
          <w:b/>
          <w:bCs/>
        </w:rPr>
        <w:fldChar w:fldCharType="end"/>
      </w:r>
      <w:r>
        <w:rPr>
          <w:rFonts w:ascii="Times New Roman" w:hAnsi="Times New Roman" w:cs="Times New Roman"/>
          <w:i/>
          <w:iCs/>
        </w:rPr>
        <w:t xml:space="preserve">. </w:t>
      </w:r>
      <w:r w:rsidR="00503350">
        <w:rPr>
          <w:rFonts w:ascii="Times New Roman" w:hAnsi="Times New Roman" w:cs="Times New Roman"/>
        </w:rPr>
        <w:t>In this study, i</w:t>
      </w:r>
      <w:r>
        <w:rPr>
          <w:rFonts w:ascii="Times New Roman" w:hAnsi="Times New Roman" w:cs="Times New Roman"/>
        </w:rPr>
        <w:t xml:space="preserve">t is shown that </w:t>
      </w:r>
      <w:r>
        <w:rPr>
          <w:rFonts w:ascii="Times New Roman" w:hAnsi="Times New Roman" w:cs="Times New Roman"/>
          <w:i/>
          <w:iCs/>
        </w:rPr>
        <w:t xml:space="preserve">S. aureus </w:t>
      </w:r>
      <w:r>
        <w:rPr>
          <w:rFonts w:ascii="Times New Roman" w:hAnsi="Times New Roman" w:cs="Times New Roman"/>
        </w:rPr>
        <w:t xml:space="preserve">in the exponential growth phase was inhibited at 32 </w:t>
      </w:r>
      <w:r>
        <w:rPr>
          <w:rFonts w:ascii="Calibri" w:hAnsi="Calibri" w:cs="Calibri"/>
        </w:rPr>
        <w:t>μ</w:t>
      </w:r>
      <w:r>
        <w:rPr>
          <w:rFonts w:ascii="Times New Roman" w:hAnsi="Times New Roman" w:cs="Times New Roman"/>
        </w:rPr>
        <w:t xml:space="preserve">M HOCl </w:t>
      </w:r>
      <w:r w:rsidRPr="00F90CAB">
        <w:rPr>
          <w:rFonts w:ascii="Times New Roman" w:hAnsi="Times New Roman" w:cs="Times New Roman"/>
          <w:b/>
          <w:bCs/>
          <w:color w:val="000000" w:themeColor="text1"/>
        </w:rPr>
        <w:t xml:space="preserve">(Fig. 4.2.7b), </w:t>
      </w:r>
      <w:r>
        <w:rPr>
          <w:rFonts w:ascii="Times New Roman" w:hAnsi="Times New Roman" w:cs="Times New Roman"/>
        </w:rPr>
        <w:t xml:space="preserve">and during stationary phase, a HOCl concentration approximately ten times this amount was required (data not shown) which corroborates the concentrations reported by </w:t>
      </w:r>
      <w:r w:rsidRPr="003D2488">
        <w:rPr>
          <w:rFonts w:ascii="Times New Roman" w:hAnsi="Times New Roman" w:cs="Times New Roman"/>
        </w:rPr>
        <w:t>Fritsch and colleagues</w:t>
      </w:r>
      <w:r w:rsidRPr="003F1FCB">
        <w:rPr>
          <w:rFonts w:ascii="Times New Roman" w:hAnsi="Times New Roman" w:cs="Times New Roman"/>
          <w:b/>
          <w:bCs/>
        </w:rPr>
        <w:t xml:space="preserve">. </w:t>
      </w:r>
      <w:r>
        <w:rPr>
          <w:rFonts w:ascii="Times New Roman" w:hAnsi="Times New Roman" w:cs="Times New Roman"/>
        </w:rPr>
        <w:t xml:space="preserve">These results highlight the importance of studying MRSA as this is clinically relevant, but also the different growth phases as well. It is important to stress that the tolerance assay using itaconic acid, </w:t>
      </w:r>
      <w:r w:rsidRPr="0012654B">
        <w:rPr>
          <w:rFonts w:ascii="Times New Roman" w:hAnsi="Times New Roman" w:cs="Times New Roman"/>
        </w:rPr>
        <w:t>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sidRPr="0012654B">
        <w:rPr>
          <w:rFonts w:ascii="Times New Roman" w:hAnsi="Times New Roman" w:cs="Times New Roman"/>
        </w:rPr>
        <w:t xml:space="preserve"> and HOCl</w:t>
      </w:r>
      <w:r>
        <w:rPr>
          <w:rFonts w:ascii="Times New Roman" w:hAnsi="Times New Roman" w:cs="Times New Roman"/>
        </w:rPr>
        <w:t xml:space="preserve"> </w:t>
      </w:r>
      <w:r w:rsidRPr="00F90CAB">
        <w:rPr>
          <w:rFonts w:ascii="Times New Roman" w:hAnsi="Times New Roman" w:cs="Times New Roman"/>
          <w:color w:val="000000" w:themeColor="text1"/>
        </w:rPr>
        <w:t xml:space="preserve">does not reflect the conditions in a phagolysosome accurately as the physiological concentrations of these stressors are found at much lower </w:t>
      </w:r>
      <w:r>
        <w:rPr>
          <w:rFonts w:ascii="Times New Roman" w:hAnsi="Times New Roman" w:cs="Times New Roman"/>
          <w:color w:val="000000" w:themeColor="text1"/>
        </w:rPr>
        <w:t>that what was used in this study.</w:t>
      </w:r>
      <w:r w:rsidRPr="00F90CAB">
        <w:rPr>
          <w:rFonts w:ascii="Times New Roman" w:hAnsi="Times New Roman" w:cs="Times New Roman"/>
          <w:color w:val="000000" w:themeColor="text1"/>
        </w:rPr>
        <w:t xml:space="preserve"> The stringent response is more likely</w:t>
      </w:r>
      <w:r>
        <w:rPr>
          <w:rFonts w:ascii="Times New Roman" w:hAnsi="Times New Roman" w:cs="Times New Roman"/>
          <w:color w:val="000000" w:themeColor="text1"/>
        </w:rPr>
        <w:t xml:space="preserve"> to be</w:t>
      </w:r>
      <w:r w:rsidRPr="00F90CAB">
        <w:rPr>
          <w:rFonts w:ascii="Times New Roman" w:hAnsi="Times New Roman" w:cs="Times New Roman"/>
          <w:color w:val="000000" w:themeColor="text1"/>
        </w:rPr>
        <w:t xml:space="preserve"> important for initial survival while bacteria are establishing </w:t>
      </w:r>
      <w:r>
        <w:rPr>
          <w:rFonts w:ascii="Times New Roman" w:hAnsi="Times New Roman" w:cs="Times New Roman"/>
          <w:color w:val="000000" w:themeColor="text1"/>
        </w:rPr>
        <w:t xml:space="preserve">infection </w:t>
      </w:r>
      <w:r w:rsidRPr="00F90CAB">
        <w:rPr>
          <w:rFonts w:ascii="Times New Roman" w:hAnsi="Times New Roman" w:cs="Times New Roman"/>
          <w:color w:val="000000" w:themeColor="text1"/>
        </w:rPr>
        <w:t xml:space="preserve">in </w:t>
      </w:r>
      <w:r>
        <w:rPr>
          <w:rFonts w:ascii="Times New Roman" w:hAnsi="Times New Roman" w:cs="Times New Roman"/>
          <w:color w:val="000000" w:themeColor="text1"/>
        </w:rPr>
        <w:t>a</w:t>
      </w:r>
      <w:r w:rsidRPr="00F90CAB">
        <w:rPr>
          <w:rFonts w:ascii="Times New Roman" w:hAnsi="Times New Roman" w:cs="Times New Roman"/>
          <w:color w:val="000000" w:themeColor="text1"/>
        </w:rPr>
        <w:t xml:space="preserve"> new environment.</w:t>
      </w:r>
    </w:p>
    <w:p w14:paraId="4FEAB2CF" w14:textId="77777777" w:rsidR="00187693" w:rsidRDefault="00187693" w:rsidP="00187693">
      <w:pPr>
        <w:spacing w:before="240" w:line="360" w:lineRule="auto"/>
        <w:ind w:firstLine="720"/>
        <w:jc w:val="both"/>
        <w:rPr>
          <w:rFonts w:ascii="Times New Roman" w:hAnsi="Times New Roman" w:cs="Times New Roman"/>
        </w:rPr>
      </w:pPr>
      <w:r w:rsidRPr="0012654B">
        <w:rPr>
          <w:rFonts w:ascii="Times New Roman" w:hAnsi="Times New Roman" w:cs="Times New Roman"/>
        </w:rPr>
        <w:t xml:space="preserve">The CodY regulon is known to negatively regulate many genes during nutrient-rich conditions. During the SR, this repression is relieved, </w:t>
      </w:r>
      <w:r>
        <w:rPr>
          <w:rFonts w:ascii="Times New Roman" w:hAnsi="Times New Roman" w:cs="Times New Roman"/>
        </w:rPr>
        <w:t xml:space="preserve">leading to the expression of these genes which are </w:t>
      </w:r>
      <w:r w:rsidRPr="0012654B">
        <w:rPr>
          <w:rFonts w:ascii="Times New Roman" w:hAnsi="Times New Roman" w:cs="Times New Roman"/>
        </w:rPr>
        <w:t xml:space="preserve">usually related to amino acid metabolism and GTP synthesis. During nutrient limitation, the derepression of CodY therefore acts to increase the uptake of amino acids </w:t>
      </w:r>
      <w:r>
        <w:rPr>
          <w:rFonts w:ascii="Times New Roman" w:hAnsi="Times New Roman" w:cs="Times New Roman"/>
        </w:rPr>
        <w:t>when the environmental amino acid concentrations are limited. CodY derepression also</w:t>
      </w:r>
      <w:r w:rsidRPr="0012654B">
        <w:rPr>
          <w:rFonts w:ascii="Times New Roman" w:hAnsi="Times New Roman" w:cs="Times New Roman"/>
        </w:rPr>
        <w:t xml:space="preserve"> allow</w:t>
      </w:r>
      <w:r>
        <w:rPr>
          <w:rFonts w:ascii="Times New Roman" w:hAnsi="Times New Roman" w:cs="Times New Roman"/>
        </w:rPr>
        <w:t>s</w:t>
      </w:r>
      <w:r w:rsidRPr="0012654B">
        <w:rPr>
          <w:rFonts w:ascii="Times New Roman" w:hAnsi="Times New Roman" w:cs="Times New Roman"/>
        </w:rPr>
        <w:t xml:space="preserve"> the expression of virulence related genes, linking metabolism to virulence</w:t>
      </w:r>
      <w:r>
        <w:rPr>
          <w:rFonts w:ascii="Times New Roman" w:hAnsi="Times New Roman" w:cs="Times New Roman"/>
        </w:rPr>
        <w:t xml:space="preserve"> </w:t>
      </w:r>
      <w:r w:rsidRPr="006C761A">
        <w:rPr>
          <w:rFonts w:ascii="Times New Roman" w:hAnsi="Times New Roman" w:cs="Times New Roman"/>
          <w:b/>
          <w:bCs/>
        </w:rPr>
        <w:fldChar w:fldCharType="begin">
          <w:fldData xml:space="preserve">PEVuZE5vdGU+PENpdGU+PEF1dGhvcj5ZZTwvQXV0aG9yPjxZZWFyPjIwMjE8L1llYXI+PElEVGV4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</w:fldData>
        </w:fldChar>
      </w:r>
      <w:r w:rsidRPr="006C761A">
        <w:rPr>
          <w:rFonts w:ascii="Times New Roman" w:hAnsi="Times New Roman" w:cs="Times New Roman"/>
          <w:b/>
          <w:bCs/>
        </w:rPr>
        <w:instrText xml:space="preserve"> ADDIN EN.CITE </w:instrText>
      </w:r>
      <w:r w:rsidRPr="006C761A">
        <w:rPr>
          <w:rFonts w:ascii="Times New Roman" w:hAnsi="Times New Roman" w:cs="Times New Roman"/>
          <w:b/>
          <w:bCs/>
        </w:rPr>
        <w:fldChar w:fldCharType="begin">
          <w:fldData xml:space="preserve">PEVuZE5vdGU+PENpdGU+PEF1dGhvcj5ZZTwvQXV0aG9yPjxZZWFyPjIwMjE8L1llYXI+PElEVGV4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</w:fldData>
        </w:fldChar>
      </w:r>
      <w:r w:rsidRPr="006C761A">
        <w:rPr>
          <w:rFonts w:ascii="Times New Roman" w:hAnsi="Times New Roman" w:cs="Times New Roman"/>
          <w:b/>
          <w:bCs/>
        </w:rPr>
        <w:instrText xml:space="preserve"> ADDIN EN.CITE.DATA </w:instrText>
      </w:r>
      <w:r w:rsidRPr="006C761A">
        <w:rPr>
          <w:rFonts w:ascii="Times New Roman" w:hAnsi="Times New Roman" w:cs="Times New Roman"/>
          <w:b/>
          <w:bCs/>
        </w:rPr>
      </w:r>
      <w:r w:rsidRPr="006C761A">
        <w:rPr>
          <w:rFonts w:ascii="Times New Roman" w:hAnsi="Times New Roman" w:cs="Times New Roman"/>
          <w:b/>
          <w:bCs/>
        </w:rPr>
        <w:fldChar w:fldCharType="end"/>
      </w:r>
      <w:r w:rsidRPr="006C761A">
        <w:rPr>
          <w:rFonts w:ascii="Times New Roman" w:hAnsi="Times New Roman" w:cs="Times New Roman"/>
          <w:b/>
          <w:bCs/>
        </w:rPr>
      </w:r>
      <w:r w:rsidRPr="006C761A">
        <w:rPr>
          <w:rFonts w:ascii="Times New Roman" w:hAnsi="Times New Roman" w:cs="Times New Roman"/>
          <w:b/>
          <w:bCs/>
        </w:rPr>
        <w:fldChar w:fldCharType="separate"/>
      </w:r>
      <w:r w:rsidRPr="006C761A">
        <w:rPr>
          <w:rFonts w:ascii="Times New Roman" w:hAnsi="Times New Roman" w:cs="Times New Roman"/>
          <w:b/>
          <w:bCs/>
          <w:noProof/>
        </w:rPr>
        <w:t>(Ye</w:t>
      </w:r>
      <w:r w:rsidRPr="006C761A">
        <w:rPr>
          <w:rFonts w:ascii="Times New Roman" w:hAnsi="Times New Roman" w:cs="Times New Roman"/>
          <w:b/>
          <w:bCs/>
          <w:i/>
          <w:noProof/>
        </w:rPr>
        <w:t xml:space="preserve"> et al.</w:t>
      </w:r>
      <w:r w:rsidRPr="006C761A">
        <w:rPr>
          <w:rFonts w:ascii="Times New Roman" w:hAnsi="Times New Roman" w:cs="Times New Roman"/>
          <w:b/>
          <w:bCs/>
          <w:noProof/>
        </w:rPr>
        <w:t>, 2021; Waters</w:t>
      </w:r>
      <w:r w:rsidRPr="006C761A">
        <w:rPr>
          <w:rFonts w:ascii="Times New Roman" w:hAnsi="Times New Roman" w:cs="Times New Roman"/>
          <w:b/>
          <w:bCs/>
          <w:i/>
          <w:noProof/>
        </w:rPr>
        <w:t xml:space="preserve"> et al.</w:t>
      </w:r>
      <w:r w:rsidRPr="006C761A">
        <w:rPr>
          <w:rFonts w:ascii="Times New Roman" w:hAnsi="Times New Roman" w:cs="Times New Roman"/>
          <w:b/>
          <w:bCs/>
          <w:noProof/>
        </w:rPr>
        <w:t>, 2016; Roux</w:t>
      </w:r>
      <w:r w:rsidRPr="006C761A">
        <w:rPr>
          <w:rFonts w:ascii="Times New Roman" w:hAnsi="Times New Roman" w:cs="Times New Roman"/>
          <w:b/>
          <w:bCs/>
          <w:i/>
          <w:noProof/>
        </w:rPr>
        <w:t xml:space="preserve"> et al.</w:t>
      </w:r>
      <w:r w:rsidRPr="006C761A">
        <w:rPr>
          <w:rFonts w:ascii="Times New Roman" w:hAnsi="Times New Roman" w:cs="Times New Roman"/>
          <w:b/>
          <w:bCs/>
          <w:noProof/>
        </w:rPr>
        <w:t>, 2014)</w:t>
      </w:r>
      <w:r w:rsidRPr="006C761A">
        <w:rPr>
          <w:rFonts w:ascii="Times New Roman" w:hAnsi="Times New Roman" w:cs="Times New Roman"/>
          <w:b/>
          <w:bCs/>
        </w:rPr>
        <w:fldChar w:fldCharType="end"/>
      </w:r>
      <w:r>
        <w:rPr>
          <w:rFonts w:ascii="Times New Roman" w:hAnsi="Times New Roman" w:cs="Times New Roman"/>
        </w:rPr>
        <w:t>.</w:t>
      </w:r>
      <w:r w:rsidRPr="0012654B">
        <w:rPr>
          <w:rFonts w:ascii="Times New Roman" w:hAnsi="Times New Roman" w:cs="Times New Roman"/>
        </w:rPr>
        <w:t xml:space="preserve"> Inducing </w:t>
      </w:r>
      <w:r>
        <w:rPr>
          <w:rFonts w:ascii="Times New Roman" w:hAnsi="Times New Roman" w:cs="Times New Roman"/>
        </w:rPr>
        <w:t xml:space="preserve">the </w:t>
      </w:r>
      <w:r w:rsidRPr="0012654B">
        <w:rPr>
          <w:rFonts w:ascii="Times New Roman" w:hAnsi="Times New Roman" w:cs="Times New Roman"/>
        </w:rPr>
        <w:t xml:space="preserve">expression of virulence genes during these </w:t>
      </w:r>
      <w:r>
        <w:rPr>
          <w:rFonts w:ascii="Times New Roman" w:hAnsi="Times New Roman" w:cs="Times New Roman"/>
        </w:rPr>
        <w:t>unfavourable</w:t>
      </w:r>
      <w:r w:rsidRPr="0012654B">
        <w:rPr>
          <w:rFonts w:ascii="Times New Roman" w:hAnsi="Times New Roman" w:cs="Times New Roman"/>
        </w:rPr>
        <w:t xml:space="preserve"> conditions may allow bacteria to increase their likelihood of survival. For example, CodY indirectly affects</w:t>
      </w:r>
      <w:r>
        <w:rPr>
          <w:rFonts w:ascii="Times New Roman" w:hAnsi="Times New Roman" w:cs="Times New Roman"/>
        </w:rPr>
        <w:t xml:space="preserve"> expression of</w:t>
      </w:r>
      <w:r w:rsidRPr="0012654B">
        <w:rPr>
          <w:rFonts w:ascii="Times New Roman" w:hAnsi="Times New Roman" w:cs="Times New Roman"/>
        </w:rPr>
        <w:t xml:space="preserve"> multiple virulence genes by controlling </w:t>
      </w:r>
      <w:r w:rsidRPr="0012654B">
        <w:rPr>
          <w:rFonts w:ascii="Times New Roman" w:hAnsi="Times New Roman" w:cs="Times New Roman"/>
          <w:i/>
          <w:iCs/>
        </w:rPr>
        <w:t xml:space="preserve">agr </w:t>
      </w:r>
      <w:r w:rsidRPr="0012654B">
        <w:rPr>
          <w:rFonts w:ascii="Times New Roman" w:hAnsi="Times New Roman" w:cs="Times New Roman"/>
        </w:rPr>
        <w:t>and can affect expression of the pore-forming α-toxin</w:t>
      </w:r>
      <w:r>
        <w:rPr>
          <w:rFonts w:ascii="Times New Roman" w:hAnsi="Times New Roman" w:cs="Times New Roman"/>
        </w:rPr>
        <w:t xml:space="preserve"> </w:t>
      </w:r>
      <w:r w:rsidRPr="006C761A">
        <w:rPr>
          <w:rFonts w:ascii="Times New Roman" w:hAnsi="Times New Roman" w:cs="Times New Roman"/>
          <w:b/>
          <w:bCs/>
        </w:rPr>
        <w:fldChar w:fldCharType="begin">
          <w:fldData xml:space="preserve">PEVuZE5vdGU+PENpdGU+PEF1dGhvcj5XYXRlcnM8L0F1dGhvcj48WWVhcj4yMDE2PC9ZZWFyPjxJ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</w:fldData>
        </w:fldChar>
      </w:r>
      <w:r w:rsidRPr="006C761A">
        <w:rPr>
          <w:rFonts w:ascii="Times New Roman" w:hAnsi="Times New Roman" w:cs="Times New Roman"/>
          <w:b/>
          <w:bCs/>
        </w:rPr>
        <w:instrText xml:space="preserve"> ADDIN EN.CITE </w:instrText>
      </w:r>
      <w:r w:rsidRPr="006C761A">
        <w:rPr>
          <w:rFonts w:ascii="Times New Roman" w:hAnsi="Times New Roman" w:cs="Times New Roman"/>
          <w:b/>
          <w:bCs/>
        </w:rPr>
        <w:fldChar w:fldCharType="begin">
          <w:fldData xml:space="preserve">PEVuZE5vdGU+PENpdGU+PEF1dGhvcj5XYXRlcnM8L0F1dGhvcj48WWVhcj4yMDE2PC9ZZWFyPjxJ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</w:fldData>
        </w:fldChar>
      </w:r>
      <w:r w:rsidRPr="006C761A">
        <w:rPr>
          <w:rFonts w:ascii="Times New Roman" w:hAnsi="Times New Roman" w:cs="Times New Roman"/>
          <w:b/>
          <w:bCs/>
        </w:rPr>
        <w:instrText xml:space="preserve"> ADDIN EN.CITE.DATA </w:instrText>
      </w:r>
      <w:r w:rsidRPr="006C761A">
        <w:rPr>
          <w:rFonts w:ascii="Times New Roman" w:hAnsi="Times New Roman" w:cs="Times New Roman"/>
          <w:b/>
          <w:bCs/>
        </w:rPr>
      </w:r>
      <w:r w:rsidRPr="006C761A">
        <w:rPr>
          <w:rFonts w:ascii="Times New Roman" w:hAnsi="Times New Roman" w:cs="Times New Roman"/>
          <w:b/>
          <w:bCs/>
        </w:rPr>
        <w:fldChar w:fldCharType="end"/>
      </w:r>
      <w:r w:rsidRPr="006C761A">
        <w:rPr>
          <w:rFonts w:ascii="Times New Roman" w:hAnsi="Times New Roman" w:cs="Times New Roman"/>
          <w:b/>
          <w:bCs/>
        </w:rPr>
      </w:r>
      <w:r w:rsidRPr="006C761A">
        <w:rPr>
          <w:rFonts w:ascii="Times New Roman" w:hAnsi="Times New Roman" w:cs="Times New Roman"/>
          <w:b/>
          <w:bCs/>
        </w:rPr>
        <w:fldChar w:fldCharType="separate"/>
      </w:r>
      <w:r w:rsidRPr="006C761A">
        <w:rPr>
          <w:rFonts w:ascii="Times New Roman" w:hAnsi="Times New Roman" w:cs="Times New Roman"/>
          <w:b/>
          <w:bCs/>
          <w:noProof/>
        </w:rPr>
        <w:t>(Waters</w:t>
      </w:r>
      <w:r w:rsidRPr="006C761A">
        <w:rPr>
          <w:rFonts w:ascii="Times New Roman" w:hAnsi="Times New Roman" w:cs="Times New Roman"/>
          <w:b/>
          <w:bCs/>
          <w:i/>
          <w:noProof/>
        </w:rPr>
        <w:t xml:space="preserve"> et al.</w:t>
      </w:r>
      <w:r w:rsidRPr="006C761A">
        <w:rPr>
          <w:rFonts w:ascii="Times New Roman" w:hAnsi="Times New Roman" w:cs="Times New Roman"/>
          <w:b/>
          <w:bCs/>
          <w:noProof/>
        </w:rPr>
        <w:t>, 2016; Majerczyk</w:t>
      </w:r>
      <w:r w:rsidRPr="006C761A">
        <w:rPr>
          <w:rFonts w:ascii="Times New Roman" w:hAnsi="Times New Roman" w:cs="Times New Roman"/>
          <w:b/>
          <w:bCs/>
          <w:i/>
          <w:noProof/>
        </w:rPr>
        <w:t xml:space="preserve"> et al.</w:t>
      </w:r>
      <w:r w:rsidRPr="006C761A">
        <w:rPr>
          <w:rFonts w:ascii="Times New Roman" w:hAnsi="Times New Roman" w:cs="Times New Roman"/>
          <w:b/>
          <w:bCs/>
          <w:noProof/>
        </w:rPr>
        <w:t>, 2010)</w:t>
      </w:r>
      <w:r w:rsidRPr="006C761A">
        <w:rPr>
          <w:rFonts w:ascii="Times New Roman" w:hAnsi="Times New Roman" w:cs="Times New Roman"/>
          <w:b/>
          <w:bCs/>
        </w:rPr>
        <w:fldChar w:fldCharType="end"/>
      </w:r>
      <w:r w:rsidRPr="006C761A">
        <w:rPr>
          <w:rFonts w:ascii="Times New Roman" w:hAnsi="Times New Roman" w:cs="Times New Roman"/>
          <w:b/>
          <w:bCs/>
        </w:rPr>
        <w:t>.</w:t>
      </w:r>
      <w:r w:rsidRPr="0012654B">
        <w:rPr>
          <w:rFonts w:ascii="Times New Roman" w:hAnsi="Times New Roman" w:cs="Times New Roman"/>
        </w:rPr>
        <w:t xml:space="preserve"> The absence of CodY in both WT and the (p)ppGpp</w:t>
      </w:r>
      <w:r w:rsidRPr="0012654B">
        <w:rPr>
          <w:rFonts w:ascii="Times New Roman" w:hAnsi="Times New Roman" w:cs="Times New Roman"/>
          <w:vertAlign w:val="superscript"/>
        </w:rPr>
        <w:t>0</w:t>
      </w:r>
      <w:r w:rsidRPr="0012654B">
        <w:rPr>
          <w:rFonts w:ascii="Times New Roman" w:hAnsi="Times New Roman" w:cs="Times New Roman"/>
        </w:rPr>
        <w:t xml:space="preserve"> mutant </w:t>
      </w:r>
      <w:r>
        <w:rPr>
          <w:rFonts w:ascii="Times New Roman" w:hAnsi="Times New Roman" w:cs="Times New Roman"/>
        </w:rPr>
        <w:t xml:space="preserve">backgrounds </w:t>
      </w:r>
      <w:r w:rsidRPr="0012654B">
        <w:rPr>
          <w:rFonts w:ascii="Times New Roman" w:hAnsi="Times New Roman" w:cs="Times New Roman"/>
        </w:rPr>
        <w:t xml:space="preserve">led to increased tolerances resulting in minimal killing over time </w:t>
      </w:r>
      <w:r>
        <w:rPr>
          <w:rFonts w:ascii="Times New Roman" w:hAnsi="Times New Roman" w:cs="Times New Roman"/>
        </w:rPr>
        <w:t>that</w:t>
      </w:r>
      <w:r w:rsidRPr="0012654B">
        <w:rPr>
          <w:rFonts w:ascii="Times New Roman" w:hAnsi="Times New Roman" w:cs="Times New Roman"/>
        </w:rPr>
        <w:t xml:space="preserve"> was particularly evident in the presence of 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Pr>
          <w:rFonts w:ascii="Times New Roman" w:hAnsi="Times New Roman" w:cs="Times New Roman"/>
        </w:rPr>
        <w:t xml:space="preserve"> </w:t>
      </w:r>
      <w:r w:rsidRPr="001311B2">
        <w:rPr>
          <w:rFonts w:ascii="Times New Roman" w:hAnsi="Times New Roman" w:cs="Times New Roman"/>
          <w:b/>
          <w:bCs/>
          <w:color w:val="000000" w:themeColor="text1"/>
        </w:rPr>
        <w:t>(Fig. 4.2.10b)</w:t>
      </w:r>
      <w:r w:rsidRPr="001311B2">
        <w:rPr>
          <w:rFonts w:ascii="Times New Roman" w:hAnsi="Times New Roman" w:cs="Times New Roman"/>
          <w:color w:val="000000" w:themeColor="text1"/>
        </w:rPr>
        <w:t xml:space="preserve">. This </w:t>
      </w:r>
      <w:r w:rsidRPr="0012654B">
        <w:rPr>
          <w:rFonts w:ascii="Times New Roman" w:hAnsi="Times New Roman" w:cs="Times New Roman"/>
        </w:rPr>
        <w:t xml:space="preserve">suggests that the expression of these previously repressed genes </w:t>
      </w:r>
      <w:r>
        <w:rPr>
          <w:rFonts w:ascii="Times New Roman" w:hAnsi="Times New Roman" w:cs="Times New Roman"/>
        </w:rPr>
        <w:t>is</w:t>
      </w:r>
      <w:r w:rsidRPr="0012654B">
        <w:rPr>
          <w:rFonts w:ascii="Times New Roman" w:hAnsi="Times New Roman" w:cs="Times New Roman"/>
        </w:rPr>
        <w:t xml:space="preserve"> beneficial under acid and ROS stress</w:t>
      </w:r>
      <w:r>
        <w:rPr>
          <w:rFonts w:ascii="Times New Roman" w:hAnsi="Times New Roman" w:cs="Times New Roman"/>
        </w:rPr>
        <w:t>.</w:t>
      </w:r>
    </w:p>
    <w:p w14:paraId="79DA8A16" w14:textId="56142AFE" w:rsidR="00187693" w:rsidRPr="0012654B" w:rsidRDefault="00187693" w:rsidP="00187693">
      <w:pPr>
        <w:spacing w:before="240" w:line="360" w:lineRule="auto"/>
        <w:ind w:firstLine="720"/>
        <w:jc w:val="both"/>
        <w:rPr>
          <w:rFonts w:ascii="Times New Roman" w:hAnsi="Times New Roman" w:cs="Times New Roman"/>
        </w:rPr>
      </w:pPr>
      <w:r>
        <w:rPr>
          <w:rFonts w:ascii="Times New Roman" w:hAnsi="Times New Roman" w:cs="Times New Roman"/>
        </w:rPr>
        <w:t xml:space="preserve">When grown in the presence of acid stress (tris maleate buffer) the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mutant demonstrated a growth defect </w:t>
      </w:r>
      <w:r>
        <w:rPr>
          <w:rFonts w:ascii="Times New Roman" w:hAnsi="Times New Roman" w:cs="Times New Roman"/>
          <w:b/>
          <w:bCs/>
        </w:rPr>
        <w:t>(Fig 4.2.2b and e)</w:t>
      </w:r>
      <w:r>
        <w:rPr>
          <w:rFonts w:ascii="Times New Roman" w:hAnsi="Times New Roman" w:cs="Times New Roman"/>
        </w:rPr>
        <w:t xml:space="preserve">. However, the tolerance of the </w:t>
      </w:r>
      <w:r w:rsidR="00AC0958" w:rsidRPr="000B3602">
        <w:rPr>
          <w:rFonts w:ascii="Times New Roman" w:hAnsi="Times New Roman" w:cs="Times New Roman"/>
          <w:i/>
          <w:iCs/>
        </w:rPr>
        <w:t>codY</w:t>
      </w:r>
      <w:r w:rsidR="00AC0958" w:rsidRPr="000B3602">
        <w:rPr>
          <w:rFonts w:ascii="Times New Roman" w:hAnsi="Times New Roman" w:cs="Times New Roman"/>
        </w:rPr>
        <w:t>::Tn</w:t>
      </w:r>
      <w:r w:rsidR="00AC0958" w:rsidRPr="000B3602">
        <w:rPr>
          <w:rFonts w:ascii="Times New Roman" w:hAnsi="Times New Roman" w:cs="Times New Roman"/>
          <w:i/>
          <w:iCs/>
        </w:rPr>
        <w:t xml:space="preserve"> </w:t>
      </w:r>
      <w:r>
        <w:rPr>
          <w:rFonts w:ascii="Times New Roman" w:hAnsi="Times New Roman" w:cs="Times New Roman"/>
        </w:rPr>
        <w:t xml:space="preserve">mutant to itaconic acid was increased in comparison to WT and therefore showed an increased ability to survive </w:t>
      </w:r>
      <w:r>
        <w:rPr>
          <w:rFonts w:ascii="Times New Roman" w:hAnsi="Times New Roman" w:cs="Times New Roman"/>
          <w:b/>
          <w:bCs/>
        </w:rPr>
        <w:t>(Fig. 4.2.10)</w:t>
      </w:r>
      <w:r>
        <w:rPr>
          <w:rFonts w:ascii="Times New Roman" w:hAnsi="Times New Roman" w:cs="Times New Roman"/>
        </w:rPr>
        <w:t>. The differences in these results may be due to fundamental differences in the methods used for these experiments i.e., measuring growth vs survival. It may be interesting to measure growth in the presence of itaconic acid and perform a tolerance assay in the presence of maleic acid to understand whether each respective acid has the same effect or not.</w:t>
      </w:r>
      <w:r w:rsidR="00AC0958">
        <w:rPr>
          <w:rFonts w:ascii="Times New Roman" w:hAnsi="Times New Roman" w:cs="Times New Roman"/>
        </w:rPr>
        <w:t xml:space="preserve"> </w:t>
      </w:r>
    </w:p>
    <w:p w14:paraId="4FF0547E" w14:textId="5EC246A3" w:rsidR="00187693" w:rsidRPr="00D60D21" w:rsidRDefault="00187693" w:rsidP="00187693">
      <w:pPr>
        <w:spacing w:before="240" w:line="360" w:lineRule="auto"/>
        <w:ind w:firstLine="720"/>
        <w:jc w:val="both"/>
        <w:rPr>
          <w:rFonts w:ascii="Times New Roman" w:hAnsi="Times New Roman" w:cs="Times New Roman"/>
        </w:rPr>
      </w:pPr>
      <w:r w:rsidRPr="00B36E38">
        <w:rPr>
          <w:rFonts w:ascii="Times New Roman" w:hAnsi="Times New Roman" w:cs="Times New Roman"/>
        </w:rPr>
        <w:t xml:space="preserve">In conclusion, </w:t>
      </w:r>
      <w:r w:rsidRPr="00B36E38">
        <w:rPr>
          <w:rFonts w:ascii="Times New Roman" w:hAnsi="Times New Roman" w:cs="Times New Roman"/>
          <w:i/>
          <w:iCs/>
        </w:rPr>
        <w:t>in vitro</w:t>
      </w:r>
      <w:r w:rsidRPr="00B36E38">
        <w:rPr>
          <w:rFonts w:ascii="Times New Roman" w:hAnsi="Times New Roman" w:cs="Times New Roman"/>
        </w:rPr>
        <w:t xml:space="preserve"> </w:t>
      </w:r>
      <w:r w:rsidRPr="0012654B">
        <w:rPr>
          <w:rFonts w:ascii="Times New Roman" w:hAnsi="Times New Roman" w:cs="Times New Roman"/>
        </w:rPr>
        <w:t>tolerance assays with itaconic acid, H</w:t>
      </w:r>
      <w:r w:rsidRPr="0012654B">
        <w:rPr>
          <w:rFonts w:ascii="Times New Roman" w:hAnsi="Times New Roman" w:cs="Times New Roman"/>
          <w:vertAlign w:val="subscript"/>
        </w:rPr>
        <w:t>2</w:t>
      </w:r>
      <w:r w:rsidRPr="0012654B">
        <w:rPr>
          <w:rFonts w:ascii="Times New Roman" w:hAnsi="Times New Roman" w:cs="Times New Roman"/>
        </w:rPr>
        <w:t>O</w:t>
      </w:r>
      <w:r w:rsidRPr="0012654B">
        <w:rPr>
          <w:rFonts w:ascii="Times New Roman" w:hAnsi="Times New Roman" w:cs="Times New Roman"/>
          <w:vertAlign w:val="subscript"/>
        </w:rPr>
        <w:t>2</w:t>
      </w:r>
      <w:r w:rsidRPr="0012654B">
        <w:rPr>
          <w:rFonts w:ascii="Times New Roman" w:hAnsi="Times New Roman" w:cs="Times New Roman"/>
        </w:rPr>
        <w:t xml:space="preserve"> and HOCl has demonstrated that the absence of a functional </w:t>
      </w:r>
      <w:r>
        <w:rPr>
          <w:rFonts w:ascii="Times New Roman" w:hAnsi="Times New Roman" w:cs="Times New Roman"/>
        </w:rPr>
        <w:t>stringent response</w:t>
      </w:r>
      <w:r w:rsidRPr="0012654B">
        <w:rPr>
          <w:rFonts w:ascii="Times New Roman" w:hAnsi="Times New Roman" w:cs="Times New Roman"/>
        </w:rPr>
        <w:t xml:space="preserve"> reduces tolerance</w:t>
      </w:r>
      <w:r>
        <w:rPr>
          <w:rFonts w:ascii="Times New Roman" w:hAnsi="Times New Roman" w:cs="Times New Roman"/>
        </w:rPr>
        <w:t xml:space="preserve"> </w:t>
      </w:r>
      <w:r w:rsidR="00503350">
        <w:rPr>
          <w:rFonts w:ascii="Times New Roman" w:hAnsi="Times New Roman" w:cs="Times New Roman"/>
        </w:rPr>
        <w:t xml:space="preserve">to </w:t>
      </w:r>
      <w:r>
        <w:rPr>
          <w:rFonts w:ascii="Times New Roman" w:hAnsi="Times New Roman" w:cs="Times New Roman"/>
        </w:rPr>
        <w:t>these stressors</w:t>
      </w:r>
      <w:r w:rsidRPr="0012654B">
        <w:rPr>
          <w:rFonts w:ascii="Times New Roman" w:hAnsi="Times New Roman" w:cs="Times New Roman"/>
        </w:rPr>
        <w:t>. (p)ppGpp overproduction on the other hand has a protective effect that results in an increase</w:t>
      </w:r>
      <w:r>
        <w:rPr>
          <w:rFonts w:ascii="Times New Roman" w:hAnsi="Times New Roman" w:cs="Times New Roman"/>
        </w:rPr>
        <w:t>d</w:t>
      </w:r>
      <w:r w:rsidRPr="0012654B">
        <w:rPr>
          <w:rFonts w:ascii="Times New Roman" w:hAnsi="Times New Roman" w:cs="Times New Roman"/>
        </w:rPr>
        <w:t xml:space="preserve"> tolerance. The (p)ppGpp produced by RelP is shown to be important under acid stress</w:t>
      </w:r>
      <w:r>
        <w:rPr>
          <w:rFonts w:ascii="Times New Roman" w:hAnsi="Times New Roman" w:cs="Times New Roman"/>
        </w:rPr>
        <w:t>,</w:t>
      </w:r>
      <w:r w:rsidRPr="0012654B">
        <w:rPr>
          <w:rFonts w:ascii="Times New Roman" w:hAnsi="Times New Roman" w:cs="Times New Roman"/>
        </w:rPr>
        <w:t xml:space="preserve"> while </w:t>
      </w:r>
      <w:r>
        <w:rPr>
          <w:rFonts w:ascii="Times New Roman" w:hAnsi="Times New Roman" w:cs="Times New Roman"/>
        </w:rPr>
        <w:t xml:space="preserve">neither Rel nor RelP </w:t>
      </w:r>
      <w:r w:rsidRPr="0012654B">
        <w:rPr>
          <w:rFonts w:ascii="Times New Roman" w:hAnsi="Times New Roman" w:cs="Times New Roman"/>
        </w:rPr>
        <w:t>synthetase</w:t>
      </w:r>
      <w:r>
        <w:rPr>
          <w:rFonts w:ascii="Times New Roman" w:hAnsi="Times New Roman" w:cs="Times New Roman"/>
        </w:rPr>
        <w:t>s</w:t>
      </w:r>
      <w:r w:rsidRPr="0012654B">
        <w:rPr>
          <w:rFonts w:ascii="Times New Roman" w:hAnsi="Times New Roman" w:cs="Times New Roman"/>
        </w:rPr>
        <w:t xml:space="preserve"> w</w:t>
      </w:r>
      <w:r>
        <w:rPr>
          <w:rFonts w:ascii="Times New Roman" w:hAnsi="Times New Roman" w:cs="Times New Roman"/>
        </w:rPr>
        <w:t>ere</w:t>
      </w:r>
      <w:r w:rsidRPr="0012654B">
        <w:rPr>
          <w:rFonts w:ascii="Times New Roman" w:hAnsi="Times New Roman" w:cs="Times New Roman"/>
        </w:rPr>
        <w:t xml:space="preserve"> solely necessary for ROS stress. Lastly, the </w:t>
      </w:r>
      <w:r>
        <w:rPr>
          <w:rFonts w:ascii="Times New Roman" w:hAnsi="Times New Roman" w:cs="Times New Roman"/>
        </w:rPr>
        <w:t xml:space="preserve">expression of </w:t>
      </w:r>
      <w:r w:rsidRPr="0012654B">
        <w:rPr>
          <w:rFonts w:ascii="Times New Roman" w:hAnsi="Times New Roman" w:cs="Times New Roman"/>
        </w:rPr>
        <w:t>genes repressed by CodY are beneficial under stress conditions by significantly increasing tolerance in</w:t>
      </w:r>
      <w:r>
        <w:rPr>
          <w:rFonts w:ascii="Times New Roman" w:hAnsi="Times New Roman" w:cs="Times New Roman"/>
        </w:rPr>
        <w:t xml:space="preserve"> a</w:t>
      </w:r>
      <w:r w:rsidRPr="0012654B">
        <w:rPr>
          <w:rFonts w:ascii="Times New Roman" w:hAnsi="Times New Roman" w:cs="Times New Roman"/>
        </w:rPr>
        <w:t xml:space="preserve"> WT background, and by restoring virulence in the (p)ppGpp</w:t>
      </w:r>
      <w:r w:rsidRPr="0012654B">
        <w:rPr>
          <w:rFonts w:ascii="Times New Roman" w:hAnsi="Times New Roman" w:cs="Times New Roman"/>
          <w:vertAlign w:val="superscript"/>
        </w:rPr>
        <w:t>0</w:t>
      </w:r>
      <w:r w:rsidRPr="0012654B">
        <w:rPr>
          <w:rFonts w:ascii="Times New Roman" w:hAnsi="Times New Roman" w:cs="Times New Roman"/>
        </w:rPr>
        <w:t xml:space="preserve"> mutant. These data provide further insight into how the </w:t>
      </w:r>
      <w:r>
        <w:rPr>
          <w:rFonts w:ascii="Times New Roman" w:hAnsi="Times New Roman" w:cs="Times New Roman"/>
        </w:rPr>
        <w:t>stringent response</w:t>
      </w:r>
      <w:r w:rsidRPr="0012654B">
        <w:rPr>
          <w:rFonts w:ascii="Times New Roman" w:hAnsi="Times New Roman" w:cs="Times New Roman"/>
        </w:rPr>
        <w:t xml:space="preserve"> allows </w:t>
      </w:r>
      <w:r w:rsidRPr="0012654B">
        <w:rPr>
          <w:rFonts w:ascii="Times New Roman" w:hAnsi="Times New Roman" w:cs="Times New Roman"/>
          <w:i/>
          <w:iCs/>
        </w:rPr>
        <w:t xml:space="preserve">S. aureus </w:t>
      </w:r>
      <w:r w:rsidRPr="0012654B">
        <w:rPr>
          <w:rFonts w:ascii="Times New Roman" w:hAnsi="Times New Roman" w:cs="Times New Roman"/>
        </w:rPr>
        <w:t xml:space="preserve">to </w:t>
      </w:r>
      <w:r w:rsidR="00086AFF">
        <w:rPr>
          <w:rFonts w:ascii="Times New Roman" w:hAnsi="Times New Roman" w:cs="Times New Roman"/>
        </w:rPr>
        <w:t xml:space="preserve">adapt to </w:t>
      </w:r>
      <w:r w:rsidRPr="0012654B">
        <w:rPr>
          <w:rFonts w:ascii="Times New Roman" w:hAnsi="Times New Roman" w:cs="Times New Roman"/>
        </w:rPr>
        <w:t xml:space="preserve">the different stresses found within the phagolysosome. As the </w:t>
      </w:r>
      <w:r>
        <w:rPr>
          <w:rFonts w:ascii="Times New Roman" w:hAnsi="Times New Roman" w:cs="Times New Roman"/>
        </w:rPr>
        <w:t>stringent response</w:t>
      </w:r>
      <w:r w:rsidRPr="0012654B">
        <w:rPr>
          <w:rFonts w:ascii="Times New Roman" w:hAnsi="Times New Roman" w:cs="Times New Roman"/>
        </w:rPr>
        <w:t xml:space="preserve"> is important for many aspects of infection such as persistence and tolerance, it is necessary to study these interactions to aid the development of </w:t>
      </w:r>
      <w:r>
        <w:rPr>
          <w:rFonts w:ascii="Times New Roman" w:hAnsi="Times New Roman" w:cs="Times New Roman"/>
        </w:rPr>
        <w:t>stringent response</w:t>
      </w:r>
      <w:r w:rsidRPr="0012654B">
        <w:rPr>
          <w:rFonts w:ascii="Times New Roman" w:hAnsi="Times New Roman" w:cs="Times New Roman"/>
        </w:rPr>
        <w:t xml:space="preserve"> inhibitors.</w:t>
      </w:r>
    </w:p>
    <w:p w14:paraId="2BE3B50E" w14:textId="04E9577D" w:rsidR="00187693" w:rsidRDefault="00187693" w:rsidP="00187693">
      <w:pPr>
        <w:spacing w:before="240" w:line="360" w:lineRule="auto"/>
        <w:jc w:val="both"/>
        <w:rPr>
          <w:rFonts w:ascii="Times New Roman" w:hAnsi="Times New Roman" w:cs="Times New Roman"/>
        </w:rPr>
      </w:pPr>
    </w:p>
    <w:p w14:paraId="06CE13DB" w14:textId="2ADC69F0" w:rsidR="00187693" w:rsidRDefault="00187693" w:rsidP="00187693">
      <w:pPr>
        <w:spacing w:before="240" w:line="360" w:lineRule="auto"/>
        <w:jc w:val="both"/>
        <w:rPr>
          <w:rFonts w:ascii="Times New Roman" w:hAnsi="Times New Roman" w:cs="Times New Roman"/>
        </w:rPr>
      </w:pPr>
    </w:p>
    <w:p w14:paraId="64D8EA90" w14:textId="70AB7000" w:rsidR="00187693" w:rsidRDefault="00187693" w:rsidP="00187693">
      <w:pPr>
        <w:spacing w:before="240" w:line="360" w:lineRule="auto"/>
        <w:jc w:val="both"/>
        <w:rPr>
          <w:rFonts w:ascii="Times New Roman" w:hAnsi="Times New Roman" w:cs="Times New Roman"/>
        </w:rPr>
      </w:pPr>
    </w:p>
    <w:p w14:paraId="7BF49A18" w14:textId="71C892B6" w:rsidR="00187693" w:rsidRDefault="00187693" w:rsidP="00187693">
      <w:pPr>
        <w:spacing w:before="240" w:line="360" w:lineRule="auto"/>
        <w:jc w:val="both"/>
        <w:rPr>
          <w:rFonts w:ascii="Times New Roman" w:hAnsi="Times New Roman" w:cs="Times New Roman"/>
        </w:rPr>
      </w:pPr>
    </w:p>
    <w:p w14:paraId="36B14408" w14:textId="498BC0BF" w:rsidR="00187693" w:rsidRDefault="00187693" w:rsidP="00187693">
      <w:pPr>
        <w:spacing w:before="240" w:line="360" w:lineRule="auto"/>
        <w:jc w:val="both"/>
        <w:rPr>
          <w:rFonts w:ascii="Times New Roman" w:hAnsi="Times New Roman" w:cs="Times New Roman"/>
        </w:rPr>
      </w:pPr>
    </w:p>
    <w:p w14:paraId="116E3110" w14:textId="4B5CE5D7" w:rsidR="00187693" w:rsidRDefault="00187693" w:rsidP="00187693">
      <w:pPr>
        <w:spacing w:before="240" w:line="360" w:lineRule="auto"/>
        <w:jc w:val="both"/>
        <w:rPr>
          <w:rFonts w:ascii="Times New Roman" w:hAnsi="Times New Roman" w:cs="Times New Roman"/>
        </w:rPr>
      </w:pPr>
    </w:p>
    <w:p w14:paraId="45EA3755" w14:textId="455983A2" w:rsidR="00187693" w:rsidRDefault="00187693" w:rsidP="00187693">
      <w:pPr>
        <w:spacing w:before="240" w:line="360" w:lineRule="auto"/>
        <w:jc w:val="both"/>
        <w:rPr>
          <w:rFonts w:ascii="Times New Roman" w:hAnsi="Times New Roman" w:cs="Times New Roman"/>
        </w:rPr>
      </w:pPr>
    </w:p>
    <w:p w14:paraId="161BA9D5" w14:textId="3E4F0AE6" w:rsidR="00187693" w:rsidRDefault="00187693" w:rsidP="00187693">
      <w:pPr>
        <w:spacing w:before="240" w:line="360" w:lineRule="auto"/>
        <w:jc w:val="both"/>
        <w:rPr>
          <w:rFonts w:ascii="Times New Roman" w:hAnsi="Times New Roman" w:cs="Times New Roman"/>
        </w:rPr>
      </w:pPr>
    </w:p>
    <w:p w14:paraId="6BE6DA3C" w14:textId="77777777" w:rsidR="007512DB" w:rsidRDefault="007512DB" w:rsidP="00187693">
      <w:pPr>
        <w:spacing w:before="240" w:line="360" w:lineRule="auto"/>
        <w:jc w:val="both"/>
        <w:rPr>
          <w:rFonts w:ascii="Times New Roman" w:hAnsi="Times New Roman" w:cs="Times New Roman"/>
        </w:rPr>
      </w:pPr>
    </w:p>
    <w:p w14:paraId="510455FF" w14:textId="2E63F719" w:rsidR="00187693" w:rsidRDefault="00187693" w:rsidP="00187693">
      <w:pPr>
        <w:spacing w:before="240" w:line="360" w:lineRule="auto"/>
        <w:jc w:val="both"/>
        <w:rPr>
          <w:rFonts w:ascii="Times New Roman" w:hAnsi="Times New Roman" w:cs="Times New Roman"/>
        </w:rPr>
      </w:pPr>
    </w:p>
    <w:p w14:paraId="527FF6BD" w14:textId="77777777" w:rsidR="00187693" w:rsidRDefault="00187693" w:rsidP="00187693">
      <w:pPr>
        <w:pStyle w:val="Heading1"/>
      </w:pPr>
      <w:bookmarkStart w:id="156" w:name="_Toc142043649"/>
      <w:r>
        <w:t>Chapter 5: The role of (p)ppGpp within macrophage and zebrafish embryo infection models</w:t>
      </w:r>
      <w:bookmarkEnd w:id="156"/>
      <w:r>
        <w:t xml:space="preserve"> </w:t>
      </w:r>
    </w:p>
    <w:p w14:paraId="122995E4" w14:textId="77777777" w:rsidR="00187693" w:rsidRDefault="00187693" w:rsidP="00187693"/>
    <w:p w14:paraId="60680E83" w14:textId="77777777" w:rsidR="00187693" w:rsidRPr="008271C1" w:rsidRDefault="00187693" w:rsidP="00187693">
      <w:pPr>
        <w:pStyle w:val="Heading2"/>
        <w:rPr>
          <w:color w:val="FF0000"/>
        </w:rPr>
      </w:pPr>
      <w:bookmarkStart w:id="157" w:name="_Toc142043650"/>
      <w:r>
        <w:t>5.1. Introduction</w:t>
      </w:r>
      <w:bookmarkEnd w:id="157"/>
      <w:r>
        <w:t xml:space="preserve"> </w:t>
      </w:r>
    </w:p>
    <w:p w14:paraId="1301AAC2" w14:textId="77777777" w:rsidR="00187693" w:rsidRDefault="00187693" w:rsidP="00187693"/>
    <w:p w14:paraId="42008EEC" w14:textId="77777777" w:rsidR="00187693" w:rsidRPr="00D553E3" w:rsidRDefault="00187693" w:rsidP="00187693">
      <w:pPr>
        <w:spacing w:line="360" w:lineRule="auto"/>
        <w:jc w:val="both"/>
        <w:rPr>
          <w:rFonts w:ascii="Times New Roman" w:hAnsi="Times New Roman" w:cs="Times New Roman"/>
        </w:rPr>
      </w:pPr>
      <w:r w:rsidRPr="00D553E3">
        <w:rPr>
          <w:rFonts w:ascii="Times New Roman" w:hAnsi="Times New Roman" w:cs="Times New Roman"/>
        </w:rPr>
        <w:t>Zebrafish (</w:t>
      </w:r>
      <w:r w:rsidRPr="00D553E3">
        <w:rPr>
          <w:rFonts w:ascii="Times New Roman" w:hAnsi="Times New Roman" w:cs="Times New Roman"/>
          <w:i/>
          <w:iCs/>
        </w:rPr>
        <w:t>Danio rerio</w:t>
      </w:r>
      <w:r w:rsidRPr="00D553E3">
        <w:rPr>
          <w:rFonts w:ascii="Times New Roman" w:hAnsi="Times New Roman" w:cs="Times New Roman"/>
        </w:rPr>
        <w:t xml:space="preserve">) are a well-established animal model for various types of disease and infection. Despite being non-mammalian, zebrafish are jawed vertebrates with high genetic homology to humans- more than 80% of disease-associated genes have a human counterpart </w:t>
      </w:r>
      <w:r w:rsidRPr="00D553E3">
        <w:rPr>
          <w:rFonts w:ascii="Times New Roman" w:hAnsi="Times New Roman" w:cs="Times New Roman"/>
          <w:b/>
          <w:bCs/>
        </w:rPr>
        <w:fldChar w:fldCharType="begin">
          <w:fldData xml:space="preserve">PEVuZE5vdGU+PENpdGU+PEF1dGhvcj5Ib3dlPC9BdXRob3I+PFllYXI+MjAxMzwvWWVhcj48SURU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PEVuZE5vdGU+PENpdGU+PEF1dGhvcj5Ib3dlPC9BdXRob3I+PFllYXI+MjAxMzwvWWVhcj48SURU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D553E3">
        <w:rPr>
          <w:rFonts w:ascii="Times New Roman" w:hAnsi="Times New Roman" w:cs="Times New Roman"/>
          <w:b/>
          <w:bCs/>
        </w:rPr>
      </w:r>
      <w:r w:rsidRPr="00D553E3">
        <w:rPr>
          <w:rFonts w:ascii="Times New Roman" w:hAnsi="Times New Roman" w:cs="Times New Roman"/>
          <w:b/>
          <w:bCs/>
        </w:rPr>
        <w:fldChar w:fldCharType="separate"/>
      </w:r>
      <w:r>
        <w:rPr>
          <w:rFonts w:ascii="Times New Roman" w:hAnsi="Times New Roman" w:cs="Times New Roman"/>
          <w:b/>
          <w:bCs/>
          <w:noProof/>
        </w:rPr>
        <w:t>(Howe</w:t>
      </w:r>
      <w:r w:rsidRPr="00F95468">
        <w:rPr>
          <w:rFonts w:ascii="Times New Roman" w:hAnsi="Times New Roman" w:cs="Times New Roman"/>
          <w:b/>
          <w:bCs/>
          <w:i/>
          <w:noProof/>
        </w:rPr>
        <w:t xml:space="preserve"> et al.</w:t>
      </w:r>
      <w:r>
        <w:rPr>
          <w:rFonts w:ascii="Times New Roman" w:hAnsi="Times New Roman" w:cs="Times New Roman"/>
          <w:b/>
          <w:bCs/>
          <w:noProof/>
        </w:rPr>
        <w:t>, 2013)</w:t>
      </w:r>
      <w:r w:rsidRPr="00D553E3">
        <w:rPr>
          <w:rFonts w:ascii="Times New Roman" w:hAnsi="Times New Roman" w:cs="Times New Roman"/>
          <w:b/>
          <w:bCs/>
        </w:rPr>
        <w:fldChar w:fldCharType="end"/>
      </w:r>
      <w:r w:rsidRPr="00D553E3">
        <w:rPr>
          <w:rFonts w:ascii="Times New Roman" w:hAnsi="Times New Roman" w:cs="Times New Roman"/>
        </w:rPr>
        <w:t>. Furthermore,</w:t>
      </w:r>
      <w:r>
        <w:rPr>
          <w:rFonts w:ascii="Times New Roman" w:hAnsi="Times New Roman" w:cs="Times New Roman"/>
        </w:rPr>
        <w:t xml:space="preserve"> </w:t>
      </w:r>
      <w:r w:rsidRPr="00D553E3">
        <w:rPr>
          <w:rFonts w:ascii="Times New Roman" w:hAnsi="Times New Roman" w:cs="Times New Roman"/>
        </w:rPr>
        <w:t>advantages</w:t>
      </w:r>
      <w:r>
        <w:rPr>
          <w:rFonts w:ascii="Times New Roman" w:hAnsi="Times New Roman" w:cs="Times New Roman"/>
        </w:rPr>
        <w:t xml:space="preserve"> over mammalian models</w:t>
      </w:r>
      <w:r w:rsidRPr="00D553E3">
        <w:rPr>
          <w:rFonts w:ascii="Times New Roman" w:hAnsi="Times New Roman" w:cs="Times New Roman"/>
        </w:rPr>
        <w:t xml:space="preserve"> include its rapid embryonic development, genetic manipulability and its transparency at the embryonic stages which allows for live imaging of embryos </w:t>
      </w:r>
      <w:r w:rsidRPr="00D553E3">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&lt;EndNote&gt;&lt;Cite&gt;&lt;Author&gt;Teame&lt;/Author&gt;&lt;Year&gt;2019&lt;/Year&gt;&lt;IDText&gt;The use of zebrafish (Danio rerio) as biomedical models&lt;/IDText&gt;&lt;DisplayText&gt;(Teame&lt;style face="italic"&gt; et al.&lt;/style&gt;, 2019)&lt;/DisplayText&gt;&lt;record&gt;&lt;dates&gt;&lt;pub-dates&gt;&lt;date&gt;Jul&lt;/date&gt;&lt;/pub-dates&gt;&lt;year&gt;2019&lt;/year&gt;&lt;/dates&gt;&lt;urls&gt;&lt;related-urls&gt;&lt;url&gt;&amp;lt;Go to ISI&amp;gt;://WOS:000480797400010&lt;/url&gt;&lt;/related-urls&gt;&lt;/urls&gt;&lt;isbn&gt;2160-6056&lt;/isbn&gt;&lt;titles&gt;&lt;title&gt;The use of zebrafish (Danio rerio) as biomedical models&lt;/title&gt;&lt;secondary-title&gt;Animal Frontiers&lt;/secondary-title&gt;&lt;/titles&gt;&lt;pages&gt;68-77&lt;/pages&gt;&lt;number&gt;3&lt;/number&gt;&lt;contributors&gt;&lt;authors&gt;&lt;author&gt;Teame, T.&lt;/author&gt;&lt;author&gt;Zhang, Z.&lt;/author&gt;&lt;author&gt;Ran, C.&lt;/author&gt;&lt;author&gt;Zhang, H. L.&lt;/author&gt;&lt;author&gt;Yang, Y. L.&lt;/author&gt;&lt;author&gt;Ding, Q. W.&lt;/author&gt;&lt;author&gt;Xie, M. X.&lt;/author&gt;&lt;author&gt;Goo, C. C.&lt;/author&gt;&lt;author&gt;Ye, Y. G.&lt;/author&gt;&lt;author&gt;Duan, M.&lt;/author&gt;&lt;author&gt;Zhou, Z. G.&lt;/author&gt;&lt;/authors&gt;&lt;/contributors&gt;&lt;added-date format="utc"&gt;1674934923&lt;/added-date&gt;&lt;ref-type name="Journal Article"&gt;17&lt;/ref-type&gt;&lt;rec-number&gt;283&lt;/rec-number&gt;&lt;last-updated-date format="utc"&gt;1674934923&lt;/last-updated-date&gt;&lt;accession-num&gt;WOS:000480797400010&lt;/accession-num&gt;&lt;electronic-resource-num&gt;10.1093/af/vfz020&lt;/electronic-resource-num&gt;&lt;volume&gt;9&lt;/volume&gt;&lt;/record&gt;&lt;/Cite&gt;&lt;/EndNote&gt;</w:instrText>
      </w:r>
      <w:r w:rsidRPr="00D553E3">
        <w:rPr>
          <w:rFonts w:ascii="Times New Roman" w:hAnsi="Times New Roman" w:cs="Times New Roman"/>
          <w:b/>
          <w:bCs/>
        </w:rPr>
        <w:fldChar w:fldCharType="separate"/>
      </w:r>
      <w:r>
        <w:rPr>
          <w:rFonts w:ascii="Times New Roman" w:hAnsi="Times New Roman" w:cs="Times New Roman"/>
          <w:b/>
          <w:bCs/>
          <w:noProof/>
        </w:rPr>
        <w:t>(Teame</w:t>
      </w:r>
      <w:r w:rsidRPr="00F95468">
        <w:rPr>
          <w:rFonts w:ascii="Times New Roman" w:hAnsi="Times New Roman" w:cs="Times New Roman"/>
          <w:b/>
          <w:bCs/>
          <w:i/>
          <w:noProof/>
        </w:rPr>
        <w:t xml:space="preserve"> et al.</w:t>
      </w:r>
      <w:r>
        <w:rPr>
          <w:rFonts w:ascii="Times New Roman" w:hAnsi="Times New Roman" w:cs="Times New Roman"/>
          <w:b/>
          <w:bCs/>
          <w:noProof/>
        </w:rPr>
        <w:t>, 2019)</w:t>
      </w:r>
      <w:r w:rsidRPr="00D553E3">
        <w:rPr>
          <w:rFonts w:ascii="Times New Roman" w:hAnsi="Times New Roman" w:cs="Times New Roman"/>
          <w:b/>
          <w:bCs/>
        </w:rPr>
        <w:fldChar w:fldCharType="end"/>
      </w:r>
      <w:r w:rsidRPr="00D553E3">
        <w:rPr>
          <w:rFonts w:ascii="Times New Roman" w:hAnsi="Times New Roman" w:cs="Times New Roman"/>
        </w:rPr>
        <w:t xml:space="preserve">. With a functional innate immune system by 30 hpf </w:t>
      </w:r>
      <w:r w:rsidRPr="00D553E3">
        <w:rPr>
          <w:rFonts w:ascii="Times New Roman" w:hAnsi="Times New Roman" w:cs="Times New Roman"/>
          <w:b/>
          <w:bCs/>
        </w:rPr>
        <w:fldChar w:fldCharType="begin">
          <w:fldData xml:space="preserve">PEVuZE5vdGU+PENpdGU+PEF1dGhvcj5IZXJib21lbDwvQXV0aG9yPjxZZWFyPjE5OTk8L1llYXI+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PEVuZE5vdGU+PENpdGU+PEF1dGhvcj5IZXJib21lbDwvQXV0aG9yPjxZZWFyPjE5OTk8L1llYXI+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D553E3">
        <w:rPr>
          <w:rFonts w:ascii="Times New Roman" w:hAnsi="Times New Roman" w:cs="Times New Roman"/>
          <w:b/>
          <w:bCs/>
        </w:rPr>
      </w:r>
      <w:r w:rsidRPr="00D553E3">
        <w:rPr>
          <w:rFonts w:ascii="Times New Roman" w:hAnsi="Times New Roman" w:cs="Times New Roman"/>
          <w:b/>
          <w:bCs/>
        </w:rPr>
        <w:fldChar w:fldCharType="separate"/>
      </w:r>
      <w:r>
        <w:rPr>
          <w:rFonts w:ascii="Times New Roman" w:hAnsi="Times New Roman" w:cs="Times New Roman"/>
          <w:b/>
          <w:bCs/>
          <w:noProof/>
        </w:rPr>
        <w:t>(Herbomel, Thisse and Thisse, 1999; Lieschke</w:t>
      </w:r>
      <w:r w:rsidRPr="00F95468">
        <w:rPr>
          <w:rFonts w:ascii="Times New Roman" w:hAnsi="Times New Roman" w:cs="Times New Roman"/>
          <w:b/>
          <w:bCs/>
          <w:i/>
          <w:noProof/>
        </w:rPr>
        <w:t xml:space="preserve"> et al.</w:t>
      </w:r>
      <w:r>
        <w:rPr>
          <w:rFonts w:ascii="Times New Roman" w:hAnsi="Times New Roman" w:cs="Times New Roman"/>
          <w:b/>
          <w:bCs/>
          <w:noProof/>
        </w:rPr>
        <w:t>, 2001)</w:t>
      </w:r>
      <w:r w:rsidRPr="00D553E3">
        <w:rPr>
          <w:rFonts w:ascii="Times New Roman" w:hAnsi="Times New Roman" w:cs="Times New Roman"/>
          <w:b/>
          <w:bCs/>
        </w:rPr>
        <w:fldChar w:fldCharType="end"/>
      </w:r>
      <w:r w:rsidRPr="00D553E3">
        <w:rPr>
          <w:rFonts w:ascii="Times New Roman" w:hAnsi="Times New Roman" w:cs="Times New Roman"/>
        </w:rPr>
        <w:t xml:space="preserve">, zebrafish embryos are also </w:t>
      </w:r>
      <w:r>
        <w:rPr>
          <w:rFonts w:ascii="Times New Roman" w:hAnsi="Times New Roman" w:cs="Times New Roman"/>
        </w:rPr>
        <w:t>useful</w:t>
      </w:r>
      <w:r w:rsidRPr="00D553E3">
        <w:rPr>
          <w:rFonts w:ascii="Times New Roman" w:hAnsi="Times New Roman" w:cs="Times New Roman"/>
        </w:rPr>
        <w:t xml:space="preserve"> for studying host-pathogen interactions, as demonstrated by the numerous infection models that exist. For example, Prajsnar and colleagues developed a systemic infection model to study the infection dynamics of </w:t>
      </w:r>
      <w:r w:rsidRPr="00D553E3">
        <w:rPr>
          <w:rFonts w:ascii="Times New Roman" w:hAnsi="Times New Roman" w:cs="Times New Roman"/>
          <w:i/>
          <w:iCs/>
        </w:rPr>
        <w:t xml:space="preserve">S. aureus </w:t>
      </w:r>
      <w:r w:rsidRPr="00D553E3">
        <w:rPr>
          <w:rFonts w:ascii="Times New Roman" w:hAnsi="Times New Roman" w:cs="Times New Roman"/>
        </w:rPr>
        <w:t xml:space="preserve">and </w:t>
      </w:r>
      <w:r w:rsidRPr="00D553E3">
        <w:rPr>
          <w:rFonts w:ascii="Times New Roman" w:hAnsi="Times New Roman" w:cs="Times New Roman"/>
          <w:i/>
          <w:iCs/>
        </w:rPr>
        <w:t xml:space="preserve">E. faecalis </w:t>
      </w:r>
      <w:r w:rsidRPr="00D553E3">
        <w:rPr>
          <w:rFonts w:ascii="Times New Roman" w:hAnsi="Times New Roman" w:cs="Times New Roman"/>
        </w:rPr>
        <w:t xml:space="preserve">within </w:t>
      </w:r>
      <w:r>
        <w:rPr>
          <w:rFonts w:ascii="Times New Roman" w:hAnsi="Times New Roman" w:cs="Times New Roman"/>
        </w:rPr>
        <w:t xml:space="preserve">the </w:t>
      </w:r>
      <w:r w:rsidRPr="00D553E3">
        <w:rPr>
          <w:rFonts w:ascii="Times New Roman" w:hAnsi="Times New Roman" w:cs="Times New Roman"/>
        </w:rPr>
        <w:t>zebrafish circulat</w:t>
      </w:r>
      <w:r>
        <w:rPr>
          <w:rFonts w:ascii="Times New Roman" w:hAnsi="Times New Roman" w:cs="Times New Roman"/>
        </w:rPr>
        <w:t>ory system</w:t>
      </w:r>
      <w:r w:rsidRPr="00D553E3">
        <w:rPr>
          <w:rFonts w:ascii="Times New Roman" w:hAnsi="Times New Roman" w:cs="Times New Roman"/>
        </w:rPr>
        <w:t xml:space="preserve"> </w:t>
      </w:r>
      <w:r w:rsidRPr="00D553E3">
        <w:rPr>
          <w:rFonts w:ascii="Times New Roman" w:hAnsi="Times New Roman" w:cs="Times New Roman"/>
          <w:b/>
          <w:bCs/>
        </w:rPr>
        <w:fldChar w:fldCharType="begin">
          <w:fldData xml:space="preserve">PEVuZE5vdGU+PENpdGU+PEF1dGhvcj5QcmFqc25hcjwvQXV0aG9yPjxZZWFyPjIwMDg8L1llYXI+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PEVuZE5vdGU+PENpdGU+PEF1dGhvcj5QcmFqc25hcjwvQXV0aG9yPjxZZWFyPjIwMDg8L1llYXI+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D553E3">
        <w:rPr>
          <w:rFonts w:ascii="Times New Roman" w:hAnsi="Times New Roman" w:cs="Times New Roman"/>
          <w:b/>
          <w:bCs/>
        </w:rPr>
      </w:r>
      <w:r w:rsidRPr="00D553E3">
        <w:rPr>
          <w:rFonts w:ascii="Times New Roman" w:hAnsi="Times New Roman" w:cs="Times New Roman"/>
          <w:b/>
          <w:bCs/>
        </w:rPr>
        <w:fldChar w:fldCharType="separate"/>
      </w:r>
      <w:r>
        <w:rPr>
          <w:rFonts w:ascii="Times New Roman" w:hAnsi="Times New Roman" w:cs="Times New Roman"/>
          <w:b/>
          <w:bCs/>
          <w:noProof/>
        </w:rPr>
        <w:t>(Prajsnar</w:t>
      </w:r>
      <w:r w:rsidRPr="00F95468">
        <w:rPr>
          <w:rFonts w:ascii="Times New Roman" w:hAnsi="Times New Roman" w:cs="Times New Roman"/>
          <w:b/>
          <w:bCs/>
          <w:i/>
          <w:noProof/>
        </w:rPr>
        <w:t xml:space="preserve"> et al.</w:t>
      </w:r>
      <w:r>
        <w:rPr>
          <w:rFonts w:ascii="Times New Roman" w:hAnsi="Times New Roman" w:cs="Times New Roman"/>
          <w:b/>
          <w:bCs/>
          <w:noProof/>
        </w:rPr>
        <w:t>, 2008; Prajsnar</w:t>
      </w:r>
      <w:r w:rsidRPr="00F95468">
        <w:rPr>
          <w:rFonts w:ascii="Times New Roman" w:hAnsi="Times New Roman" w:cs="Times New Roman"/>
          <w:b/>
          <w:bCs/>
          <w:i/>
          <w:noProof/>
        </w:rPr>
        <w:t xml:space="preserve"> et al.</w:t>
      </w:r>
      <w:r>
        <w:rPr>
          <w:rFonts w:ascii="Times New Roman" w:hAnsi="Times New Roman" w:cs="Times New Roman"/>
          <w:b/>
          <w:bCs/>
          <w:noProof/>
        </w:rPr>
        <w:t>, 2013)</w:t>
      </w:r>
      <w:r w:rsidRPr="00D553E3">
        <w:rPr>
          <w:rFonts w:ascii="Times New Roman" w:hAnsi="Times New Roman" w:cs="Times New Roman"/>
          <w:b/>
          <w:bCs/>
        </w:rPr>
        <w:fldChar w:fldCharType="end"/>
      </w:r>
      <w:r w:rsidRPr="00D553E3">
        <w:rPr>
          <w:rFonts w:ascii="Times New Roman" w:hAnsi="Times New Roman" w:cs="Times New Roman"/>
        </w:rPr>
        <w:t xml:space="preserve">. Studies such as these have informed us about how pathogens interact with the host. Following antibiotic treatment, </w:t>
      </w:r>
      <w:r w:rsidRPr="00D553E3">
        <w:rPr>
          <w:rFonts w:ascii="Times New Roman" w:hAnsi="Times New Roman" w:cs="Times New Roman"/>
          <w:i/>
          <w:iCs/>
        </w:rPr>
        <w:t xml:space="preserve">S. aureus </w:t>
      </w:r>
      <w:r w:rsidRPr="00D553E3">
        <w:rPr>
          <w:rFonts w:ascii="Times New Roman" w:hAnsi="Times New Roman" w:cs="Times New Roman"/>
        </w:rPr>
        <w:t xml:space="preserve">have been revealed to undergo clonal expansion resulting from a bottleneck within professional phagocytes </w:t>
      </w:r>
      <w:r w:rsidRPr="00D553E3">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&lt;EndNote&gt;&lt;Cite&gt;&lt;Author&gt;McVicker&lt;/Author&gt;&lt;Year&gt;2014&lt;/Year&gt;&lt;IDText&gt;Clonal Expansion during Staphylococcus aureus Infection Dynamics Reveals the Effect of Antibiotic Intervention&lt;/IDText&gt;&lt;DisplayText&gt;(McVicker&lt;style face="italic"&gt; et al.&lt;/style&gt;, 2014)&lt;/DisplayText&gt;&lt;record&gt;&lt;dates&gt;&lt;pub-dates&gt;&lt;date&gt;Feb&lt;/date&gt;&lt;/pub-dates&gt;&lt;year&gt;2014&lt;/year&gt;&lt;/dates&gt;&lt;urls&gt;&lt;related-urls&gt;&lt;url&gt;&amp;lt;Go to ISI&amp;gt;://WOS:000332085900007&lt;/url&gt;&lt;/related-urls&gt;&lt;/urls&gt;&lt;isbn&gt;1553-7366&lt;/isbn&gt;&lt;titles&gt;&lt;title&gt;Clonal Expansion during Staphylococcus aureus Infection Dynamics Reveals the Effect of Antibiotic Intervention&lt;/title&gt;&lt;secondary-title&gt;Plos Pathogens&lt;/secondary-title&gt;&lt;/titles&gt;&lt;number&gt;2&lt;/number&gt;&lt;contributors&gt;&lt;authors&gt;&lt;author&gt;McVicker, G.&lt;/author&gt;&lt;author&gt;Prajsnar, T. K.&lt;/author&gt;&lt;author&gt;Williams, A.&lt;/author&gt;&lt;author&gt;Wagner, N. L.&lt;/author&gt;&lt;author&gt;Boots, M.&lt;/author&gt;&lt;author&gt;Renshaw, S. A.&lt;/author&gt;&lt;author&gt;Foster, S. J.&lt;/author&gt;&lt;/authors&gt;&lt;/contributors&gt;&lt;custom7&gt;e1003959&lt;/custom7&gt;&lt;added-date format="utc"&gt;1674941543&lt;/added-date&gt;&lt;ref-type name="Journal Article"&gt;17&lt;/ref-type&gt;&lt;rec-number&gt;284&lt;/rec-number&gt;&lt;last-updated-date format="utc"&gt;1674941543&lt;/last-updated-date&gt;&lt;accession-num&gt;WOS:000332085900007&lt;/accession-num&gt;&lt;electronic-resource-num&gt;10.1371/journal.ppat.1003959&lt;/electronic-resource-num&gt;&lt;volume&gt;10&lt;/volume&gt;&lt;/record&gt;&lt;/Cite&gt;&lt;/EndNote&gt;</w:instrText>
      </w:r>
      <w:r w:rsidRPr="00D553E3">
        <w:rPr>
          <w:rFonts w:ascii="Times New Roman" w:hAnsi="Times New Roman" w:cs="Times New Roman"/>
          <w:b/>
          <w:bCs/>
        </w:rPr>
        <w:fldChar w:fldCharType="separate"/>
      </w:r>
      <w:r>
        <w:rPr>
          <w:rFonts w:ascii="Times New Roman" w:hAnsi="Times New Roman" w:cs="Times New Roman"/>
          <w:b/>
          <w:bCs/>
          <w:noProof/>
        </w:rPr>
        <w:t>(McVicker</w:t>
      </w:r>
      <w:r w:rsidRPr="00F95468">
        <w:rPr>
          <w:rFonts w:ascii="Times New Roman" w:hAnsi="Times New Roman" w:cs="Times New Roman"/>
          <w:b/>
          <w:bCs/>
          <w:i/>
          <w:noProof/>
        </w:rPr>
        <w:t xml:space="preserve"> et al.</w:t>
      </w:r>
      <w:r>
        <w:rPr>
          <w:rFonts w:ascii="Times New Roman" w:hAnsi="Times New Roman" w:cs="Times New Roman"/>
          <w:b/>
          <w:bCs/>
          <w:noProof/>
        </w:rPr>
        <w:t>, 2014)</w:t>
      </w:r>
      <w:r w:rsidRPr="00D553E3">
        <w:rPr>
          <w:rFonts w:ascii="Times New Roman" w:hAnsi="Times New Roman" w:cs="Times New Roman"/>
          <w:b/>
          <w:bCs/>
        </w:rPr>
        <w:fldChar w:fldCharType="end"/>
      </w:r>
      <w:r w:rsidRPr="00D553E3">
        <w:rPr>
          <w:rFonts w:ascii="Times New Roman" w:hAnsi="Times New Roman" w:cs="Times New Roman"/>
        </w:rPr>
        <w:t xml:space="preserve">. As </w:t>
      </w:r>
      <w:r w:rsidRPr="00D553E3">
        <w:rPr>
          <w:rFonts w:ascii="Times New Roman" w:hAnsi="Times New Roman" w:cs="Times New Roman"/>
          <w:i/>
          <w:iCs/>
        </w:rPr>
        <w:t xml:space="preserve">S. aureus </w:t>
      </w:r>
      <w:r>
        <w:rPr>
          <w:rFonts w:ascii="Times New Roman" w:hAnsi="Times New Roman" w:cs="Times New Roman"/>
        </w:rPr>
        <w:t>can replicate within macrophages, escape and subsequent</w:t>
      </w:r>
      <w:r w:rsidRPr="00D553E3">
        <w:rPr>
          <w:rFonts w:ascii="Times New Roman" w:hAnsi="Times New Roman" w:cs="Times New Roman"/>
        </w:rPr>
        <w:t xml:space="preserve"> dissemination </w:t>
      </w:r>
      <w:r>
        <w:rPr>
          <w:rFonts w:ascii="Times New Roman" w:hAnsi="Times New Roman" w:cs="Times New Roman"/>
        </w:rPr>
        <w:t>can also</w:t>
      </w:r>
      <w:r w:rsidRPr="00D553E3">
        <w:rPr>
          <w:rFonts w:ascii="Times New Roman" w:hAnsi="Times New Roman" w:cs="Times New Roman"/>
        </w:rPr>
        <w:t xml:space="preserve"> occur</w:t>
      </w:r>
      <w:r>
        <w:rPr>
          <w:rFonts w:ascii="Times New Roman" w:hAnsi="Times New Roman" w:cs="Times New Roman"/>
        </w:rPr>
        <w:t xml:space="preserve">. This highlights how the zebrafish embryo model is valuable and explains the impact it has on furthering our knowledge of host-pathogen interactions and disease pathogenesis.  </w:t>
      </w:r>
    </w:p>
    <w:p w14:paraId="2A77C149" w14:textId="77777777" w:rsidR="00187693" w:rsidRDefault="00187693" w:rsidP="00187693">
      <w:pPr>
        <w:spacing w:line="360" w:lineRule="auto"/>
        <w:jc w:val="both"/>
        <w:rPr>
          <w:rFonts w:ascii="Times New Roman" w:hAnsi="Times New Roman" w:cs="Times New Roman"/>
        </w:rPr>
      </w:pPr>
      <w:r w:rsidRPr="00D553E3">
        <w:rPr>
          <w:rFonts w:ascii="Times New Roman" w:hAnsi="Times New Roman" w:cs="Times New Roman"/>
        </w:rPr>
        <w:tab/>
        <w:t>The stringent response</w:t>
      </w:r>
      <w:r>
        <w:rPr>
          <w:rFonts w:ascii="Times New Roman" w:hAnsi="Times New Roman" w:cs="Times New Roman"/>
        </w:rPr>
        <w:t xml:space="preserve"> contributes to the survival of </w:t>
      </w:r>
      <w:r>
        <w:rPr>
          <w:rFonts w:ascii="Times New Roman" w:hAnsi="Times New Roman" w:cs="Times New Roman"/>
          <w:i/>
          <w:iCs/>
        </w:rPr>
        <w:t>S. aureus</w:t>
      </w:r>
      <w:r>
        <w:rPr>
          <w:rFonts w:ascii="Times New Roman" w:hAnsi="Times New Roman" w:cs="Times New Roman"/>
        </w:rPr>
        <w:t xml:space="preserve"> and other pathogens within professional phagocytes. As immune cells constitute the host defence, it is also important to consider the impact of the stringent response for the survival of pathogens </w:t>
      </w:r>
      <w:r>
        <w:rPr>
          <w:rFonts w:ascii="Times New Roman" w:hAnsi="Times New Roman" w:cs="Times New Roman"/>
          <w:i/>
          <w:iCs/>
        </w:rPr>
        <w:t>in vivo</w:t>
      </w:r>
      <w:r w:rsidRPr="00D553E3">
        <w:rPr>
          <w:rFonts w:ascii="Times New Roman" w:hAnsi="Times New Roman" w:cs="Times New Roman"/>
        </w:rPr>
        <w:t xml:space="preserve">. </w:t>
      </w:r>
      <w:r>
        <w:rPr>
          <w:rFonts w:ascii="Times New Roman" w:hAnsi="Times New Roman" w:cs="Times New Roman"/>
        </w:rPr>
        <w:t>For example, a</w:t>
      </w:r>
      <w:r w:rsidRPr="00D553E3">
        <w:rPr>
          <w:rFonts w:ascii="Times New Roman" w:hAnsi="Times New Roman" w:cs="Times New Roman"/>
        </w:rPr>
        <w:t xml:space="preserve">n </w:t>
      </w:r>
      <w:r w:rsidRPr="00D553E3">
        <w:rPr>
          <w:rFonts w:ascii="Times New Roman" w:hAnsi="Times New Roman" w:cs="Times New Roman"/>
          <w:i/>
          <w:iCs/>
        </w:rPr>
        <w:t xml:space="preserve">S. </w:t>
      </w:r>
      <w:r w:rsidRPr="00D553E3">
        <w:rPr>
          <w:rFonts w:ascii="Times New Roman" w:hAnsi="Times New Roman" w:cs="Times New Roman"/>
        </w:rPr>
        <w:t>Typhimurium (p)ppGpp</w:t>
      </w:r>
      <w:r w:rsidRPr="00D553E3">
        <w:rPr>
          <w:rFonts w:ascii="Times New Roman" w:hAnsi="Times New Roman" w:cs="Times New Roman"/>
          <w:vertAlign w:val="superscript"/>
        </w:rPr>
        <w:t>0</w:t>
      </w:r>
      <w:r w:rsidRPr="00D553E3">
        <w:rPr>
          <w:rFonts w:ascii="Times New Roman" w:hAnsi="Times New Roman" w:cs="Times New Roman"/>
        </w:rPr>
        <w:t xml:space="preserve"> mutant </w:t>
      </w:r>
      <w:r>
        <w:rPr>
          <w:rFonts w:ascii="Times New Roman" w:hAnsi="Times New Roman" w:cs="Times New Roman"/>
        </w:rPr>
        <w:t>was unable to replicate in mouse</w:t>
      </w:r>
      <w:r w:rsidRPr="00D553E3">
        <w:rPr>
          <w:rFonts w:ascii="Times New Roman" w:hAnsi="Times New Roman" w:cs="Times New Roman"/>
        </w:rPr>
        <w:t xml:space="preserve"> spleens after </w:t>
      </w:r>
      <w:r>
        <w:rPr>
          <w:rFonts w:ascii="Times New Roman" w:hAnsi="Times New Roman" w:cs="Times New Roman"/>
        </w:rPr>
        <w:t>five</w:t>
      </w:r>
      <w:r w:rsidRPr="00D553E3">
        <w:rPr>
          <w:rFonts w:ascii="Times New Roman" w:hAnsi="Times New Roman" w:cs="Times New Roman"/>
        </w:rPr>
        <w:t xml:space="preserve"> days of infection in comparison to WT </w:t>
      </w:r>
      <w:r w:rsidRPr="00D553E3">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&lt;EndNote&gt;&lt;Cite&gt;&lt;Author&gt;Pizarro-Cerdá &lt;/Author&gt;&lt;Year&gt;2004&lt;/Year&gt;&lt;IDText&gt;The bacterial signal molecule, ppGpp, regulates Salmonella virulence gene expression&lt;/IDText&gt;&lt;DisplayText&gt;(Pizarro-Cerdá  and Tedin, 2004)&lt;/DisplayText&gt;&lt;record&gt;&lt;dates&gt;&lt;pub-dates&gt;&lt;date&gt;Jun&lt;/date&gt;&lt;/pub-dates&gt;&lt;year&gt;2004&lt;/year&gt;&lt;/dates&gt;&lt;urls&gt;&lt;related-urls&gt;&lt;/related-urls&gt;&lt;/urls&gt;&lt;isbn&gt;0950-382X&lt;/isbn&gt;&lt;titles&gt;&lt;title&gt;The bacterial signal molecule, ppGpp, regulates Salmonella virulence gene expression&lt;/title&gt;&lt;secondary-title&gt;Molecular Microbiology&lt;/secondary-title&gt;&lt;/titles&gt;&lt;pages&gt;1827-1844&lt;/pages&gt;&lt;number&gt;6&lt;/number&gt;&lt;contributors&gt;&lt;authors&gt;&lt;author&gt;Pizarro-Cerdá , J.&lt;/author&gt;&lt;author&gt;Tedin, K.&lt;/author&gt;&lt;/authors&gt;&lt;/contributors&gt;&lt;added-date format="utc"&gt;1674944447&lt;/added-date&gt;&lt;ref-type name="Journal Article"&gt;17&lt;/ref-type&gt;&lt;rec-number&gt;285&lt;/rec-number&gt;&lt;last-updated-date format="utc"&gt;1674944556&lt;/last-updated-date&gt;&lt;accession-num&gt;WOS:000221866300023&lt;/accession-num&gt;&lt;electronic-resource-num&gt;10.1111/j.1365-2958.2004.04122.x&lt;/electronic-resource-num&gt;&lt;volume&gt;52&lt;/volume&gt;&lt;/record&gt;&lt;/Cite&gt;&lt;/EndNote&gt;</w:instrText>
      </w:r>
      <w:r w:rsidRPr="00D553E3">
        <w:rPr>
          <w:rFonts w:ascii="Times New Roman" w:hAnsi="Times New Roman" w:cs="Times New Roman"/>
          <w:b/>
          <w:bCs/>
        </w:rPr>
        <w:fldChar w:fldCharType="separate"/>
      </w:r>
      <w:r>
        <w:rPr>
          <w:rFonts w:ascii="Times New Roman" w:hAnsi="Times New Roman" w:cs="Times New Roman"/>
          <w:b/>
          <w:bCs/>
          <w:noProof/>
        </w:rPr>
        <w:t>(Pizarro-Cerdá  and Tedin, 2004)</w:t>
      </w:r>
      <w:r w:rsidRPr="00D553E3">
        <w:rPr>
          <w:rFonts w:ascii="Times New Roman" w:hAnsi="Times New Roman" w:cs="Times New Roman"/>
          <w:b/>
          <w:bCs/>
        </w:rPr>
        <w:fldChar w:fldCharType="end"/>
      </w:r>
      <w:r w:rsidRPr="00D553E3">
        <w:rPr>
          <w:rFonts w:ascii="Times New Roman" w:hAnsi="Times New Roman" w:cs="Times New Roman"/>
        </w:rPr>
        <w:t xml:space="preserve">. </w:t>
      </w:r>
      <w:r>
        <w:rPr>
          <w:rFonts w:ascii="Times New Roman" w:hAnsi="Times New Roman" w:cs="Times New Roman"/>
        </w:rPr>
        <w:t xml:space="preserve">The stringent response is also essential for the establishment of mycobacterial infections and has been implicated in long-term viability </w:t>
      </w:r>
      <w:r w:rsidRPr="00391D3A">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&lt;EndNote&gt;&lt;Cite&gt;&lt;Author&gt;Dahl&lt;/Author&gt;&lt;Year&gt;2003&lt;/Year&gt;&lt;IDText&gt;The role of Rel(Mtb)-mediated adaptation to stationary phase in long-term persistence of Mycobacterium tuberculosis in mice&lt;/IDText&gt;&lt;DisplayText&gt;(Dahl&lt;style face="italic"&gt; et al.&lt;/style&gt;, 2003)&lt;/DisplayText&gt;&lt;record&gt;&lt;dates&gt;&lt;pub-dates&gt;&lt;date&gt;Aug&lt;/date&gt;&lt;/pub-dates&gt;&lt;year&gt;2003&lt;/year&gt;&lt;/dates&gt;&lt;urls&gt;&lt;related-urls&gt;&lt;url&gt;&amp;lt;Go to ISI&amp;gt;://WOS:000184926000073&lt;/url&gt;&lt;/related-urls&gt;&lt;/urls&gt;&lt;isbn&gt;0027-8424&lt;/isbn&gt;&lt;titles&gt;&lt;title&gt;The role of Rel(Mtb)-mediated adaptation to stationary phase in long-term persistence of Mycobacterium tuberculosis in mice&lt;/title&gt;&lt;secondary-title&gt;Proceedings of the National Academy of Sciences of the United States of America&lt;/secondary-title&gt;&lt;/titles&gt;&lt;pages&gt;10026-10031&lt;/pages&gt;&lt;number&gt;17&lt;/number&gt;&lt;contributors&gt;&lt;authors&gt;&lt;author&gt;Dahl, J. L.&lt;/author&gt;&lt;author&gt;Kraus, C. N.&lt;/author&gt;&lt;author&gt;Boshoff, H. I. M.&lt;/author&gt;&lt;author&gt;Doan, B.&lt;/author&gt;&lt;author&gt;Foley, K.&lt;/author&gt;&lt;author&gt;Avarbock, D.&lt;/author&gt;&lt;author&gt;Kaplan, G.&lt;/author&gt;&lt;author&gt;Mizrahi, V.&lt;/author&gt;&lt;author&gt;Rubin, H.&lt;/author&gt;&lt;author&gt;Barry, C. E.&lt;/author&gt;&lt;/authors&gt;&lt;/contributors&gt;&lt;added-date format="utc"&gt;1675008188&lt;/added-date&gt;&lt;ref-type name="Journal Article"&gt;17&lt;/ref-type&gt;&lt;rec-number&gt;287&lt;/rec-number&gt;&lt;last-updated-date format="utc"&gt;1675008188&lt;/last-updated-date&gt;&lt;accession-num&gt;WOS:000184926000073&lt;/accession-num&gt;&lt;electronic-resource-num&gt;10.1073/pnas.1631248100&lt;/electronic-resource-num&gt;&lt;volume&gt;100&lt;/volume&gt;&lt;/record&gt;&lt;/Cite&gt;&lt;/EndNote&gt;</w:instrText>
      </w:r>
      <w:r w:rsidRPr="00391D3A">
        <w:rPr>
          <w:rFonts w:ascii="Times New Roman" w:hAnsi="Times New Roman" w:cs="Times New Roman"/>
          <w:b/>
          <w:bCs/>
        </w:rPr>
        <w:fldChar w:fldCharType="separate"/>
      </w:r>
      <w:r>
        <w:rPr>
          <w:rFonts w:ascii="Times New Roman" w:hAnsi="Times New Roman" w:cs="Times New Roman"/>
          <w:b/>
          <w:bCs/>
          <w:noProof/>
        </w:rPr>
        <w:t>(Dahl</w:t>
      </w:r>
      <w:r w:rsidRPr="00F95468">
        <w:rPr>
          <w:rFonts w:ascii="Times New Roman" w:hAnsi="Times New Roman" w:cs="Times New Roman"/>
          <w:b/>
          <w:bCs/>
          <w:i/>
          <w:noProof/>
        </w:rPr>
        <w:t xml:space="preserve"> et al.</w:t>
      </w:r>
      <w:r>
        <w:rPr>
          <w:rFonts w:ascii="Times New Roman" w:hAnsi="Times New Roman" w:cs="Times New Roman"/>
          <w:b/>
          <w:bCs/>
          <w:noProof/>
        </w:rPr>
        <w:t>, 2003)</w:t>
      </w:r>
      <w:r w:rsidRPr="00391D3A">
        <w:rPr>
          <w:rFonts w:ascii="Times New Roman" w:hAnsi="Times New Roman" w:cs="Times New Roman"/>
          <w:b/>
          <w:bCs/>
        </w:rPr>
        <w:fldChar w:fldCharType="end"/>
      </w:r>
      <w:r>
        <w:rPr>
          <w:rFonts w:ascii="Times New Roman" w:hAnsi="Times New Roman" w:cs="Times New Roman"/>
          <w:b/>
          <w:bCs/>
        </w:rPr>
        <w:t>.</w:t>
      </w:r>
      <w:r>
        <w:rPr>
          <w:rFonts w:ascii="Times New Roman" w:hAnsi="Times New Roman" w:cs="Times New Roman"/>
        </w:rPr>
        <w:t xml:space="preserve"> </w:t>
      </w:r>
      <w:r w:rsidRPr="00391D3A">
        <w:rPr>
          <w:rFonts w:ascii="Times New Roman" w:hAnsi="Times New Roman" w:cs="Times New Roman"/>
        </w:rPr>
        <w:t xml:space="preserve"> </w:t>
      </w:r>
      <w:r>
        <w:rPr>
          <w:rFonts w:ascii="Times New Roman" w:hAnsi="Times New Roman" w:cs="Times New Roman"/>
        </w:rPr>
        <w:t xml:space="preserve">The absence of (p)ppGpp has affected the ability of </w:t>
      </w:r>
      <w:r>
        <w:rPr>
          <w:rFonts w:ascii="Times New Roman" w:hAnsi="Times New Roman" w:cs="Times New Roman"/>
          <w:i/>
          <w:iCs/>
        </w:rPr>
        <w:t xml:space="preserve">E. faecalis </w:t>
      </w:r>
      <w:r>
        <w:rPr>
          <w:rFonts w:ascii="Times New Roman" w:hAnsi="Times New Roman" w:cs="Times New Roman"/>
        </w:rPr>
        <w:t xml:space="preserve">to form biofilms in CAUTI </w:t>
      </w:r>
      <w:r w:rsidRPr="00F25841">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&lt;EndNote&gt;&lt;Cite&gt;&lt;Author&gt;Colomer-Winter&lt;/Author&gt;&lt;Year&gt;2019&lt;/Year&gt;&lt;IDText&gt;(p)ppGpp and CodY Promote Enterococcus faecalis Virulence in a Murine Model of Catheter-Associated Urinary Tract Infection&lt;/IDText&gt;&lt;DisplayText&gt;(Colomer-Winter&lt;style face="italic"&gt; et al.&lt;/style&gt;, 2019)&lt;/DisplayText&gt;&lt;record&gt;&lt;dates&gt;&lt;pub-dates&gt;&lt;date&gt;Jul-Aug&lt;/date&gt;&lt;/pub-dates&gt;&lt;year&gt;2019&lt;/year&gt;&lt;/dates&gt;&lt;urls&gt;&lt;related-urls&gt;&lt;url&gt;&amp;lt;Go to ISI&amp;gt;://WOS:000483320200013&lt;/url&gt;&lt;/related-urls&gt;&lt;/urls&gt;&lt;titles&gt;&lt;title&gt;(p)ppGpp and CodY Promote Enterococcus faecalis Virulence in a Murine Model of Catheter-Associated Urinary Tract Infection&lt;/title&gt;&lt;secondary-title&gt;Msphere&lt;/secondary-title&gt;&lt;/titles&gt;&lt;number&gt;4&lt;/number&gt;&lt;contributors&gt;&lt;authors&gt;&lt;author&gt;Colomer-Winter, C.&lt;/author&gt;&lt;author&gt;Flores-Mireles, A. L.&lt;/author&gt;&lt;author&gt;Kundra, S.&lt;/author&gt;&lt;author&gt;Hultgren, S. J.&lt;/author&gt;&lt;author&gt;Lemos, J. A.&lt;/author&gt;&lt;/authors&gt;&lt;/contributors&gt;&lt;custom7&gt;e00392-19&lt;/custom7&gt;&lt;added-date format="utc"&gt;1675037733&lt;/added-date&gt;&lt;ref-type name="Journal Article"&gt;17&lt;/ref-type&gt;&lt;rec-number&gt;291&lt;/rec-number&gt;&lt;last-updated-date format="utc"&gt;1675037733&lt;/last-updated-date&gt;&lt;accession-num&gt;WOS:000483320200013&lt;/accession-num&gt;&lt;electronic-resource-num&gt;10.1128/mSphere.00392-19&lt;/electronic-resource-num&gt;&lt;volume&gt;4&lt;/volume&gt;&lt;/record&gt;&lt;/Cite&gt;&lt;/EndNote&gt;</w:instrText>
      </w:r>
      <w:r w:rsidRPr="00F25841">
        <w:rPr>
          <w:rFonts w:ascii="Times New Roman" w:hAnsi="Times New Roman" w:cs="Times New Roman"/>
          <w:b/>
          <w:bCs/>
        </w:rPr>
        <w:fldChar w:fldCharType="separate"/>
      </w:r>
      <w:r>
        <w:rPr>
          <w:rFonts w:ascii="Times New Roman" w:hAnsi="Times New Roman" w:cs="Times New Roman"/>
          <w:b/>
          <w:bCs/>
          <w:noProof/>
        </w:rPr>
        <w:t>(Colomer-Winter</w:t>
      </w:r>
      <w:r w:rsidRPr="00F95468">
        <w:rPr>
          <w:rFonts w:ascii="Times New Roman" w:hAnsi="Times New Roman" w:cs="Times New Roman"/>
          <w:b/>
          <w:bCs/>
          <w:i/>
          <w:noProof/>
        </w:rPr>
        <w:t xml:space="preserve"> et al.</w:t>
      </w:r>
      <w:r>
        <w:rPr>
          <w:rFonts w:ascii="Times New Roman" w:hAnsi="Times New Roman" w:cs="Times New Roman"/>
          <w:b/>
          <w:bCs/>
          <w:noProof/>
        </w:rPr>
        <w:t>, 2019)</w:t>
      </w:r>
      <w:r w:rsidRPr="00F25841">
        <w:rPr>
          <w:rFonts w:ascii="Times New Roman" w:hAnsi="Times New Roman" w:cs="Times New Roman"/>
          <w:b/>
          <w:bCs/>
        </w:rPr>
        <w:fldChar w:fldCharType="end"/>
      </w:r>
      <w:r>
        <w:rPr>
          <w:rFonts w:ascii="Times New Roman" w:hAnsi="Times New Roman" w:cs="Times New Roman"/>
        </w:rPr>
        <w:t xml:space="preserve">. </w:t>
      </w:r>
      <w:r w:rsidRPr="00D553E3">
        <w:rPr>
          <w:rFonts w:ascii="Times New Roman" w:hAnsi="Times New Roman" w:cs="Times New Roman"/>
        </w:rPr>
        <w:t xml:space="preserve">Furthermore, an </w:t>
      </w:r>
      <w:r w:rsidRPr="00D553E3">
        <w:rPr>
          <w:rFonts w:ascii="Times New Roman" w:hAnsi="Times New Roman" w:cs="Times New Roman"/>
          <w:i/>
          <w:iCs/>
        </w:rPr>
        <w:t>S. aureus</w:t>
      </w:r>
      <w:r w:rsidRPr="00D553E3">
        <w:rPr>
          <w:rFonts w:ascii="Times New Roman" w:hAnsi="Times New Roman" w:cs="Times New Roman"/>
        </w:rPr>
        <w:t xml:space="preserve"> </w:t>
      </w:r>
      <w:r w:rsidRPr="00D553E3">
        <w:rPr>
          <w:rFonts w:ascii="Times New Roman" w:hAnsi="Times New Roman" w:cs="Times New Roman"/>
          <w:i/>
          <w:iCs/>
        </w:rPr>
        <w:t>rel</w:t>
      </w:r>
      <w:r w:rsidRPr="00D553E3">
        <w:rPr>
          <w:rFonts w:ascii="Times New Roman" w:hAnsi="Times New Roman" w:cs="Times New Roman"/>
        </w:rPr>
        <w:t xml:space="preserve"> mutant </w:t>
      </w:r>
      <w:r>
        <w:rPr>
          <w:rFonts w:ascii="Times New Roman" w:hAnsi="Times New Roman" w:cs="Times New Roman"/>
        </w:rPr>
        <w:t>could not</w:t>
      </w:r>
      <w:r w:rsidRPr="00D553E3">
        <w:rPr>
          <w:rFonts w:ascii="Times New Roman" w:hAnsi="Times New Roman" w:cs="Times New Roman"/>
        </w:rPr>
        <w:t xml:space="preserve"> form cutaneous lesions in mice as well as WT </w:t>
      </w:r>
      <w:r w:rsidRPr="00D553E3">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&lt;EndNote&gt;&lt;Cite&gt;&lt;Author&gt;Mansour&lt;/Author&gt;&lt;Year&gt;2016&lt;/Year&gt;&lt;IDText&gt;Bacterial Abscess Formation Is Controlled by the Stringent Stress Response and Can Be Targeted Therapeutically&lt;/IDText&gt;&lt;DisplayText&gt;(Mansour&lt;style face="italic"&gt; et al.&lt;/style&gt;, 2016)&lt;/DisplayText&gt;&lt;record&gt;&lt;dates&gt;&lt;pub-dates&gt;&lt;date&gt;Oct&lt;/date&gt;&lt;/pub-dates&gt;&lt;year&gt;2016&lt;/year&gt;&lt;/dates&gt;&lt;urls&gt;&lt;related-urls&gt;&lt;url&gt;&amp;lt;Go to ISI&amp;gt;://WOS:000386878500038&lt;/url&gt;&lt;/related-urls&gt;&lt;/urls&gt;&lt;isbn&gt;2352-3964&lt;/isbn&gt;&lt;titles&gt;&lt;title&gt;Bacterial Abscess Formation Is Controlled by the Stringent Stress Response and Can Be Targeted Therapeutically&lt;/title&gt;&lt;secondary-title&gt;Ebiomedicine&lt;/secondary-title&gt;&lt;/titles&gt;&lt;pages&gt;219-226&lt;/pages&gt;&lt;contributors&gt;&lt;authors&gt;&lt;author&gt;Mansour, S. C.&lt;/author&gt;&lt;author&gt;Pletzer, D.&lt;/author&gt;&lt;author&gt;de la Fuente-Nunez, C.&lt;/author&gt;&lt;author&gt;Kim, P.&lt;/author&gt;&lt;author&gt;Cheung, G. Y. C.&lt;/author&gt;&lt;author&gt;Joo, H. S.&lt;/author&gt;&lt;author&gt;Otto, M.&lt;/author&gt;&lt;author&gt;Hancock, R. E. W.&lt;/author&gt;&lt;/authors&gt;&lt;/contributors&gt;&lt;added-date format="utc"&gt;1674945879&lt;/added-date&gt;&lt;ref-type name="Journal Article"&gt;17&lt;/ref-type&gt;&lt;rec-number&gt;286&lt;/rec-number&gt;&lt;last-updated-date format="utc"&gt;1674945879&lt;/last-updated-date&gt;&lt;accession-num&gt;WOS:000386878500038&lt;/accession-num&gt;&lt;electronic-resource-num&gt;10.1016/j.ebiom.2016.09.015&lt;/electronic-resource-num&gt;&lt;volume&gt;12&lt;/volume&gt;&lt;/record&gt;&lt;/Cite&gt;&lt;/EndNote&gt;</w:instrText>
      </w:r>
      <w:r w:rsidRPr="00D553E3">
        <w:rPr>
          <w:rFonts w:ascii="Times New Roman" w:hAnsi="Times New Roman" w:cs="Times New Roman"/>
          <w:b/>
          <w:bCs/>
        </w:rPr>
        <w:fldChar w:fldCharType="separate"/>
      </w:r>
      <w:r>
        <w:rPr>
          <w:rFonts w:ascii="Times New Roman" w:hAnsi="Times New Roman" w:cs="Times New Roman"/>
          <w:b/>
          <w:bCs/>
          <w:noProof/>
        </w:rPr>
        <w:t>(Mansour</w:t>
      </w:r>
      <w:r w:rsidRPr="00F95468">
        <w:rPr>
          <w:rFonts w:ascii="Times New Roman" w:hAnsi="Times New Roman" w:cs="Times New Roman"/>
          <w:b/>
          <w:bCs/>
          <w:i/>
          <w:noProof/>
        </w:rPr>
        <w:t xml:space="preserve"> et al.</w:t>
      </w:r>
      <w:r>
        <w:rPr>
          <w:rFonts w:ascii="Times New Roman" w:hAnsi="Times New Roman" w:cs="Times New Roman"/>
          <w:b/>
          <w:bCs/>
          <w:noProof/>
        </w:rPr>
        <w:t>, 2016)</w:t>
      </w:r>
      <w:r w:rsidRPr="00D553E3">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and was unable to cause pyelonephritis in mice </w:t>
      </w:r>
      <w:r w:rsidRPr="001B0AC2">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&lt;EndNote&gt;&lt;Cite&gt;&lt;Author&gt;Geiger&lt;/Author&gt;&lt;Year&gt;2010&lt;/Year&gt;&lt;IDText&gt;Role of the (p)ppGpp Synthase RSH, a RelA/SpoT Homolog, in Stringent Response and Virulence of Staphylococcus aureus&lt;/IDText&gt;&lt;DisplayText&gt;(Geiger&lt;style face="italic"&gt; et al.&lt;/style&gt;, 2010)&lt;/DisplayText&gt;&lt;record&gt;&lt;dates&gt;&lt;pub-dates&gt;&lt;date&gt;May&lt;/date&gt;&lt;/pub-dates&gt;&lt;year&gt;2010&lt;/year&gt;&lt;/dates&gt;&lt;urls&gt;&lt;related-urls&gt;&lt;url&gt;&amp;lt;Go to ISI&amp;gt;://WOS:000276778700008&lt;/url&gt;&lt;/related-urls&gt;&lt;/urls&gt;&lt;isbn&gt;0019-9567&lt;/isbn&gt;&lt;titles&gt;&lt;title&gt;Role of the (p)ppGpp Synthase RSH, a RelA/SpoT Homolog, in Stringent Response and Virulence of Staphylococcus aureus&lt;/title&gt;&lt;secondary-title&gt;Infection and Immunity&lt;/secondary-title&gt;&lt;/titles&gt;&lt;pages&gt;1873-1883&lt;/pages&gt;&lt;number&gt;5&lt;/number&gt;&lt;contributors&gt;&lt;authors&gt;&lt;author&gt;Geiger, Tobias&lt;/author&gt;&lt;author&gt;Goerke, Christiane&lt;/author&gt;&lt;author&gt;Fritz, Michaela&lt;/author&gt;&lt;author&gt;Schaefer, Tina&lt;/author&gt;&lt;author&gt;Ohlsen, Knut&lt;/author&gt;&lt;author&gt;Liebeke, Manuel&lt;/author&gt;&lt;author&gt;Lalk, Michael&lt;/author&gt;&lt;author&gt;Wolz, Christiane&lt;/author&gt;&lt;/authors&gt;&lt;/contributors&gt;&lt;added-date format="utc"&gt;1663612960&lt;/added-date&gt;&lt;ref-type name="Journal Article"&gt;17&lt;/ref-type&gt;&lt;rec-number&gt;70&lt;/rec-number&gt;&lt;last-updated-date format="utc"&gt;1663624413&lt;/last-updated-date&gt;&lt;accession-num&gt;WOS:000276778700008&lt;/accession-num&gt;&lt;electronic-resource-num&gt;10.1128/iai.01439-09&lt;/electronic-resource-num&gt;&lt;volume&gt;78&lt;/volume&gt;&lt;/record&gt;&lt;/Cite&gt;&lt;/EndNote&gt;</w:instrText>
      </w:r>
      <w:r w:rsidRPr="001B0AC2">
        <w:rPr>
          <w:rFonts w:ascii="Times New Roman" w:hAnsi="Times New Roman" w:cs="Times New Roman"/>
          <w:b/>
          <w:bCs/>
        </w:rPr>
        <w:fldChar w:fldCharType="separate"/>
      </w:r>
      <w:r>
        <w:rPr>
          <w:rFonts w:ascii="Times New Roman" w:hAnsi="Times New Roman" w:cs="Times New Roman"/>
          <w:b/>
          <w:bCs/>
          <w:noProof/>
        </w:rPr>
        <w:t>(Geiger</w:t>
      </w:r>
      <w:r w:rsidRPr="00F95468">
        <w:rPr>
          <w:rFonts w:ascii="Times New Roman" w:hAnsi="Times New Roman" w:cs="Times New Roman"/>
          <w:b/>
          <w:bCs/>
          <w:i/>
          <w:noProof/>
        </w:rPr>
        <w:t xml:space="preserve"> et al.</w:t>
      </w:r>
      <w:r>
        <w:rPr>
          <w:rFonts w:ascii="Times New Roman" w:hAnsi="Times New Roman" w:cs="Times New Roman"/>
          <w:b/>
          <w:bCs/>
          <w:noProof/>
        </w:rPr>
        <w:t>, 2010)</w:t>
      </w:r>
      <w:r w:rsidRPr="001B0AC2">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These reports give an insight into how the stringent response is important for </w:t>
      </w:r>
      <w:r>
        <w:rPr>
          <w:rFonts w:ascii="Times New Roman" w:hAnsi="Times New Roman" w:cs="Times New Roman"/>
          <w:i/>
          <w:iCs/>
        </w:rPr>
        <w:t>in vivo</w:t>
      </w:r>
      <w:r>
        <w:rPr>
          <w:rFonts w:ascii="Times New Roman" w:hAnsi="Times New Roman" w:cs="Times New Roman"/>
        </w:rPr>
        <w:t xml:space="preserve"> survival and virulence and emphasises the need for further research to elucidate the mechanisms by which the stringent response is involved. </w:t>
      </w:r>
    </w:p>
    <w:p w14:paraId="4F3EE748" w14:textId="5E1CB86D" w:rsidR="00187693" w:rsidRDefault="00187693" w:rsidP="00187693">
      <w:pPr>
        <w:spacing w:line="360" w:lineRule="auto"/>
        <w:ind w:firstLine="720"/>
        <w:jc w:val="both"/>
        <w:rPr>
          <w:rFonts w:ascii="Times New Roman" w:hAnsi="Times New Roman" w:cs="Times New Roman"/>
        </w:rPr>
      </w:pPr>
      <w:r w:rsidRPr="005845B5">
        <w:rPr>
          <w:rFonts w:ascii="Times New Roman" w:hAnsi="Times New Roman" w:cs="Times New Roman"/>
        </w:rPr>
        <w:t xml:space="preserve">This chapter </w:t>
      </w:r>
      <w:r>
        <w:rPr>
          <w:rFonts w:ascii="Times New Roman" w:hAnsi="Times New Roman" w:cs="Times New Roman"/>
        </w:rPr>
        <w:t xml:space="preserve">aims to </w:t>
      </w:r>
      <w:r w:rsidRPr="005845B5">
        <w:rPr>
          <w:rFonts w:ascii="Times New Roman" w:hAnsi="Times New Roman" w:cs="Times New Roman"/>
        </w:rPr>
        <w:t>investigate</w:t>
      </w:r>
      <w:r>
        <w:rPr>
          <w:rFonts w:ascii="Times New Roman" w:hAnsi="Times New Roman" w:cs="Times New Roman"/>
        </w:rPr>
        <w:t xml:space="preserve"> </w:t>
      </w:r>
      <w:r w:rsidRPr="005845B5">
        <w:rPr>
          <w:rFonts w:ascii="Times New Roman" w:hAnsi="Times New Roman" w:cs="Times New Roman"/>
        </w:rPr>
        <w:t xml:space="preserve">how the stringent response is important for </w:t>
      </w:r>
      <w:r w:rsidRPr="005845B5">
        <w:rPr>
          <w:rFonts w:ascii="Times New Roman" w:hAnsi="Times New Roman" w:cs="Times New Roman"/>
          <w:i/>
          <w:iCs/>
        </w:rPr>
        <w:t>S. aureu</w:t>
      </w:r>
      <w:r>
        <w:rPr>
          <w:rFonts w:ascii="Times New Roman" w:hAnsi="Times New Roman" w:cs="Times New Roman"/>
          <w:i/>
          <w:iCs/>
        </w:rPr>
        <w:t>s</w:t>
      </w:r>
      <w:r w:rsidRPr="005845B5">
        <w:rPr>
          <w:rFonts w:ascii="Times New Roman" w:hAnsi="Times New Roman" w:cs="Times New Roman"/>
          <w:i/>
          <w:iCs/>
        </w:rPr>
        <w:t xml:space="preserve"> </w:t>
      </w:r>
      <w:r w:rsidRPr="005845B5">
        <w:rPr>
          <w:rFonts w:ascii="Times New Roman" w:hAnsi="Times New Roman" w:cs="Times New Roman"/>
        </w:rPr>
        <w:t xml:space="preserve">host-pathogen interactions within mammalian cell culture models </w:t>
      </w:r>
      <w:r>
        <w:rPr>
          <w:rFonts w:ascii="Times New Roman" w:hAnsi="Times New Roman" w:cs="Times New Roman"/>
        </w:rPr>
        <w:t>and a systemic infection model using zebrafish embryos</w:t>
      </w:r>
      <w:r w:rsidRPr="005845B5">
        <w:rPr>
          <w:rFonts w:ascii="Times New Roman" w:hAnsi="Times New Roman" w:cs="Times New Roman"/>
        </w:rPr>
        <w:t>.</w:t>
      </w:r>
      <w:r>
        <w:rPr>
          <w:rFonts w:ascii="Times New Roman" w:hAnsi="Times New Roman" w:cs="Times New Roman"/>
        </w:rPr>
        <w:t xml:space="preserve"> RAW 264.7 murine macrophages and neutrophils isolated from human blood were the intended models however due to limited access to the University of Sheffield Medical School during the COVID-19 pandemic, neutrophil experiments could not be undertaken. Instead, the role of the stringent response for oral infections</w:t>
      </w:r>
      <w:r w:rsidR="00086AFF">
        <w:rPr>
          <w:rFonts w:ascii="Times New Roman" w:hAnsi="Times New Roman" w:cs="Times New Roman"/>
        </w:rPr>
        <w:t xml:space="preserve"> such as tonsillitis</w:t>
      </w:r>
      <w:r>
        <w:rPr>
          <w:rFonts w:ascii="Times New Roman" w:hAnsi="Times New Roman" w:cs="Times New Roman"/>
        </w:rPr>
        <w:t xml:space="preserve"> were studied in a human tonsillar epithelial (HTE) model. By investigating the killing capacity of different stringent response mutants, the involvement of the stringent response was</w:t>
      </w:r>
      <w:r w:rsidR="00503350">
        <w:rPr>
          <w:rFonts w:ascii="Times New Roman" w:hAnsi="Times New Roman" w:cs="Times New Roman"/>
        </w:rPr>
        <w:t xml:space="preserve"> </w:t>
      </w:r>
      <w:r>
        <w:rPr>
          <w:rFonts w:ascii="Times New Roman" w:hAnsi="Times New Roman" w:cs="Times New Roman"/>
        </w:rPr>
        <w:t xml:space="preserve">examined by studying the absence of (p)ppGpp, (p)ppGpp overproduction, the role of each synthetase, and the role of the transcriptional repressor CodY. </w:t>
      </w:r>
    </w:p>
    <w:p w14:paraId="3B3BA639" w14:textId="77777777" w:rsidR="00187693" w:rsidRPr="00F001E8" w:rsidRDefault="00187693" w:rsidP="00187693">
      <w:pPr>
        <w:pStyle w:val="Heading2"/>
        <w:rPr>
          <w:color w:val="auto"/>
        </w:rPr>
      </w:pPr>
      <w:bookmarkStart w:id="158" w:name="_Toc142043651"/>
      <w:r w:rsidRPr="00F001E8">
        <w:rPr>
          <w:color w:val="auto"/>
        </w:rPr>
        <w:t>5.</w:t>
      </w:r>
      <w:r>
        <w:rPr>
          <w:color w:val="auto"/>
        </w:rPr>
        <w:t>2</w:t>
      </w:r>
      <w:r w:rsidRPr="00F001E8">
        <w:rPr>
          <w:color w:val="auto"/>
        </w:rPr>
        <w:t xml:space="preserve">. The absence of a functional stringent response does not affect the killing of </w:t>
      </w:r>
      <w:r w:rsidRPr="00F001E8">
        <w:rPr>
          <w:i/>
          <w:iCs/>
          <w:color w:val="auto"/>
        </w:rPr>
        <w:t xml:space="preserve">S. aureus </w:t>
      </w:r>
      <w:r w:rsidRPr="00F001E8">
        <w:rPr>
          <w:color w:val="auto"/>
        </w:rPr>
        <w:t>by RAW 264.7 macrophages</w:t>
      </w:r>
      <w:bookmarkEnd w:id="158"/>
      <w:r w:rsidRPr="00F001E8">
        <w:rPr>
          <w:color w:val="auto"/>
        </w:rPr>
        <w:t xml:space="preserve"> </w:t>
      </w:r>
    </w:p>
    <w:p w14:paraId="7A64B637" w14:textId="77777777" w:rsidR="00187693" w:rsidRDefault="00187693" w:rsidP="00187693">
      <w:pPr>
        <w:spacing w:line="360" w:lineRule="auto"/>
        <w:jc w:val="both"/>
        <w:rPr>
          <w:rFonts w:ascii="Times New Roman" w:hAnsi="Times New Roman" w:cs="Times New Roman"/>
        </w:rPr>
      </w:pPr>
    </w:p>
    <w:p w14:paraId="04AF5033" w14:textId="1F284E8F" w:rsidR="00187693" w:rsidRDefault="00187693" w:rsidP="00187693">
      <w:pPr>
        <w:spacing w:line="360" w:lineRule="auto"/>
        <w:jc w:val="both"/>
        <w:rPr>
          <w:rFonts w:ascii="Times New Roman" w:hAnsi="Times New Roman" w:cs="Times New Roman"/>
        </w:rPr>
      </w:pPr>
      <w:r>
        <w:rPr>
          <w:rFonts w:ascii="Times New Roman" w:hAnsi="Times New Roman" w:cs="Times New Roman"/>
        </w:rPr>
        <w:t xml:space="preserve">As the stringent response has previously been implicated in the development of persistence in murine macrophages, the ability of professional phagocytes to kill </w:t>
      </w:r>
      <w:r>
        <w:rPr>
          <w:rFonts w:ascii="Times New Roman" w:hAnsi="Times New Roman" w:cs="Times New Roman"/>
          <w:i/>
          <w:iCs/>
        </w:rPr>
        <w:t xml:space="preserve">S. aureus </w:t>
      </w:r>
      <w:r>
        <w:rPr>
          <w:rFonts w:ascii="Times New Roman" w:hAnsi="Times New Roman" w:cs="Times New Roman"/>
        </w:rPr>
        <w:t xml:space="preserve">with and without a functional stringent response was investigated. The murine macrophage cell line RAW 264.7, was utilised. This immortalised cell line was isolated from BALB/c mice with </w:t>
      </w:r>
      <w:r w:rsidRPr="00C331EA">
        <w:rPr>
          <w:rFonts w:ascii="Times New Roman" w:hAnsi="Times New Roman" w:cs="Times New Roman"/>
        </w:rPr>
        <w:t>Abelson murine leuk</w:t>
      </w:r>
      <w:r>
        <w:rPr>
          <w:rFonts w:ascii="Times New Roman" w:hAnsi="Times New Roman" w:cs="Times New Roman"/>
        </w:rPr>
        <w:t>a</w:t>
      </w:r>
      <w:r w:rsidRPr="00C331EA">
        <w:rPr>
          <w:rFonts w:ascii="Times New Roman" w:hAnsi="Times New Roman" w:cs="Times New Roman"/>
        </w:rPr>
        <w:t>emia virus-induced tumo</w:t>
      </w:r>
      <w:r>
        <w:rPr>
          <w:rFonts w:ascii="Times New Roman" w:hAnsi="Times New Roman" w:cs="Times New Roman"/>
        </w:rPr>
        <w:t>u</w:t>
      </w:r>
      <w:r w:rsidRPr="00C331EA">
        <w:rPr>
          <w:rFonts w:ascii="Times New Roman" w:hAnsi="Times New Roman" w:cs="Times New Roman"/>
        </w:rPr>
        <w:t>r</w:t>
      </w:r>
      <w:r>
        <w:rPr>
          <w:rFonts w:ascii="Times New Roman" w:hAnsi="Times New Roman" w:cs="Times New Roman"/>
        </w:rPr>
        <w:t xml:space="preserve"> </w:t>
      </w:r>
      <w:r w:rsidRPr="00354AF2">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&lt;EndNote&gt;&lt;Cite&gt;&lt;Author&gt;Taciak&lt;/Author&gt;&lt;Year&gt;2018&lt;/Year&gt;&lt;IDText&gt;Evaluation of phenotypic and functional stability of RAW 264.7 cell line through serial passages&lt;/IDText&gt;&lt;DisplayText&gt;(Taciak&lt;style face="italic"&gt; et al.&lt;/style&gt;, 2018)&lt;/DisplayText&gt;&lt;record&gt;&lt;dates&gt;&lt;pub-dates&gt;&lt;date&gt;Jun 11&lt;/date&gt;&lt;/pub-dates&gt;&lt;year&gt;2018&lt;/year&gt;&lt;/dates&gt;&lt;urls&gt;&lt;related-urls&gt;&lt;url&gt;&amp;lt;Go to ISI&amp;gt;://WOS:000434786600065&lt;/url&gt;&lt;/related-urls&gt;&lt;/urls&gt;&lt;isbn&gt;1932-6203&lt;/isbn&gt;&lt;work-type&gt;Article&lt;/work-type&gt;&lt;titles&gt;&lt;title&gt;Evaluation of phenotypic and functional stability of RAW 264.7 cell line through serial passages&lt;/title&gt;&lt;secondary-title&gt;Plos One&lt;/secondary-title&gt;&lt;/titles&gt;&lt;number&gt;6&lt;/number&gt;&lt;contributors&gt;&lt;authors&gt;&lt;author&gt;Taciak, Bartlomiej&lt;/author&gt;&lt;author&gt;Bialasek, Maciej&lt;/author&gt;&lt;author&gt;Braniewska, Agata&lt;/author&gt;&lt;author&gt;Sas, Zuzanna&lt;/author&gt;&lt;author&gt;Sawicka, Paulina&lt;/author&gt;&lt;author&gt;Kiraga, Lukasz&lt;/author&gt;&lt;author&gt;Rygiel, Tomasz&lt;/author&gt;&lt;author&gt;Krol, Magdalena&lt;/author&gt;&lt;/authors&gt;&lt;/contributors&gt;&lt;custom7&gt;E0198943&lt;/custom7&gt;&lt;added-date format="utc"&gt;1674603755&lt;/added-date&gt;&lt;ref-type name="Journal Article"&gt;17&lt;/ref-type&gt;&lt;rec-number&gt;255&lt;/rec-number&gt;&lt;last-updated-date format="utc"&gt;1675008997&lt;/last-updated-date&gt;&lt;accession-num&gt;WOS:000434786600065&lt;/accession-num&gt;&lt;electronic-resource-num&gt;10.1371/journal.pone.0198943&lt;/electronic-resource-num&gt;&lt;volume&gt;13&lt;/volume&gt;&lt;/record&gt;&lt;/Cite&gt;&lt;/EndNote&gt;</w:instrText>
      </w:r>
      <w:r w:rsidRPr="00354AF2">
        <w:rPr>
          <w:rFonts w:ascii="Times New Roman" w:hAnsi="Times New Roman" w:cs="Times New Roman"/>
          <w:b/>
          <w:bCs/>
        </w:rPr>
        <w:fldChar w:fldCharType="separate"/>
      </w:r>
      <w:r>
        <w:rPr>
          <w:rFonts w:ascii="Times New Roman" w:hAnsi="Times New Roman" w:cs="Times New Roman"/>
          <w:b/>
          <w:bCs/>
          <w:noProof/>
        </w:rPr>
        <w:t>(Taciak</w:t>
      </w:r>
      <w:r w:rsidRPr="00F95468">
        <w:rPr>
          <w:rFonts w:ascii="Times New Roman" w:hAnsi="Times New Roman" w:cs="Times New Roman"/>
          <w:b/>
          <w:bCs/>
          <w:i/>
          <w:noProof/>
        </w:rPr>
        <w:t xml:space="preserve"> et al.</w:t>
      </w:r>
      <w:r>
        <w:rPr>
          <w:rFonts w:ascii="Times New Roman" w:hAnsi="Times New Roman" w:cs="Times New Roman"/>
          <w:b/>
          <w:bCs/>
          <w:noProof/>
        </w:rPr>
        <w:t>, 2018)</w:t>
      </w:r>
      <w:r w:rsidRPr="00354AF2">
        <w:rPr>
          <w:rFonts w:ascii="Times New Roman" w:hAnsi="Times New Roman" w:cs="Times New Roman"/>
          <w:b/>
          <w:bCs/>
        </w:rPr>
        <w:fldChar w:fldCharType="end"/>
      </w:r>
      <w:r>
        <w:rPr>
          <w:rFonts w:ascii="Times New Roman" w:hAnsi="Times New Roman" w:cs="Times New Roman"/>
        </w:rPr>
        <w:t xml:space="preserve">. RAW 264.7 macrophages were infected with </w:t>
      </w:r>
      <w:r>
        <w:rPr>
          <w:rFonts w:ascii="Times New Roman" w:hAnsi="Times New Roman" w:cs="Times New Roman"/>
          <w:i/>
          <w:iCs/>
        </w:rPr>
        <w:t>S. aureus</w:t>
      </w:r>
      <w:r>
        <w:rPr>
          <w:rFonts w:ascii="Times New Roman" w:hAnsi="Times New Roman" w:cs="Times New Roman"/>
        </w:rPr>
        <w:t xml:space="preserve"> WT and (p)ppGpp</w:t>
      </w:r>
      <w:r>
        <w:rPr>
          <w:rFonts w:ascii="Times New Roman" w:hAnsi="Times New Roman" w:cs="Times New Roman"/>
          <w:vertAlign w:val="superscript"/>
        </w:rPr>
        <w:t>0</w:t>
      </w:r>
      <w:r>
        <w:rPr>
          <w:rFonts w:ascii="Times New Roman" w:hAnsi="Times New Roman" w:cs="Times New Roman"/>
        </w:rPr>
        <w:t xml:space="preserve"> </w:t>
      </w:r>
      <w:r w:rsidR="00503350">
        <w:rPr>
          <w:rFonts w:ascii="Times New Roman" w:hAnsi="Times New Roman" w:cs="Times New Roman"/>
        </w:rPr>
        <w:t xml:space="preserve">mutant </w:t>
      </w:r>
      <w:r>
        <w:rPr>
          <w:rFonts w:ascii="Times New Roman" w:hAnsi="Times New Roman" w:cs="Times New Roman"/>
        </w:rPr>
        <w:t xml:space="preserve">for 2.5 hours in serum-free DMEM containing 2 mM L-glutamine, </w:t>
      </w:r>
      <w:r w:rsidRPr="00F62F80">
        <w:rPr>
          <w:rFonts w:ascii="Times New Roman" w:hAnsi="Times New Roman" w:cs="Times New Roman"/>
        </w:rPr>
        <w:t>at a</w:t>
      </w:r>
      <w:r>
        <w:rPr>
          <w:rFonts w:ascii="Times New Roman" w:hAnsi="Times New Roman" w:cs="Times New Roman"/>
        </w:rPr>
        <w:t xml:space="preserve"> </w:t>
      </w:r>
      <w:r w:rsidRPr="00F62F80">
        <w:rPr>
          <w:rFonts w:ascii="Times New Roman" w:hAnsi="Times New Roman" w:cs="Times New Roman"/>
        </w:rPr>
        <w:t>multiplicity of infection (MOI) of 5</w:t>
      </w:r>
      <w:r>
        <w:rPr>
          <w:rFonts w:ascii="Times New Roman" w:hAnsi="Times New Roman" w:cs="Times New Roman"/>
        </w:rPr>
        <w:t>, after which intracellular bacterial counts were determined up to 4.5 hours post infection (h</w:t>
      </w:r>
      <w:r w:rsidRPr="00F35693">
        <w:rPr>
          <w:rFonts w:ascii="Times New Roman" w:hAnsi="Times New Roman" w:cs="Times New Roman"/>
        </w:rPr>
        <w:t xml:space="preserve">pi). </w:t>
      </w:r>
      <w:r w:rsidRPr="00F35693">
        <w:rPr>
          <w:rFonts w:ascii="Times New Roman" w:hAnsi="Times New Roman" w:cs="Times New Roman"/>
          <w:b/>
          <w:bCs/>
        </w:rPr>
        <w:t>Figure 5.2.1</w:t>
      </w:r>
      <w:r w:rsidRPr="00F35693">
        <w:rPr>
          <w:rFonts w:ascii="Times New Roman" w:hAnsi="Times New Roman" w:cs="Times New Roman"/>
        </w:rPr>
        <w:t xml:space="preserve"> shows that internalisation of </w:t>
      </w:r>
      <w:r w:rsidRPr="00F35693">
        <w:rPr>
          <w:rFonts w:ascii="Times New Roman" w:hAnsi="Times New Roman" w:cs="Times New Roman"/>
          <w:i/>
          <w:iCs/>
        </w:rPr>
        <w:t xml:space="preserve">S. aureus </w:t>
      </w:r>
      <w:r w:rsidRPr="00F35693">
        <w:rPr>
          <w:rFonts w:ascii="Times New Roman" w:hAnsi="Times New Roman" w:cs="Times New Roman"/>
        </w:rPr>
        <w:t xml:space="preserve">is around 4000-6000 CFU/ml, contrary to previous investigations which report higher MRSA internalisation </w:t>
      </w:r>
      <w:r>
        <w:rPr>
          <w:rFonts w:ascii="Times New Roman" w:hAnsi="Times New Roman" w:cs="Times New Roman"/>
        </w:rPr>
        <w:t xml:space="preserve">at </w:t>
      </w:r>
      <w:r w:rsidRPr="00F35693">
        <w:rPr>
          <w:rFonts w:ascii="Times New Roman" w:hAnsi="Times New Roman" w:cs="Times New Roman"/>
        </w:rPr>
        <w:t>approximately 10</w:t>
      </w:r>
      <w:r w:rsidRPr="00F35693">
        <w:rPr>
          <w:rFonts w:ascii="Times New Roman" w:hAnsi="Times New Roman" w:cs="Times New Roman"/>
          <w:vertAlign w:val="superscript"/>
        </w:rPr>
        <w:t>5</w:t>
      </w:r>
      <w:r>
        <w:rPr>
          <w:rFonts w:ascii="Times New Roman" w:hAnsi="Times New Roman" w:cs="Times New Roman"/>
        </w:rPr>
        <w:t xml:space="preserve"> CFU/ml</w:t>
      </w:r>
      <w:r w:rsidRPr="00F35693">
        <w:rPr>
          <w:rFonts w:ascii="Times New Roman" w:hAnsi="Times New Roman" w:cs="Times New Roman"/>
          <w:b/>
          <w:bCs/>
        </w:rPr>
        <w:t xml:space="preserve"> </w:t>
      </w:r>
      <w:r w:rsidRPr="00F35693">
        <w:rPr>
          <w:rFonts w:ascii="Times New Roman" w:hAnsi="Times New Roman" w:cs="Times New Roman"/>
          <w:b/>
          <w:bCs/>
        </w:rPr>
        <w:fldChar w:fldCharType="begin"/>
      </w:r>
      <w:r w:rsidRPr="00F35693">
        <w:rPr>
          <w:rFonts w:ascii="Times New Roman" w:hAnsi="Times New Roman" w:cs="Times New Roman"/>
          <w:b/>
          <w:bCs/>
        </w:rPr>
        <w:instrText xml:space="preserve"> ADDIN EN.CITE &lt;EndNote&gt;&lt;Cite&gt;&lt;Author&gt;Cohen&lt;/Author&gt;&lt;Year&gt;2018&lt;/Year&gt;&lt;IDText&gt;S. aureus Evades Macrophage Killing through NLRP3-Dependent Effects on Mitochondrial Trafficking&lt;/IDText&gt;&lt;DisplayText&gt;(Cohen&lt;style face="italic"&gt; et al.&lt;/style&gt;, 2018)&lt;/DisplayText&gt;&lt;record&gt;&lt;dates&gt;&lt;pub-dates&gt;&lt;date&gt;Feb&lt;/date&gt;&lt;/pub-dates&gt;&lt;year&gt;2018&lt;/year&gt;&lt;/dates&gt;&lt;urls&gt;&lt;related-urls&gt;&lt;url&gt;&amp;lt;Go to ISI&amp;gt;://WOS:000426243000018&lt;/url&gt;&lt;/related-urls&gt;&lt;/urls&gt;&lt;isbn&gt;2211-1247&lt;/isbn&gt;&lt;titles&gt;&lt;title&gt;S. aureus Evades Macrophage Killing through NLRP3-Dependent Effects on Mitochondrial Trafficking&lt;/title&gt;&lt;secondary-title&gt;Cell Reports&lt;/secondary-title&gt;&lt;/titles&gt;&lt;pages&gt;2431-2441&lt;/pages&gt;&lt;number&gt;9&lt;/number&gt;&lt;contributors&gt;&lt;authors&gt;&lt;author&gt;Cohen, T. S.&lt;/author&gt;&lt;author&gt;Boland, M. L.&lt;/author&gt;&lt;author&gt;Boland, B. B.&lt;/author&gt;&lt;author&gt;Takahashi, V.&lt;/author&gt;&lt;author&gt;Tovchigrechko, A.&lt;/author&gt;&lt;author&gt;Lee, Y.&lt;/author&gt;&lt;author&gt;Wilde, A. D.&lt;/author&gt;&lt;author&gt;Mazaitis, M. J.&lt;/author&gt;&lt;author&gt;Jones-Nelson, O.&lt;/author&gt;&lt;author&gt;Tkaczyk, C.&lt;/author&gt;&lt;author&gt;Raja, R.&lt;/author&gt;&lt;author&gt;Stover, C. K.&lt;/author&gt;&lt;author&gt;Sellman, B. R.&lt;/author&gt;&lt;/authors&gt;&lt;/contributors&gt;&lt;added-date format="utc"&gt;1678467976&lt;/added-date&gt;&lt;ref-type name="Journal Article"&gt;17&lt;/ref-type&gt;&lt;rec-number&gt;772&lt;/rec-number&gt;&lt;last-updated-date format="utc"&gt;1678467976&lt;/last-updated-date&gt;&lt;accession-num&gt;WOS:000426243000018&lt;/accession-num&gt;&lt;electronic-resource-num&gt;10.1016/j.celrep.2018.02.027&lt;/electronic-resource-num&gt;&lt;volume&gt;22&lt;/volume&gt;&lt;/record&gt;&lt;/Cite&gt;&lt;/EndNote&gt;</w:instrText>
      </w:r>
      <w:r w:rsidRPr="00F35693">
        <w:rPr>
          <w:rFonts w:ascii="Times New Roman" w:hAnsi="Times New Roman" w:cs="Times New Roman"/>
          <w:b/>
          <w:bCs/>
        </w:rPr>
        <w:fldChar w:fldCharType="separate"/>
      </w:r>
      <w:r w:rsidRPr="00F35693">
        <w:rPr>
          <w:rFonts w:ascii="Times New Roman" w:hAnsi="Times New Roman" w:cs="Times New Roman"/>
          <w:b/>
          <w:bCs/>
          <w:noProof/>
        </w:rPr>
        <w:t>(Cohen</w:t>
      </w:r>
      <w:r w:rsidRPr="00F35693">
        <w:rPr>
          <w:rFonts w:ascii="Times New Roman" w:hAnsi="Times New Roman" w:cs="Times New Roman"/>
          <w:b/>
          <w:bCs/>
          <w:i/>
          <w:noProof/>
        </w:rPr>
        <w:t xml:space="preserve"> et al.</w:t>
      </w:r>
      <w:r w:rsidRPr="00F35693">
        <w:rPr>
          <w:rFonts w:ascii="Times New Roman" w:hAnsi="Times New Roman" w:cs="Times New Roman"/>
          <w:b/>
          <w:bCs/>
          <w:noProof/>
        </w:rPr>
        <w:t>, 2018)</w:t>
      </w:r>
      <w:r w:rsidRPr="00F35693">
        <w:rPr>
          <w:rFonts w:ascii="Times New Roman" w:hAnsi="Times New Roman" w:cs="Times New Roman"/>
          <w:b/>
          <w:bCs/>
        </w:rPr>
        <w:fldChar w:fldCharType="end"/>
      </w:r>
      <w:r w:rsidRPr="00F35693">
        <w:rPr>
          <w:rFonts w:ascii="Times New Roman" w:hAnsi="Times New Roman" w:cs="Times New Roman"/>
        </w:rPr>
        <w:t>.</w:t>
      </w:r>
      <w:r w:rsidRPr="001D7A26">
        <w:rPr>
          <w:rFonts w:ascii="Times New Roman" w:hAnsi="Times New Roman" w:cs="Times New Roman"/>
          <w:color w:val="FF0000"/>
        </w:rPr>
        <w:t xml:space="preserve"> </w:t>
      </w:r>
      <w:r>
        <w:rPr>
          <w:rFonts w:ascii="Times New Roman" w:hAnsi="Times New Roman" w:cs="Times New Roman"/>
        </w:rPr>
        <w:t>Over time, the intracellular counts of the (p)ppGpp</w:t>
      </w:r>
      <w:r>
        <w:rPr>
          <w:rFonts w:ascii="Times New Roman" w:hAnsi="Times New Roman" w:cs="Times New Roman"/>
          <w:vertAlign w:val="superscript"/>
        </w:rPr>
        <w:t xml:space="preserve">0 </w:t>
      </w:r>
      <w:r>
        <w:rPr>
          <w:rFonts w:ascii="Times New Roman" w:hAnsi="Times New Roman" w:cs="Times New Roman"/>
        </w:rPr>
        <w:t xml:space="preserve">mutant seem to stay constant while WT counts varied between the 30-minute increments suggesting </w:t>
      </w:r>
      <w:r w:rsidR="00503350">
        <w:rPr>
          <w:rFonts w:ascii="Times New Roman" w:hAnsi="Times New Roman" w:cs="Times New Roman"/>
        </w:rPr>
        <w:t>variation</w:t>
      </w:r>
      <w:r>
        <w:rPr>
          <w:rFonts w:ascii="Times New Roman" w:hAnsi="Times New Roman" w:cs="Times New Roman"/>
        </w:rPr>
        <w:t xml:space="preserve"> </w:t>
      </w:r>
      <w:r w:rsidRPr="00F62F80">
        <w:rPr>
          <w:rFonts w:ascii="Times New Roman" w:hAnsi="Times New Roman" w:cs="Times New Roman"/>
          <w:b/>
          <w:bCs/>
        </w:rPr>
        <w:t>(</w:t>
      </w:r>
      <w:r>
        <w:rPr>
          <w:rFonts w:ascii="Times New Roman" w:hAnsi="Times New Roman" w:cs="Times New Roman"/>
          <w:b/>
          <w:bCs/>
        </w:rPr>
        <w:t>F</w:t>
      </w:r>
      <w:r w:rsidRPr="00F62F80">
        <w:rPr>
          <w:rFonts w:ascii="Times New Roman" w:hAnsi="Times New Roman" w:cs="Times New Roman"/>
          <w:b/>
          <w:bCs/>
        </w:rPr>
        <w:t>ig</w:t>
      </w:r>
      <w:r>
        <w:rPr>
          <w:rFonts w:ascii="Times New Roman" w:hAnsi="Times New Roman" w:cs="Times New Roman"/>
          <w:b/>
          <w:bCs/>
        </w:rPr>
        <w:t>.</w:t>
      </w:r>
      <w:r w:rsidRPr="00F62F80">
        <w:rPr>
          <w:rFonts w:ascii="Times New Roman" w:hAnsi="Times New Roman" w:cs="Times New Roman"/>
          <w:b/>
          <w:bCs/>
        </w:rPr>
        <w:t xml:space="preserve"> </w:t>
      </w:r>
      <w:r>
        <w:rPr>
          <w:rFonts w:ascii="Times New Roman" w:hAnsi="Times New Roman" w:cs="Times New Roman"/>
          <w:b/>
          <w:bCs/>
        </w:rPr>
        <w:t>5.2.</w:t>
      </w:r>
      <w:r w:rsidRPr="00F62F80">
        <w:rPr>
          <w:rFonts w:ascii="Times New Roman" w:hAnsi="Times New Roman" w:cs="Times New Roman"/>
          <w:b/>
          <w:bCs/>
        </w:rPr>
        <w:t>1</w:t>
      </w:r>
      <w:r>
        <w:rPr>
          <w:rFonts w:ascii="Times New Roman" w:hAnsi="Times New Roman" w:cs="Times New Roman"/>
          <w:b/>
          <w:bCs/>
        </w:rPr>
        <w:t>)</w:t>
      </w:r>
      <w:r w:rsidRPr="00F62F80">
        <w:rPr>
          <w:rFonts w:ascii="Times New Roman" w:hAnsi="Times New Roman" w:cs="Times New Roman"/>
          <w:b/>
          <w:bCs/>
        </w:rPr>
        <w:t xml:space="preserve">. </w:t>
      </w:r>
      <w:r>
        <w:rPr>
          <w:rFonts w:ascii="Times New Roman" w:hAnsi="Times New Roman" w:cs="Times New Roman"/>
        </w:rPr>
        <w:t xml:space="preserve">As bacterial internalisation by RAW 264.7 macrophages was not as high as expected, steps were taken to increase uptake to ensure that intracellular counts were representative of </w:t>
      </w:r>
      <w:r>
        <w:rPr>
          <w:rFonts w:ascii="Times New Roman" w:hAnsi="Times New Roman" w:cs="Times New Roman"/>
          <w:i/>
          <w:iCs/>
        </w:rPr>
        <w:t>in vivo</w:t>
      </w:r>
      <w:r>
        <w:rPr>
          <w:rFonts w:ascii="Times New Roman" w:hAnsi="Times New Roman" w:cs="Times New Roman"/>
        </w:rPr>
        <w:t xml:space="preserve"> infection.</w:t>
      </w:r>
    </w:p>
    <w:p w14:paraId="54A45D83" w14:textId="77777777" w:rsidR="00187693" w:rsidRDefault="00187693" w:rsidP="00187693">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7AF009F6" w14:textId="77777777" w:rsidTr="00A74445">
        <w:tc>
          <w:tcPr>
            <w:tcW w:w="9016" w:type="dxa"/>
          </w:tcPr>
          <w:p w14:paraId="40A45224" w14:textId="77777777" w:rsidR="00187693" w:rsidRDefault="00187693" w:rsidP="00A74445">
            <w:pPr>
              <w:tabs>
                <w:tab w:val="left" w:pos="3135"/>
              </w:tabs>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7FB65EB6" wp14:editId="125C6F18">
                  <wp:extent cx="5332881" cy="4424289"/>
                  <wp:effectExtent l="0" t="0" r="0" b="0"/>
                  <wp:docPr id="1085655947" name="Picture 1085655947" descr="A picture containing light, outdoor, traffic,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55947" name="Picture 1085655947" descr="A picture containing light, outdoor, traffic, gree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7028" cy="4436026"/>
                          </a:xfrm>
                          <a:prstGeom prst="rect">
                            <a:avLst/>
                          </a:prstGeom>
                          <a:noFill/>
                        </pic:spPr>
                      </pic:pic>
                    </a:graphicData>
                  </a:graphic>
                </wp:inline>
              </w:drawing>
            </w:r>
            <w:r>
              <w:rPr>
                <w:rFonts w:ascii="Times New Roman" w:hAnsi="Times New Roman" w:cs="Times New Roman"/>
              </w:rPr>
              <w:tab/>
            </w:r>
          </w:p>
        </w:tc>
      </w:tr>
      <w:tr w:rsidR="00187693" w14:paraId="4FB26307" w14:textId="77777777" w:rsidTr="00A74445">
        <w:tc>
          <w:tcPr>
            <w:tcW w:w="9016" w:type="dxa"/>
          </w:tcPr>
          <w:p w14:paraId="65BB2F3B" w14:textId="77777777" w:rsidR="00187693" w:rsidRPr="00022A53" w:rsidRDefault="00187693" w:rsidP="00A74445">
            <w:pPr>
              <w:jc w:val="both"/>
              <w:rPr>
                <w:rFonts w:ascii="Times New Roman" w:hAnsi="Times New Roman" w:cs="Times New Roman"/>
                <w:b/>
                <w:bCs/>
                <w:sz w:val="18"/>
                <w:szCs w:val="18"/>
              </w:rPr>
            </w:pPr>
            <w:r w:rsidRPr="00022A53">
              <w:rPr>
                <w:rFonts w:ascii="Times New Roman" w:hAnsi="Times New Roman" w:cs="Times New Roman"/>
                <w:b/>
                <w:bCs/>
                <w:sz w:val="18"/>
                <w:szCs w:val="18"/>
              </w:rPr>
              <w:t>Figure 5.2.1. W</w:t>
            </w:r>
            <w:r>
              <w:rPr>
                <w:rFonts w:ascii="Times New Roman" w:hAnsi="Times New Roman" w:cs="Times New Roman"/>
                <w:b/>
                <w:bCs/>
                <w:sz w:val="18"/>
                <w:szCs w:val="18"/>
              </w:rPr>
              <w:t>T</w:t>
            </w:r>
            <w:r w:rsidRPr="00022A53">
              <w:rPr>
                <w:rFonts w:ascii="Times New Roman" w:hAnsi="Times New Roman" w:cs="Times New Roman"/>
                <w:b/>
                <w:bCs/>
                <w:sz w:val="18"/>
                <w:szCs w:val="18"/>
              </w:rPr>
              <w:t xml:space="preserve"> and the (p)ppGpp</w:t>
            </w:r>
            <w:r w:rsidRPr="00022A53">
              <w:rPr>
                <w:rFonts w:ascii="Times New Roman" w:hAnsi="Times New Roman" w:cs="Times New Roman"/>
                <w:b/>
                <w:bCs/>
                <w:sz w:val="18"/>
                <w:szCs w:val="18"/>
                <w:vertAlign w:val="superscript"/>
              </w:rPr>
              <w:t xml:space="preserve">0 </w:t>
            </w:r>
            <w:r w:rsidRPr="00022A53">
              <w:rPr>
                <w:rFonts w:ascii="Times New Roman" w:hAnsi="Times New Roman" w:cs="Times New Roman"/>
                <w:b/>
                <w:bCs/>
                <w:sz w:val="18"/>
                <w:szCs w:val="18"/>
              </w:rPr>
              <w:t xml:space="preserve">mutant are killed similarly by RAW 264.7 murine macrophages. </w:t>
            </w:r>
            <w:r w:rsidRPr="00022A53">
              <w:rPr>
                <w:rFonts w:ascii="Times New Roman" w:hAnsi="Times New Roman" w:cs="Times New Roman"/>
                <w:sz w:val="18"/>
                <w:szCs w:val="18"/>
              </w:rPr>
              <w:t xml:space="preserve">RAW 246.7 murine macrophages were challenged with </w:t>
            </w:r>
            <w:r w:rsidRPr="00022A53">
              <w:rPr>
                <w:rFonts w:ascii="Times New Roman" w:hAnsi="Times New Roman" w:cs="Times New Roman"/>
                <w:i/>
                <w:iCs/>
                <w:sz w:val="18"/>
                <w:szCs w:val="18"/>
              </w:rPr>
              <w:t xml:space="preserve">S. aureus </w:t>
            </w:r>
            <w:r w:rsidRPr="00022A53">
              <w:rPr>
                <w:rFonts w:ascii="Times New Roman" w:hAnsi="Times New Roman" w:cs="Times New Roman"/>
                <w:sz w:val="18"/>
                <w:szCs w:val="18"/>
              </w:rPr>
              <w:t>(WT (black) and the (p)ppGpp</w:t>
            </w:r>
            <w:r w:rsidRPr="00022A53">
              <w:rPr>
                <w:rFonts w:ascii="Times New Roman" w:hAnsi="Times New Roman" w:cs="Times New Roman"/>
                <w:sz w:val="18"/>
                <w:szCs w:val="18"/>
                <w:vertAlign w:val="superscript"/>
              </w:rPr>
              <w:t xml:space="preserve">0 </w:t>
            </w:r>
            <w:r w:rsidRPr="00022A53">
              <w:rPr>
                <w:rFonts w:ascii="Times New Roman" w:hAnsi="Times New Roman" w:cs="Times New Roman"/>
                <w:sz w:val="18"/>
                <w:szCs w:val="18"/>
              </w:rPr>
              <w:t>mutant (pink)) at an MOI of 5 (1 x 10</w:t>
            </w:r>
            <w:r w:rsidRPr="00022A53">
              <w:rPr>
                <w:rFonts w:ascii="Times New Roman" w:hAnsi="Times New Roman" w:cs="Times New Roman"/>
                <w:sz w:val="18"/>
                <w:szCs w:val="18"/>
                <w:vertAlign w:val="superscript"/>
              </w:rPr>
              <w:t>6</w:t>
            </w:r>
            <w:r w:rsidRPr="00022A53">
              <w:rPr>
                <w:rFonts w:ascii="Times New Roman" w:hAnsi="Times New Roman" w:cs="Times New Roman"/>
                <w:sz w:val="18"/>
                <w:szCs w:val="18"/>
              </w:rPr>
              <w:t xml:space="preserve"> CFU per 200,000 cells) and incubated for 4.5 hours at 37˚C with 5 % CO</w:t>
            </w:r>
            <w:r w:rsidRPr="00022A53">
              <w:rPr>
                <w:rFonts w:ascii="Times New Roman" w:hAnsi="Times New Roman" w:cs="Times New Roman"/>
                <w:sz w:val="18"/>
                <w:szCs w:val="18"/>
                <w:vertAlign w:val="subscript"/>
              </w:rPr>
              <w:t>2</w:t>
            </w:r>
            <w:r w:rsidRPr="00022A53">
              <w:rPr>
                <w:rFonts w:ascii="Times New Roman" w:hAnsi="Times New Roman" w:cs="Times New Roman"/>
                <w:sz w:val="18"/>
                <w:szCs w:val="18"/>
              </w:rPr>
              <w:t xml:space="preserve">. RAW 264.7 macrophages were infected for 2 hours, after which extracellular bacteria were eliminated using 20 </w:t>
            </w:r>
            <w:r w:rsidRPr="00022A53">
              <w:rPr>
                <w:rFonts w:ascii="Times New Roman" w:hAnsi="Times New Roman" w:cs="Times New Roman"/>
                <w:sz w:val="18"/>
                <w:szCs w:val="18"/>
                <w:lang w:val="el-GR"/>
              </w:rPr>
              <w:t>μ</w:t>
            </w:r>
            <w:r w:rsidRPr="00022A53">
              <w:rPr>
                <w:rFonts w:ascii="Times New Roman" w:hAnsi="Times New Roman" w:cs="Times New Roman"/>
                <w:sz w:val="18"/>
                <w:szCs w:val="18"/>
              </w:rPr>
              <w:t xml:space="preserve">g/ml lysostaphin (Lss) for 30 minutes. For later timepoints, macrophages were incubated with 2 </w:t>
            </w:r>
            <w:r w:rsidRPr="00022A53">
              <w:rPr>
                <w:rFonts w:ascii="Times New Roman" w:hAnsi="Times New Roman" w:cs="Times New Roman"/>
                <w:sz w:val="18"/>
                <w:szCs w:val="18"/>
                <w:lang w:val="el-GR"/>
              </w:rPr>
              <w:t>μ</w:t>
            </w:r>
            <w:r w:rsidRPr="00022A53">
              <w:rPr>
                <w:rFonts w:ascii="Times New Roman" w:hAnsi="Times New Roman" w:cs="Times New Roman"/>
                <w:sz w:val="18"/>
                <w:szCs w:val="18"/>
              </w:rPr>
              <w:t>g/ml lysostaphin until at the specified timepoints, intracellular CFU/ml were determined by lysing macrophages with 2 % saponin. Experiment was performed once.</w:t>
            </w:r>
            <w:r w:rsidRPr="00022A53">
              <w:rPr>
                <w:rFonts w:ascii="Times New Roman" w:hAnsi="Times New Roman" w:cs="Times New Roman"/>
                <w:b/>
                <w:bCs/>
                <w:sz w:val="18"/>
                <w:szCs w:val="18"/>
              </w:rPr>
              <w:t xml:space="preserve"> </w:t>
            </w:r>
          </w:p>
          <w:p w14:paraId="590FD6DB" w14:textId="77777777" w:rsidR="00187693" w:rsidRPr="006C761A" w:rsidRDefault="00187693" w:rsidP="00A74445">
            <w:pPr>
              <w:jc w:val="both"/>
              <w:rPr>
                <w:rFonts w:ascii="Times New Roman" w:hAnsi="Times New Roman" w:cs="Times New Roman"/>
                <w:sz w:val="18"/>
                <w:szCs w:val="18"/>
              </w:rPr>
            </w:pPr>
          </w:p>
        </w:tc>
      </w:tr>
      <w:tr w:rsidR="00187693" w14:paraId="55BC595B" w14:textId="77777777" w:rsidTr="00A74445">
        <w:tc>
          <w:tcPr>
            <w:tcW w:w="9016" w:type="dxa"/>
          </w:tcPr>
          <w:p w14:paraId="098DEAB9" w14:textId="77777777" w:rsidR="00187693" w:rsidRDefault="00187693" w:rsidP="00A74445">
            <w:pPr>
              <w:jc w:val="both"/>
              <w:rPr>
                <w:rFonts w:ascii="Times New Roman" w:hAnsi="Times New Roman" w:cs="Times New Roman"/>
                <w:b/>
                <w:bCs/>
                <w:sz w:val="18"/>
                <w:szCs w:val="18"/>
              </w:rPr>
            </w:pPr>
          </w:p>
          <w:p w14:paraId="24727341" w14:textId="77777777" w:rsidR="00187693" w:rsidRPr="00022A53" w:rsidRDefault="00187693" w:rsidP="00A74445">
            <w:pPr>
              <w:spacing w:line="360" w:lineRule="auto"/>
              <w:ind w:firstLine="720"/>
              <w:jc w:val="both"/>
              <w:rPr>
                <w:rFonts w:ascii="Times New Roman" w:hAnsi="Times New Roman" w:cs="Times New Roman"/>
              </w:rPr>
            </w:pPr>
            <w:r>
              <w:rPr>
                <w:rFonts w:ascii="Times New Roman" w:hAnsi="Times New Roman" w:cs="Times New Roman"/>
              </w:rPr>
              <w:t xml:space="preserve">To examine bacterial uptake in more detail, intracellular and extracellular counts of bacteria in the absence of serum were investigated after different incubation periods. Macrophages were infected for 0.5 and 2.5 hours and the </w:t>
            </w:r>
            <w:r>
              <w:rPr>
                <w:rFonts w:ascii="Times New Roman" w:hAnsi="Times New Roman" w:cs="Times New Roman"/>
                <w:i/>
                <w:iCs/>
              </w:rPr>
              <w:t>S. aureus</w:t>
            </w:r>
            <w:r>
              <w:rPr>
                <w:rFonts w:ascii="Times New Roman" w:hAnsi="Times New Roman" w:cs="Times New Roman"/>
              </w:rPr>
              <w:t xml:space="preserve"> CFU/ml within macrophages and in the surrounding medium was determined </w:t>
            </w:r>
            <w:r>
              <w:rPr>
                <w:rFonts w:ascii="Times New Roman" w:hAnsi="Times New Roman" w:cs="Times New Roman"/>
                <w:b/>
                <w:bCs/>
              </w:rPr>
              <w:t>(Fig. 5.2.2a and b)</w:t>
            </w:r>
            <w:r>
              <w:rPr>
                <w:rFonts w:ascii="Times New Roman" w:hAnsi="Times New Roman" w:cs="Times New Roman"/>
              </w:rPr>
              <w:t>. At both timepoints there were more bacteria extracellular than intracellular, but by 2.5 hours the CFU/ml within macrophages increases by approximately 78% for both WT and (p)ppGpp</w:t>
            </w:r>
            <w:r>
              <w:rPr>
                <w:rFonts w:ascii="Times New Roman" w:hAnsi="Times New Roman" w:cs="Times New Roman"/>
                <w:vertAlign w:val="superscript"/>
              </w:rPr>
              <w:t xml:space="preserve">0 </w:t>
            </w:r>
            <w:r>
              <w:rPr>
                <w:rFonts w:ascii="Times New Roman" w:hAnsi="Times New Roman" w:cs="Times New Roman"/>
              </w:rPr>
              <w:t xml:space="preserve">from 0.5 hours </w:t>
            </w:r>
            <w:r>
              <w:rPr>
                <w:rFonts w:ascii="Times New Roman" w:hAnsi="Times New Roman" w:cs="Times New Roman"/>
                <w:b/>
                <w:bCs/>
              </w:rPr>
              <w:t>(Fig. 5.2.2c)</w:t>
            </w:r>
            <w:r>
              <w:rPr>
                <w:rFonts w:ascii="Times New Roman" w:hAnsi="Times New Roman" w:cs="Times New Roman"/>
              </w:rPr>
              <w:t xml:space="preserve">, consistent with an increase in uptake of </w:t>
            </w:r>
            <w:r>
              <w:rPr>
                <w:rFonts w:ascii="Times New Roman" w:hAnsi="Times New Roman" w:cs="Times New Roman"/>
                <w:i/>
                <w:iCs/>
              </w:rPr>
              <w:t xml:space="preserve">S. aureus </w:t>
            </w:r>
            <w:r>
              <w:rPr>
                <w:rFonts w:ascii="Times New Roman" w:hAnsi="Times New Roman" w:cs="Times New Roman"/>
              </w:rPr>
              <w:t xml:space="preserve">over time. The presence of foetal bovine serum (FBS) in cell culture media serves to opsonise bacteria in order to facilitate their uptake by phagocytosis. </w:t>
            </w:r>
            <w:r w:rsidRPr="001340BB">
              <w:rPr>
                <w:rFonts w:ascii="Times New Roman" w:hAnsi="Times New Roman" w:cs="Times New Roman"/>
                <w:b/>
                <w:bCs/>
              </w:rPr>
              <w:t xml:space="preserve">Figure </w:t>
            </w:r>
            <w:r>
              <w:rPr>
                <w:rFonts w:ascii="Times New Roman" w:hAnsi="Times New Roman" w:cs="Times New Roman"/>
                <w:b/>
                <w:bCs/>
              </w:rPr>
              <w:t>5.2.1</w:t>
            </w:r>
            <w:r>
              <w:rPr>
                <w:rFonts w:ascii="Times New Roman" w:hAnsi="Times New Roman" w:cs="Times New Roman"/>
              </w:rPr>
              <w:t xml:space="preserve"> represents a preliminary optimisation experiment where FBS was a component of the culture media but not the infection media. Consequently, to increase the uptake of bacteria, FBS was added at a final concentration of 10% to DMEM that also contained L-glutamine. In addition to this, after inoculating the media with bacteria and adding the culture to the macrophages, the tissue culture plates were centrifuged at 277 x G for 2 minutes to sediment the bacteria and allow for synchronisation of infection </w:t>
            </w:r>
            <w:r w:rsidRPr="00E006BB">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&lt;EndNote&gt;&lt;Cite&gt;&lt;Author&gt;Flannagan&lt;/Author&gt;&lt;Year&gt;2018&lt;/Year&gt;&lt;IDText&gt;Staphylococcus aureus Uses the GraXRS Regulatory System To Sense and Adapt to the Acidified Phagolysosome in Macrophages&lt;/IDText&gt;&lt;DisplayText&gt;(Flannagan&lt;style face="italic"&gt; et al.&lt;/style&gt;, 2018)&lt;/DisplayText&gt;&lt;record&gt;&lt;dates&gt;&lt;pub-dates&gt;&lt;date&gt;Jul-Aug&lt;/date&gt;&lt;/pub-dates&gt;&lt;year&gt;2018&lt;/year&gt;&lt;/dates&gt;&lt;urls&gt;&lt;related-urls&gt;&lt;url&gt;&amp;lt;Go to ISI&amp;gt;://WOS:000443884300036&lt;/url&gt;&lt;/related-urls&gt;&lt;/urls&gt;&lt;isbn&gt;2150-7511&lt;/isbn&gt;&lt;work-type&gt;Article&lt;/work-type&gt;&lt;titles&gt;&lt;title&gt;Staphylococcus aureus Uses the GraXRS Regulatory System To Sense and Adapt to the Acidified Phagolysosome in Macrophages&lt;/title&gt;&lt;secondary-title&gt;Mbio&lt;/secondary-title&gt;&lt;/titles&gt;&lt;number&gt;4&lt;/number&gt;&lt;contributors&gt;&lt;authors&gt;&lt;author&gt;Flannagan, Ronald S.&lt;/author&gt;&lt;author&gt;Kuiack, Robert C.&lt;/author&gt;&lt;author&gt;McGavin, Martin J.&lt;/author&gt;&lt;author&gt;Heinrichs, David E.&lt;/author&gt;&lt;/authors&gt;&lt;/contributors&gt;&lt;custom7&gt;e01143-18&lt;/custom7&gt;&lt;added-date format="utc"&gt;1672504676&lt;/added-date&gt;&lt;ref-type name="Journal Article"&gt;17&lt;/ref-type&gt;&lt;rec-number&gt;194&lt;/rec-number&gt;&lt;last-updated-date format="utc"&gt;1672515807&lt;/last-updated-date&gt;&lt;accession-num&gt;WOS:000443884300036&lt;/accession-num&gt;&lt;electronic-resource-num&gt;10.1128/mBio.01143-18&lt;/electronic-resource-num&gt;&lt;volume&gt;9&lt;/volume&gt;&lt;/record&gt;&lt;/Cite&gt;&lt;/EndNote&gt;</w:instrText>
            </w:r>
            <w:r w:rsidRPr="00E006BB">
              <w:rPr>
                <w:rFonts w:ascii="Times New Roman" w:hAnsi="Times New Roman" w:cs="Times New Roman"/>
                <w:b/>
                <w:bCs/>
              </w:rPr>
              <w:fldChar w:fldCharType="separate"/>
            </w:r>
            <w:r>
              <w:rPr>
                <w:rFonts w:ascii="Times New Roman" w:hAnsi="Times New Roman" w:cs="Times New Roman"/>
                <w:b/>
                <w:bCs/>
                <w:noProof/>
              </w:rPr>
              <w:t>(Flannagan</w:t>
            </w:r>
            <w:r w:rsidRPr="00F95468">
              <w:rPr>
                <w:rFonts w:ascii="Times New Roman" w:hAnsi="Times New Roman" w:cs="Times New Roman"/>
                <w:b/>
                <w:bCs/>
                <w:i/>
                <w:noProof/>
              </w:rPr>
              <w:t xml:space="preserve"> et al.</w:t>
            </w:r>
            <w:r>
              <w:rPr>
                <w:rFonts w:ascii="Times New Roman" w:hAnsi="Times New Roman" w:cs="Times New Roman"/>
                <w:b/>
                <w:bCs/>
                <w:noProof/>
              </w:rPr>
              <w:t>, 2018)</w:t>
            </w:r>
            <w:r w:rsidRPr="00E006BB">
              <w:rPr>
                <w:rFonts w:ascii="Times New Roman" w:hAnsi="Times New Roman" w:cs="Times New Roman"/>
                <w:b/>
                <w:bCs/>
              </w:rPr>
              <w:fldChar w:fldCharType="end"/>
            </w:r>
            <w:r>
              <w:rPr>
                <w:rFonts w:ascii="Times New Roman" w:hAnsi="Times New Roman" w:cs="Times New Roman"/>
                <w:b/>
                <w:bCs/>
              </w:rPr>
              <w:t xml:space="preserve">. </w:t>
            </w:r>
            <w:r w:rsidRPr="006B22D2">
              <w:rPr>
                <w:rFonts w:ascii="Times New Roman" w:hAnsi="Times New Roman" w:cs="Times New Roman"/>
                <w:b/>
                <w:bCs/>
              </w:rPr>
              <w:t xml:space="preserve">Figure </w:t>
            </w:r>
            <w:r>
              <w:rPr>
                <w:rFonts w:ascii="Times New Roman" w:hAnsi="Times New Roman" w:cs="Times New Roman"/>
                <w:b/>
                <w:bCs/>
              </w:rPr>
              <w:t>5.2.2d</w:t>
            </w:r>
            <w:r>
              <w:rPr>
                <w:rFonts w:ascii="Times New Roman" w:hAnsi="Times New Roman" w:cs="Times New Roman"/>
              </w:rPr>
              <w:t xml:space="preserve"> shows the intracellular and extracellular counts at 2 and 3.5 hpi after incorporating these modifications. In comparison to </w:t>
            </w:r>
            <w:r w:rsidRPr="00125B82">
              <w:rPr>
                <w:rFonts w:ascii="Times New Roman" w:hAnsi="Times New Roman" w:cs="Times New Roman"/>
                <w:b/>
                <w:bCs/>
              </w:rPr>
              <w:t>Fig</w:t>
            </w:r>
            <w:r>
              <w:rPr>
                <w:rFonts w:ascii="Times New Roman" w:hAnsi="Times New Roman" w:cs="Times New Roman"/>
                <w:b/>
                <w:bCs/>
              </w:rPr>
              <w:t>ure</w:t>
            </w:r>
            <w:r w:rsidRPr="00125B82">
              <w:rPr>
                <w:rFonts w:ascii="Times New Roman" w:hAnsi="Times New Roman" w:cs="Times New Roman"/>
                <w:b/>
                <w:bCs/>
              </w:rPr>
              <w:t xml:space="preserve"> </w:t>
            </w:r>
            <w:r>
              <w:rPr>
                <w:rFonts w:ascii="Times New Roman" w:hAnsi="Times New Roman" w:cs="Times New Roman"/>
                <w:b/>
                <w:bCs/>
              </w:rPr>
              <w:t>5.2.</w:t>
            </w:r>
            <w:r w:rsidRPr="00125B82">
              <w:rPr>
                <w:rFonts w:ascii="Times New Roman" w:hAnsi="Times New Roman" w:cs="Times New Roman"/>
                <w:b/>
                <w:bCs/>
              </w:rPr>
              <w:t>2</w:t>
            </w:r>
            <w:r>
              <w:rPr>
                <w:rFonts w:ascii="Times New Roman" w:hAnsi="Times New Roman" w:cs="Times New Roman"/>
                <w:b/>
                <w:bCs/>
              </w:rPr>
              <w:t>a</w:t>
            </w:r>
            <w:r w:rsidRPr="00125B82">
              <w:rPr>
                <w:rFonts w:ascii="Times New Roman" w:hAnsi="Times New Roman" w:cs="Times New Roman"/>
                <w:b/>
                <w:bCs/>
              </w:rPr>
              <w:t>, Fig</w:t>
            </w:r>
            <w:r>
              <w:rPr>
                <w:rFonts w:ascii="Times New Roman" w:hAnsi="Times New Roman" w:cs="Times New Roman"/>
                <w:b/>
                <w:bCs/>
              </w:rPr>
              <w:t>ure 5.2.2d</w:t>
            </w:r>
            <w:r>
              <w:rPr>
                <w:rFonts w:ascii="Times New Roman" w:hAnsi="Times New Roman" w:cs="Times New Roman"/>
              </w:rPr>
              <w:t xml:space="preserve"> demonstrates slightly higher intracellular count with WT counts increasing from 4.7 x 10</w:t>
            </w:r>
            <w:r w:rsidRPr="00A245B2">
              <w:rPr>
                <w:rFonts w:ascii="Times New Roman" w:hAnsi="Times New Roman" w:cs="Times New Roman"/>
                <w:vertAlign w:val="superscript"/>
              </w:rPr>
              <w:t>4</w:t>
            </w:r>
            <w:r>
              <w:rPr>
                <w:rFonts w:ascii="Times New Roman" w:hAnsi="Times New Roman" w:cs="Times New Roman"/>
              </w:rPr>
              <w:t xml:space="preserve"> to 1.7 x 10</w:t>
            </w:r>
            <w:r w:rsidRPr="00A245B2">
              <w:rPr>
                <w:rFonts w:ascii="Times New Roman" w:hAnsi="Times New Roman" w:cs="Times New Roman"/>
                <w:vertAlign w:val="superscript"/>
              </w:rPr>
              <w:t>5</w:t>
            </w:r>
            <w:r>
              <w:rPr>
                <w:rFonts w:ascii="Times New Roman" w:hAnsi="Times New Roman" w:cs="Times New Roman"/>
              </w:rPr>
              <w:t xml:space="preserve"> CFU/ml and (p)ppGpp</w:t>
            </w:r>
            <w:r>
              <w:rPr>
                <w:rFonts w:ascii="Times New Roman" w:hAnsi="Times New Roman" w:cs="Times New Roman"/>
                <w:vertAlign w:val="superscript"/>
              </w:rPr>
              <w:t xml:space="preserve">0 </w:t>
            </w:r>
            <w:r>
              <w:rPr>
                <w:rFonts w:ascii="Times New Roman" w:hAnsi="Times New Roman" w:cs="Times New Roman"/>
              </w:rPr>
              <w:t>counts increasing from 1 x 10</w:t>
            </w:r>
            <w:r w:rsidRPr="00A245B2">
              <w:rPr>
                <w:rFonts w:ascii="Times New Roman" w:hAnsi="Times New Roman" w:cs="Times New Roman"/>
                <w:vertAlign w:val="superscript"/>
              </w:rPr>
              <w:t>5</w:t>
            </w:r>
            <w:r>
              <w:rPr>
                <w:rFonts w:ascii="Times New Roman" w:hAnsi="Times New Roman" w:cs="Times New Roman"/>
              </w:rPr>
              <w:t xml:space="preserve"> to 2.7 x 10</w:t>
            </w:r>
            <w:r w:rsidRPr="00A245B2">
              <w:rPr>
                <w:rFonts w:ascii="Times New Roman" w:hAnsi="Times New Roman" w:cs="Times New Roman"/>
                <w:vertAlign w:val="superscript"/>
              </w:rPr>
              <w:t>5</w:t>
            </w:r>
            <w:r>
              <w:rPr>
                <w:rFonts w:ascii="Times New Roman" w:hAnsi="Times New Roman" w:cs="Times New Roman"/>
                <w:vertAlign w:val="superscript"/>
              </w:rPr>
              <w:t xml:space="preserve"> </w:t>
            </w:r>
            <w:r>
              <w:rPr>
                <w:rFonts w:ascii="Times New Roman" w:hAnsi="Times New Roman" w:cs="Times New Roman"/>
              </w:rPr>
              <w:t>CFU/ml.</w:t>
            </w:r>
          </w:p>
        </w:tc>
      </w:tr>
    </w:tbl>
    <w:p w14:paraId="35BCE29C" w14:textId="77777777" w:rsidR="00187693" w:rsidRDefault="00187693" w:rsidP="00187693">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15FC6615" w14:textId="77777777" w:rsidTr="00A74445">
        <w:tc>
          <w:tcPr>
            <w:tcW w:w="9016" w:type="dxa"/>
          </w:tcPr>
          <w:p w14:paraId="2A4E3963"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7F1EB2AC" wp14:editId="57B97136">
                  <wp:extent cx="5655306" cy="4406900"/>
                  <wp:effectExtent l="0" t="0" r="0" b="0"/>
                  <wp:docPr id="696301710" name="Picture 696301710"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lhouette, vector graphic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8659" cy="4417306"/>
                          </a:xfrm>
                          <a:prstGeom prst="rect">
                            <a:avLst/>
                          </a:prstGeom>
                          <a:noFill/>
                        </pic:spPr>
                      </pic:pic>
                    </a:graphicData>
                  </a:graphic>
                </wp:inline>
              </w:drawing>
            </w:r>
          </w:p>
        </w:tc>
      </w:tr>
      <w:tr w:rsidR="00187693" w14:paraId="7DCAD0C1" w14:textId="77777777" w:rsidTr="00A74445">
        <w:tc>
          <w:tcPr>
            <w:tcW w:w="9016" w:type="dxa"/>
          </w:tcPr>
          <w:p w14:paraId="0EE4E250" w14:textId="77777777" w:rsidR="00187693" w:rsidRPr="001F46BE" w:rsidRDefault="00187693" w:rsidP="00A74445">
            <w:pPr>
              <w:jc w:val="both"/>
              <w:rPr>
                <w:rFonts w:ascii="Times New Roman" w:hAnsi="Times New Roman" w:cs="Times New Roman"/>
                <w:sz w:val="18"/>
                <w:szCs w:val="18"/>
              </w:rPr>
            </w:pPr>
            <w:r w:rsidRPr="001F46BE">
              <w:rPr>
                <w:rFonts w:ascii="Times New Roman" w:hAnsi="Times New Roman" w:cs="Times New Roman"/>
                <w:b/>
                <w:bCs/>
                <w:sz w:val="18"/>
                <w:szCs w:val="18"/>
              </w:rPr>
              <w:t xml:space="preserve">Figure </w:t>
            </w:r>
            <w:r>
              <w:rPr>
                <w:rFonts w:ascii="Times New Roman" w:hAnsi="Times New Roman" w:cs="Times New Roman"/>
                <w:b/>
                <w:bCs/>
                <w:sz w:val="18"/>
                <w:szCs w:val="18"/>
              </w:rPr>
              <w:t>5</w:t>
            </w:r>
            <w:r w:rsidRPr="001F46BE">
              <w:rPr>
                <w:rFonts w:ascii="Times New Roman" w:hAnsi="Times New Roman" w:cs="Times New Roman"/>
                <w:b/>
                <w:bCs/>
                <w:sz w:val="18"/>
                <w:szCs w:val="18"/>
              </w:rPr>
              <w:t xml:space="preserve">.2.2. Optimisation of </w:t>
            </w:r>
            <w:r w:rsidRPr="001F46BE">
              <w:rPr>
                <w:rFonts w:ascii="Times New Roman" w:hAnsi="Times New Roman" w:cs="Times New Roman"/>
                <w:b/>
                <w:bCs/>
                <w:i/>
                <w:iCs/>
                <w:sz w:val="18"/>
                <w:szCs w:val="18"/>
              </w:rPr>
              <w:t xml:space="preserve">S. aureus </w:t>
            </w:r>
            <w:r w:rsidRPr="001F46BE">
              <w:rPr>
                <w:rFonts w:ascii="Times New Roman" w:hAnsi="Times New Roman" w:cs="Times New Roman"/>
                <w:b/>
                <w:bCs/>
                <w:sz w:val="18"/>
                <w:szCs w:val="18"/>
              </w:rPr>
              <w:t xml:space="preserve">uptake by RAW 264.7 murine macrophages. </w:t>
            </w:r>
            <w:r w:rsidRPr="001F46BE">
              <w:rPr>
                <w:rFonts w:ascii="Times New Roman" w:hAnsi="Times New Roman" w:cs="Times New Roman"/>
                <w:sz w:val="18"/>
                <w:szCs w:val="18"/>
              </w:rPr>
              <w:t xml:space="preserve">RAW 246.7 murine macrophages were challenged with </w:t>
            </w:r>
            <w:r w:rsidRPr="001F46BE">
              <w:rPr>
                <w:rFonts w:ascii="Times New Roman" w:hAnsi="Times New Roman" w:cs="Times New Roman"/>
                <w:i/>
                <w:iCs/>
                <w:sz w:val="18"/>
                <w:szCs w:val="18"/>
              </w:rPr>
              <w:t xml:space="preserve">S. aureus </w:t>
            </w:r>
            <w:r w:rsidRPr="001F46BE">
              <w:rPr>
                <w:rFonts w:ascii="Times New Roman" w:hAnsi="Times New Roman" w:cs="Times New Roman"/>
                <w:sz w:val="18"/>
                <w:szCs w:val="18"/>
              </w:rPr>
              <w:t>WT and the (p)ppGpp</w:t>
            </w:r>
            <w:r w:rsidRPr="001F46BE">
              <w:rPr>
                <w:rFonts w:ascii="Times New Roman" w:hAnsi="Times New Roman" w:cs="Times New Roman"/>
                <w:sz w:val="18"/>
                <w:szCs w:val="18"/>
                <w:vertAlign w:val="superscript"/>
              </w:rPr>
              <w:t>0</w:t>
            </w:r>
            <w:r w:rsidRPr="001F46BE">
              <w:rPr>
                <w:rFonts w:ascii="Times New Roman" w:hAnsi="Times New Roman" w:cs="Times New Roman"/>
                <w:b/>
                <w:bCs/>
                <w:sz w:val="18"/>
                <w:szCs w:val="18"/>
                <w:vertAlign w:val="superscript"/>
              </w:rPr>
              <w:t xml:space="preserve"> </w:t>
            </w:r>
            <w:r w:rsidRPr="001F46BE">
              <w:rPr>
                <w:rFonts w:ascii="Times New Roman" w:hAnsi="Times New Roman" w:cs="Times New Roman"/>
                <w:sz w:val="18"/>
                <w:szCs w:val="18"/>
              </w:rPr>
              <w:t>mutant at an MOI of 5 (1 x 10</w:t>
            </w:r>
            <w:r w:rsidRPr="001F46BE">
              <w:rPr>
                <w:rFonts w:ascii="Times New Roman" w:hAnsi="Times New Roman" w:cs="Times New Roman"/>
                <w:sz w:val="18"/>
                <w:szCs w:val="18"/>
                <w:vertAlign w:val="superscript"/>
              </w:rPr>
              <w:t>6</w:t>
            </w:r>
            <w:r w:rsidRPr="001F46BE">
              <w:rPr>
                <w:rFonts w:ascii="Times New Roman" w:hAnsi="Times New Roman" w:cs="Times New Roman"/>
                <w:sz w:val="18"/>
                <w:szCs w:val="18"/>
              </w:rPr>
              <w:t xml:space="preserve"> CFU per 200,000 cells) and incubated for the specified timepoints </w:t>
            </w:r>
            <w:r w:rsidRPr="001F46BE">
              <w:rPr>
                <w:rFonts w:ascii="Times New Roman" w:hAnsi="Times New Roman" w:cs="Times New Roman"/>
                <w:b/>
                <w:bCs/>
                <w:sz w:val="18"/>
                <w:szCs w:val="18"/>
              </w:rPr>
              <w:t xml:space="preserve">a) </w:t>
            </w:r>
            <w:r w:rsidRPr="001F46BE">
              <w:rPr>
                <w:rFonts w:ascii="Times New Roman" w:hAnsi="Times New Roman" w:cs="Times New Roman"/>
                <w:sz w:val="18"/>
                <w:szCs w:val="18"/>
              </w:rPr>
              <w:t xml:space="preserve">0.5 hours and </w:t>
            </w:r>
            <w:r w:rsidRPr="001F46BE">
              <w:rPr>
                <w:rFonts w:ascii="Times New Roman" w:hAnsi="Times New Roman" w:cs="Times New Roman"/>
                <w:b/>
                <w:bCs/>
                <w:sz w:val="18"/>
                <w:szCs w:val="18"/>
              </w:rPr>
              <w:t xml:space="preserve">b) </w:t>
            </w:r>
            <w:r w:rsidRPr="001F46BE">
              <w:rPr>
                <w:rFonts w:ascii="Times New Roman" w:hAnsi="Times New Roman" w:cs="Times New Roman"/>
                <w:sz w:val="18"/>
                <w:szCs w:val="18"/>
              </w:rPr>
              <w:t>2.5 hours at 37˚C with 5 % CO</w:t>
            </w:r>
            <w:r w:rsidRPr="001F46BE">
              <w:rPr>
                <w:rFonts w:ascii="Times New Roman" w:hAnsi="Times New Roman" w:cs="Times New Roman"/>
                <w:sz w:val="18"/>
                <w:szCs w:val="18"/>
                <w:vertAlign w:val="subscript"/>
              </w:rPr>
              <w:t>2</w:t>
            </w:r>
            <w:r w:rsidRPr="001F46BE">
              <w:rPr>
                <w:rFonts w:ascii="Times New Roman" w:hAnsi="Times New Roman" w:cs="Times New Roman"/>
                <w:sz w:val="18"/>
                <w:szCs w:val="18"/>
              </w:rPr>
              <w:t xml:space="preserve">. Serum-free DMEM supplemented with 2 mM L-glutamine was used for the experiment represented by </w:t>
            </w:r>
            <w:r w:rsidRPr="001F46BE">
              <w:rPr>
                <w:rFonts w:ascii="Times New Roman" w:hAnsi="Times New Roman" w:cs="Times New Roman"/>
                <w:b/>
                <w:bCs/>
                <w:sz w:val="18"/>
                <w:szCs w:val="18"/>
              </w:rPr>
              <w:t>a)-c)</w:t>
            </w:r>
            <w:r w:rsidRPr="001F46BE">
              <w:rPr>
                <w:rFonts w:ascii="Times New Roman" w:hAnsi="Times New Roman" w:cs="Times New Roman"/>
                <w:sz w:val="18"/>
                <w:szCs w:val="18"/>
              </w:rPr>
              <w:t xml:space="preserve">. Both extracellular (grey bars) and intracellular (chequered bars) CFU/ml were determined by sampling the extracellular media to measure bacteria that had not been internalised and by lysing the macrophages to recover bacteria that had been internalised using 2 % saponin respectively. </w:t>
            </w:r>
            <w:r w:rsidRPr="001F46BE">
              <w:rPr>
                <w:rFonts w:ascii="Times New Roman" w:hAnsi="Times New Roman" w:cs="Times New Roman"/>
                <w:b/>
                <w:bCs/>
                <w:sz w:val="18"/>
                <w:szCs w:val="18"/>
              </w:rPr>
              <w:t>c)</w:t>
            </w:r>
            <w:r w:rsidRPr="001F46BE">
              <w:rPr>
                <w:rFonts w:ascii="Times New Roman" w:hAnsi="Times New Roman" w:cs="Times New Roman"/>
                <w:sz w:val="18"/>
                <w:szCs w:val="18"/>
              </w:rPr>
              <w:t xml:space="preserve"> demonstrates the percentage change between 0.5 and 2 hours. </w:t>
            </w:r>
            <w:r w:rsidRPr="001F46BE">
              <w:rPr>
                <w:rFonts w:ascii="Times New Roman" w:hAnsi="Times New Roman" w:cs="Times New Roman"/>
                <w:b/>
                <w:bCs/>
                <w:sz w:val="18"/>
                <w:szCs w:val="18"/>
              </w:rPr>
              <w:t xml:space="preserve">d) </w:t>
            </w:r>
            <w:r w:rsidRPr="001F46BE">
              <w:rPr>
                <w:rFonts w:ascii="Times New Roman" w:hAnsi="Times New Roman" w:cs="Times New Roman"/>
                <w:sz w:val="18"/>
                <w:szCs w:val="18"/>
              </w:rPr>
              <w:t>The intracellular and extracellular counts of WT and the (p)ppGpp</w:t>
            </w:r>
            <w:r w:rsidRPr="001F46BE">
              <w:rPr>
                <w:rFonts w:ascii="Times New Roman" w:hAnsi="Times New Roman" w:cs="Times New Roman"/>
                <w:sz w:val="18"/>
                <w:szCs w:val="18"/>
                <w:vertAlign w:val="superscript"/>
              </w:rPr>
              <w:t>0</w:t>
            </w:r>
            <w:r w:rsidRPr="001F46BE">
              <w:rPr>
                <w:rFonts w:ascii="Times New Roman" w:hAnsi="Times New Roman" w:cs="Times New Roman"/>
                <w:b/>
                <w:bCs/>
                <w:sz w:val="18"/>
                <w:szCs w:val="18"/>
                <w:vertAlign w:val="superscript"/>
              </w:rPr>
              <w:t xml:space="preserve"> </w:t>
            </w:r>
            <w:r w:rsidRPr="001F46BE">
              <w:rPr>
                <w:rFonts w:ascii="Times New Roman" w:hAnsi="Times New Roman" w:cs="Times New Roman"/>
                <w:sz w:val="18"/>
                <w:szCs w:val="18"/>
              </w:rPr>
              <w:t xml:space="preserve">mutant were performed as in </w:t>
            </w:r>
            <w:r w:rsidRPr="001F46BE">
              <w:rPr>
                <w:rFonts w:ascii="Times New Roman" w:hAnsi="Times New Roman" w:cs="Times New Roman"/>
                <w:b/>
                <w:bCs/>
                <w:sz w:val="18"/>
                <w:szCs w:val="18"/>
              </w:rPr>
              <w:t>a)-c)</w:t>
            </w:r>
            <w:r w:rsidRPr="001F46BE">
              <w:rPr>
                <w:rFonts w:ascii="Times New Roman" w:hAnsi="Times New Roman" w:cs="Times New Roman"/>
                <w:sz w:val="18"/>
                <w:szCs w:val="18"/>
              </w:rPr>
              <w:t xml:space="preserve"> but using DMEM supplemented with 10 % FBS and 2 mM L-glutamine instead and prior to incubation, tissue culture plates were centrifuged for 2 minutes at 277 x G to sediment bacteria. Experiments represented by </w:t>
            </w:r>
            <w:r w:rsidRPr="001F46BE">
              <w:rPr>
                <w:rFonts w:ascii="Times New Roman" w:hAnsi="Times New Roman" w:cs="Times New Roman"/>
                <w:b/>
                <w:bCs/>
                <w:sz w:val="18"/>
                <w:szCs w:val="18"/>
              </w:rPr>
              <w:t xml:space="preserve">a)-d) </w:t>
            </w:r>
            <w:r w:rsidRPr="001F46BE">
              <w:rPr>
                <w:rFonts w:ascii="Times New Roman" w:hAnsi="Times New Roman" w:cs="Times New Roman"/>
                <w:sz w:val="18"/>
                <w:szCs w:val="18"/>
              </w:rPr>
              <w:t>were performed once.</w:t>
            </w:r>
          </w:p>
        </w:tc>
      </w:tr>
    </w:tbl>
    <w:p w14:paraId="68B77712" w14:textId="77777777" w:rsidR="00187693" w:rsidRDefault="00187693" w:rsidP="00187693"/>
    <w:p w14:paraId="615FCA39" w14:textId="284D7A59" w:rsidR="00187693" w:rsidRDefault="00187693" w:rsidP="00187693">
      <w:pPr>
        <w:spacing w:line="360" w:lineRule="auto"/>
        <w:ind w:firstLine="720"/>
        <w:jc w:val="both"/>
      </w:pPr>
      <w:r>
        <w:rPr>
          <w:rFonts w:ascii="Times New Roman" w:hAnsi="Times New Roman" w:cs="Times New Roman"/>
        </w:rPr>
        <w:t>The macrophage killing assay was then repeated but including longer timepoints of 6, 10 and 24 hpi to investigate long-term killing. At 2.5 hpi, the mean intracellular counts of WT were 2.61 x10</w:t>
      </w:r>
      <w:r w:rsidRPr="00E919C4">
        <w:rPr>
          <w:rFonts w:ascii="Times New Roman" w:hAnsi="Times New Roman" w:cs="Times New Roman"/>
          <w:vertAlign w:val="superscript"/>
        </w:rPr>
        <w:t>5</w:t>
      </w:r>
      <w:r>
        <w:rPr>
          <w:rFonts w:ascii="Times New Roman" w:hAnsi="Times New Roman" w:cs="Times New Roman"/>
        </w:rPr>
        <w:t xml:space="preserve"> CFU/ml and for (p)ppGpp</w:t>
      </w:r>
      <w:r>
        <w:rPr>
          <w:rFonts w:ascii="Times New Roman" w:hAnsi="Times New Roman" w:cs="Times New Roman"/>
          <w:vertAlign w:val="superscript"/>
        </w:rPr>
        <w:t>0</w:t>
      </w:r>
      <w:r>
        <w:rPr>
          <w:rFonts w:ascii="Times New Roman" w:hAnsi="Times New Roman" w:cs="Times New Roman"/>
        </w:rPr>
        <w:t xml:space="preserve"> the mean counts were 1.4 x 10</w:t>
      </w:r>
      <w:r w:rsidRPr="00E919C4">
        <w:rPr>
          <w:rFonts w:ascii="Times New Roman" w:hAnsi="Times New Roman" w:cs="Times New Roman"/>
          <w:vertAlign w:val="superscript"/>
        </w:rPr>
        <w:t xml:space="preserve">5 </w:t>
      </w:r>
      <w:r>
        <w:rPr>
          <w:rFonts w:ascii="Times New Roman" w:hAnsi="Times New Roman" w:cs="Times New Roman"/>
        </w:rPr>
        <w:t>CFU/m</w:t>
      </w:r>
      <w:r w:rsidR="00933A94">
        <w:rPr>
          <w:rFonts w:ascii="Times New Roman" w:hAnsi="Times New Roman" w:cs="Times New Roman"/>
        </w:rPr>
        <w:t>l</w:t>
      </w:r>
      <w:r>
        <w:rPr>
          <w:rFonts w:ascii="Times New Roman" w:hAnsi="Times New Roman" w:cs="Times New Roman"/>
        </w:rPr>
        <w:t xml:space="preserve"> </w:t>
      </w:r>
      <w:r w:rsidRPr="00E919C4">
        <w:rPr>
          <w:rFonts w:ascii="Times New Roman" w:hAnsi="Times New Roman" w:cs="Times New Roman"/>
          <w:b/>
          <w:bCs/>
        </w:rPr>
        <w:t xml:space="preserve">(Figure </w:t>
      </w:r>
      <w:r>
        <w:rPr>
          <w:rFonts w:ascii="Times New Roman" w:hAnsi="Times New Roman" w:cs="Times New Roman"/>
          <w:b/>
          <w:bCs/>
        </w:rPr>
        <w:t>5.2.</w:t>
      </w:r>
      <w:r w:rsidRPr="00E919C4">
        <w:rPr>
          <w:rFonts w:ascii="Times New Roman" w:hAnsi="Times New Roman" w:cs="Times New Roman"/>
          <w:b/>
          <w:bCs/>
        </w:rPr>
        <w:t>3a)</w:t>
      </w:r>
      <w:r w:rsidR="00933A94">
        <w:rPr>
          <w:rFonts w:ascii="Times New Roman" w:hAnsi="Times New Roman" w:cs="Times New Roman"/>
        </w:rPr>
        <w:t xml:space="preserve"> as opposed to the counts of 10</w:t>
      </w:r>
      <w:r w:rsidR="00933A94">
        <w:rPr>
          <w:rFonts w:ascii="Times New Roman" w:hAnsi="Times New Roman" w:cs="Times New Roman"/>
          <w:vertAlign w:val="superscript"/>
        </w:rPr>
        <w:t>3</w:t>
      </w:r>
      <w:r w:rsidR="00933A94">
        <w:rPr>
          <w:rFonts w:ascii="Times New Roman" w:hAnsi="Times New Roman" w:cs="Times New Roman"/>
        </w:rPr>
        <w:t xml:space="preserve"> in </w:t>
      </w:r>
      <w:r w:rsidR="00933A94">
        <w:rPr>
          <w:rFonts w:ascii="Times New Roman" w:hAnsi="Times New Roman" w:cs="Times New Roman"/>
          <w:b/>
          <w:bCs/>
        </w:rPr>
        <w:t>Figure 5.2.</w:t>
      </w:r>
      <w:r w:rsidR="00933A94" w:rsidRPr="00933A94">
        <w:rPr>
          <w:rFonts w:ascii="Times New Roman" w:hAnsi="Times New Roman" w:cs="Times New Roman"/>
          <w:b/>
          <w:bCs/>
        </w:rPr>
        <w:t>1</w:t>
      </w:r>
      <w:r w:rsidR="00933A94">
        <w:rPr>
          <w:rFonts w:ascii="Times New Roman" w:hAnsi="Times New Roman" w:cs="Times New Roman"/>
        </w:rPr>
        <w:t xml:space="preserve">. </w:t>
      </w:r>
      <w:r w:rsidRPr="00933A94">
        <w:rPr>
          <w:rFonts w:ascii="Times New Roman" w:hAnsi="Times New Roman" w:cs="Times New Roman"/>
        </w:rPr>
        <w:t>The</w:t>
      </w:r>
      <w:r>
        <w:rPr>
          <w:rFonts w:ascii="Times New Roman" w:hAnsi="Times New Roman" w:cs="Times New Roman"/>
        </w:rPr>
        <w:t xml:space="preserve"> increase in intracellular WT CFU/ml after addition of FBS and centrifugation for infection synchronisation demonstrates the importance of these factors for increasing the number of bacteria internalised. While the CFU/ml increases slightly between 2.5 and 6 hpi for WT, the general trend indicates that bacteria are being killed over time between 0 and 24 hours </w:t>
      </w:r>
      <w:r>
        <w:rPr>
          <w:rFonts w:ascii="Times New Roman" w:hAnsi="Times New Roman" w:cs="Times New Roman"/>
          <w:b/>
          <w:bCs/>
        </w:rPr>
        <w:t>(Figure 5.2.3a)</w:t>
      </w:r>
      <w:r>
        <w:rPr>
          <w:rFonts w:ascii="Times New Roman" w:hAnsi="Times New Roman" w:cs="Times New Roman"/>
        </w:rPr>
        <w:t>. CFU/ml and percentage of inoculum graphs show that fewer intracellular (p)ppGpp</w:t>
      </w:r>
      <w:r>
        <w:rPr>
          <w:rFonts w:ascii="Times New Roman" w:hAnsi="Times New Roman" w:cs="Times New Roman"/>
          <w:vertAlign w:val="superscript"/>
        </w:rPr>
        <w:t xml:space="preserve">0 </w:t>
      </w:r>
      <w:r>
        <w:rPr>
          <w:rFonts w:ascii="Times New Roman" w:hAnsi="Times New Roman" w:cs="Times New Roman"/>
        </w:rPr>
        <w:t xml:space="preserve">bacteria are recovered from macrophages in comparison to WT </w:t>
      </w:r>
      <w:r>
        <w:rPr>
          <w:rFonts w:ascii="Times New Roman" w:hAnsi="Times New Roman" w:cs="Times New Roman"/>
          <w:b/>
          <w:bCs/>
        </w:rPr>
        <w:t>(Figure 5.2.3a and b)</w:t>
      </w:r>
      <w:r>
        <w:rPr>
          <w:rFonts w:ascii="Times New Roman" w:hAnsi="Times New Roman" w:cs="Times New Roman"/>
        </w:rPr>
        <w:t xml:space="preserve">, however the percentage change of </w:t>
      </w:r>
      <w:r>
        <w:rPr>
          <w:rFonts w:ascii="Times New Roman" w:hAnsi="Times New Roman" w:cs="Times New Roman"/>
          <w:i/>
          <w:iCs/>
        </w:rPr>
        <w:t>S. aureus</w:t>
      </w:r>
      <w:r>
        <w:rPr>
          <w:rFonts w:ascii="Times New Roman" w:hAnsi="Times New Roman" w:cs="Times New Roman"/>
        </w:rPr>
        <w:t xml:space="preserve"> from 2.5 hours suggests that while the WT and (p)ppGpp</w:t>
      </w:r>
      <w:r>
        <w:rPr>
          <w:rFonts w:ascii="Times New Roman" w:hAnsi="Times New Roman" w:cs="Times New Roman"/>
          <w:vertAlign w:val="superscript"/>
        </w:rPr>
        <w:t xml:space="preserve">0 </w:t>
      </w:r>
      <w:r>
        <w:rPr>
          <w:rFonts w:ascii="Times New Roman" w:hAnsi="Times New Roman" w:cs="Times New Roman"/>
        </w:rPr>
        <w:t xml:space="preserve">counts differ, the rate at which both strains are being killed are the same </w:t>
      </w:r>
      <w:r>
        <w:rPr>
          <w:rFonts w:ascii="Times New Roman" w:hAnsi="Times New Roman" w:cs="Times New Roman"/>
          <w:b/>
          <w:bCs/>
        </w:rPr>
        <w:t>(Figure 5.2.3c)</w:t>
      </w:r>
      <w:r>
        <w:rPr>
          <w:rFonts w:ascii="Times New Roman" w:hAnsi="Times New Roman" w:cs="Times New Roman"/>
        </w:rPr>
        <w:t xml:space="preserve">. Thus, in this cell culture model, it seems that the absence of the stringent response does not impact killing of </w:t>
      </w:r>
      <w:r>
        <w:rPr>
          <w:rFonts w:ascii="Times New Roman" w:hAnsi="Times New Roman" w:cs="Times New Roman"/>
          <w:i/>
          <w:iCs/>
        </w:rPr>
        <w:t>S. aureus</w:t>
      </w:r>
      <w:r>
        <w:rPr>
          <w:rFonts w:ascii="Times New Roman" w:hAnsi="Times New Roman" w:cs="Times New Roman"/>
        </w:rPr>
        <w:t xml:space="preserve"> by RAW 264.7 macrophages over time, even though there is a</w:t>
      </w:r>
      <w:r w:rsidR="00933A94">
        <w:rPr>
          <w:rFonts w:ascii="Times New Roman" w:hAnsi="Times New Roman" w:cs="Times New Roman"/>
        </w:rPr>
        <w:t xml:space="preserve"> significant</w:t>
      </w:r>
      <w:r>
        <w:rPr>
          <w:rFonts w:ascii="Times New Roman" w:hAnsi="Times New Roman" w:cs="Times New Roman"/>
        </w:rPr>
        <w:t xml:space="preserve"> difference in the number of bacteria are 8 hpi </w:t>
      </w:r>
      <w:r>
        <w:rPr>
          <w:rFonts w:ascii="Times New Roman" w:hAnsi="Times New Roman" w:cs="Times New Roman"/>
          <w:b/>
          <w:bCs/>
        </w:rPr>
        <w:t>(Fig. 5.2.3b)</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5"/>
      </w:tblGrid>
      <w:tr w:rsidR="00187693" w14:paraId="050D6CE2" w14:textId="77777777" w:rsidTr="00A74445">
        <w:trPr>
          <w:trHeight w:val="9611"/>
        </w:trPr>
        <w:tc>
          <w:tcPr>
            <w:tcW w:w="8865" w:type="dxa"/>
          </w:tcPr>
          <w:p w14:paraId="32DDE0FF" w14:textId="77777777" w:rsidR="00187693" w:rsidRDefault="00187693" w:rsidP="00A74445">
            <w:r>
              <w:rPr>
                <w:noProof/>
              </w:rPr>
              <w:drawing>
                <wp:anchor distT="0" distB="0" distL="114300" distR="114300" simplePos="0" relativeHeight="251666432" behindDoc="0" locked="0" layoutInCell="1" allowOverlap="1" wp14:anchorId="003900DC" wp14:editId="25E29C0A">
                  <wp:simplePos x="0" y="0"/>
                  <wp:positionH relativeFrom="column">
                    <wp:posOffset>813435</wp:posOffset>
                  </wp:positionH>
                  <wp:positionV relativeFrom="paragraph">
                    <wp:posOffset>5080</wp:posOffset>
                  </wp:positionV>
                  <wp:extent cx="3460750" cy="6687820"/>
                  <wp:effectExtent l="0" t="0" r="0" b="0"/>
                  <wp:wrapSquare wrapText="bothSides"/>
                  <wp:docPr id="14" name="Picture 14" descr="A picture containing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nigh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0750" cy="6687820"/>
                          </a:xfrm>
                          <a:prstGeom prst="rect">
                            <a:avLst/>
                          </a:prstGeom>
                          <a:noFill/>
                        </pic:spPr>
                      </pic:pic>
                    </a:graphicData>
                  </a:graphic>
                  <wp14:sizeRelH relativeFrom="page">
                    <wp14:pctWidth>0</wp14:pctWidth>
                  </wp14:sizeRelH>
                  <wp14:sizeRelV relativeFrom="page">
                    <wp14:pctHeight>0</wp14:pctHeight>
                  </wp14:sizeRelV>
                </wp:anchor>
              </w:drawing>
            </w:r>
          </w:p>
        </w:tc>
      </w:tr>
      <w:tr w:rsidR="00187693" w14:paraId="593E13E9" w14:textId="77777777" w:rsidTr="00A74445">
        <w:trPr>
          <w:trHeight w:val="1981"/>
        </w:trPr>
        <w:tc>
          <w:tcPr>
            <w:tcW w:w="8865" w:type="dxa"/>
          </w:tcPr>
          <w:p w14:paraId="6F16D032" w14:textId="77777777" w:rsidR="00187693" w:rsidRPr="00DC4DA9" w:rsidRDefault="00187693" w:rsidP="00A74445">
            <w:pPr>
              <w:jc w:val="both"/>
              <w:rPr>
                <w:rFonts w:ascii="Times New Roman" w:hAnsi="Times New Roman" w:cs="Times New Roman"/>
                <w:b/>
                <w:bCs/>
                <w:sz w:val="18"/>
                <w:szCs w:val="18"/>
              </w:rPr>
            </w:pPr>
            <w:r w:rsidRPr="00022A53">
              <w:rPr>
                <w:rFonts w:ascii="Times New Roman" w:hAnsi="Times New Roman" w:cs="Times New Roman"/>
                <w:b/>
                <w:bCs/>
                <w:sz w:val="18"/>
                <w:szCs w:val="18"/>
              </w:rPr>
              <w:t>Figure 5.2.3. WT and the (p)ppGpp</w:t>
            </w:r>
            <w:r w:rsidRPr="00022A53">
              <w:rPr>
                <w:rFonts w:ascii="Times New Roman" w:hAnsi="Times New Roman" w:cs="Times New Roman"/>
                <w:b/>
                <w:bCs/>
                <w:sz w:val="18"/>
                <w:szCs w:val="18"/>
                <w:vertAlign w:val="superscript"/>
              </w:rPr>
              <w:t xml:space="preserve">0 </w:t>
            </w:r>
            <w:r w:rsidRPr="00022A53">
              <w:rPr>
                <w:rFonts w:ascii="Times New Roman" w:hAnsi="Times New Roman" w:cs="Times New Roman"/>
                <w:b/>
                <w:bCs/>
                <w:sz w:val="18"/>
                <w:szCs w:val="18"/>
              </w:rPr>
              <w:t xml:space="preserve">mutant are killed similarly by RAW 264.7 murine macrophages. a)-c) </w:t>
            </w:r>
            <w:r w:rsidRPr="00022A53">
              <w:rPr>
                <w:rFonts w:ascii="Times New Roman" w:hAnsi="Times New Roman" w:cs="Times New Roman"/>
                <w:sz w:val="18"/>
                <w:szCs w:val="18"/>
              </w:rPr>
              <w:t xml:space="preserve">RAW 246.7 murine macrophages were challenged with </w:t>
            </w:r>
            <w:r w:rsidRPr="00022A53">
              <w:rPr>
                <w:rFonts w:ascii="Times New Roman" w:hAnsi="Times New Roman" w:cs="Times New Roman"/>
                <w:i/>
                <w:iCs/>
                <w:sz w:val="18"/>
                <w:szCs w:val="18"/>
              </w:rPr>
              <w:t xml:space="preserve">S. aureus </w:t>
            </w:r>
            <w:r w:rsidRPr="00022A53">
              <w:rPr>
                <w:rFonts w:ascii="Times New Roman" w:hAnsi="Times New Roman" w:cs="Times New Roman"/>
                <w:sz w:val="18"/>
                <w:szCs w:val="18"/>
              </w:rPr>
              <w:t>(WT (black) and the (p)ppGpp</w:t>
            </w:r>
            <w:r w:rsidRPr="00022A53">
              <w:rPr>
                <w:rFonts w:ascii="Times New Roman" w:hAnsi="Times New Roman" w:cs="Times New Roman"/>
                <w:sz w:val="18"/>
                <w:szCs w:val="18"/>
                <w:vertAlign w:val="superscript"/>
              </w:rPr>
              <w:t xml:space="preserve">0 </w:t>
            </w:r>
            <w:r w:rsidRPr="00022A53">
              <w:rPr>
                <w:rFonts w:ascii="Times New Roman" w:hAnsi="Times New Roman" w:cs="Times New Roman"/>
                <w:sz w:val="18"/>
                <w:szCs w:val="18"/>
              </w:rPr>
              <w:t>mutant (pink)) at an MOI of 5 (1 x 10</w:t>
            </w:r>
            <w:r w:rsidRPr="00022A53">
              <w:rPr>
                <w:rFonts w:ascii="Times New Roman" w:hAnsi="Times New Roman" w:cs="Times New Roman"/>
                <w:sz w:val="18"/>
                <w:szCs w:val="18"/>
                <w:vertAlign w:val="superscript"/>
              </w:rPr>
              <w:t>6</w:t>
            </w:r>
            <w:r w:rsidRPr="00022A53">
              <w:rPr>
                <w:rFonts w:ascii="Times New Roman" w:hAnsi="Times New Roman" w:cs="Times New Roman"/>
                <w:sz w:val="18"/>
                <w:szCs w:val="18"/>
              </w:rPr>
              <w:t xml:space="preserve"> CFU per 200,000 cells) and incubated for 24 hours in DMEM supplemented with 10 % FBS and 2 mM L-glutamine at 37˚C with 5 % CO</w:t>
            </w:r>
            <w:r w:rsidRPr="00022A53">
              <w:rPr>
                <w:rFonts w:ascii="Times New Roman" w:hAnsi="Times New Roman" w:cs="Times New Roman"/>
                <w:sz w:val="18"/>
                <w:szCs w:val="18"/>
                <w:vertAlign w:val="subscript"/>
              </w:rPr>
              <w:t>2</w:t>
            </w:r>
            <w:r w:rsidRPr="00022A53">
              <w:rPr>
                <w:rFonts w:ascii="Times New Roman" w:hAnsi="Times New Roman" w:cs="Times New Roman"/>
                <w:sz w:val="18"/>
                <w:szCs w:val="18"/>
              </w:rPr>
              <w:t xml:space="preserve">. RAW 264.7 macrophages were infected for 2 hours (end of infection period represented by first black arrow), after which extracellular bacteria were eliminated using 20 </w:t>
            </w:r>
            <w:r w:rsidRPr="00022A53">
              <w:rPr>
                <w:rFonts w:ascii="Times New Roman" w:hAnsi="Times New Roman" w:cs="Times New Roman"/>
                <w:sz w:val="18"/>
                <w:szCs w:val="18"/>
                <w:lang w:val="el-GR"/>
              </w:rPr>
              <w:t>μ</w:t>
            </w:r>
            <w:r w:rsidRPr="00022A53">
              <w:rPr>
                <w:rFonts w:ascii="Times New Roman" w:hAnsi="Times New Roman" w:cs="Times New Roman"/>
                <w:sz w:val="18"/>
                <w:szCs w:val="18"/>
              </w:rPr>
              <w:t xml:space="preserve">g/ml lysostaphin (Lss) for 30 minutes (end of lysostaphin treatment represented by second black arrow). For later timepoints, macrophages were incubated with 2 </w:t>
            </w:r>
            <w:r w:rsidRPr="00022A53">
              <w:rPr>
                <w:rFonts w:ascii="Times New Roman" w:hAnsi="Times New Roman" w:cs="Times New Roman"/>
                <w:sz w:val="18"/>
                <w:szCs w:val="18"/>
                <w:lang w:val="el-GR"/>
              </w:rPr>
              <w:t>μ</w:t>
            </w:r>
            <w:r w:rsidRPr="00022A53">
              <w:rPr>
                <w:rFonts w:ascii="Times New Roman" w:hAnsi="Times New Roman" w:cs="Times New Roman"/>
                <w:sz w:val="18"/>
                <w:szCs w:val="18"/>
              </w:rPr>
              <w:t xml:space="preserve">g/ml lysostaphin until at the specified timepoints, intracellular CFU/ml were determined by lysing macrophages with 2 % saponin. </w:t>
            </w:r>
            <w:r w:rsidRPr="00022A53">
              <w:rPr>
                <w:rFonts w:ascii="Times New Roman" w:hAnsi="Times New Roman" w:cs="Times New Roman"/>
                <w:b/>
                <w:bCs/>
                <w:sz w:val="18"/>
                <w:szCs w:val="18"/>
              </w:rPr>
              <w:t>a)</w:t>
            </w:r>
            <w:r w:rsidRPr="00022A53">
              <w:rPr>
                <w:rFonts w:ascii="Times New Roman" w:hAnsi="Times New Roman" w:cs="Times New Roman"/>
                <w:sz w:val="18"/>
                <w:szCs w:val="18"/>
              </w:rPr>
              <w:t xml:space="preserve"> is presented as percentage of CFU/ml, </w:t>
            </w:r>
            <w:r w:rsidRPr="00022A53">
              <w:rPr>
                <w:rFonts w:ascii="Times New Roman" w:hAnsi="Times New Roman" w:cs="Times New Roman"/>
                <w:b/>
                <w:bCs/>
                <w:sz w:val="18"/>
                <w:szCs w:val="18"/>
              </w:rPr>
              <w:t>b)</w:t>
            </w:r>
            <w:r w:rsidRPr="00022A53">
              <w:rPr>
                <w:rFonts w:ascii="Times New Roman" w:hAnsi="Times New Roman" w:cs="Times New Roman"/>
                <w:sz w:val="18"/>
                <w:szCs w:val="18"/>
              </w:rPr>
              <w:t xml:space="preserve"> is presented as percentage of inoculum and </w:t>
            </w:r>
            <w:r w:rsidRPr="00022A53">
              <w:rPr>
                <w:rFonts w:ascii="Times New Roman" w:hAnsi="Times New Roman" w:cs="Times New Roman"/>
                <w:b/>
                <w:bCs/>
                <w:sz w:val="18"/>
                <w:szCs w:val="18"/>
              </w:rPr>
              <w:t>c)</w:t>
            </w:r>
            <w:r w:rsidRPr="00022A53">
              <w:rPr>
                <w:rFonts w:ascii="Times New Roman" w:hAnsi="Times New Roman" w:cs="Times New Roman"/>
                <w:sz w:val="18"/>
                <w:szCs w:val="18"/>
              </w:rPr>
              <w:t xml:space="preserve"> is presented as percentage change from 2 hours. The experiment was performed in triplicate with mean values ± standard deviations plotted. Statistical analysis was performed using two-way analysis of variance (ANOVA) with Šídák's multiple comparisons post-test * </w:t>
            </w:r>
            <w:r w:rsidRPr="00022A53">
              <w:rPr>
                <w:rFonts w:ascii="Times New Roman" w:hAnsi="Times New Roman" w:cs="Times New Roman"/>
                <w:i/>
                <w:iCs/>
                <w:sz w:val="18"/>
                <w:szCs w:val="18"/>
              </w:rPr>
              <w:t>P &lt;</w:t>
            </w:r>
            <w:r w:rsidRPr="00022A53">
              <w:rPr>
                <w:rFonts w:ascii="Times New Roman" w:hAnsi="Times New Roman" w:cs="Times New Roman"/>
                <w:sz w:val="18"/>
                <w:szCs w:val="18"/>
              </w:rPr>
              <w:t xml:space="preserve"> 0.05</w:t>
            </w:r>
            <w:r>
              <w:rPr>
                <w:rFonts w:ascii="Times New Roman" w:hAnsi="Times New Roman" w:cs="Times New Roman"/>
                <w:sz w:val="18"/>
                <w:szCs w:val="18"/>
              </w:rPr>
              <w:t>.</w:t>
            </w:r>
          </w:p>
        </w:tc>
      </w:tr>
      <w:tr w:rsidR="00187693" w14:paraId="26A8B676" w14:textId="77777777" w:rsidTr="00A74445">
        <w:trPr>
          <w:trHeight w:val="185"/>
        </w:trPr>
        <w:tc>
          <w:tcPr>
            <w:tcW w:w="8865" w:type="dxa"/>
          </w:tcPr>
          <w:p w14:paraId="3D8EB453" w14:textId="77777777" w:rsidR="00187693" w:rsidRPr="001F46BE" w:rsidRDefault="00187693" w:rsidP="00A74445">
            <w:pPr>
              <w:jc w:val="both"/>
              <w:rPr>
                <w:rFonts w:ascii="Times New Roman" w:hAnsi="Times New Roman" w:cs="Times New Roman"/>
                <w:b/>
                <w:bCs/>
                <w:sz w:val="18"/>
                <w:szCs w:val="18"/>
              </w:rPr>
            </w:pPr>
          </w:p>
        </w:tc>
      </w:tr>
    </w:tbl>
    <w:p w14:paraId="316C8C55" w14:textId="77777777" w:rsidR="00187693" w:rsidRDefault="00187693" w:rsidP="00187693">
      <w:pPr>
        <w:pStyle w:val="Heading2"/>
      </w:pPr>
      <w:bookmarkStart w:id="159" w:name="_Toc142043652"/>
      <w:r>
        <w:t>5.3. Investigating the expression of (p)ppGpp synthetases in the presence of stressors and during macrophage infection</w:t>
      </w:r>
      <w:bookmarkEnd w:id="159"/>
    </w:p>
    <w:p w14:paraId="2C506CF3" w14:textId="77777777" w:rsidR="00187693" w:rsidRDefault="00187693" w:rsidP="00187693"/>
    <w:p w14:paraId="1AF859F6" w14:textId="7824313F" w:rsidR="0041598B" w:rsidRDefault="00187693" w:rsidP="00187693">
      <w:pPr>
        <w:spacing w:line="360" w:lineRule="auto"/>
        <w:jc w:val="both"/>
        <w:rPr>
          <w:rFonts w:ascii="Times New Roman" w:hAnsi="Times New Roman" w:cs="Times New Roman"/>
        </w:rPr>
      </w:pPr>
      <w:r>
        <w:rPr>
          <w:rFonts w:ascii="Times New Roman" w:hAnsi="Times New Roman" w:cs="Times New Roman"/>
        </w:rPr>
        <w:t xml:space="preserve">It is well known that the (p)ppGpp synthetases are induced upon different stresses e.g. Rel is induced upon amino acid limitation </w:t>
      </w:r>
      <w:r w:rsidRPr="00695BFA">
        <w:rPr>
          <w:rFonts w:ascii="Times New Roman" w:hAnsi="Times New Roman" w:cs="Times New Roman"/>
          <w:b/>
          <w:bCs/>
        </w:rPr>
        <w:fldChar w:fldCharType="begin"/>
      </w:r>
      <w:r w:rsidRPr="00695BFA">
        <w:rPr>
          <w:rFonts w:ascii="Times New Roman" w:hAnsi="Times New Roman" w:cs="Times New Roman"/>
          <w:b/>
          <w:bCs/>
        </w:rPr>
        <w:instrText xml:space="preserve"> ADDIN EN.CITE &lt;EndNote&gt;&lt;Cite&gt;&lt;Author&gt;Cassels&lt;/Author&gt;&lt;Year&gt;1995&lt;/Year&gt;&lt;IDText&gt;Occurrence of the regulatory nucleotides ppGpp and pppGpp following induction of the stringent response in staphylococci&lt;/IDText&gt;&lt;DisplayText&gt;(Cassels, Oliva and Knowles, 1995)&lt;/DisplayText&gt;&lt;record&gt;&lt;dates&gt;&lt;pub-dates&gt;&lt;date&gt;Sep&lt;/date&gt;&lt;/pub-dates&gt;&lt;year&gt;1995&lt;/year&gt;&lt;/dates&gt;&lt;urls&gt;&lt;related-urls&gt;&lt;/related-urls&gt;&lt;/urls&gt;&lt;isbn&gt;0021-9193&lt;/isbn&gt;&lt;titles&gt;&lt;title&gt;Occurrence of the regulatory nucleotides ppGpp and pppGpp following induction of the stringent response in staphylococci&lt;/title&gt;&lt;secondary-title&gt;Journal of Bacteriology&lt;/secondary-title&gt;&lt;/titles&gt;&lt;pages&gt;5161-5165&lt;/pages&gt;&lt;number&gt;17&lt;/number&gt;&lt;contributors&gt;&lt;authors&gt;&lt;author&gt;Cassels, R.&lt;/author&gt;&lt;author&gt;Oliva, B.&lt;/author&gt;&lt;author&gt;Knowles, D.&lt;/author&gt;&lt;/authors&gt;&lt;/contributors&gt;&lt;added-date format="utc"&gt;1663612898&lt;/added-date&gt;&lt;ref-type name="Journal Article"&gt;17&lt;/ref-type&gt;&lt;rec-number&gt;69&lt;/rec-number&gt;&lt;last-updated-date format="utc"&gt;1675729383&lt;/last-updated-date&gt;&lt;accession-num&gt;WOS:A1995RR98100047&lt;/accession-num&gt;&lt;electronic-resource-num&gt;10.1128/jb.177.17.5161-5165.1995&lt;/electronic-resource-num&gt;&lt;volume&gt;177&lt;/volume&gt;&lt;/record&gt;&lt;/Cite&gt;&lt;/EndNote&gt;</w:instrText>
      </w:r>
      <w:r w:rsidRPr="00695BFA">
        <w:rPr>
          <w:rFonts w:ascii="Times New Roman" w:hAnsi="Times New Roman" w:cs="Times New Roman"/>
          <w:b/>
          <w:bCs/>
        </w:rPr>
        <w:fldChar w:fldCharType="separate"/>
      </w:r>
      <w:r w:rsidRPr="00695BFA">
        <w:rPr>
          <w:rFonts w:ascii="Times New Roman" w:hAnsi="Times New Roman" w:cs="Times New Roman"/>
          <w:b/>
          <w:bCs/>
          <w:noProof/>
        </w:rPr>
        <w:t>(Cassels, Oliva and Knowles, 1995)</w:t>
      </w:r>
      <w:r w:rsidRPr="00695BFA">
        <w:rPr>
          <w:rFonts w:ascii="Times New Roman" w:hAnsi="Times New Roman" w:cs="Times New Roman"/>
          <w:b/>
          <w:bCs/>
        </w:rPr>
        <w:fldChar w:fldCharType="end"/>
      </w:r>
      <w:r>
        <w:rPr>
          <w:rFonts w:ascii="Times New Roman" w:hAnsi="Times New Roman" w:cs="Times New Roman"/>
        </w:rPr>
        <w:t xml:space="preserve"> while RelP and RelQ are induced upon cell wall stress for example administration of antibiotics amongst other stresses </w:t>
      </w:r>
      <w:r w:rsidRPr="00695BFA">
        <w:rPr>
          <w:rFonts w:ascii="Times New Roman" w:hAnsi="Times New Roman" w:cs="Times New Roman"/>
          <w:b/>
          <w:bCs/>
        </w:rPr>
        <w:fldChar w:fldCharType="begin">
          <w:fldData xml:space="preserve">PEVuZE5vdGU+PENpdGU+PEF1dGhvcj5BYnJhbmNoZXM8L0F1dGhvcj48WWVhcj4yMDA5PC9ZZWFy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</w:fldData>
        </w:fldChar>
      </w:r>
      <w:r w:rsidRPr="00695BFA">
        <w:rPr>
          <w:rFonts w:ascii="Times New Roman" w:hAnsi="Times New Roman" w:cs="Times New Roman"/>
          <w:b/>
          <w:bCs/>
        </w:rPr>
        <w:instrText xml:space="preserve"> ADDIN EN.CITE </w:instrText>
      </w:r>
      <w:r w:rsidRPr="00695BFA">
        <w:rPr>
          <w:rFonts w:ascii="Times New Roman" w:hAnsi="Times New Roman" w:cs="Times New Roman"/>
          <w:b/>
          <w:bCs/>
        </w:rPr>
        <w:fldChar w:fldCharType="begin">
          <w:fldData xml:space="preserve">PEVuZE5vdGU+PENpdGU+PEF1dGhvcj5BYnJhbmNoZXM8L0F1dGhvcj48WWVhcj4yMDA5PC9ZZWFy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</w:fldData>
        </w:fldChar>
      </w:r>
      <w:r w:rsidRPr="00695BFA">
        <w:rPr>
          <w:rFonts w:ascii="Times New Roman" w:hAnsi="Times New Roman" w:cs="Times New Roman"/>
          <w:b/>
          <w:bCs/>
        </w:rPr>
        <w:instrText xml:space="preserve"> ADDIN EN.CITE.DATA </w:instrText>
      </w:r>
      <w:r w:rsidRPr="00695BFA">
        <w:rPr>
          <w:rFonts w:ascii="Times New Roman" w:hAnsi="Times New Roman" w:cs="Times New Roman"/>
          <w:b/>
          <w:bCs/>
        </w:rPr>
      </w:r>
      <w:r w:rsidRPr="00695BFA">
        <w:rPr>
          <w:rFonts w:ascii="Times New Roman" w:hAnsi="Times New Roman" w:cs="Times New Roman"/>
          <w:b/>
          <w:bCs/>
        </w:rPr>
        <w:fldChar w:fldCharType="end"/>
      </w:r>
      <w:r w:rsidRPr="00695BFA">
        <w:rPr>
          <w:rFonts w:ascii="Times New Roman" w:hAnsi="Times New Roman" w:cs="Times New Roman"/>
          <w:b/>
          <w:bCs/>
        </w:rPr>
      </w:r>
      <w:r w:rsidRPr="00695BFA">
        <w:rPr>
          <w:rFonts w:ascii="Times New Roman" w:hAnsi="Times New Roman" w:cs="Times New Roman"/>
          <w:b/>
          <w:bCs/>
        </w:rPr>
        <w:fldChar w:fldCharType="separate"/>
      </w:r>
      <w:r w:rsidRPr="00695BFA">
        <w:rPr>
          <w:rFonts w:ascii="Times New Roman" w:hAnsi="Times New Roman" w:cs="Times New Roman"/>
          <w:b/>
          <w:bCs/>
          <w:noProof/>
        </w:rPr>
        <w:t>(Abranches</w:t>
      </w:r>
      <w:r w:rsidRPr="00695BFA">
        <w:rPr>
          <w:rFonts w:ascii="Times New Roman" w:hAnsi="Times New Roman" w:cs="Times New Roman"/>
          <w:b/>
          <w:bCs/>
          <w:i/>
          <w:noProof/>
        </w:rPr>
        <w:t xml:space="preserve"> et al.</w:t>
      </w:r>
      <w:r w:rsidRPr="00695BFA">
        <w:rPr>
          <w:rFonts w:ascii="Times New Roman" w:hAnsi="Times New Roman" w:cs="Times New Roman"/>
          <w:b/>
          <w:bCs/>
          <w:noProof/>
        </w:rPr>
        <w:t>, 2009; Geiger</w:t>
      </w:r>
      <w:r w:rsidRPr="00695BFA">
        <w:rPr>
          <w:rFonts w:ascii="Times New Roman" w:hAnsi="Times New Roman" w:cs="Times New Roman"/>
          <w:b/>
          <w:bCs/>
          <w:i/>
          <w:noProof/>
        </w:rPr>
        <w:t xml:space="preserve"> et al.</w:t>
      </w:r>
      <w:r w:rsidRPr="00695BFA">
        <w:rPr>
          <w:rFonts w:ascii="Times New Roman" w:hAnsi="Times New Roman" w:cs="Times New Roman"/>
          <w:b/>
          <w:bCs/>
          <w:noProof/>
        </w:rPr>
        <w:t>, 2014)</w:t>
      </w:r>
      <w:r w:rsidRPr="00695BFA">
        <w:rPr>
          <w:rFonts w:ascii="Times New Roman" w:hAnsi="Times New Roman" w:cs="Times New Roman"/>
          <w:b/>
          <w:bCs/>
        </w:rPr>
        <w:fldChar w:fldCharType="end"/>
      </w:r>
      <w:r>
        <w:rPr>
          <w:rFonts w:ascii="Times New Roman" w:hAnsi="Times New Roman" w:cs="Times New Roman"/>
        </w:rPr>
        <w:t xml:space="preserve">. However, it is unclear when each synthetase is induced in the presence of a particular stressor. Identifying when each synthetase is expressed during infection may give insight into when each stressor within the phagolysosome affects the bacteria most, and thus when the expression of a particular synthetase is necessary. To determine when the expression of each synthetase occurs, synthetase-GFP fusions (bacteria only) were analysed by flow cytometry </w:t>
      </w:r>
      <w:r>
        <w:rPr>
          <w:rFonts w:ascii="Times New Roman" w:hAnsi="Times New Roman" w:cs="Times New Roman"/>
          <w:b/>
          <w:bCs/>
        </w:rPr>
        <w:t xml:space="preserve">(Fig. 5.3.1a-f) </w:t>
      </w:r>
      <w:r>
        <w:rPr>
          <w:rFonts w:ascii="Times New Roman" w:hAnsi="Times New Roman" w:cs="Times New Roman"/>
        </w:rPr>
        <w:t xml:space="preserve">and GFP fluorescence was measured at two hours post antibiotic administration. </w:t>
      </w:r>
      <w:r w:rsidRPr="006F2228">
        <w:rPr>
          <w:rFonts w:ascii="Times New Roman" w:hAnsi="Times New Roman" w:cs="Times New Roman"/>
          <w:b/>
          <w:bCs/>
        </w:rPr>
        <w:t xml:space="preserve">Figure 3.4.8 </w:t>
      </w:r>
      <w:r w:rsidRPr="006F2228">
        <w:rPr>
          <w:rFonts w:ascii="Times New Roman" w:hAnsi="Times New Roman" w:cs="Times New Roman"/>
        </w:rPr>
        <w:t xml:space="preserve">shows that </w:t>
      </w:r>
      <w:r>
        <w:rPr>
          <w:rFonts w:ascii="Times New Roman" w:hAnsi="Times New Roman" w:cs="Times New Roman"/>
        </w:rPr>
        <w:t xml:space="preserve">the fluorescence detected from </w:t>
      </w:r>
      <w:r w:rsidRPr="006F2228">
        <w:rPr>
          <w:rFonts w:ascii="Times New Roman" w:hAnsi="Times New Roman" w:cs="Times New Roman"/>
        </w:rPr>
        <w:t>each synthetase</w:t>
      </w:r>
      <w:r w:rsidR="0041598B">
        <w:rPr>
          <w:rFonts w:ascii="Times New Roman" w:hAnsi="Times New Roman" w:cs="Times New Roman"/>
        </w:rPr>
        <w:t>-GFP</w:t>
      </w:r>
      <w:r w:rsidRPr="006F2228">
        <w:rPr>
          <w:rFonts w:ascii="Times New Roman" w:hAnsi="Times New Roman" w:cs="Times New Roman"/>
        </w:rPr>
        <w:t xml:space="preserve"> fusion </w:t>
      </w:r>
      <w:r>
        <w:rPr>
          <w:rFonts w:ascii="Times New Roman" w:hAnsi="Times New Roman" w:cs="Times New Roman"/>
        </w:rPr>
        <w:t>was not very high</w:t>
      </w:r>
      <w:r w:rsidRPr="006F2228">
        <w:rPr>
          <w:rFonts w:ascii="Times New Roman" w:hAnsi="Times New Roman" w:cs="Times New Roman"/>
        </w:rPr>
        <w:t xml:space="preserve"> </w:t>
      </w:r>
      <w:r w:rsidR="0041598B">
        <w:rPr>
          <w:rFonts w:ascii="Times New Roman" w:hAnsi="Times New Roman" w:cs="Times New Roman"/>
        </w:rPr>
        <w:t>when</w:t>
      </w:r>
      <w:r w:rsidRPr="006F2228">
        <w:rPr>
          <w:rFonts w:ascii="Times New Roman" w:hAnsi="Times New Roman" w:cs="Times New Roman"/>
        </w:rPr>
        <w:t xml:space="preserve"> using a platereader</w:t>
      </w:r>
      <w:r>
        <w:rPr>
          <w:rFonts w:ascii="Times New Roman" w:hAnsi="Times New Roman" w:cs="Times New Roman"/>
        </w:rPr>
        <w:t>,</w:t>
      </w:r>
      <w:r w:rsidRPr="006F2228">
        <w:rPr>
          <w:rFonts w:ascii="Times New Roman" w:hAnsi="Times New Roman" w:cs="Times New Roman"/>
        </w:rPr>
        <w:t xml:space="preserve"> however a flow cytometer may be more </w:t>
      </w:r>
      <w:r>
        <w:rPr>
          <w:rFonts w:ascii="Times New Roman" w:hAnsi="Times New Roman" w:cs="Times New Roman"/>
        </w:rPr>
        <w:t>sensitive</w:t>
      </w:r>
      <w:r w:rsidRPr="006F2228">
        <w:rPr>
          <w:rFonts w:ascii="Times New Roman" w:hAnsi="Times New Roman" w:cs="Times New Roman"/>
        </w:rPr>
        <w:t xml:space="preserve"> than a platereader as the cell population is gated to remove debris</w:t>
      </w:r>
      <w:r>
        <w:rPr>
          <w:rFonts w:ascii="Times New Roman" w:hAnsi="Times New Roman" w:cs="Times New Roman"/>
        </w:rPr>
        <w:t xml:space="preserve"> and </w:t>
      </w:r>
      <w:r w:rsidRPr="006F2228">
        <w:rPr>
          <w:rFonts w:ascii="Times New Roman" w:hAnsi="Times New Roman" w:cs="Times New Roman"/>
        </w:rPr>
        <w:t xml:space="preserve">so this method was </w:t>
      </w:r>
      <w:r>
        <w:rPr>
          <w:rFonts w:ascii="Times New Roman" w:hAnsi="Times New Roman" w:cs="Times New Roman"/>
        </w:rPr>
        <w:t>tested</w:t>
      </w:r>
      <w:r w:rsidRPr="006F2228">
        <w:rPr>
          <w:rFonts w:ascii="Times New Roman" w:hAnsi="Times New Roman" w:cs="Times New Roman"/>
        </w:rPr>
        <w:t>.</w:t>
      </w:r>
      <w:r>
        <w:rPr>
          <w:rFonts w:ascii="Times New Roman" w:hAnsi="Times New Roman" w:cs="Times New Roman"/>
        </w:rPr>
        <w:t xml:space="preserve"> The flow cytometry plots for the pCL55 empty vector control show that in both the presence and absence of 60 </w:t>
      </w:r>
      <w:r w:rsidRPr="00B2481F">
        <w:rPr>
          <w:rFonts w:ascii="Times New Roman" w:hAnsi="Times New Roman" w:cs="Times New Roman"/>
        </w:rPr>
        <w:t xml:space="preserve">μg/ml </w:t>
      </w:r>
      <w:r>
        <w:rPr>
          <w:rFonts w:ascii="Times New Roman" w:hAnsi="Times New Roman" w:cs="Times New Roman"/>
        </w:rPr>
        <w:t xml:space="preserve">mupirocin (5X MIC), which induces expressed of Rel by mimicking amino acid starvation, there is no change in green fluorescence, as expected as the empty vector control does not express GFP </w:t>
      </w:r>
      <w:r>
        <w:rPr>
          <w:rFonts w:ascii="Times New Roman" w:hAnsi="Times New Roman" w:cs="Times New Roman"/>
          <w:b/>
          <w:bCs/>
        </w:rPr>
        <w:t>(Fig. 5.3.1a)</w:t>
      </w:r>
      <w:r>
        <w:rPr>
          <w:rFonts w:ascii="Times New Roman" w:hAnsi="Times New Roman" w:cs="Times New Roman"/>
        </w:rPr>
        <w:t>. The green fluorescence counts for the positive control JE2-GFP, is increased in comparison with a peak at 10</w:t>
      </w:r>
      <w:r>
        <w:rPr>
          <w:rFonts w:ascii="Times New Roman" w:hAnsi="Times New Roman" w:cs="Times New Roman"/>
          <w:vertAlign w:val="superscript"/>
        </w:rPr>
        <w:t>4</w:t>
      </w:r>
      <w:r>
        <w:rPr>
          <w:rFonts w:ascii="Times New Roman" w:hAnsi="Times New Roman" w:cs="Times New Roman"/>
        </w:rPr>
        <w:t xml:space="preserve"> indicating a fluorescent population, but again, there is no difference in fluorescence when mupirocin is present or absent </w:t>
      </w:r>
      <w:r>
        <w:rPr>
          <w:rFonts w:ascii="Times New Roman" w:hAnsi="Times New Roman" w:cs="Times New Roman"/>
          <w:b/>
          <w:bCs/>
        </w:rPr>
        <w:t>(Fig. 5.3.1b)</w:t>
      </w:r>
      <w:r>
        <w:rPr>
          <w:rFonts w:ascii="Times New Roman" w:hAnsi="Times New Roman" w:cs="Times New Roman"/>
        </w:rPr>
        <w:t>. The Rel-GFP synthetase fusion (JE2 pCL55-P</w:t>
      </w:r>
      <w:r>
        <w:rPr>
          <w:rFonts w:ascii="Times New Roman" w:hAnsi="Times New Roman" w:cs="Times New Roman"/>
          <w:i/>
          <w:iCs/>
        </w:rPr>
        <w:t>rel</w:t>
      </w:r>
      <w:r>
        <w:rPr>
          <w:rFonts w:ascii="Times New Roman" w:hAnsi="Times New Roman" w:cs="Times New Roman"/>
          <w:i/>
          <w:iCs/>
        </w:rPr>
        <w:softHyphen/>
      </w:r>
      <w:r>
        <w:rPr>
          <w:rFonts w:ascii="Times New Roman" w:hAnsi="Times New Roman" w:cs="Times New Roman"/>
        </w:rPr>
        <w:t>-</w:t>
      </w:r>
      <w:r>
        <w:rPr>
          <w:rFonts w:ascii="Times New Roman" w:hAnsi="Times New Roman" w:cs="Times New Roman"/>
          <w:i/>
          <w:iCs/>
        </w:rPr>
        <w:t>rel</w:t>
      </w:r>
      <w:r>
        <w:rPr>
          <w:rFonts w:ascii="Times New Roman" w:hAnsi="Times New Roman" w:cs="Times New Roman"/>
        </w:rPr>
        <w:t xml:space="preserve">-GFP) however, fluoresces similar to the empty vector control in the presence and absence of mupirocin </w:t>
      </w:r>
      <w:r>
        <w:rPr>
          <w:rFonts w:ascii="Times New Roman" w:hAnsi="Times New Roman" w:cs="Times New Roman"/>
          <w:b/>
          <w:bCs/>
        </w:rPr>
        <w:t>(Fig. 5.3.1a and c)</w:t>
      </w:r>
      <w:r>
        <w:rPr>
          <w:rFonts w:ascii="Times New Roman" w:hAnsi="Times New Roman" w:cs="Times New Roman"/>
        </w:rPr>
        <w:t xml:space="preserve">. These results are validated by the mean fluorescence intensity values in </w:t>
      </w:r>
      <w:r>
        <w:rPr>
          <w:rFonts w:ascii="Times New Roman" w:hAnsi="Times New Roman" w:cs="Times New Roman"/>
          <w:b/>
          <w:bCs/>
        </w:rPr>
        <w:t>Figure 5.3.1d-f</w:t>
      </w:r>
      <w:r>
        <w:rPr>
          <w:rFonts w:ascii="Times New Roman" w:hAnsi="Times New Roman" w:cs="Times New Roman"/>
        </w:rPr>
        <w:t xml:space="preserve"> which demonstrates that the empty vector and Rel-GFP synthetase fusion fluoresces similarly, while the JE2 GFP positive control exhibits much higher fluorescence. RelP-GFP and RelQ-GFP synthetase fusions were also examined in the presence of 640 </w:t>
      </w:r>
      <w:r w:rsidRPr="00B2481F">
        <w:rPr>
          <w:rFonts w:ascii="Times New Roman" w:hAnsi="Times New Roman" w:cs="Times New Roman"/>
        </w:rPr>
        <w:t xml:space="preserve">μg/ml </w:t>
      </w:r>
      <w:r>
        <w:rPr>
          <w:rFonts w:ascii="Times New Roman" w:hAnsi="Times New Roman" w:cs="Times New Roman"/>
        </w:rPr>
        <w:t>ampicillin (5X MIC) however, these experiments yielded the same results as the Rel-GFP fusion, in that no change in fluorescence was observed after two hours incubation with ampicillin data not shown). The flow cytometry data suggests that upon antibiotic stress, the synthetase-GFP fusions do not fluoresce at two hours</w:t>
      </w:r>
      <w:r w:rsidR="0041598B">
        <w:rPr>
          <w:rFonts w:ascii="Times New Roman" w:hAnsi="Times New Roman" w:cs="Times New Roman"/>
        </w:rPr>
        <w:t xml:space="preserve"> using flow cytometry.</w:t>
      </w:r>
    </w:p>
    <w:p w14:paraId="09CA9DC4" w14:textId="28063AD3" w:rsidR="00187693" w:rsidRPr="0041598B" w:rsidRDefault="00187693" w:rsidP="00187693">
      <w:pPr>
        <w:spacing w:line="360" w:lineRule="auto"/>
        <w:jc w:val="both"/>
        <w:rPr>
          <w:rFonts w:ascii="Times New Roman" w:hAnsi="Times New Roman" w:cs="Times New Roman"/>
          <w:color w:val="000000" w:themeColor="text1"/>
        </w:rPr>
      </w:pPr>
      <w:r>
        <w:rPr>
          <w:rFonts w:ascii="Times New Roman" w:hAnsi="Times New Roman" w:cs="Times New Roman"/>
        </w:rPr>
        <w:tab/>
        <w:t>To further examine the expression of Rel and to determine the importance of t</w:t>
      </w:r>
      <w:r w:rsidR="0041598B">
        <w:rPr>
          <w:rFonts w:ascii="Times New Roman" w:hAnsi="Times New Roman" w:cs="Times New Roman"/>
        </w:rPr>
        <w:t>his</w:t>
      </w:r>
      <w:r>
        <w:rPr>
          <w:rFonts w:ascii="Times New Roman" w:hAnsi="Times New Roman" w:cs="Times New Roman"/>
        </w:rPr>
        <w:t xml:space="preserve"> synthetase during infection, primary human monocyte-derived macrophages (MDMs) infected with the Rel-GFP synthetase fusion were visualised by microscopy. Bacteria were stained red with NHS ester to allow discrimination of individual bacteria</w:t>
      </w:r>
      <w:r w:rsidRPr="004F4C07">
        <w:rPr>
          <w:rFonts w:ascii="Times New Roman" w:hAnsi="Times New Roman" w:cs="Times New Roman"/>
          <w:color w:val="000000" w:themeColor="text1"/>
        </w:rPr>
        <w:t>. Preliminary experiments performed by Dr Lucy Urwin ha</w:t>
      </w:r>
      <w:r>
        <w:rPr>
          <w:rFonts w:ascii="Times New Roman" w:hAnsi="Times New Roman" w:cs="Times New Roman"/>
          <w:color w:val="000000" w:themeColor="text1"/>
        </w:rPr>
        <w:t>ve</w:t>
      </w:r>
      <w:r w:rsidRPr="004F4C07">
        <w:rPr>
          <w:rFonts w:ascii="Times New Roman" w:hAnsi="Times New Roman" w:cs="Times New Roman"/>
          <w:color w:val="000000" w:themeColor="text1"/>
        </w:rPr>
        <w:t xml:space="preserve"> demonstrated that in comparison to WT, fewer (p)ppGpp</w:t>
      </w:r>
      <w:r w:rsidRPr="004F4C07">
        <w:rPr>
          <w:rFonts w:ascii="Times New Roman" w:hAnsi="Times New Roman" w:cs="Times New Roman"/>
          <w:color w:val="000000" w:themeColor="text1"/>
          <w:vertAlign w:val="superscript"/>
        </w:rPr>
        <w:t>0</w:t>
      </w:r>
      <w:r w:rsidRPr="004F4C07">
        <w:rPr>
          <w:rFonts w:ascii="Times New Roman" w:hAnsi="Times New Roman" w:cs="Times New Roman"/>
          <w:color w:val="000000" w:themeColor="text1"/>
        </w:rPr>
        <w:t xml:space="preserve"> mutant colonies were recovered from MDMs at 6 hpi. </w:t>
      </w:r>
      <w:r>
        <w:rPr>
          <w:rFonts w:ascii="Times New Roman" w:hAnsi="Times New Roman" w:cs="Times New Roman"/>
        </w:rPr>
        <w:t xml:space="preserve">These results demonstrate that the stringent response is necessary at this 6 hpi, thus, the macrophages were imaged at this timepoint to determine whether Rel was being expressed while in the presence of the stressors found in a phagolysosome. The Alexa Fluor 555 channel shows intracellular </w:t>
      </w:r>
      <w:r>
        <w:rPr>
          <w:rFonts w:ascii="Times New Roman" w:hAnsi="Times New Roman" w:cs="Times New Roman"/>
          <w:i/>
          <w:iCs/>
        </w:rPr>
        <w:t>S. aureus</w:t>
      </w:r>
      <w:r>
        <w:rPr>
          <w:rFonts w:ascii="Times New Roman" w:hAnsi="Times New Roman" w:cs="Times New Roman"/>
        </w:rPr>
        <w:t xml:space="preserve"> however, the GFP channel reveals autofluorescence of the MDMs rather than fluorescent bacteria </w:t>
      </w:r>
      <w:r>
        <w:rPr>
          <w:rFonts w:ascii="Times New Roman" w:hAnsi="Times New Roman" w:cs="Times New Roman"/>
          <w:b/>
          <w:bCs/>
        </w:rPr>
        <w:t>(Fig. 5.3.1g)</w:t>
      </w:r>
      <w:r>
        <w:rPr>
          <w:rFonts w:ascii="Times New Roman" w:hAnsi="Times New Roman" w:cs="Times New Roman"/>
        </w:rPr>
        <w:t xml:space="preserve">. Two foci are highlighted by the white arrow however, these are likely to be artefacts given the amount of autofluorescence exhibited by the MDMs </w:t>
      </w:r>
      <w:r>
        <w:rPr>
          <w:rFonts w:ascii="Times New Roman" w:hAnsi="Times New Roman" w:cs="Times New Roman"/>
          <w:b/>
          <w:bCs/>
        </w:rPr>
        <w:t>(Fig. 5.3.1g)</w:t>
      </w:r>
      <w:r>
        <w:rPr>
          <w:rFonts w:ascii="Times New Roman" w:hAnsi="Times New Roman" w:cs="Times New Roman"/>
        </w:rPr>
        <w:t>. The RelP-GFP and RelQ-GFP synthetase fusions were subject to the same analyses and it was revealed that these synthetase do not fluoresce within MDMs at 6 hpi either (data not shown). These results suggest that at 6 hpi, fluorescence of the synthetase-GFP fusions was no</w:t>
      </w:r>
      <w:r w:rsidR="004C73B1">
        <w:rPr>
          <w:rFonts w:ascii="Times New Roman" w:hAnsi="Times New Roman" w:cs="Times New Roman"/>
        </w:rPr>
        <w:t>t</w:t>
      </w:r>
      <w:r>
        <w:rPr>
          <w:rFonts w:ascii="Times New Roman" w:hAnsi="Times New Roman" w:cs="Times New Roman"/>
        </w:rPr>
        <w:t xml:space="preserve"> detectable using the detection systems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20C93782" w14:textId="77777777" w:rsidTr="00A74445">
        <w:tc>
          <w:tcPr>
            <w:tcW w:w="9016" w:type="dxa"/>
          </w:tcPr>
          <w:p w14:paraId="3D131995" w14:textId="77777777" w:rsidR="00187693" w:rsidRDefault="00187693" w:rsidP="00A74445">
            <w:r>
              <w:rPr>
                <w:noProof/>
              </w:rPr>
              <w:drawing>
                <wp:inline distT="0" distB="0" distL="0" distR="0" wp14:anchorId="0188F43E" wp14:editId="7E0EB0C2">
                  <wp:extent cx="5669992" cy="5200153"/>
                  <wp:effectExtent l="0" t="0" r="0" b="635"/>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7195" cy="5243444"/>
                          </a:xfrm>
                          <a:prstGeom prst="rect">
                            <a:avLst/>
                          </a:prstGeom>
                          <a:noFill/>
                        </pic:spPr>
                      </pic:pic>
                    </a:graphicData>
                  </a:graphic>
                </wp:inline>
              </w:drawing>
            </w:r>
          </w:p>
        </w:tc>
      </w:tr>
      <w:tr w:rsidR="00187693" w14:paraId="113DF053" w14:textId="77777777" w:rsidTr="00A74445">
        <w:tc>
          <w:tcPr>
            <w:tcW w:w="9016" w:type="dxa"/>
          </w:tcPr>
          <w:p w14:paraId="6263298D" w14:textId="77777777" w:rsidR="00187693" w:rsidRPr="00A52D68" w:rsidRDefault="00187693" w:rsidP="00A74445">
            <w:pPr>
              <w:rPr>
                <w:rFonts w:ascii="Times New Roman" w:hAnsi="Times New Roman" w:cs="Times New Roman"/>
              </w:rPr>
            </w:pPr>
            <w:r w:rsidRPr="00A52D68">
              <w:rPr>
                <w:rFonts w:ascii="Times New Roman" w:hAnsi="Times New Roman" w:cs="Times New Roman"/>
                <w:b/>
                <w:bCs/>
                <w:sz w:val="18"/>
                <w:szCs w:val="18"/>
              </w:rPr>
              <w:t>Figure 5.</w:t>
            </w:r>
            <w:r>
              <w:rPr>
                <w:rFonts w:ascii="Times New Roman" w:hAnsi="Times New Roman" w:cs="Times New Roman"/>
                <w:b/>
                <w:bCs/>
                <w:sz w:val="18"/>
                <w:szCs w:val="18"/>
              </w:rPr>
              <w:t>3.</w:t>
            </w:r>
            <w:r w:rsidRPr="00A52D68">
              <w:rPr>
                <w:rFonts w:ascii="Times New Roman" w:hAnsi="Times New Roman" w:cs="Times New Roman"/>
                <w:b/>
                <w:bCs/>
                <w:sz w:val="18"/>
                <w:szCs w:val="18"/>
              </w:rPr>
              <w:t>1. The Rel-GFP synthetase fusions do not fluoresce in the presence of mupirocin or intracellularly within MDMs.</w:t>
            </w:r>
            <w:r w:rsidRPr="00A52D68">
              <w:rPr>
                <w:rFonts w:ascii="Times New Roman" w:hAnsi="Times New Roman" w:cs="Times New Roman"/>
                <w:sz w:val="18"/>
                <w:szCs w:val="18"/>
              </w:rPr>
              <w:t xml:space="preserve"> pCL55 empty vector </w:t>
            </w:r>
            <w:r w:rsidRPr="00A52D68">
              <w:rPr>
                <w:rFonts w:ascii="Times New Roman" w:hAnsi="Times New Roman" w:cs="Times New Roman"/>
                <w:b/>
                <w:bCs/>
                <w:sz w:val="18"/>
                <w:szCs w:val="18"/>
              </w:rPr>
              <w:t xml:space="preserve">a) </w:t>
            </w:r>
            <w:r w:rsidRPr="00A52D68">
              <w:rPr>
                <w:rFonts w:ascii="Times New Roman" w:hAnsi="Times New Roman" w:cs="Times New Roman"/>
                <w:sz w:val="18"/>
                <w:szCs w:val="18"/>
              </w:rPr>
              <w:t xml:space="preserve">the JE2 GFP positive control </w:t>
            </w:r>
            <w:r w:rsidRPr="00A52D68">
              <w:rPr>
                <w:rFonts w:ascii="Times New Roman" w:hAnsi="Times New Roman" w:cs="Times New Roman"/>
                <w:b/>
                <w:bCs/>
                <w:sz w:val="18"/>
                <w:szCs w:val="18"/>
              </w:rPr>
              <w:t>b)</w:t>
            </w:r>
            <w:r w:rsidRPr="00A52D68">
              <w:rPr>
                <w:rFonts w:ascii="Times New Roman" w:hAnsi="Times New Roman" w:cs="Times New Roman"/>
                <w:sz w:val="18"/>
                <w:szCs w:val="18"/>
              </w:rPr>
              <w:t xml:space="preserve"> and the Rel-GFP synthetase fusion (P</w:t>
            </w:r>
            <w:r w:rsidRPr="00A52D68">
              <w:rPr>
                <w:rFonts w:ascii="Times New Roman" w:hAnsi="Times New Roman" w:cs="Times New Roman"/>
                <w:i/>
                <w:iCs/>
                <w:sz w:val="18"/>
                <w:szCs w:val="18"/>
              </w:rPr>
              <w:t>rel</w:t>
            </w:r>
            <w:r w:rsidRPr="00A52D68">
              <w:rPr>
                <w:rFonts w:ascii="Times New Roman" w:hAnsi="Times New Roman" w:cs="Times New Roman"/>
                <w:sz w:val="18"/>
                <w:szCs w:val="18"/>
              </w:rPr>
              <w:t>-</w:t>
            </w:r>
            <w:r w:rsidRPr="00A52D68">
              <w:rPr>
                <w:rFonts w:ascii="Times New Roman" w:hAnsi="Times New Roman" w:cs="Times New Roman"/>
                <w:i/>
                <w:iCs/>
                <w:sz w:val="18"/>
                <w:szCs w:val="18"/>
              </w:rPr>
              <w:t>rel</w:t>
            </w:r>
            <w:r w:rsidRPr="00A52D68">
              <w:rPr>
                <w:rFonts w:ascii="Times New Roman" w:hAnsi="Times New Roman" w:cs="Times New Roman"/>
                <w:sz w:val="18"/>
                <w:szCs w:val="18"/>
              </w:rPr>
              <w:t xml:space="preserve">-GFP) </w:t>
            </w:r>
            <w:r w:rsidRPr="00A52D68">
              <w:rPr>
                <w:rFonts w:ascii="Times New Roman" w:hAnsi="Times New Roman" w:cs="Times New Roman"/>
                <w:b/>
                <w:bCs/>
                <w:sz w:val="18"/>
                <w:szCs w:val="18"/>
              </w:rPr>
              <w:t xml:space="preserve">c) </w:t>
            </w:r>
            <w:r w:rsidRPr="00A52D68">
              <w:rPr>
                <w:rFonts w:ascii="Times New Roman" w:hAnsi="Times New Roman" w:cs="Times New Roman"/>
                <w:sz w:val="18"/>
                <w:szCs w:val="18"/>
              </w:rPr>
              <w:t xml:space="preserve">were incubated in the presence or absence of 60 μg/ml mupirocin. Samples were collected before (0 hrs) and after (2 hrs) addition of mupirocin and GFP expression was quantified by flow cytometry. Flow cytometry plots in </w:t>
            </w:r>
            <w:r w:rsidRPr="00A52D68">
              <w:rPr>
                <w:rFonts w:ascii="Times New Roman" w:hAnsi="Times New Roman" w:cs="Times New Roman"/>
                <w:b/>
                <w:bCs/>
                <w:sz w:val="18"/>
                <w:szCs w:val="18"/>
              </w:rPr>
              <w:t xml:space="preserve">a)-c) </w:t>
            </w:r>
            <w:r w:rsidRPr="00A52D68">
              <w:rPr>
                <w:rFonts w:ascii="Times New Roman" w:hAnsi="Times New Roman" w:cs="Times New Roman"/>
                <w:sz w:val="18"/>
                <w:szCs w:val="18"/>
              </w:rPr>
              <w:t xml:space="preserve">represent samples taken after 2 hrs. </w:t>
            </w:r>
            <w:r w:rsidRPr="00A52D68">
              <w:rPr>
                <w:rFonts w:ascii="Times New Roman" w:hAnsi="Times New Roman" w:cs="Times New Roman"/>
                <w:b/>
                <w:bCs/>
                <w:sz w:val="18"/>
                <w:szCs w:val="18"/>
              </w:rPr>
              <w:t xml:space="preserve">d)-f) </w:t>
            </w:r>
            <w:r w:rsidRPr="00A52D68">
              <w:rPr>
                <w:rFonts w:ascii="Times New Roman" w:hAnsi="Times New Roman" w:cs="Times New Roman"/>
                <w:sz w:val="18"/>
                <w:szCs w:val="18"/>
              </w:rPr>
              <w:t>Median fluorescence intensities (MFI) values data from flow cytometric analyses were plotted for pCL55 empty vector, JE2 GFP and P</w:t>
            </w:r>
            <w:r w:rsidRPr="00A52D68">
              <w:rPr>
                <w:rFonts w:ascii="Times New Roman" w:hAnsi="Times New Roman" w:cs="Times New Roman"/>
                <w:i/>
                <w:iCs/>
                <w:sz w:val="18"/>
                <w:szCs w:val="18"/>
              </w:rPr>
              <w:t>rel</w:t>
            </w:r>
            <w:r w:rsidRPr="00A52D68">
              <w:rPr>
                <w:rFonts w:ascii="Times New Roman" w:hAnsi="Times New Roman" w:cs="Times New Roman"/>
                <w:sz w:val="18"/>
                <w:szCs w:val="18"/>
              </w:rPr>
              <w:t>-</w:t>
            </w:r>
            <w:r w:rsidRPr="00A52D68">
              <w:rPr>
                <w:rFonts w:ascii="Times New Roman" w:hAnsi="Times New Roman" w:cs="Times New Roman"/>
                <w:i/>
                <w:iCs/>
                <w:sz w:val="18"/>
                <w:szCs w:val="18"/>
              </w:rPr>
              <w:t>rel</w:t>
            </w:r>
            <w:r w:rsidRPr="00A52D68">
              <w:rPr>
                <w:rFonts w:ascii="Times New Roman" w:hAnsi="Times New Roman" w:cs="Times New Roman"/>
                <w:sz w:val="18"/>
                <w:szCs w:val="18"/>
              </w:rPr>
              <w:t xml:space="preserve">-GFP. </w:t>
            </w:r>
            <w:r w:rsidRPr="00A52D68">
              <w:rPr>
                <w:rFonts w:ascii="Times New Roman" w:hAnsi="Times New Roman" w:cs="Times New Roman"/>
                <w:b/>
                <w:bCs/>
                <w:sz w:val="18"/>
                <w:szCs w:val="18"/>
              </w:rPr>
              <w:t xml:space="preserve">g) </w:t>
            </w:r>
            <w:r w:rsidRPr="00A52D68">
              <w:rPr>
                <w:rFonts w:ascii="Times New Roman" w:hAnsi="Times New Roman" w:cs="Times New Roman"/>
                <w:sz w:val="18"/>
                <w:szCs w:val="18"/>
              </w:rPr>
              <w:t>Primary human monocyte-derived macrophages (MDMs) were infected with P</w:t>
            </w:r>
            <w:r w:rsidRPr="00A52D68">
              <w:rPr>
                <w:rFonts w:ascii="Times New Roman" w:hAnsi="Times New Roman" w:cs="Times New Roman"/>
                <w:i/>
                <w:iCs/>
                <w:sz w:val="18"/>
                <w:szCs w:val="18"/>
              </w:rPr>
              <w:t>rel</w:t>
            </w:r>
            <w:r w:rsidRPr="00A52D68">
              <w:rPr>
                <w:rFonts w:ascii="Times New Roman" w:hAnsi="Times New Roman" w:cs="Times New Roman"/>
                <w:sz w:val="18"/>
                <w:szCs w:val="18"/>
              </w:rPr>
              <w:t>-</w:t>
            </w:r>
            <w:r w:rsidRPr="00A52D68">
              <w:rPr>
                <w:rFonts w:ascii="Times New Roman" w:hAnsi="Times New Roman" w:cs="Times New Roman"/>
                <w:i/>
                <w:iCs/>
                <w:sz w:val="18"/>
                <w:szCs w:val="18"/>
              </w:rPr>
              <w:t>rel</w:t>
            </w:r>
            <w:r w:rsidRPr="00A52D68">
              <w:rPr>
                <w:rFonts w:ascii="Times New Roman" w:hAnsi="Times New Roman" w:cs="Times New Roman"/>
                <w:sz w:val="18"/>
                <w:szCs w:val="18"/>
              </w:rPr>
              <w:t>-GFP at MOI 20, using bacteria pre-stained with Alex Fluor 555 NHS Ester (red). Infected cells were fixed and visualised by microscopy at 6 h</w:t>
            </w:r>
            <w:r>
              <w:rPr>
                <w:rFonts w:ascii="Times New Roman" w:hAnsi="Times New Roman" w:cs="Times New Roman"/>
                <w:sz w:val="18"/>
                <w:szCs w:val="18"/>
              </w:rPr>
              <w:t xml:space="preserve">pi using a </w:t>
            </w:r>
            <w:r w:rsidRPr="008D7AC7">
              <w:rPr>
                <w:rFonts w:ascii="Times New Roman" w:hAnsi="Times New Roman" w:cs="Times New Roman"/>
                <w:sz w:val="18"/>
                <w:szCs w:val="18"/>
              </w:rPr>
              <w:t>Nikon Ti-E inverted microscope with Nikon 60X Plan Apochromat objective</w:t>
            </w:r>
            <w:r w:rsidRPr="00A52D68">
              <w:rPr>
                <w:rFonts w:ascii="Times New Roman" w:hAnsi="Times New Roman" w:cs="Times New Roman"/>
                <w:sz w:val="18"/>
                <w:szCs w:val="18"/>
              </w:rPr>
              <w:t>. Scale bars represent 50 μm.</w:t>
            </w:r>
            <w:r>
              <w:rPr>
                <w:rFonts w:ascii="Times New Roman" w:hAnsi="Times New Roman" w:cs="Times New Roman"/>
                <w:sz w:val="18"/>
                <w:szCs w:val="18"/>
              </w:rPr>
              <w:t xml:space="preserve"> All experiments performed by Dr Lucy Urwin. </w:t>
            </w:r>
          </w:p>
        </w:tc>
      </w:tr>
    </w:tbl>
    <w:p w14:paraId="10395B6D" w14:textId="77777777" w:rsidR="00187693" w:rsidRPr="00030F27" w:rsidRDefault="00187693" w:rsidP="00187693"/>
    <w:p w14:paraId="03750BB7" w14:textId="77777777" w:rsidR="00187693" w:rsidRPr="00323525" w:rsidRDefault="00187693" w:rsidP="00187693">
      <w:pPr>
        <w:pStyle w:val="Heading2"/>
        <w:rPr>
          <w:color w:val="FF0000"/>
        </w:rPr>
      </w:pPr>
      <w:bookmarkStart w:id="160" w:name="_Toc142043653"/>
      <w:r w:rsidRPr="00DC4DA9">
        <w:rPr>
          <w:color w:val="auto"/>
        </w:rPr>
        <w:t>5.</w:t>
      </w:r>
      <w:r>
        <w:rPr>
          <w:color w:val="auto"/>
        </w:rPr>
        <w:t>4</w:t>
      </w:r>
      <w:r w:rsidRPr="00DC4DA9">
        <w:rPr>
          <w:color w:val="auto"/>
        </w:rPr>
        <w:t>. The stringent response may be important in establishing oral infection</w:t>
      </w:r>
      <w:bookmarkEnd w:id="160"/>
      <w:r w:rsidRPr="00DC4DA9">
        <w:rPr>
          <w:color w:val="auto"/>
        </w:rPr>
        <w:t xml:space="preserve">  </w:t>
      </w:r>
    </w:p>
    <w:p w14:paraId="3C4F17EA" w14:textId="77777777" w:rsidR="00187693" w:rsidRDefault="00187693" w:rsidP="00187693">
      <w:pPr>
        <w:rPr>
          <w:rFonts w:ascii="Times New Roman" w:hAnsi="Times New Roman" w:cs="Times New Roman"/>
        </w:rPr>
      </w:pPr>
      <w:r>
        <w:rPr>
          <w:rFonts w:ascii="Times New Roman" w:hAnsi="Times New Roman" w:cs="Times New Roman"/>
        </w:rPr>
        <w:t xml:space="preserve"> </w:t>
      </w:r>
    </w:p>
    <w:p w14:paraId="41553AD5" w14:textId="77777777" w:rsidR="00187693" w:rsidRDefault="00187693" w:rsidP="00187693">
      <w:pPr>
        <w:spacing w:line="360" w:lineRule="auto"/>
        <w:jc w:val="both"/>
        <w:rPr>
          <w:rFonts w:ascii="Times New Roman" w:hAnsi="Times New Roman" w:cs="Times New Roman"/>
        </w:rPr>
      </w:pPr>
      <w:r w:rsidRPr="00AB5692">
        <w:rPr>
          <w:rFonts w:ascii="Times New Roman" w:hAnsi="Times New Roman" w:cs="Times New Roman"/>
        </w:rPr>
        <w:t>Tonsilitis</w:t>
      </w:r>
      <w:r>
        <w:rPr>
          <w:rFonts w:ascii="Times New Roman" w:hAnsi="Times New Roman" w:cs="Times New Roman"/>
        </w:rPr>
        <w:t xml:space="preserve"> is the inflammation of tonsils, most frequently the palatine tonsils, and can be caused by both bacteria and viruses.</w:t>
      </w:r>
      <w:r>
        <w:rPr>
          <w:rFonts w:ascii="Times New Roman" w:hAnsi="Times New Roman" w:cs="Times New Roman"/>
          <w:i/>
          <w:iCs/>
        </w:rPr>
        <w:t xml:space="preserve"> S. aureus</w:t>
      </w:r>
      <w:r>
        <w:rPr>
          <w:rFonts w:ascii="Times New Roman" w:hAnsi="Times New Roman" w:cs="Times New Roman"/>
        </w:rPr>
        <w:t xml:space="preserve"> is one of the predominant causative agents of recurrent tonsilitis in addition to </w:t>
      </w:r>
      <w:r>
        <w:rPr>
          <w:rFonts w:ascii="Times New Roman" w:hAnsi="Times New Roman" w:cs="Times New Roman"/>
          <w:i/>
          <w:iCs/>
        </w:rPr>
        <w:t>Streptococcus pyogenes</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with studies showing that approximately 57.7 % of cases are attributed to the former while 20.2 % are attributed to the latter </w:t>
      </w:r>
      <w:r w:rsidRPr="002110FE">
        <w:rPr>
          <w:rFonts w:ascii="Times New Roman" w:hAnsi="Times New Roman" w:cs="Times New Roman"/>
          <w:b/>
          <w:bCs/>
        </w:rPr>
        <w:fldChar w:fldCharType="begin">
          <w:fldData xml:space="preserve">PEVuZE5vdGU+PENpdGU+PEF1dGhvcj5aYXV0bmVyPC9BdXRob3I+PFllYXI+MjAxMDwvWWVhcj48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PEVuZE5vdGU+PENpdGU+PEF1dGhvcj5aYXV0bmVyPC9BdXRob3I+PFllYXI+MjAxMDwvWWVhcj48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2110FE">
        <w:rPr>
          <w:rFonts w:ascii="Times New Roman" w:hAnsi="Times New Roman" w:cs="Times New Roman"/>
          <w:b/>
          <w:bCs/>
        </w:rPr>
      </w:r>
      <w:r w:rsidRPr="002110FE">
        <w:rPr>
          <w:rFonts w:ascii="Times New Roman" w:hAnsi="Times New Roman" w:cs="Times New Roman"/>
          <w:b/>
          <w:bCs/>
        </w:rPr>
        <w:fldChar w:fldCharType="separate"/>
      </w:r>
      <w:r>
        <w:rPr>
          <w:rFonts w:ascii="Times New Roman" w:hAnsi="Times New Roman" w:cs="Times New Roman"/>
          <w:b/>
          <w:bCs/>
          <w:noProof/>
        </w:rPr>
        <w:t>(Zautner</w:t>
      </w:r>
      <w:r w:rsidRPr="00F95468">
        <w:rPr>
          <w:rFonts w:ascii="Times New Roman" w:hAnsi="Times New Roman" w:cs="Times New Roman"/>
          <w:b/>
          <w:bCs/>
          <w:i/>
          <w:noProof/>
        </w:rPr>
        <w:t xml:space="preserve"> et al.</w:t>
      </w:r>
      <w:r>
        <w:rPr>
          <w:rFonts w:ascii="Times New Roman" w:hAnsi="Times New Roman" w:cs="Times New Roman"/>
          <w:b/>
          <w:bCs/>
          <w:noProof/>
        </w:rPr>
        <w:t>, 2010; Cavalcanti</w:t>
      </w:r>
      <w:r w:rsidRPr="00F95468">
        <w:rPr>
          <w:rFonts w:ascii="Times New Roman" w:hAnsi="Times New Roman" w:cs="Times New Roman"/>
          <w:b/>
          <w:bCs/>
          <w:i/>
          <w:noProof/>
        </w:rPr>
        <w:t xml:space="preserve"> et al.</w:t>
      </w:r>
      <w:r>
        <w:rPr>
          <w:rFonts w:ascii="Times New Roman" w:hAnsi="Times New Roman" w:cs="Times New Roman"/>
          <w:b/>
          <w:bCs/>
          <w:noProof/>
        </w:rPr>
        <w:t>, 2019; Katkowska, Garbacz and Stromkowski, 2017; Kostic</w:t>
      </w:r>
      <w:r w:rsidRPr="00F95468">
        <w:rPr>
          <w:rFonts w:ascii="Times New Roman" w:hAnsi="Times New Roman" w:cs="Times New Roman"/>
          <w:b/>
          <w:bCs/>
          <w:i/>
          <w:noProof/>
        </w:rPr>
        <w:t xml:space="preserve"> et al.</w:t>
      </w:r>
      <w:r>
        <w:rPr>
          <w:rFonts w:ascii="Times New Roman" w:hAnsi="Times New Roman" w:cs="Times New Roman"/>
          <w:b/>
          <w:bCs/>
          <w:noProof/>
        </w:rPr>
        <w:t>, 2022)</w:t>
      </w:r>
      <w:r w:rsidRPr="002110FE">
        <w:rPr>
          <w:rFonts w:ascii="Times New Roman" w:hAnsi="Times New Roman" w:cs="Times New Roman"/>
          <w:b/>
          <w:bCs/>
        </w:rPr>
        <w:fldChar w:fldCharType="end"/>
      </w:r>
      <w:r>
        <w:rPr>
          <w:rFonts w:ascii="Times New Roman" w:hAnsi="Times New Roman" w:cs="Times New Roman"/>
        </w:rPr>
        <w:t xml:space="preserve">. Recurrent infections are due to persistence of </w:t>
      </w:r>
      <w:r>
        <w:rPr>
          <w:rFonts w:ascii="Times New Roman" w:hAnsi="Times New Roman" w:cs="Times New Roman"/>
          <w:i/>
          <w:iCs/>
        </w:rPr>
        <w:t>S. aureus</w:t>
      </w:r>
      <w:r>
        <w:rPr>
          <w:rFonts w:ascii="Times New Roman" w:hAnsi="Times New Roman" w:cs="Times New Roman"/>
        </w:rPr>
        <w:t xml:space="preserve"> within the tonsillar tissue </w:t>
      </w:r>
      <w:r w:rsidRPr="00036D7F">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&lt;EndNote&gt;&lt;Cite&gt;&lt;Author&gt;Cavalcanti&lt;/Author&gt;&lt;Year&gt;2019&lt;/Year&gt;&lt;IDText&gt;Staphylococcus aureus in tonsils of patients with recurrent tonsillitis: prevalence, susceptibility profile, and genotypic characterization&lt;/IDText&gt;&lt;DisplayText&gt;(Cavalcanti&lt;style face="italic"&gt; et al.&lt;/style&gt;, 2019)&lt;/DisplayText&gt;&lt;record&gt;&lt;dates&gt;&lt;pub-dates&gt;&lt;date&gt;Jan-Feb&lt;/date&gt;&lt;/pub-dates&gt;&lt;year&gt;2019&lt;/year&gt;&lt;/dates&gt;&lt;urls&gt;&lt;related-urls&gt;&lt;url&gt;&amp;lt;Go to ISI&amp;gt;://WOS:000486053500003&lt;/url&gt;&lt;/related-urls&gt;&lt;/urls&gt;&lt;isbn&gt;1413-8670&lt;/isbn&gt;&lt;work-type&gt;Article&lt;/work-type&gt;&lt;titles&gt;&lt;title&gt;Staphylococcus aureus in tonsils of patients with recurrent tonsillitis: prevalence, susceptibility profile, and genotypic characterization&lt;/title&gt;&lt;secondary-title&gt;Brazilian Journal of Infectious Diseases&lt;/secondary-title&gt;&lt;/titles&gt;&lt;pages&gt;8-14&lt;/pages&gt;&lt;number&gt;1&lt;/number&gt;&lt;contributors&gt;&lt;authors&gt;&lt;author&gt;Cavalcanti, Veraluce Paolini&lt;/author&gt;&lt;author&gt;de Camargo, Leandro Azevedo&lt;/author&gt;&lt;author&gt;Moura, Fabiano Santana&lt;/author&gt;&lt;author&gt;de Melo Fernandes, Edson Junior&lt;/author&gt;&lt;author&gt;Lamaro-Cardoso, Juliana&lt;/author&gt;&lt;author&gt;da Silva Bitencourt Braga, Carla Afonso&lt;/author&gt;&lt;author&gt;Porfirio Andre, Maria Claudia&lt;/author&gt;&lt;/authors&gt;&lt;/contributors&gt;&lt;added-date format="utc"&gt;1673968967&lt;/added-date&gt;&lt;ref-type name="Journal Article"&gt;17&lt;/ref-type&gt;&lt;rec-number&gt;203&lt;/rec-number&gt;&lt;last-updated-date format="utc"&gt;1673972573&lt;/last-updated-date&gt;&lt;accession-num&gt;WOS:000486053500003&lt;/accession-num&gt;&lt;electronic-resource-num&gt;10.1016/j.bjid.2018.12.003&lt;/electronic-resource-num&gt;&lt;volume&gt;23&lt;/volume&gt;&lt;/record&gt;&lt;/Cite&gt;&lt;/EndNote&gt;</w:instrText>
      </w:r>
      <w:r w:rsidRPr="00036D7F">
        <w:rPr>
          <w:rFonts w:ascii="Times New Roman" w:hAnsi="Times New Roman" w:cs="Times New Roman"/>
          <w:b/>
          <w:bCs/>
        </w:rPr>
        <w:fldChar w:fldCharType="separate"/>
      </w:r>
      <w:r>
        <w:rPr>
          <w:rFonts w:ascii="Times New Roman" w:hAnsi="Times New Roman" w:cs="Times New Roman"/>
          <w:b/>
          <w:bCs/>
          <w:noProof/>
        </w:rPr>
        <w:t>(Cavalcanti</w:t>
      </w:r>
      <w:r w:rsidRPr="00F95468">
        <w:rPr>
          <w:rFonts w:ascii="Times New Roman" w:hAnsi="Times New Roman" w:cs="Times New Roman"/>
          <w:b/>
          <w:bCs/>
          <w:i/>
          <w:noProof/>
        </w:rPr>
        <w:t xml:space="preserve"> et al.</w:t>
      </w:r>
      <w:r>
        <w:rPr>
          <w:rFonts w:ascii="Times New Roman" w:hAnsi="Times New Roman" w:cs="Times New Roman"/>
          <w:b/>
          <w:bCs/>
          <w:noProof/>
        </w:rPr>
        <w:t>, 2019)</w:t>
      </w:r>
      <w:r w:rsidRPr="00036D7F">
        <w:rPr>
          <w:rFonts w:ascii="Times New Roman" w:hAnsi="Times New Roman" w:cs="Times New Roman"/>
          <w:b/>
          <w:bCs/>
        </w:rPr>
        <w:fldChar w:fldCharType="end"/>
      </w:r>
      <w:r>
        <w:rPr>
          <w:rFonts w:ascii="Times New Roman" w:hAnsi="Times New Roman" w:cs="Times New Roman"/>
        </w:rPr>
        <w:t xml:space="preserve"> and therefore, there may be a role of the stringent response in the colonisation of this niche and the development of persistence, as the stringent response has been previously implicated for </w:t>
      </w:r>
      <w:r>
        <w:rPr>
          <w:rFonts w:ascii="Times New Roman" w:hAnsi="Times New Roman" w:cs="Times New Roman"/>
          <w:i/>
          <w:iCs/>
        </w:rPr>
        <w:t xml:space="preserve">S. aureus </w:t>
      </w:r>
      <w:r>
        <w:rPr>
          <w:rFonts w:ascii="Times New Roman" w:hAnsi="Times New Roman" w:cs="Times New Roman"/>
        </w:rPr>
        <w:t xml:space="preserve">persistence in RAW 264.7 macrophages </w:t>
      </w:r>
      <w:r w:rsidRPr="00F76B8E">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&lt;EndNote&gt;&lt;Cite&gt;&lt;Author&gt;Peyrusson&lt;/Author&gt;&lt;Year&gt;2020&lt;/Year&gt;&lt;IDText&gt;Intracellular Staphylococcus aureus persisters upon antibiotic exposure&lt;/IDText&gt;&lt;DisplayText&gt;(Peyrusson&lt;style face="italic"&gt; et al.&lt;/style&gt;, 2020)&lt;/DisplayText&gt;&lt;record&gt;&lt;dates&gt;&lt;pub-dates&gt;&lt;date&gt;May 4&lt;/date&gt;&lt;/pub-dates&gt;&lt;year&gt;2020&lt;/year&gt;&lt;/dates&gt;&lt;urls&gt;&lt;related-urls&gt;&lt;url&gt;&amp;lt;Go to ISI&amp;gt;://WOS:000533952200018&lt;/url&gt;&lt;/related-urls&gt;&lt;/urls&gt;&lt;isbn&gt;2041-1723&lt;/isbn&gt;&lt;titles&gt;&lt;title&gt;Intracellular Staphylococcus aureus persisters upon antibiotic exposure&lt;/title&gt;&lt;secondary-title&gt;Nature Communications&lt;/secondary-title&gt;&lt;/titles&gt;&lt;number&gt;1&lt;/number&gt;&lt;contributors&gt;&lt;authors&gt;&lt;author&gt;Peyrusson, Frederic&lt;/author&gt;&lt;author&gt;Varet, Hugo&lt;/author&gt;&lt;author&gt;Tiep Khac, Nguyen&lt;/author&gt;&lt;author&gt;Legendre, Rachel&lt;/author&gt;&lt;author&gt;Sismeiro, Odile&lt;/author&gt;&lt;author&gt;Coppee, Jean-Yves&lt;/author&gt;&lt;author&gt;Wolz, Christiane&lt;/author&gt;&lt;author&gt;Tenson, Tanel&lt;/author&gt;&lt;author&gt;Van Bambeke, Francoise&lt;/author&gt;&lt;/authors&gt;&lt;/contributors&gt;&lt;custom7&gt;2200&lt;/custom7&gt;&lt;added-date format="utc"&gt;1663614022&lt;/added-date&gt;&lt;ref-type name="Journal Article"&gt;17&lt;/ref-type&gt;&lt;rec-number&gt;80&lt;/rec-number&gt;&lt;last-updated-date format="utc"&gt;1663624413&lt;/last-updated-date&gt;&lt;accession-num&gt;WOS:000533952200018&lt;/accession-num&gt;&lt;electronic-resource-num&gt;10.1038/s41467-020-15966-7&lt;/electronic-resource-num&gt;&lt;volume&gt;11&lt;/volume&gt;&lt;/record&gt;&lt;/Cite&gt;&lt;/EndNote&gt;</w:instrText>
      </w:r>
      <w:r w:rsidRPr="00F76B8E">
        <w:rPr>
          <w:rFonts w:ascii="Times New Roman" w:hAnsi="Times New Roman" w:cs="Times New Roman"/>
          <w:b/>
          <w:bCs/>
        </w:rPr>
        <w:fldChar w:fldCharType="separate"/>
      </w:r>
      <w:r>
        <w:rPr>
          <w:rFonts w:ascii="Times New Roman" w:hAnsi="Times New Roman" w:cs="Times New Roman"/>
          <w:b/>
          <w:bCs/>
          <w:noProof/>
        </w:rPr>
        <w:t>(Peyrusson</w:t>
      </w:r>
      <w:r w:rsidRPr="00F95468">
        <w:rPr>
          <w:rFonts w:ascii="Times New Roman" w:hAnsi="Times New Roman" w:cs="Times New Roman"/>
          <w:b/>
          <w:bCs/>
          <w:i/>
          <w:noProof/>
        </w:rPr>
        <w:t xml:space="preserve"> et al.</w:t>
      </w:r>
      <w:r>
        <w:rPr>
          <w:rFonts w:ascii="Times New Roman" w:hAnsi="Times New Roman" w:cs="Times New Roman"/>
          <w:b/>
          <w:bCs/>
          <w:noProof/>
        </w:rPr>
        <w:t>, 2020)</w:t>
      </w:r>
      <w:r w:rsidRPr="00F76B8E">
        <w:rPr>
          <w:rFonts w:ascii="Times New Roman" w:hAnsi="Times New Roman" w:cs="Times New Roman"/>
          <w:b/>
          <w:bCs/>
        </w:rPr>
        <w:fldChar w:fldCharType="end"/>
      </w:r>
      <w:r>
        <w:rPr>
          <w:rFonts w:ascii="Times New Roman" w:hAnsi="Times New Roman" w:cs="Times New Roman"/>
        </w:rPr>
        <w:t>.</w:t>
      </w:r>
    </w:p>
    <w:p w14:paraId="7DBEDA83" w14:textId="3E0E7614" w:rsidR="00187693" w:rsidRDefault="00187693" w:rsidP="00187693">
      <w:pPr>
        <w:spacing w:line="360" w:lineRule="auto"/>
        <w:jc w:val="both"/>
        <w:rPr>
          <w:rFonts w:ascii="Times New Roman" w:hAnsi="Times New Roman" w:cs="Times New Roman"/>
        </w:rPr>
      </w:pPr>
      <w:r>
        <w:rPr>
          <w:rFonts w:ascii="Times New Roman" w:hAnsi="Times New Roman" w:cs="Times New Roman"/>
        </w:rPr>
        <w:tab/>
        <w:t>Consequently, to investigate the role of the staphylococcal stringent response in oral infection, an HTE cell line was employed. As epithelial cells are non-professional phagocytes (cells that can phagocytose, but phagocytosis is not their main function), invasion</w:t>
      </w:r>
      <w:r w:rsidR="004C73B1">
        <w:rPr>
          <w:rFonts w:ascii="Times New Roman" w:hAnsi="Times New Roman" w:cs="Times New Roman"/>
        </w:rPr>
        <w:t>, rather than ability to phagocytose,</w:t>
      </w:r>
      <w:r>
        <w:rPr>
          <w:rFonts w:ascii="Times New Roman" w:hAnsi="Times New Roman" w:cs="Times New Roman"/>
        </w:rPr>
        <w:t xml:space="preserve"> of HTE cells by </w:t>
      </w:r>
      <w:r>
        <w:rPr>
          <w:rFonts w:ascii="Times New Roman" w:hAnsi="Times New Roman" w:cs="Times New Roman"/>
          <w:i/>
          <w:iCs/>
        </w:rPr>
        <w:t>S. aureus</w:t>
      </w:r>
      <w:r>
        <w:rPr>
          <w:rFonts w:ascii="Times New Roman" w:hAnsi="Times New Roman" w:cs="Times New Roman"/>
        </w:rPr>
        <w:t xml:space="preserve"> was measured. HTE cells were challenged with </w:t>
      </w:r>
      <w:r>
        <w:rPr>
          <w:rFonts w:ascii="Times New Roman" w:hAnsi="Times New Roman" w:cs="Times New Roman"/>
          <w:i/>
          <w:iCs/>
        </w:rPr>
        <w:t xml:space="preserve">S. aureus </w:t>
      </w:r>
      <w:r>
        <w:rPr>
          <w:rFonts w:ascii="Times New Roman" w:hAnsi="Times New Roman" w:cs="Times New Roman"/>
        </w:rPr>
        <w:t>WT and the (p)ppGpp</w:t>
      </w:r>
      <w:r>
        <w:rPr>
          <w:rFonts w:ascii="Times New Roman" w:hAnsi="Times New Roman" w:cs="Times New Roman"/>
          <w:vertAlign w:val="superscript"/>
        </w:rPr>
        <w:t xml:space="preserve">0 </w:t>
      </w:r>
      <w:r>
        <w:rPr>
          <w:rFonts w:ascii="Times New Roman" w:hAnsi="Times New Roman" w:cs="Times New Roman"/>
        </w:rPr>
        <w:t xml:space="preserve">mutant strains that had been grown to both stationary </w:t>
      </w:r>
      <w:r>
        <w:rPr>
          <w:rFonts w:ascii="Times New Roman" w:hAnsi="Times New Roman" w:cs="Times New Roman"/>
          <w:b/>
          <w:bCs/>
        </w:rPr>
        <w:t xml:space="preserve">(Fig. 5.4.1a-c) </w:t>
      </w:r>
      <w:r>
        <w:rPr>
          <w:rFonts w:ascii="Times New Roman" w:hAnsi="Times New Roman" w:cs="Times New Roman"/>
        </w:rPr>
        <w:t xml:space="preserve">and exponential </w:t>
      </w:r>
      <w:r>
        <w:rPr>
          <w:rFonts w:ascii="Times New Roman" w:hAnsi="Times New Roman" w:cs="Times New Roman"/>
          <w:b/>
          <w:bCs/>
        </w:rPr>
        <w:t>(Fig. 5.4.1d-f)</w:t>
      </w:r>
      <w:r>
        <w:rPr>
          <w:rFonts w:ascii="Times New Roman" w:hAnsi="Times New Roman" w:cs="Times New Roman"/>
        </w:rPr>
        <w:t xml:space="preserve"> growth phases and intracellular counts were determined. Here, both growth phases were investigated as different virulence factors are expressed depending on the phase. Additionally, depending on the type of and location of infection, bacteria will be in different growth states. Nutritional requirements differ during different growth phases also, for example, cellular (p)ppGpp levels are usually higher in stationary phase cultures due to a lack of nutrients and so the effect of the stringent response is particularly relevant at this phase. Interestingly, for both stationary </w:t>
      </w:r>
      <w:r>
        <w:rPr>
          <w:rFonts w:ascii="Times New Roman" w:hAnsi="Times New Roman" w:cs="Times New Roman"/>
          <w:b/>
          <w:bCs/>
        </w:rPr>
        <w:t xml:space="preserve">(Fig. 5.4.1a-c) </w:t>
      </w:r>
      <w:r>
        <w:rPr>
          <w:rFonts w:ascii="Times New Roman" w:hAnsi="Times New Roman" w:cs="Times New Roman"/>
        </w:rPr>
        <w:t xml:space="preserve">and exponential phases </w:t>
      </w:r>
      <w:r>
        <w:rPr>
          <w:rFonts w:ascii="Times New Roman" w:hAnsi="Times New Roman" w:cs="Times New Roman"/>
          <w:b/>
          <w:bCs/>
        </w:rPr>
        <w:t>(Fig. 5.4.1d-f)</w:t>
      </w:r>
      <w:r>
        <w:rPr>
          <w:rFonts w:ascii="Times New Roman" w:hAnsi="Times New Roman" w:cs="Times New Roman"/>
        </w:rPr>
        <w:t xml:space="preserve">, there was an increase in CFU/ml by 8 hpi. For stationary phase bacteria </w:t>
      </w:r>
      <w:r>
        <w:rPr>
          <w:rFonts w:ascii="Times New Roman" w:hAnsi="Times New Roman" w:cs="Times New Roman"/>
          <w:b/>
          <w:bCs/>
        </w:rPr>
        <w:t>(Fig. 5.4.1a-c)</w:t>
      </w:r>
      <w:r>
        <w:rPr>
          <w:rFonts w:ascii="Times New Roman" w:hAnsi="Times New Roman" w:cs="Times New Roman"/>
        </w:rPr>
        <w:t>, both WT and the (p)ppGpp</w:t>
      </w:r>
      <w:r>
        <w:rPr>
          <w:rFonts w:ascii="Times New Roman" w:hAnsi="Times New Roman" w:cs="Times New Roman"/>
          <w:vertAlign w:val="superscript"/>
        </w:rPr>
        <w:t xml:space="preserve">0 </w:t>
      </w:r>
      <w:r>
        <w:rPr>
          <w:rFonts w:ascii="Times New Roman" w:hAnsi="Times New Roman" w:cs="Times New Roman"/>
        </w:rPr>
        <w:t>mutant demonstrated growth by 8 hpi, however the (p)ppGpp</w:t>
      </w:r>
      <w:r>
        <w:rPr>
          <w:rFonts w:ascii="Times New Roman" w:hAnsi="Times New Roman" w:cs="Times New Roman"/>
          <w:vertAlign w:val="superscript"/>
        </w:rPr>
        <w:t xml:space="preserve">0 </w:t>
      </w:r>
      <w:r>
        <w:rPr>
          <w:rFonts w:ascii="Times New Roman" w:hAnsi="Times New Roman" w:cs="Times New Roman"/>
        </w:rPr>
        <w:t>mutant grew to a lesser extent, suggesting either a growth defect or a virulence defect. Exponential phase bacteria show the same trend as WT, however the (p)ppGpp</w:t>
      </w:r>
      <w:r>
        <w:rPr>
          <w:rFonts w:ascii="Times New Roman" w:hAnsi="Times New Roman" w:cs="Times New Roman"/>
          <w:vertAlign w:val="superscript"/>
        </w:rPr>
        <w:t xml:space="preserve">0 </w:t>
      </w:r>
      <w:r>
        <w:rPr>
          <w:rFonts w:ascii="Times New Roman" w:hAnsi="Times New Roman" w:cs="Times New Roman"/>
        </w:rPr>
        <w:t xml:space="preserve">mutant is unable to grow over time, evidenced by small changes in CFU/ml up to 24 hpi </w:t>
      </w:r>
      <w:r>
        <w:rPr>
          <w:rFonts w:ascii="Times New Roman" w:hAnsi="Times New Roman" w:cs="Times New Roman"/>
          <w:b/>
          <w:bCs/>
        </w:rPr>
        <w:t>(Fig. 5.4.1d-f)</w:t>
      </w:r>
      <w:r>
        <w:rPr>
          <w:rFonts w:ascii="Times New Roman" w:hAnsi="Times New Roman" w:cs="Times New Roman"/>
        </w:rPr>
        <w:t>. The (p)ppGpp</w:t>
      </w:r>
      <w:r>
        <w:rPr>
          <w:rFonts w:ascii="Times New Roman" w:hAnsi="Times New Roman" w:cs="Times New Roman"/>
          <w:vertAlign w:val="superscript"/>
        </w:rPr>
        <w:t xml:space="preserve">0 </w:t>
      </w:r>
      <w:r>
        <w:rPr>
          <w:rFonts w:ascii="Times New Roman" w:hAnsi="Times New Roman" w:cs="Times New Roman"/>
        </w:rPr>
        <w:t xml:space="preserve">mutant in exponential phase does not grow to the same extent as when in stationary phase, which indicates that growth phase is important during infection as well as a functional stringent response.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1472132F" w14:textId="77777777" w:rsidTr="00A74445">
        <w:tc>
          <w:tcPr>
            <w:tcW w:w="9016" w:type="dxa"/>
          </w:tcPr>
          <w:p w14:paraId="1DD1CB54"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49FF233" wp14:editId="571B46F3">
                  <wp:extent cx="5623400" cy="6283842"/>
                  <wp:effectExtent l="0" t="0" r="0" b="0"/>
                  <wp:docPr id="1047145220" name="Picture 104714522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45220" name="Picture 1047145220" descr="A picture containing ligh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2071" cy="6293531"/>
                          </a:xfrm>
                          <a:prstGeom prst="rect">
                            <a:avLst/>
                          </a:prstGeom>
                          <a:noFill/>
                        </pic:spPr>
                      </pic:pic>
                    </a:graphicData>
                  </a:graphic>
                </wp:inline>
              </w:drawing>
            </w:r>
          </w:p>
        </w:tc>
      </w:tr>
      <w:tr w:rsidR="00187693" w14:paraId="65527436" w14:textId="77777777" w:rsidTr="00A74445">
        <w:tc>
          <w:tcPr>
            <w:tcW w:w="9016" w:type="dxa"/>
          </w:tcPr>
          <w:p w14:paraId="7756B85B" w14:textId="77777777" w:rsidR="00187693" w:rsidRPr="00823C31" w:rsidRDefault="00187693" w:rsidP="00A74445">
            <w:pPr>
              <w:jc w:val="both"/>
              <w:rPr>
                <w:rFonts w:ascii="Times New Roman" w:hAnsi="Times New Roman" w:cs="Times New Roman"/>
                <w:b/>
                <w:bCs/>
                <w:sz w:val="18"/>
                <w:szCs w:val="18"/>
              </w:rPr>
            </w:pPr>
            <w:r w:rsidRPr="00823C31">
              <w:rPr>
                <w:rFonts w:ascii="Times New Roman" w:hAnsi="Times New Roman" w:cs="Times New Roman"/>
                <w:b/>
                <w:bCs/>
                <w:sz w:val="18"/>
                <w:szCs w:val="18"/>
              </w:rPr>
              <w:t>Figure 5.</w:t>
            </w:r>
            <w:r>
              <w:rPr>
                <w:rFonts w:ascii="Times New Roman" w:hAnsi="Times New Roman" w:cs="Times New Roman"/>
                <w:b/>
                <w:bCs/>
                <w:sz w:val="18"/>
                <w:szCs w:val="18"/>
              </w:rPr>
              <w:t>4</w:t>
            </w:r>
            <w:r w:rsidRPr="00823C31">
              <w:rPr>
                <w:rFonts w:ascii="Times New Roman" w:hAnsi="Times New Roman" w:cs="Times New Roman"/>
                <w:b/>
                <w:bCs/>
                <w:sz w:val="18"/>
                <w:szCs w:val="18"/>
              </w:rPr>
              <w:t>.1. WT displays enhanced replication in comparison to the (p)ppGpp</w:t>
            </w:r>
            <w:r w:rsidRPr="00823C31">
              <w:rPr>
                <w:rFonts w:ascii="Times New Roman" w:hAnsi="Times New Roman" w:cs="Times New Roman"/>
                <w:b/>
                <w:bCs/>
                <w:sz w:val="18"/>
                <w:szCs w:val="18"/>
                <w:vertAlign w:val="superscript"/>
              </w:rPr>
              <w:t xml:space="preserve">0 </w:t>
            </w:r>
            <w:r w:rsidRPr="00823C31">
              <w:rPr>
                <w:rFonts w:ascii="Times New Roman" w:hAnsi="Times New Roman" w:cs="Times New Roman"/>
                <w:b/>
                <w:bCs/>
                <w:sz w:val="18"/>
                <w:szCs w:val="18"/>
              </w:rPr>
              <w:t xml:space="preserve">mutant in non-professional phagocytes during both stationary and exponential growth phases. </w:t>
            </w:r>
            <w:r w:rsidRPr="00823C31">
              <w:rPr>
                <w:rFonts w:ascii="Times New Roman" w:hAnsi="Times New Roman" w:cs="Times New Roman"/>
                <w:sz w:val="18"/>
                <w:szCs w:val="18"/>
              </w:rPr>
              <w:t xml:space="preserve">Human tonsillar epithelial (HTE) cells were challenged with stationary and exponential phase </w:t>
            </w:r>
            <w:r w:rsidRPr="00823C31">
              <w:rPr>
                <w:rFonts w:ascii="Times New Roman" w:hAnsi="Times New Roman" w:cs="Times New Roman"/>
                <w:i/>
                <w:iCs/>
                <w:sz w:val="18"/>
                <w:szCs w:val="18"/>
              </w:rPr>
              <w:t xml:space="preserve">S. aureus </w:t>
            </w:r>
            <w:r w:rsidRPr="00823C31">
              <w:rPr>
                <w:rFonts w:ascii="Times New Roman" w:hAnsi="Times New Roman" w:cs="Times New Roman"/>
                <w:sz w:val="18"/>
                <w:szCs w:val="18"/>
              </w:rPr>
              <w:t>(WT (black) and the (p)ppGpp</w:t>
            </w:r>
            <w:r w:rsidRPr="00823C31">
              <w:rPr>
                <w:rFonts w:ascii="Times New Roman" w:hAnsi="Times New Roman" w:cs="Times New Roman"/>
                <w:sz w:val="18"/>
                <w:szCs w:val="18"/>
                <w:vertAlign w:val="superscript"/>
              </w:rPr>
              <w:t xml:space="preserve">0 </w:t>
            </w:r>
            <w:r w:rsidRPr="00823C31">
              <w:rPr>
                <w:rFonts w:ascii="Times New Roman" w:hAnsi="Times New Roman" w:cs="Times New Roman"/>
                <w:sz w:val="18"/>
                <w:szCs w:val="18"/>
              </w:rPr>
              <w:t>mutant (pink)) at an MOI of 10 (5 x 10</w:t>
            </w:r>
            <w:r w:rsidRPr="00823C31">
              <w:rPr>
                <w:rFonts w:ascii="Times New Roman" w:hAnsi="Times New Roman" w:cs="Times New Roman"/>
                <w:sz w:val="18"/>
                <w:szCs w:val="18"/>
                <w:vertAlign w:val="superscript"/>
              </w:rPr>
              <w:t>5</w:t>
            </w:r>
            <w:r w:rsidRPr="00823C31">
              <w:rPr>
                <w:rFonts w:ascii="Times New Roman" w:hAnsi="Times New Roman" w:cs="Times New Roman"/>
                <w:sz w:val="18"/>
                <w:szCs w:val="18"/>
              </w:rPr>
              <w:t xml:space="preserve"> CFU per 50,000 cells) incubated for 24 hours at 37˚C with 5 % CO</w:t>
            </w:r>
            <w:r w:rsidRPr="00823C31">
              <w:rPr>
                <w:rFonts w:ascii="Times New Roman" w:hAnsi="Times New Roman" w:cs="Times New Roman"/>
                <w:sz w:val="18"/>
                <w:szCs w:val="18"/>
                <w:vertAlign w:val="subscript"/>
              </w:rPr>
              <w:t>2</w:t>
            </w:r>
            <w:r w:rsidRPr="00823C31">
              <w:rPr>
                <w:rFonts w:ascii="Times New Roman" w:hAnsi="Times New Roman" w:cs="Times New Roman"/>
                <w:sz w:val="18"/>
                <w:szCs w:val="18"/>
              </w:rPr>
              <w:t xml:space="preserve">. </w:t>
            </w:r>
            <w:r w:rsidRPr="00823C31">
              <w:rPr>
                <w:rFonts w:ascii="Times New Roman" w:hAnsi="Times New Roman" w:cs="Times New Roman"/>
                <w:b/>
                <w:bCs/>
                <w:sz w:val="18"/>
                <w:szCs w:val="18"/>
              </w:rPr>
              <w:t>a)-c)</w:t>
            </w:r>
            <w:r w:rsidRPr="00823C31">
              <w:rPr>
                <w:rFonts w:ascii="Times New Roman" w:hAnsi="Times New Roman" w:cs="Times New Roman"/>
                <w:sz w:val="18"/>
                <w:szCs w:val="18"/>
              </w:rPr>
              <w:t xml:space="preserve"> show invasion of HTE cells by stationary phase bacteria while </w:t>
            </w:r>
            <w:r w:rsidRPr="00823C31">
              <w:rPr>
                <w:rFonts w:ascii="Times New Roman" w:hAnsi="Times New Roman" w:cs="Times New Roman"/>
                <w:b/>
                <w:bCs/>
                <w:sz w:val="18"/>
                <w:szCs w:val="18"/>
              </w:rPr>
              <w:t>d)-f)</w:t>
            </w:r>
            <w:r w:rsidRPr="00823C31">
              <w:rPr>
                <w:rFonts w:ascii="Times New Roman" w:hAnsi="Times New Roman" w:cs="Times New Roman"/>
                <w:sz w:val="18"/>
                <w:szCs w:val="18"/>
              </w:rPr>
              <w:t xml:space="preserve"> show invasion THE cells by</w:t>
            </w:r>
            <w:r>
              <w:rPr>
                <w:rFonts w:ascii="Times New Roman" w:hAnsi="Times New Roman" w:cs="Times New Roman"/>
                <w:sz w:val="18"/>
                <w:szCs w:val="18"/>
              </w:rPr>
              <w:t xml:space="preserve"> </w:t>
            </w:r>
            <w:r w:rsidRPr="00823C31">
              <w:rPr>
                <w:rFonts w:ascii="Times New Roman" w:hAnsi="Times New Roman" w:cs="Times New Roman"/>
                <w:sz w:val="18"/>
                <w:szCs w:val="18"/>
              </w:rPr>
              <w:t xml:space="preserve">exponential phase bacteria. HTE cells were infected for 1 hour 15 mins (end of infection period represented by first black arrow), after which extracellular bacteria were eliminated using 20 </w:t>
            </w:r>
            <w:r w:rsidRPr="00823C31">
              <w:rPr>
                <w:rFonts w:ascii="Times New Roman" w:hAnsi="Times New Roman" w:cs="Times New Roman"/>
                <w:sz w:val="18"/>
                <w:szCs w:val="18"/>
                <w:lang w:val="el-GR"/>
              </w:rPr>
              <w:t>μ</w:t>
            </w:r>
            <w:r w:rsidRPr="00823C31">
              <w:rPr>
                <w:rFonts w:ascii="Times New Roman" w:hAnsi="Times New Roman" w:cs="Times New Roman"/>
                <w:sz w:val="18"/>
                <w:szCs w:val="18"/>
              </w:rPr>
              <w:t xml:space="preserve">g/ml lysostaphin (Lss) for 45 minutes (end of lysostaphin treatment represented by second black arrow). For later timepoints, HTE cells were incubated with 2 </w:t>
            </w:r>
            <w:r w:rsidRPr="00823C31">
              <w:rPr>
                <w:rFonts w:ascii="Times New Roman" w:hAnsi="Times New Roman" w:cs="Times New Roman"/>
                <w:sz w:val="18"/>
                <w:szCs w:val="18"/>
                <w:lang w:val="el-GR"/>
              </w:rPr>
              <w:t>μ</w:t>
            </w:r>
            <w:r w:rsidRPr="00823C31">
              <w:rPr>
                <w:rFonts w:ascii="Times New Roman" w:hAnsi="Times New Roman" w:cs="Times New Roman"/>
                <w:sz w:val="18"/>
                <w:szCs w:val="18"/>
              </w:rPr>
              <w:t>g/ml lysostaphin until at the specified timepoints, intracellular CFU/ml were determined by lysing HTE cells with 0.05% trypsin in dH</w:t>
            </w:r>
            <w:r w:rsidRPr="00823C31">
              <w:rPr>
                <w:rFonts w:ascii="Times New Roman" w:hAnsi="Times New Roman" w:cs="Times New Roman"/>
                <w:sz w:val="18"/>
                <w:szCs w:val="18"/>
                <w:vertAlign w:val="subscript"/>
              </w:rPr>
              <w:t>2</w:t>
            </w:r>
            <w:r w:rsidRPr="00823C31">
              <w:rPr>
                <w:rFonts w:ascii="Times New Roman" w:hAnsi="Times New Roman" w:cs="Times New Roman"/>
                <w:sz w:val="18"/>
                <w:szCs w:val="18"/>
              </w:rPr>
              <w:t xml:space="preserve">O. </w:t>
            </w:r>
            <w:r w:rsidRPr="00823C31">
              <w:rPr>
                <w:rFonts w:ascii="Times New Roman" w:hAnsi="Times New Roman" w:cs="Times New Roman"/>
                <w:b/>
                <w:bCs/>
                <w:sz w:val="18"/>
                <w:szCs w:val="18"/>
              </w:rPr>
              <w:t>a)</w:t>
            </w:r>
            <w:r w:rsidRPr="00823C31">
              <w:rPr>
                <w:rFonts w:ascii="Times New Roman" w:hAnsi="Times New Roman" w:cs="Times New Roman"/>
                <w:sz w:val="18"/>
                <w:szCs w:val="18"/>
              </w:rPr>
              <w:t xml:space="preserve"> and </w:t>
            </w:r>
            <w:r w:rsidRPr="00823C31">
              <w:rPr>
                <w:rFonts w:ascii="Times New Roman" w:hAnsi="Times New Roman" w:cs="Times New Roman"/>
                <w:b/>
                <w:bCs/>
                <w:sz w:val="18"/>
                <w:szCs w:val="18"/>
              </w:rPr>
              <w:t>d)</w:t>
            </w:r>
            <w:r w:rsidRPr="00823C31">
              <w:rPr>
                <w:rFonts w:ascii="Times New Roman" w:hAnsi="Times New Roman" w:cs="Times New Roman"/>
                <w:sz w:val="18"/>
                <w:szCs w:val="18"/>
              </w:rPr>
              <w:t xml:space="preserve"> are presented as percentage of CFU/ml, </w:t>
            </w:r>
            <w:r w:rsidRPr="00823C31">
              <w:rPr>
                <w:rFonts w:ascii="Times New Roman" w:hAnsi="Times New Roman" w:cs="Times New Roman"/>
                <w:b/>
                <w:bCs/>
                <w:sz w:val="18"/>
                <w:szCs w:val="18"/>
              </w:rPr>
              <w:t>b)</w:t>
            </w:r>
            <w:r w:rsidRPr="00823C31">
              <w:rPr>
                <w:rFonts w:ascii="Times New Roman" w:hAnsi="Times New Roman" w:cs="Times New Roman"/>
                <w:sz w:val="18"/>
                <w:szCs w:val="18"/>
              </w:rPr>
              <w:t xml:space="preserve"> and </w:t>
            </w:r>
            <w:r w:rsidRPr="00823C31">
              <w:rPr>
                <w:rFonts w:ascii="Times New Roman" w:hAnsi="Times New Roman" w:cs="Times New Roman"/>
                <w:b/>
                <w:bCs/>
                <w:sz w:val="18"/>
                <w:szCs w:val="18"/>
              </w:rPr>
              <w:t>e)</w:t>
            </w:r>
            <w:r w:rsidRPr="00823C31">
              <w:rPr>
                <w:rFonts w:ascii="Times New Roman" w:hAnsi="Times New Roman" w:cs="Times New Roman"/>
                <w:sz w:val="18"/>
                <w:szCs w:val="18"/>
              </w:rPr>
              <w:t xml:space="preserve"> are presented as percentage of inoculum and </w:t>
            </w:r>
            <w:r w:rsidRPr="00823C31">
              <w:rPr>
                <w:rFonts w:ascii="Times New Roman" w:hAnsi="Times New Roman" w:cs="Times New Roman"/>
                <w:b/>
                <w:bCs/>
                <w:sz w:val="18"/>
                <w:szCs w:val="18"/>
              </w:rPr>
              <w:t>c)</w:t>
            </w:r>
            <w:r w:rsidRPr="00823C31">
              <w:rPr>
                <w:rFonts w:ascii="Times New Roman" w:hAnsi="Times New Roman" w:cs="Times New Roman"/>
                <w:sz w:val="18"/>
                <w:szCs w:val="18"/>
              </w:rPr>
              <w:t xml:space="preserve"> and </w:t>
            </w:r>
            <w:r w:rsidRPr="00823C31">
              <w:rPr>
                <w:rFonts w:ascii="Times New Roman" w:hAnsi="Times New Roman" w:cs="Times New Roman"/>
                <w:b/>
                <w:bCs/>
                <w:sz w:val="18"/>
                <w:szCs w:val="18"/>
              </w:rPr>
              <w:t>f)</w:t>
            </w:r>
            <w:r w:rsidRPr="00823C31">
              <w:rPr>
                <w:rFonts w:ascii="Times New Roman" w:hAnsi="Times New Roman" w:cs="Times New Roman"/>
                <w:sz w:val="18"/>
                <w:szCs w:val="18"/>
              </w:rPr>
              <w:t xml:space="preserve"> are presented as percentage change from 2 hours. The experiments represented by </w:t>
            </w:r>
            <w:r w:rsidRPr="00823C31">
              <w:rPr>
                <w:rFonts w:ascii="Times New Roman" w:hAnsi="Times New Roman" w:cs="Times New Roman"/>
                <w:b/>
                <w:bCs/>
                <w:sz w:val="18"/>
                <w:szCs w:val="18"/>
              </w:rPr>
              <w:t>a)-c)</w:t>
            </w:r>
            <w:r w:rsidRPr="00823C31">
              <w:rPr>
                <w:rFonts w:ascii="Times New Roman" w:hAnsi="Times New Roman" w:cs="Times New Roman"/>
                <w:sz w:val="18"/>
                <w:szCs w:val="18"/>
              </w:rPr>
              <w:t xml:space="preserve"> were performed once and the experiments represented by </w:t>
            </w:r>
            <w:r w:rsidRPr="00823C31">
              <w:rPr>
                <w:rFonts w:ascii="Times New Roman" w:hAnsi="Times New Roman" w:cs="Times New Roman"/>
                <w:b/>
                <w:bCs/>
                <w:sz w:val="18"/>
                <w:szCs w:val="18"/>
              </w:rPr>
              <w:t>d)-f)</w:t>
            </w:r>
            <w:r w:rsidRPr="00823C31">
              <w:rPr>
                <w:rFonts w:ascii="Times New Roman" w:hAnsi="Times New Roman" w:cs="Times New Roman"/>
                <w:sz w:val="18"/>
                <w:szCs w:val="18"/>
              </w:rPr>
              <w:t xml:space="preserve"> were performed in duplicate with mean values ± standard deviations plotted. HTE cell culture and infection was performed by Henna Khalid and intracellular CFU determination was performed by NRC.</w:t>
            </w:r>
            <w:r w:rsidRPr="00823C31">
              <w:rPr>
                <w:rFonts w:ascii="Times New Roman" w:hAnsi="Times New Roman" w:cs="Times New Roman"/>
                <w:b/>
                <w:bCs/>
                <w:sz w:val="18"/>
                <w:szCs w:val="18"/>
              </w:rPr>
              <w:t xml:space="preserve"> </w:t>
            </w:r>
          </w:p>
          <w:p w14:paraId="54EB636F" w14:textId="77777777" w:rsidR="00187693" w:rsidRPr="001F46BE" w:rsidRDefault="00187693" w:rsidP="00A74445">
            <w:pPr>
              <w:jc w:val="both"/>
              <w:rPr>
                <w:rFonts w:ascii="Times New Roman" w:hAnsi="Times New Roman" w:cs="Times New Roman"/>
                <w:sz w:val="18"/>
                <w:szCs w:val="18"/>
              </w:rPr>
            </w:pPr>
          </w:p>
        </w:tc>
      </w:tr>
      <w:tr w:rsidR="00187693" w14:paraId="4C8CAE42" w14:textId="77777777" w:rsidTr="00A74445">
        <w:tc>
          <w:tcPr>
            <w:tcW w:w="9016" w:type="dxa"/>
          </w:tcPr>
          <w:p w14:paraId="2741221F" w14:textId="77777777" w:rsidR="00187693" w:rsidRDefault="00187693" w:rsidP="00A74445">
            <w:pPr>
              <w:jc w:val="both"/>
              <w:rPr>
                <w:rFonts w:ascii="Times New Roman" w:hAnsi="Times New Roman" w:cs="Times New Roman"/>
                <w:b/>
                <w:bCs/>
                <w:sz w:val="18"/>
                <w:szCs w:val="18"/>
              </w:rPr>
            </w:pPr>
          </w:p>
          <w:p w14:paraId="08C6C553" w14:textId="5E52B85A" w:rsidR="00187693" w:rsidRPr="00823C31" w:rsidRDefault="003422E6" w:rsidP="003422E6">
            <w:pPr>
              <w:tabs>
                <w:tab w:val="left" w:pos="5070"/>
              </w:tabs>
              <w:jc w:val="both"/>
              <w:rPr>
                <w:rFonts w:ascii="Times New Roman" w:hAnsi="Times New Roman" w:cs="Times New Roman"/>
                <w:b/>
                <w:bCs/>
                <w:sz w:val="18"/>
                <w:szCs w:val="18"/>
              </w:rPr>
            </w:pPr>
            <w:r>
              <w:rPr>
                <w:rFonts w:ascii="Times New Roman" w:hAnsi="Times New Roman" w:cs="Times New Roman"/>
                <w:b/>
                <w:bCs/>
                <w:sz w:val="18"/>
                <w:szCs w:val="18"/>
              </w:rPr>
              <w:tab/>
            </w:r>
          </w:p>
        </w:tc>
      </w:tr>
    </w:tbl>
    <w:p w14:paraId="4C060127" w14:textId="77777777" w:rsidR="00187693" w:rsidRDefault="00187693" w:rsidP="00187693">
      <w:pPr>
        <w:pStyle w:val="Heading2"/>
      </w:pPr>
      <w:bookmarkStart w:id="161" w:name="_Toc142043654"/>
      <w:r>
        <w:t xml:space="preserve">5.5. Investigating the importance of (p)ppGpp for </w:t>
      </w:r>
      <w:r>
        <w:rPr>
          <w:i/>
          <w:iCs/>
        </w:rPr>
        <w:t xml:space="preserve">S. aureus </w:t>
      </w:r>
      <w:r>
        <w:t>survival and virulence during systemic infection</w:t>
      </w:r>
      <w:bookmarkEnd w:id="161"/>
    </w:p>
    <w:p w14:paraId="1D671394" w14:textId="77777777" w:rsidR="00187693" w:rsidRDefault="00187693" w:rsidP="00187693"/>
    <w:p w14:paraId="1666E983" w14:textId="77777777" w:rsidR="00187693" w:rsidRPr="00B23459" w:rsidRDefault="00187693" w:rsidP="00187693">
      <w:pPr>
        <w:pStyle w:val="Heading3"/>
      </w:pPr>
      <w:bookmarkStart w:id="162" w:name="_Toc142043655"/>
      <w:r>
        <w:t xml:space="preserve">5.5.1. Optimisation of the dose of </w:t>
      </w:r>
      <w:r>
        <w:rPr>
          <w:i/>
          <w:iCs/>
        </w:rPr>
        <w:t>S. aureus</w:t>
      </w:r>
      <w:r>
        <w:t xml:space="preserve"> required to kill 50% of embryos</w:t>
      </w:r>
      <w:bookmarkEnd w:id="162"/>
    </w:p>
    <w:p w14:paraId="05190AC7" w14:textId="77777777" w:rsidR="00187693" w:rsidRPr="009E42BA" w:rsidRDefault="00187693" w:rsidP="00187693">
      <w:pPr>
        <w:spacing w:line="360" w:lineRule="auto"/>
        <w:jc w:val="both"/>
        <w:rPr>
          <w:rFonts w:ascii="Times New Roman" w:hAnsi="Times New Roman" w:cs="Times New Roman"/>
          <w:color w:val="FF0000"/>
        </w:rPr>
      </w:pPr>
    </w:p>
    <w:p w14:paraId="2CBF3302" w14:textId="52607321" w:rsidR="00187693" w:rsidRDefault="00187693" w:rsidP="00187693">
      <w:pPr>
        <w:spacing w:line="360" w:lineRule="auto"/>
        <w:jc w:val="both"/>
        <w:rPr>
          <w:rFonts w:ascii="Times New Roman" w:hAnsi="Times New Roman" w:cs="Times New Roman"/>
        </w:rPr>
      </w:pPr>
      <w:r>
        <w:rPr>
          <w:rFonts w:ascii="Times New Roman" w:hAnsi="Times New Roman" w:cs="Times New Roman"/>
        </w:rPr>
        <w:t>In order t</w:t>
      </w:r>
      <w:r w:rsidRPr="009E42BA">
        <w:rPr>
          <w:rFonts w:ascii="Times New Roman" w:hAnsi="Times New Roman" w:cs="Times New Roman"/>
        </w:rPr>
        <w:t xml:space="preserve">o </w:t>
      </w:r>
      <w:r w:rsidR="004C73B1">
        <w:rPr>
          <w:rFonts w:ascii="Times New Roman" w:hAnsi="Times New Roman" w:cs="Times New Roman"/>
        </w:rPr>
        <w:t>produce</w:t>
      </w:r>
      <w:r w:rsidRPr="009E42BA">
        <w:rPr>
          <w:rFonts w:ascii="Times New Roman" w:hAnsi="Times New Roman" w:cs="Times New Roman"/>
        </w:rPr>
        <w:t xml:space="preserve"> a systemic infection, London Wildtype </w:t>
      </w:r>
      <w:r>
        <w:rPr>
          <w:rFonts w:ascii="Times New Roman" w:hAnsi="Times New Roman" w:cs="Times New Roman"/>
        </w:rPr>
        <w:t>z</w:t>
      </w:r>
      <w:r w:rsidRPr="009E42BA">
        <w:rPr>
          <w:rFonts w:ascii="Times New Roman" w:hAnsi="Times New Roman" w:cs="Times New Roman"/>
        </w:rPr>
        <w:t>ebrafish embryos were injected at 30 hpf into the circulation valley</w:t>
      </w:r>
      <w:r>
        <w:rPr>
          <w:rFonts w:ascii="Times New Roman" w:hAnsi="Times New Roman" w:cs="Times New Roman"/>
        </w:rPr>
        <w:t>, a protocol developed</w:t>
      </w:r>
      <w:r w:rsidRPr="009E42BA">
        <w:rPr>
          <w:rFonts w:ascii="Times New Roman" w:hAnsi="Times New Roman" w:cs="Times New Roman"/>
        </w:rPr>
        <w:t xml:space="preserve"> by Prajsnar and colleagues</w:t>
      </w:r>
      <w:r>
        <w:rPr>
          <w:rFonts w:ascii="Times New Roman" w:hAnsi="Times New Roman" w:cs="Times New Roman"/>
        </w:rPr>
        <w:t xml:space="preserve"> </w:t>
      </w:r>
      <w:r w:rsidRPr="00B51251">
        <w:rPr>
          <w:rFonts w:ascii="Times New Roman" w:hAnsi="Times New Roman" w:cs="Times New Roman"/>
          <w:b/>
          <w:bCs/>
        </w:rPr>
        <w:fldChar w:fldCharType="begin"/>
      </w:r>
      <w:r w:rsidRPr="00B51251">
        <w:rPr>
          <w:rFonts w:ascii="Times New Roman" w:hAnsi="Times New Roman" w:cs="Times New Roman"/>
          <w:b/>
          <w:bCs/>
        </w:rPr>
        <w:instrText xml:space="preserve"> ADDIN EN.CITE &lt;EndNote&gt;&lt;Cite&gt;&lt;Author&gt;Prajsnar&lt;/Author&gt;&lt;Year&gt;2008&lt;/Year&gt;&lt;IDText&gt;A novel vertebrate model of Staphylococcus aureus infection reveals phagocyte-dependent resistance of zebrafish to non-host specialized pathogens&lt;/IDText&gt;&lt;DisplayText&gt;(Prajsnar&lt;style face="italic"&gt; et al.&lt;/style&gt;, 2008)&lt;/DisplayText&gt;&lt;record&gt;&lt;dates&gt;&lt;pub-dates&gt;&lt;date&gt;Nov&lt;/date&gt;&lt;/pub-dates&gt;&lt;year&gt;2008&lt;/year&gt;&lt;/dates&gt;&lt;urls&gt;&lt;related-urls&gt;&lt;url&gt;&amp;lt;Go to ISI&amp;gt;://WOS:000260048600014&lt;/url&gt;&lt;/related-urls&gt;&lt;/urls&gt;&lt;isbn&gt;1462-5814&lt;/isbn&gt;&lt;titles&gt;&lt;title&gt;A novel vertebrate model of Staphylococcus aureus infection reveals phagocyte-dependent resistance of zebrafish to non-host specialized pathogens&lt;/title&gt;&lt;secondary-title&gt;Cellular Microbiology&lt;/secondary-title&gt;&lt;/titles&gt;&lt;pages&gt;2312-2325&lt;/pages&gt;&lt;number&gt;11&lt;/number&gt;&lt;contributors&gt;&lt;authors&gt;&lt;author&gt;Prajsnar, Tomasz K.&lt;/author&gt;&lt;author&gt;Cunliffe, Vincent T.&lt;/author&gt;&lt;author&gt;Foster, Simon J.&lt;/author&gt;&lt;author&gt;Renshaw, Stephen A.&lt;/author&gt;&lt;/authors&gt;&lt;/contributors&gt;&lt;added-date format="utc"&gt;1663613572&lt;/added-date&gt;&lt;ref-type name="Journal Article"&gt;17&lt;/ref-type&gt;&lt;rec-number&gt;76&lt;/rec-number&gt;&lt;last-updated-date format="utc"&gt;1663624413&lt;/last-updated-date&gt;&lt;accession-num&gt;WOS:000260048600014&lt;/accession-num&gt;&lt;electronic-resource-num&gt;10.1111/j.1462-5822.2008.01213.x&lt;/electronic-resource-num&gt;&lt;volume&gt;10&lt;/volume&gt;&lt;/record&gt;&lt;/Cite&gt;&lt;/EndNote&gt;</w:instrText>
      </w:r>
      <w:r w:rsidRPr="00B51251">
        <w:rPr>
          <w:rFonts w:ascii="Times New Roman" w:hAnsi="Times New Roman" w:cs="Times New Roman"/>
          <w:b/>
          <w:bCs/>
        </w:rPr>
        <w:fldChar w:fldCharType="separate"/>
      </w:r>
      <w:r w:rsidRPr="00B51251">
        <w:rPr>
          <w:rFonts w:ascii="Times New Roman" w:hAnsi="Times New Roman" w:cs="Times New Roman"/>
          <w:b/>
          <w:bCs/>
          <w:noProof/>
        </w:rPr>
        <w:t>(Prajsnar</w:t>
      </w:r>
      <w:r w:rsidRPr="00B51251">
        <w:rPr>
          <w:rFonts w:ascii="Times New Roman" w:hAnsi="Times New Roman" w:cs="Times New Roman"/>
          <w:b/>
          <w:bCs/>
          <w:i/>
          <w:noProof/>
        </w:rPr>
        <w:t xml:space="preserve"> et al.</w:t>
      </w:r>
      <w:r w:rsidRPr="00B51251">
        <w:rPr>
          <w:rFonts w:ascii="Times New Roman" w:hAnsi="Times New Roman" w:cs="Times New Roman"/>
          <w:b/>
          <w:bCs/>
          <w:noProof/>
        </w:rPr>
        <w:t>, 2008)</w:t>
      </w:r>
      <w:r w:rsidRPr="00B51251">
        <w:rPr>
          <w:rFonts w:ascii="Times New Roman" w:hAnsi="Times New Roman" w:cs="Times New Roman"/>
          <w:b/>
          <w:bCs/>
        </w:rPr>
        <w:fldChar w:fldCharType="end"/>
      </w:r>
      <w:r w:rsidRPr="009E42BA">
        <w:rPr>
          <w:rFonts w:ascii="Times New Roman" w:hAnsi="Times New Roman" w:cs="Times New Roman"/>
        </w:rPr>
        <w:t>. The circulation valley/</w:t>
      </w:r>
      <w:r w:rsidR="004C73B1">
        <w:rPr>
          <w:rFonts w:ascii="Times New Roman" w:hAnsi="Times New Roman" w:cs="Times New Roman"/>
        </w:rPr>
        <w:t>d</w:t>
      </w:r>
      <w:r w:rsidRPr="009E42BA">
        <w:rPr>
          <w:rFonts w:ascii="Times New Roman" w:hAnsi="Times New Roman" w:cs="Times New Roman"/>
        </w:rPr>
        <w:t>uct of Cuvier is a collection of blood vessels that span the zebrafish embryo</w:t>
      </w:r>
      <w:r>
        <w:rPr>
          <w:rFonts w:ascii="Times New Roman" w:hAnsi="Times New Roman" w:cs="Times New Roman"/>
        </w:rPr>
        <w:t xml:space="preserve"> laterally</w:t>
      </w:r>
      <w:r w:rsidRPr="009E42BA">
        <w:rPr>
          <w:rFonts w:ascii="Times New Roman" w:hAnsi="Times New Roman" w:cs="Times New Roman"/>
        </w:rPr>
        <w:t xml:space="preserve">. Injecting </w:t>
      </w:r>
      <w:r>
        <w:rPr>
          <w:rFonts w:ascii="Times New Roman" w:hAnsi="Times New Roman" w:cs="Times New Roman"/>
        </w:rPr>
        <w:t>laterally</w:t>
      </w:r>
      <w:r w:rsidRPr="009E42BA">
        <w:rPr>
          <w:rFonts w:ascii="Times New Roman" w:hAnsi="Times New Roman" w:cs="Times New Roman"/>
        </w:rPr>
        <w:t xml:space="preserve"> is possible but difficult as the yolk sac can easily be punctured</w:t>
      </w:r>
      <w:r>
        <w:rPr>
          <w:rFonts w:ascii="Times New Roman" w:hAnsi="Times New Roman" w:cs="Times New Roman"/>
        </w:rPr>
        <w:t xml:space="preserve"> in the process of injection</w:t>
      </w:r>
      <w:r w:rsidR="004C73B1">
        <w:rPr>
          <w:rFonts w:ascii="Times New Roman" w:hAnsi="Times New Roman" w:cs="Times New Roman"/>
        </w:rPr>
        <w:t xml:space="preserve"> and any embryos injected in the yolk sac must be discarded</w:t>
      </w:r>
      <w:r w:rsidRPr="009E42BA">
        <w:rPr>
          <w:rFonts w:ascii="Times New Roman" w:hAnsi="Times New Roman" w:cs="Times New Roman"/>
        </w:rPr>
        <w:t>. Therefore</w:t>
      </w:r>
      <w:r>
        <w:rPr>
          <w:rFonts w:ascii="Times New Roman" w:hAnsi="Times New Roman" w:cs="Times New Roman"/>
        </w:rPr>
        <w:t xml:space="preserve">, </w:t>
      </w:r>
      <w:r w:rsidRPr="009E42BA">
        <w:rPr>
          <w:rFonts w:ascii="Times New Roman" w:hAnsi="Times New Roman" w:cs="Times New Roman"/>
        </w:rPr>
        <w:t xml:space="preserve">injecting into </w:t>
      </w:r>
      <w:r w:rsidR="004C73B1">
        <w:rPr>
          <w:rFonts w:ascii="Times New Roman" w:hAnsi="Times New Roman" w:cs="Times New Roman"/>
        </w:rPr>
        <w:t xml:space="preserve">the </w:t>
      </w:r>
      <w:r>
        <w:rPr>
          <w:rFonts w:ascii="Times New Roman" w:hAnsi="Times New Roman" w:cs="Times New Roman"/>
        </w:rPr>
        <w:t xml:space="preserve">returning circulation </w:t>
      </w:r>
      <w:r w:rsidRPr="009E42BA">
        <w:rPr>
          <w:rFonts w:ascii="Times New Roman" w:hAnsi="Times New Roman" w:cs="Times New Roman"/>
        </w:rPr>
        <w:t>where the circulation valley culminates</w:t>
      </w:r>
      <w:r>
        <w:rPr>
          <w:rFonts w:ascii="Times New Roman" w:hAnsi="Times New Roman" w:cs="Times New Roman"/>
        </w:rPr>
        <w:t>,</w:t>
      </w:r>
      <w:r w:rsidRPr="009E42BA">
        <w:rPr>
          <w:rFonts w:ascii="Times New Roman" w:hAnsi="Times New Roman" w:cs="Times New Roman"/>
        </w:rPr>
        <w:t xml:space="preserve"> can allow for </w:t>
      </w:r>
      <w:r>
        <w:rPr>
          <w:rFonts w:ascii="Times New Roman" w:hAnsi="Times New Roman" w:cs="Times New Roman"/>
        </w:rPr>
        <w:t>an easier injection as well as</w:t>
      </w:r>
      <w:r w:rsidRPr="009E42BA">
        <w:rPr>
          <w:rFonts w:ascii="Times New Roman" w:hAnsi="Times New Roman" w:cs="Times New Roman"/>
        </w:rPr>
        <w:t xml:space="preserve"> systemic infection</w:t>
      </w:r>
      <w:r w:rsidRPr="009E42BA">
        <w:rPr>
          <w:rFonts w:ascii="Times New Roman" w:hAnsi="Times New Roman" w:cs="Times New Roman"/>
          <w:b/>
          <w:bCs/>
        </w:rPr>
        <w:t xml:space="preserve"> (</w:t>
      </w:r>
      <w:r>
        <w:rPr>
          <w:rFonts w:ascii="Times New Roman" w:hAnsi="Times New Roman" w:cs="Times New Roman"/>
          <w:b/>
          <w:bCs/>
        </w:rPr>
        <w:t>F</w:t>
      </w:r>
      <w:r w:rsidRPr="009E42BA">
        <w:rPr>
          <w:rFonts w:ascii="Times New Roman" w:hAnsi="Times New Roman" w:cs="Times New Roman"/>
          <w:b/>
          <w:bCs/>
        </w:rPr>
        <w:t>ig</w:t>
      </w:r>
      <w:r>
        <w:rPr>
          <w:rFonts w:ascii="Times New Roman" w:hAnsi="Times New Roman" w:cs="Times New Roman"/>
          <w:b/>
          <w:bCs/>
        </w:rPr>
        <w:t>. 5.5.</w:t>
      </w:r>
      <w:r w:rsidRPr="009E42BA">
        <w:rPr>
          <w:rFonts w:ascii="Times New Roman" w:hAnsi="Times New Roman" w:cs="Times New Roman"/>
          <w:b/>
          <w:bCs/>
        </w:rPr>
        <w:t xml:space="preserve">1a). </w:t>
      </w:r>
      <w:r w:rsidRPr="009E42BA">
        <w:rPr>
          <w:rFonts w:ascii="Times New Roman" w:hAnsi="Times New Roman" w:cs="Times New Roman"/>
        </w:rPr>
        <w:t xml:space="preserve">Fluorescent </w:t>
      </w:r>
      <w:r w:rsidRPr="009E42BA">
        <w:rPr>
          <w:rFonts w:ascii="Times New Roman" w:hAnsi="Times New Roman" w:cs="Times New Roman"/>
          <w:i/>
          <w:iCs/>
        </w:rPr>
        <w:t xml:space="preserve">S. aureus </w:t>
      </w:r>
      <w:r w:rsidRPr="009E42BA">
        <w:rPr>
          <w:rFonts w:ascii="Times New Roman" w:hAnsi="Times New Roman" w:cs="Times New Roman"/>
        </w:rPr>
        <w:t>(JE2</w:t>
      </w:r>
      <w:r>
        <w:rPr>
          <w:rFonts w:ascii="Times New Roman" w:hAnsi="Times New Roman" w:cs="Times New Roman"/>
        </w:rPr>
        <w:t>-</w:t>
      </w:r>
      <w:r w:rsidRPr="009E42BA">
        <w:rPr>
          <w:rFonts w:ascii="Times New Roman" w:hAnsi="Times New Roman" w:cs="Times New Roman"/>
        </w:rPr>
        <w:t>GFP and (p)ppGpp</w:t>
      </w:r>
      <w:r w:rsidRPr="009E42BA">
        <w:rPr>
          <w:rFonts w:ascii="Times New Roman" w:hAnsi="Times New Roman" w:cs="Times New Roman"/>
          <w:vertAlign w:val="superscript"/>
        </w:rPr>
        <w:t>0</w:t>
      </w:r>
      <w:r>
        <w:rPr>
          <w:rFonts w:ascii="Times New Roman" w:hAnsi="Times New Roman" w:cs="Times New Roman"/>
        </w:rPr>
        <w:t>-</w:t>
      </w:r>
      <w:r w:rsidRPr="009E42BA">
        <w:rPr>
          <w:rFonts w:ascii="Times New Roman" w:hAnsi="Times New Roman" w:cs="Times New Roman"/>
        </w:rPr>
        <w:t>GFP)</w:t>
      </w:r>
      <w:r w:rsidRPr="009E42BA">
        <w:rPr>
          <w:rFonts w:ascii="Times New Roman" w:hAnsi="Times New Roman" w:cs="Times New Roman"/>
          <w:b/>
          <w:bCs/>
        </w:rPr>
        <w:t xml:space="preserve"> </w:t>
      </w:r>
      <w:r w:rsidRPr="009E42BA">
        <w:rPr>
          <w:rFonts w:ascii="Times New Roman" w:hAnsi="Times New Roman" w:cs="Times New Roman"/>
        </w:rPr>
        <w:t>w</w:t>
      </w:r>
      <w:r>
        <w:rPr>
          <w:rFonts w:ascii="Times New Roman" w:hAnsi="Times New Roman" w:cs="Times New Roman"/>
        </w:rPr>
        <w:t>ere</w:t>
      </w:r>
      <w:r w:rsidRPr="009E42BA">
        <w:rPr>
          <w:rFonts w:ascii="Times New Roman" w:hAnsi="Times New Roman" w:cs="Times New Roman"/>
        </w:rPr>
        <w:t xml:space="preserve"> injected into the </w:t>
      </w:r>
      <w:r w:rsidR="002373A7">
        <w:rPr>
          <w:rFonts w:ascii="Times New Roman" w:hAnsi="Times New Roman" w:cs="Times New Roman"/>
        </w:rPr>
        <w:t>returning circulation</w:t>
      </w:r>
      <w:r w:rsidRPr="009E42BA">
        <w:rPr>
          <w:rFonts w:ascii="Times New Roman" w:hAnsi="Times New Roman" w:cs="Times New Roman"/>
        </w:rPr>
        <w:t xml:space="preserve"> and embryos were imaged 24 hpi. Bacterial clusters were observed throughout the embryo, confirming</w:t>
      </w:r>
      <w:r>
        <w:rPr>
          <w:rFonts w:ascii="Times New Roman" w:hAnsi="Times New Roman" w:cs="Times New Roman"/>
        </w:rPr>
        <w:t xml:space="preserve"> </w:t>
      </w:r>
      <w:r w:rsidR="004C73B1">
        <w:rPr>
          <w:rFonts w:ascii="Times New Roman" w:hAnsi="Times New Roman" w:cs="Times New Roman"/>
        </w:rPr>
        <w:t>that injection into the circulation valley leads</w:t>
      </w:r>
      <w:r w:rsidRPr="009E42BA">
        <w:rPr>
          <w:rFonts w:ascii="Times New Roman" w:hAnsi="Times New Roman" w:cs="Times New Roman"/>
        </w:rPr>
        <w:t xml:space="preserve"> </w:t>
      </w:r>
      <w:r>
        <w:rPr>
          <w:rFonts w:ascii="Times New Roman" w:hAnsi="Times New Roman" w:cs="Times New Roman"/>
        </w:rPr>
        <w:t xml:space="preserve">to </w:t>
      </w:r>
      <w:r w:rsidRPr="009E42BA">
        <w:rPr>
          <w:rFonts w:ascii="Times New Roman" w:hAnsi="Times New Roman" w:cs="Times New Roman"/>
        </w:rPr>
        <w:t xml:space="preserve">systemic </w:t>
      </w:r>
      <w:r w:rsidRPr="009F291C">
        <w:rPr>
          <w:rFonts w:ascii="Times New Roman" w:hAnsi="Times New Roman" w:cs="Times New Roman"/>
        </w:rPr>
        <w:t xml:space="preserve">infection </w:t>
      </w:r>
      <w:r>
        <w:rPr>
          <w:rFonts w:ascii="Times New Roman" w:hAnsi="Times New Roman" w:cs="Times New Roman"/>
          <w:b/>
          <w:bCs/>
        </w:rPr>
        <w:t>(Fig. 5.5.2)</w:t>
      </w:r>
      <w:r w:rsidRPr="009F291C">
        <w:rPr>
          <w:rFonts w:ascii="Times New Roman" w:hAnsi="Times New Roman" w:cs="Times New Roman"/>
        </w:rPr>
        <w:t xml:space="preserve">. </w:t>
      </w:r>
    </w:p>
    <w:p w14:paraId="3E14AED7" w14:textId="43BAE398" w:rsidR="00187693" w:rsidRDefault="00187693" w:rsidP="00187693">
      <w:pPr>
        <w:spacing w:line="360" w:lineRule="auto"/>
        <w:ind w:firstLine="720"/>
        <w:jc w:val="both"/>
        <w:rPr>
          <w:rFonts w:ascii="Times New Roman" w:hAnsi="Times New Roman" w:cs="Times New Roman"/>
        </w:rPr>
      </w:pPr>
      <w:r w:rsidRPr="009E42BA">
        <w:rPr>
          <w:rFonts w:ascii="Times New Roman" w:hAnsi="Times New Roman" w:cs="Times New Roman"/>
        </w:rPr>
        <w:t xml:space="preserve">A dose of </w:t>
      </w:r>
      <w:r w:rsidRPr="009E42BA">
        <w:rPr>
          <w:rFonts w:ascii="Times New Roman" w:hAnsi="Times New Roman" w:cs="Times New Roman"/>
          <w:i/>
          <w:iCs/>
        </w:rPr>
        <w:t>S. aureus</w:t>
      </w:r>
      <w:r w:rsidRPr="009E42BA">
        <w:rPr>
          <w:rFonts w:ascii="Times New Roman" w:hAnsi="Times New Roman" w:cs="Times New Roman"/>
        </w:rPr>
        <w:t xml:space="preserve"> </w:t>
      </w:r>
      <w:r w:rsidR="004C73B1">
        <w:rPr>
          <w:rFonts w:ascii="Times New Roman" w:hAnsi="Times New Roman" w:cs="Times New Roman"/>
        </w:rPr>
        <w:t xml:space="preserve">JE2 </w:t>
      </w:r>
      <w:r w:rsidRPr="009E42BA">
        <w:rPr>
          <w:rFonts w:ascii="Times New Roman" w:hAnsi="Times New Roman" w:cs="Times New Roman"/>
        </w:rPr>
        <w:t>WT</w:t>
      </w:r>
      <w:r>
        <w:rPr>
          <w:rFonts w:ascii="Times New Roman" w:hAnsi="Times New Roman" w:cs="Times New Roman"/>
        </w:rPr>
        <w:t xml:space="preserve"> USA300 MRSA </w:t>
      </w:r>
      <w:r w:rsidRPr="009E42BA">
        <w:rPr>
          <w:rFonts w:ascii="Times New Roman" w:hAnsi="Times New Roman" w:cs="Times New Roman"/>
        </w:rPr>
        <w:t>that led to 50% killing</w:t>
      </w:r>
      <w:r>
        <w:rPr>
          <w:rFonts w:ascii="Times New Roman" w:hAnsi="Times New Roman" w:cs="Times New Roman"/>
        </w:rPr>
        <w:t xml:space="preserve"> of zebrafish embryos</w:t>
      </w:r>
      <w:r w:rsidRPr="009E42BA">
        <w:rPr>
          <w:rFonts w:ascii="Times New Roman" w:hAnsi="Times New Roman" w:cs="Times New Roman"/>
        </w:rPr>
        <w:t xml:space="preserve"> was first determined. Pre</w:t>
      </w:r>
      <w:r>
        <w:rPr>
          <w:rFonts w:ascii="Times New Roman" w:hAnsi="Times New Roman" w:cs="Times New Roman"/>
        </w:rPr>
        <w:t>vious</w:t>
      </w:r>
      <w:r w:rsidRPr="009E42BA">
        <w:rPr>
          <w:rFonts w:ascii="Times New Roman" w:hAnsi="Times New Roman" w:cs="Times New Roman"/>
        </w:rPr>
        <w:t xml:space="preserve"> data</w:t>
      </w:r>
      <w:r>
        <w:rPr>
          <w:rFonts w:ascii="Times New Roman" w:hAnsi="Times New Roman" w:cs="Times New Roman"/>
        </w:rPr>
        <w:t xml:space="preserve"> from the laboratory</w:t>
      </w:r>
      <w:r w:rsidRPr="009E42BA">
        <w:rPr>
          <w:rFonts w:ascii="Times New Roman" w:hAnsi="Times New Roman" w:cs="Times New Roman"/>
        </w:rPr>
        <w:t xml:space="preserve"> has </w:t>
      </w:r>
      <w:r>
        <w:rPr>
          <w:rFonts w:ascii="Times New Roman" w:hAnsi="Times New Roman" w:cs="Times New Roman"/>
        </w:rPr>
        <w:t xml:space="preserve">demonstrated </w:t>
      </w:r>
      <w:r w:rsidRPr="009E42BA">
        <w:rPr>
          <w:rFonts w:ascii="Times New Roman" w:hAnsi="Times New Roman" w:cs="Times New Roman"/>
        </w:rPr>
        <w:t xml:space="preserve">that approximately 550 CFU/embryo of LAC* USA300 MRSA were required to elicit 50% killing of embryos. To this end, 1 nl of </w:t>
      </w:r>
      <w:r>
        <w:rPr>
          <w:rFonts w:ascii="Times New Roman" w:hAnsi="Times New Roman" w:cs="Times New Roman"/>
        </w:rPr>
        <w:t xml:space="preserve">JE2 </w:t>
      </w:r>
      <w:r w:rsidRPr="009E42BA">
        <w:rPr>
          <w:rFonts w:ascii="Times New Roman" w:hAnsi="Times New Roman" w:cs="Times New Roman"/>
        </w:rPr>
        <w:t xml:space="preserve">WT cultures at concentrations of 750 and 550 CFU/nl were injected into zebrafish embryos and survival was monitored </w:t>
      </w:r>
      <w:r>
        <w:rPr>
          <w:rFonts w:ascii="Times New Roman" w:hAnsi="Times New Roman" w:cs="Times New Roman"/>
        </w:rPr>
        <w:t xml:space="preserve">for </w:t>
      </w:r>
      <w:r w:rsidRPr="009E42BA">
        <w:rPr>
          <w:rFonts w:ascii="Times New Roman" w:hAnsi="Times New Roman" w:cs="Times New Roman"/>
        </w:rPr>
        <w:t>u</w:t>
      </w:r>
      <w:r>
        <w:rPr>
          <w:rFonts w:ascii="Times New Roman" w:hAnsi="Times New Roman" w:cs="Times New Roman"/>
        </w:rPr>
        <w:t xml:space="preserve">p to </w:t>
      </w:r>
      <w:r w:rsidRPr="009E42BA">
        <w:rPr>
          <w:rFonts w:ascii="Times New Roman" w:hAnsi="Times New Roman" w:cs="Times New Roman"/>
        </w:rPr>
        <w:t xml:space="preserve">93 hpi </w:t>
      </w:r>
      <w:r w:rsidRPr="009E42BA">
        <w:rPr>
          <w:rFonts w:ascii="Times New Roman" w:hAnsi="Times New Roman" w:cs="Times New Roman"/>
          <w:b/>
          <w:bCs/>
        </w:rPr>
        <w:t>(Fig</w:t>
      </w:r>
      <w:r>
        <w:rPr>
          <w:rFonts w:ascii="Times New Roman" w:hAnsi="Times New Roman" w:cs="Times New Roman"/>
          <w:b/>
          <w:bCs/>
        </w:rPr>
        <w:t>. 5.5.1</w:t>
      </w:r>
      <w:r w:rsidRPr="009E42BA">
        <w:rPr>
          <w:rFonts w:ascii="Times New Roman" w:hAnsi="Times New Roman" w:cs="Times New Roman"/>
          <w:b/>
          <w:bCs/>
        </w:rPr>
        <w:t xml:space="preserve">b). </w:t>
      </w:r>
      <w:r w:rsidRPr="009E42BA">
        <w:rPr>
          <w:rFonts w:ascii="Times New Roman" w:hAnsi="Times New Roman" w:cs="Times New Roman"/>
        </w:rPr>
        <w:t xml:space="preserve">Only 30% of embryos were killed when injected with 750 CFU and approximately 20% with 550 CFU. Due to the 550 CFU dose not achieving the </w:t>
      </w:r>
      <w:r>
        <w:rPr>
          <w:rFonts w:ascii="Times New Roman" w:hAnsi="Times New Roman" w:cs="Times New Roman"/>
        </w:rPr>
        <w:t>same percentage killing as seen previously with LAC*</w:t>
      </w:r>
      <w:r w:rsidRPr="009E42BA">
        <w:rPr>
          <w:rFonts w:ascii="Times New Roman" w:hAnsi="Times New Roman" w:cs="Times New Roman"/>
        </w:rPr>
        <w:t xml:space="preserve">, the differences between JE2 and LAC* were examined. JE2 was constructed from LAC* by </w:t>
      </w:r>
      <w:r>
        <w:rPr>
          <w:rFonts w:ascii="Times New Roman" w:hAnsi="Times New Roman" w:cs="Times New Roman"/>
        </w:rPr>
        <w:t>curing</w:t>
      </w:r>
      <w:r w:rsidRPr="009E42BA">
        <w:rPr>
          <w:rFonts w:ascii="Times New Roman" w:hAnsi="Times New Roman" w:cs="Times New Roman"/>
        </w:rPr>
        <w:t xml:space="preserve"> two plasmids, p01 and p03. p01 is a 3.1 kb cryptic plasmid, while p03 is a 27 kb</w:t>
      </w:r>
      <w:r>
        <w:rPr>
          <w:rFonts w:ascii="Times New Roman" w:hAnsi="Times New Roman" w:cs="Times New Roman"/>
        </w:rPr>
        <w:t xml:space="preserve"> plasmid</w:t>
      </w:r>
      <w:r w:rsidRPr="009E42BA">
        <w:rPr>
          <w:rFonts w:ascii="Times New Roman" w:hAnsi="Times New Roman" w:cs="Times New Roman"/>
        </w:rPr>
        <w:t xml:space="preserve"> that confers erythromycin resistance </w:t>
      </w:r>
      <w:r w:rsidRPr="009E42BA">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&lt;EndNote&gt;&lt;Cite&gt;&lt;Author&gt;Fey&lt;/Author&gt;&lt;Year&gt;2013&lt;/Year&gt;&lt;IDText&gt;A Genetic Resource for Rapid and Comprehensive Phenotype Screening of Nonessential Staphylococcus aureus Genes&lt;/IDText&gt;&lt;DisplayText&gt;(Fey&lt;style face="italic"&gt; et al.&lt;/style&gt;, 2013)&lt;/DisplayText&gt;&lt;record&gt;&lt;dates&gt;&lt;pub-dates&gt;&lt;date&gt;Jan-Feb&lt;/date&gt;&lt;/pub-dates&gt;&lt;year&gt;2013&lt;/year&gt;&lt;/dates&gt;&lt;urls&gt;&lt;related-urls&gt;&lt;url&gt;&amp;lt;Go to ISI&amp;gt;://WOS:000315814300027&lt;/url&gt;&lt;/related-urls&gt;&lt;/urls&gt;&lt;isbn&gt;2150-7511&lt;/isbn&gt;&lt;titles&gt;&lt;title&gt;A Genetic Resource for Rapid and Comprehensive Phenotype Screening of Nonessential Staphylococcus aureus Genes&lt;/title&gt;&lt;secondary-title&gt;Mbio&lt;/secondary-title&gt;&lt;/titles&gt;&lt;number&gt;1&lt;/number&gt;&lt;contributors&gt;&lt;authors&gt;&lt;author&gt;Fey, P. D.&lt;/author&gt;&lt;author&gt;Endres, J. L.&lt;/author&gt;&lt;author&gt;Yajjala, V. K.&lt;/author&gt;&lt;author&gt;Widhelm, T. J.&lt;/author&gt;&lt;author&gt;Boissy, R. J.&lt;/author&gt;&lt;author&gt;Bose, J. L.&lt;/author&gt;&lt;author&gt;Bayles, K. W.&lt;/author&gt;&lt;/authors&gt;&lt;/contributors&gt;&lt;custom7&gt;e00537-12&lt;/custom7&gt;&lt;added-date format="utc"&gt;1674820699&lt;/added-date&gt;&lt;ref-type name="Journal Article"&gt;17&lt;/ref-type&gt;&lt;rec-number&gt;275&lt;/rec-number&gt;&lt;last-updated-date format="utc"&gt;1674820699&lt;/last-updated-date&gt;&lt;accession-num&gt;WOS:000315814300027&lt;/accession-num&gt;&lt;electronic-resource-num&gt;10.1128/mBio.00537-12&lt;/electronic-resource-num&gt;&lt;volume&gt;4&lt;/volume&gt;&lt;/record&gt;&lt;/Cite&gt;&lt;/EndNote&gt;</w:instrText>
      </w:r>
      <w:r w:rsidRPr="009E42BA">
        <w:rPr>
          <w:rFonts w:ascii="Times New Roman" w:hAnsi="Times New Roman" w:cs="Times New Roman"/>
          <w:b/>
          <w:bCs/>
        </w:rPr>
        <w:fldChar w:fldCharType="separate"/>
      </w:r>
      <w:r>
        <w:rPr>
          <w:rFonts w:ascii="Times New Roman" w:hAnsi="Times New Roman" w:cs="Times New Roman"/>
          <w:b/>
          <w:bCs/>
          <w:noProof/>
        </w:rPr>
        <w:t>(Fey</w:t>
      </w:r>
      <w:r w:rsidRPr="00F95468">
        <w:rPr>
          <w:rFonts w:ascii="Times New Roman" w:hAnsi="Times New Roman" w:cs="Times New Roman"/>
          <w:b/>
          <w:bCs/>
          <w:i/>
          <w:noProof/>
        </w:rPr>
        <w:t xml:space="preserve"> et al.</w:t>
      </w:r>
      <w:r>
        <w:rPr>
          <w:rFonts w:ascii="Times New Roman" w:hAnsi="Times New Roman" w:cs="Times New Roman"/>
          <w:b/>
          <w:bCs/>
          <w:noProof/>
        </w:rPr>
        <w:t>, 2013)</w:t>
      </w:r>
      <w:r w:rsidRPr="009E42BA">
        <w:rPr>
          <w:rFonts w:ascii="Times New Roman" w:hAnsi="Times New Roman" w:cs="Times New Roman"/>
          <w:b/>
          <w:bCs/>
        </w:rPr>
        <w:fldChar w:fldCharType="end"/>
      </w:r>
      <w:r w:rsidRPr="009E42BA">
        <w:rPr>
          <w:rFonts w:ascii="Times New Roman" w:hAnsi="Times New Roman" w:cs="Times New Roman"/>
        </w:rPr>
        <w:t xml:space="preserve">, and with JE2 cured of both of these plasmids, </w:t>
      </w:r>
      <w:r w:rsidR="007F7684">
        <w:rPr>
          <w:rFonts w:ascii="Times New Roman" w:hAnsi="Times New Roman" w:cs="Times New Roman"/>
        </w:rPr>
        <w:t xml:space="preserve">it may be that </w:t>
      </w:r>
      <w:r w:rsidRPr="009E42BA">
        <w:rPr>
          <w:rFonts w:ascii="Times New Roman" w:hAnsi="Times New Roman" w:cs="Times New Roman"/>
        </w:rPr>
        <w:t>550 CFU/nl was no</w:t>
      </w:r>
      <w:r w:rsidR="00862737">
        <w:rPr>
          <w:rFonts w:ascii="Times New Roman" w:hAnsi="Times New Roman" w:cs="Times New Roman"/>
        </w:rPr>
        <w:t xml:space="preserve">t a high enough dose to </w:t>
      </w:r>
      <w:r w:rsidRPr="009E42BA">
        <w:rPr>
          <w:rFonts w:ascii="Times New Roman" w:hAnsi="Times New Roman" w:cs="Times New Roman"/>
        </w:rPr>
        <w:t xml:space="preserve">kill 50% of embryos. This </w:t>
      </w:r>
      <w:r>
        <w:rPr>
          <w:rFonts w:ascii="Times New Roman" w:hAnsi="Times New Roman" w:cs="Times New Roman"/>
        </w:rPr>
        <w:t>could suggest</w:t>
      </w:r>
      <w:r w:rsidRPr="009E42BA">
        <w:rPr>
          <w:rFonts w:ascii="Times New Roman" w:hAnsi="Times New Roman" w:cs="Times New Roman"/>
        </w:rPr>
        <w:t xml:space="preserve"> that the absence of these two plasmids </w:t>
      </w:r>
      <w:r>
        <w:rPr>
          <w:rFonts w:ascii="Times New Roman" w:hAnsi="Times New Roman" w:cs="Times New Roman"/>
        </w:rPr>
        <w:t>impacts</w:t>
      </w:r>
      <w:r w:rsidRPr="009E42BA">
        <w:rPr>
          <w:rFonts w:ascii="Times New Roman" w:hAnsi="Times New Roman" w:cs="Times New Roman"/>
        </w:rPr>
        <w:t xml:space="preserve"> virulence</w:t>
      </w:r>
      <w:r w:rsidR="00862737">
        <w:rPr>
          <w:rFonts w:ascii="Times New Roman" w:hAnsi="Times New Roman" w:cs="Times New Roman"/>
        </w:rPr>
        <w:t xml:space="preserve"> but further investigation is required to confirm whether this hypothesis is true or not</w:t>
      </w:r>
      <w:r>
        <w:rPr>
          <w:rFonts w:ascii="Times New Roman" w:hAnsi="Times New Roman" w:cs="Times New Roman"/>
        </w:rPr>
        <w:t>.</w:t>
      </w:r>
    </w:p>
    <w:p w14:paraId="3A844326" w14:textId="77777777" w:rsidR="00187693" w:rsidRDefault="00187693" w:rsidP="00187693">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46C23AE1" w14:textId="77777777" w:rsidTr="00A74445">
        <w:tc>
          <w:tcPr>
            <w:tcW w:w="9016" w:type="dxa"/>
          </w:tcPr>
          <w:p w14:paraId="7F10E8DC" w14:textId="77777777" w:rsidR="00187693" w:rsidRDefault="00187693" w:rsidP="00A7444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4C7DA980" wp14:editId="0BDC6972">
                  <wp:extent cx="5680189" cy="8591698"/>
                  <wp:effectExtent l="0" t="0" r="0" b="0"/>
                  <wp:docPr id="1151264650" name="Picture 11512646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64650" name="Picture 1151264650" descr="A picture containing graphical user interfac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0716" cy="8607621"/>
                          </a:xfrm>
                          <a:prstGeom prst="rect">
                            <a:avLst/>
                          </a:prstGeom>
                          <a:noFill/>
                        </pic:spPr>
                      </pic:pic>
                    </a:graphicData>
                  </a:graphic>
                </wp:inline>
              </w:drawing>
            </w:r>
          </w:p>
        </w:tc>
      </w:tr>
      <w:tr w:rsidR="00187693" w14:paraId="1E527187" w14:textId="77777777" w:rsidTr="00A74445">
        <w:tc>
          <w:tcPr>
            <w:tcW w:w="9016" w:type="dxa"/>
          </w:tcPr>
          <w:p w14:paraId="2459A66D" w14:textId="41BB85F1" w:rsidR="00187693" w:rsidRDefault="00187693" w:rsidP="00A74445">
            <w:pPr>
              <w:jc w:val="both"/>
              <w:rPr>
                <w:rFonts w:ascii="Times New Roman" w:hAnsi="Times New Roman" w:cs="Times New Roman"/>
              </w:rPr>
            </w:pPr>
            <w:r w:rsidRPr="006E7325">
              <w:rPr>
                <w:rFonts w:ascii="Times New Roman" w:hAnsi="Times New Roman" w:cs="Times New Roman"/>
                <w:b/>
                <w:bCs/>
                <w:sz w:val="18"/>
                <w:szCs w:val="18"/>
              </w:rPr>
              <w:t>Figure 5.</w:t>
            </w:r>
            <w:r>
              <w:rPr>
                <w:rFonts w:ascii="Times New Roman" w:hAnsi="Times New Roman" w:cs="Times New Roman"/>
                <w:b/>
                <w:bCs/>
                <w:sz w:val="18"/>
                <w:szCs w:val="18"/>
              </w:rPr>
              <w:t>5</w:t>
            </w:r>
            <w:r w:rsidRPr="006E7325">
              <w:rPr>
                <w:rFonts w:ascii="Times New Roman" w:hAnsi="Times New Roman" w:cs="Times New Roman"/>
                <w:b/>
                <w:bCs/>
                <w:sz w:val="18"/>
                <w:szCs w:val="18"/>
              </w:rPr>
              <w:t xml:space="preserve">.1. Optimisation of zebrafish embryo </w:t>
            </w:r>
            <w:r>
              <w:rPr>
                <w:rFonts w:ascii="Times New Roman" w:hAnsi="Times New Roman" w:cs="Times New Roman"/>
                <w:b/>
                <w:bCs/>
                <w:sz w:val="18"/>
                <w:szCs w:val="18"/>
              </w:rPr>
              <w:t xml:space="preserve">systemic </w:t>
            </w:r>
            <w:r w:rsidRPr="006E7325">
              <w:rPr>
                <w:rFonts w:ascii="Times New Roman" w:hAnsi="Times New Roman" w:cs="Times New Roman"/>
                <w:b/>
                <w:bCs/>
                <w:sz w:val="18"/>
                <w:szCs w:val="18"/>
              </w:rPr>
              <w:t xml:space="preserve">injections. a) </w:t>
            </w:r>
            <w:r w:rsidRPr="006E7325">
              <w:rPr>
                <w:rFonts w:ascii="Times New Roman" w:hAnsi="Times New Roman" w:cs="Times New Roman"/>
                <w:sz w:val="18"/>
                <w:szCs w:val="18"/>
              </w:rPr>
              <w:t xml:space="preserve">Lateral view of a 30 </w:t>
            </w:r>
            <w:r>
              <w:rPr>
                <w:rFonts w:ascii="Times New Roman" w:hAnsi="Times New Roman" w:cs="Times New Roman"/>
                <w:sz w:val="18"/>
                <w:szCs w:val="18"/>
              </w:rPr>
              <w:t>h</w:t>
            </w:r>
            <w:r w:rsidRPr="006E7325">
              <w:rPr>
                <w:rFonts w:ascii="Times New Roman" w:hAnsi="Times New Roman" w:cs="Times New Roman"/>
                <w:sz w:val="18"/>
                <w:szCs w:val="18"/>
              </w:rPr>
              <w:t xml:space="preserve">pf London Wildtype zebrafish embryo. The location of the injection site, the circulation valley (blue circle) is highlighted, as well as the needle. The schematic below details the anatomical features of the zebrafish embryo including the eye, forebrain, notochord. The circulation valley (including the duct of Cuvier) is represented by black arrows and spans the lateral </w:t>
            </w:r>
            <w:r>
              <w:rPr>
                <w:rFonts w:ascii="Times New Roman" w:hAnsi="Times New Roman" w:cs="Times New Roman"/>
                <w:sz w:val="18"/>
                <w:szCs w:val="18"/>
              </w:rPr>
              <w:t>orientation</w:t>
            </w:r>
            <w:r w:rsidRPr="006E7325">
              <w:rPr>
                <w:rFonts w:ascii="Times New Roman" w:hAnsi="Times New Roman" w:cs="Times New Roman"/>
                <w:sz w:val="18"/>
                <w:szCs w:val="18"/>
              </w:rPr>
              <w:t xml:space="preserve"> of the yolk (as well as the cells of the hatching gland) and culminates in the </w:t>
            </w:r>
            <w:r>
              <w:rPr>
                <w:rFonts w:ascii="Times New Roman" w:hAnsi="Times New Roman" w:cs="Times New Roman"/>
                <w:sz w:val="18"/>
                <w:szCs w:val="18"/>
              </w:rPr>
              <w:t>area anterior to the yolk sac</w:t>
            </w:r>
            <w:r w:rsidRPr="006E7325">
              <w:rPr>
                <w:rFonts w:ascii="Times New Roman" w:hAnsi="Times New Roman" w:cs="Times New Roman"/>
                <w:sz w:val="18"/>
                <w:szCs w:val="18"/>
              </w:rPr>
              <w:t xml:space="preserve">. The injection site is highlighted (blue circle) – 1 nl of bacterial culture is injected into the </w:t>
            </w:r>
            <w:r w:rsidR="00164132">
              <w:rPr>
                <w:rFonts w:ascii="Times New Roman" w:hAnsi="Times New Roman" w:cs="Times New Roman"/>
                <w:sz w:val="18"/>
                <w:szCs w:val="18"/>
              </w:rPr>
              <w:t>circulation valley</w:t>
            </w:r>
            <w:r w:rsidRPr="006E7325">
              <w:rPr>
                <w:rFonts w:ascii="Times New Roman" w:hAnsi="Times New Roman" w:cs="Times New Roman"/>
                <w:sz w:val="18"/>
                <w:szCs w:val="18"/>
              </w:rPr>
              <w:t xml:space="preserve"> beneath the cells of the hatching gland, where the duct of Cuvier culminates </w:t>
            </w:r>
            <w:r w:rsidRPr="006E7325">
              <w:rPr>
                <w:rFonts w:ascii="Times New Roman" w:hAnsi="Times New Roman" w:cs="Times New Roman"/>
                <w:b/>
                <w:bCs/>
                <w:sz w:val="18"/>
                <w:szCs w:val="18"/>
              </w:rPr>
              <w:t xml:space="preserve">b) </w:t>
            </w:r>
            <w:r w:rsidRPr="006E7325">
              <w:rPr>
                <w:rFonts w:ascii="Times New Roman" w:hAnsi="Times New Roman" w:cs="Times New Roman"/>
                <w:sz w:val="18"/>
                <w:szCs w:val="18"/>
              </w:rPr>
              <w:t xml:space="preserve">Survival of zebrafish embryos injected with </w:t>
            </w:r>
            <w:r w:rsidRPr="006E7325">
              <w:rPr>
                <w:rFonts w:ascii="Times New Roman" w:hAnsi="Times New Roman" w:cs="Times New Roman"/>
                <w:i/>
                <w:iCs/>
                <w:sz w:val="18"/>
                <w:szCs w:val="18"/>
              </w:rPr>
              <w:t xml:space="preserve">S. aureus </w:t>
            </w:r>
            <w:r w:rsidRPr="006E7325">
              <w:rPr>
                <w:rFonts w:ascii="Times New Roman" w:hAnsi="Times New Roman" w:cs="Times New Roman"/>
                <w:sz w:val="18"/>
                <w:szCs w:val="18"/>
              </w:rPr>
              <w:t>(WT) at intended doses of 750 CFU/nl (red) and 550 CFU (pink) (actual doses are shown in parentheses) at 30 hpf into the circulation</w:t>
            </w:r>
            <w:r>
              <w:rPr>
                <w:rFonts w:ascii="Times New Roman" w:hAnsi="Times New Roman" w:cs="Times New Roman"/>
                <w:sz w:val="18"/>
                <w:szCs w:val="18"/>
              </w:rPr>
              <w:t xml:space="preserve"> valley</w:t>
            </w:r>
            <w:r w:rsidRPr="006E7325">
              <w:rPr>
                <w:rFonts w:ascii="Times New Roman" w:hAnsi="Times New Roman" w:cs="Times New Roman"/>
                <w:sz w:val="18"/>
                <w:szCs w:val="18"/>
              </w:rPr>
              <w:t>. Survival was monitored until 93 hp</w:t>
            </w:r>
            <w:r>
              <w:rPr>
                <w:rFonts w:ascii="Times New Roman" w:hAnsi="Times New Roman" w:cs="Times New Roman"/>
                <w:sz w:val="18"/>
                <w:szCs w:val="18"/>
              </w:rPr>
              <w:t xml:space="preserve">i </w:t>
            </w:r>
            <w:r w:rsidRPr="006E7325">
              <w:rPr>
                <w:rFonts w:ascii="Times New Roman" w:hAnsi="Times New Roman" w:cs="Times New Roman"/>
                <w:sz w:val="18"/>
                <w:szCs w:val="18"/>
              </w:rPr>
              <w:t>when the embryos reached 5.2 days post fertilisation. The negative control was performed using PBS (brown). Experiment performed once.</w:t>
            </w:r>
          </w:p>
        </w:tc>
      </w:tr>
      <w:tr w:rsidR="00187693" w14:paraId="5408F532" w14:textId="77777777" w:rsidTr="00A74445">
        <w:tc>
          <w:tcPr>
            <w:tcW w:w="9016" w:type="dxa"/>
          </w:tcPr>
          <w:p w14:paraId="5BD9F7EC" w14:textId="77777777" w:rsidR="00187693" w:rsidRPr="006E7325" w:rsidRDefault="00187693" w:rsidP="00A74445">
            <w:pPr>
              <w:jc w:val="both"/>
              <w:rPr>
                <w:rFonts w:ascii="Times New Roman" w:hAnsi="Times New Roman" w:cs="Times New Roman"/>
                <w:b/>
                <w:bCs/>
                <w:sz w:val="18"/>
                <w:szCs w:val="18"/>
              </w:rPr>
            </w:pPr>
          </w:p>
        </w:tc>
      </w:tr>
      <w:tr w:rsidR="00187693" w14:paraId="4B25C5CC" w14:textId="77777777" w:rsidTr="00A74445">
        <w:tc>
          <w:tcPr>
            <w:tcW w:w="9016" w:type="dxa"/>
          </w:tcPr>
          <w:p w14:paraId="76B35E8B" w14:textId="77777777" w:rsidR="00187693" w:rsidRDefault="00187693" w:rsidP="00A74445">
            <w:pPr>
              <w:jc w:val="both"/>
              <w:rPr>
                <w:rFonts w:ascii="Times New Roman" w:hAnsi="Times New Roman" w:cs="Times New Roman"/>
                <w:b/>
                <w:bCs/>
                <w:sz w:val="18"/>
                <w:szCs w:val="18"/>
              </w:rPr>
            </w:pPr>
          </w:p>
          <w:p w14:paraId="5A3F0377" w14:textId="77777777" w:rsidR="00187693" w:rsidRDefault="00187693" w:rsidP="00A74445">
            <w:pPr>
              <w:jc w:val="both"/>
              <w:rPr>
                <w:rFonts w:ascii="Times New Roman" w:hAnsi="Times New Roman" w:cs="Times New Roman"/>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0"/>
            </w:tblGrid>
            <w:tr w:rsidR="00187693" w14:paraId="2118EFA0" w14:textId="77777777" w:rsidTr="00A74445">
              <w:tc>
                <w:tcPr>
                  <w:tcW w:w="8790" w:type="dxa"/>
                </w:tcPr>
                <w:p w14:paraId="3E74C792" w14:textId="2EC3753C" w:rsidR="00187693" w:rsidRDefault="00740B1E" w:rsidP="00740B1E">
                  <w:pPr>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51B3588C" wp14:editId="4229F0C2">
                        <wp:extent cx="4000500" cy="4131565"/>
                        <wp:effectExtent l="0" t="0" r="0" b="2540"/>
                        <wp:docPr id="138725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34825" cy="4167014"/>
                                </a:xfrm>
                                <a:prstGeom prst="rect">
                                  <a:avLst/>
                                </a:prstGeom>
                                <a:noFill/>
                              </pic:spPr>
                            </pic:pic>
                          </a:graphicData>
                        </a:graphic>
                      </wp:inline>
                    </w:drawing>
                  </w:r>
                </w:p>
              </w:tc>
            </w:tr>
            <w:tr w:rsidR="00187693" w14:paraId="23FF6E02" w14:textId="77777777" w:rsidTr="00A74445">
              <w:tc>
                <w:tcPr>
                  <w:tcW w:w="8790" w:type="dxa"/>
                </w:tcPr>
                <w:p w14:paraId="54ADA0D2" w14:textId="77777777" w:rsidR="00187693" w:rsidRDefault="00187693" w:rsidP="00A74445">
                  <w:pPr>
                    <w:jc w:val="both"/>
                    <w:rPr>
                      <w:rFonts w:ascii="Times New Roman" w:hAnsi="Times New Roman" w:cs="Times New Roman"/>
                      <w:b/>
                      <w:bCs/>
                      <w:sz w:val="18"/>
                      <w:szCs w:val="18"/>
                    </w:rPr>
                  </w:pPr>
                  <w:r w:rsidRPr="0054136C">
                    <w:rPr>
                      <w:rFonts w:ascii="Times New Roman" w:hAnsi="Times New Roman" w:cs="Times New Roman"/>
                      <w:b/>
                      <w:bCs/>
                      <w:sz w:val="18"/>
                      <w:szCs w:val="18"/>
                    </w:rPr>
                    <w:t xml:space="preserve">Figure 5.5.2. Injection into the pericardial cavity results in systemic infection. </w:t>
                  </w:r>
                  <w:r w:rsidRPr="0054136C">
                    <w:rPr>
                      <w:rFonts w:ascii="Times New Roman" w:hAnsi="Times New Roman" w:cs="Times New Roman"/>
                      <w:sz w:val="18"/>
                      <w:szCs w:val="18"/>
                    </w:rPr>
                    <w:t xml:space="preserve">Zebrafish embryos were injected with the </w:t>
                  </w:r>
                  <w:r w:rsidRPr="0054136C">
                    <w:rPr>
                      <w:rFonts w:ascii="Times New Roman" w:hAnsi="Times New Roman" w:cs="Times New Roman"/>
                      <w:i/>
                      <w:iCs/>
                      <w:sz w:val="18"/>
                      <w:szCs w:val="18"/>
                    </w:rPr>
                    <w:t>S. aureus</w:t>
                  </w:r>
                  <w:r w:rsidRPr="0054136C">
                    <w:rPr>
                      <w:rFonts w:ascii="Times New Roman" w:hAnsi="Times New Roman" w:cs="Times New Roman"/>
                      <w:b/>
                      <w:bCs/>
                      <w:i/>
                      <w:iCs/>
                      <w:sz w:val="18"/>
                      <w:szCs w:val="18"/>
                    </w:rPr>
                    <w:t xml:space="preserve"> </w:t>
                  </w:r>
                  <w:r w:rsidRPr="0054136C">
                    <w:rPr>
                      <w:rFonts w:ascii="Times New Roman" w:hAnsi="Times New Roman" w:cs="Times New Roman"/>
                      <w:b/>
                      <w:bCs/>
                      <w:sz w:val="18"/>
                      <w:szCs w:val="18"/>
                    </w:rPr>
                    <w:t xml:space="preserve">(a) </w:t>
                  </w:r>
                  <w:r w:rsidRPr="0054136C">
                    <w:rPr>
                      <w:rFonts w:ascii="Times New Roman" w:hAnsi="Times New Roman" w:cs="Times New Roman"/>
                      <w:sz w:val="18"/>
                      <w:szCs w:val="18"/>
                    </w:rPr>
                    <w:t>JE2 WT and</w:t>
                  </w:r>
                  <w:r w:rsidRPr="0054136C">
                    <w:rPr>
                      <w:rFonts w:ascii="Times New Roman" w:hAnsi="Times New Roman" w:cs="Times New Roman"/>
                      <w:b/>
                      <w:bCs/>
                      <w:sz w:val="18"/>
                      <w:szCs w:val="18"/>
                    </w:rPr>
                    <w:t xml:space="preserve"> (b) </w:t>
                  </w:r>
                  <w:r w:rsidRPr="0054136C">
                    <w:rPr>
                      <w:rFonts w:ascii="Times New Roman" w:hAnsi="Times New Roman" w:cs="Times New Roman"/>
                      <w:sz w:val="18"/>
                      <w:szCs w:val="18"/>
                    </w:rPr>
                    <w:t>(p)ppGpp</w:t>
                  </w:r>
                  <w:r w:rsidRPr="0054136C">
                    <w:rPr>
                      <w:rFonts w:ascii="Times New Roman" w:hAnsi="Times New Roman" w:cs="Times New Roman"/>
                      <w:sz w:val="18"/>
                      <w:szCs w:val="18"/>
                      <w:vertAlign w:val="superscript"/>
                    </w:rPr>
                    <w:t>0</w:t>
                  </w:r>
                  <w:r w:rsidRPr="0054136C">
                    <w:rPr>
                      <w:rFonts w:ascii="Times New Roman" w:hAnsi="Times New Roman" w:cs="Times New Roman"/>
                      <w:i/>
                      <w:iCs/>
                      <w:sz w:val="18"/>
                      <w:szCs w:val="18"/>
                      <w:lang w:val="en-US"/>
                    </w:rPr>
                    <w:t xml:space="preserve"> </w:t>
                  </w:r>
                  <w:r w:rsidRPr="0054136C">
                    <w:rPr>
                      <w:rFonts w:ascii="Times New Roman" w:hAnsi="Times New Roman" w:cs="Times New Roman"/>
                      <w:sz w:val="18"/>
                      <w:szCs w:val="18"/>
                    </w:rPr>
                    <w:t>mutant in the exponential growth phase and stationary phase at doses of 3000-4000 CFU at 30 hpf into the circulation. Images were captured at 24 hpi using a Leica DMi8 SPE-TCS confocal microscope using a HCX PL APO 2.5x/1,10x objective.</w:t>
                  </w:r>
                </w:p>
              </w:tc>
            </w:tr>
          </w:tbl>
          <w:p w14:paraId="192C14C7" w14:textId="77777777" w:rsidR="00187693" w:rsidRPr="006E7325" w:rsidRDefault="00187693" w:rsidP="00A74445">
            <w:pPr>
              <w:jc w:val="both"/>
              <w:rPr>
                <w:rFonts w:ascii="Times New Roman" w:hAnsi="Times New Roman" w:cs="Times New Roman"/>
                <w:b/>
                <w:bCs/>
                <w:sz w:val="18"/>
                <w:szCs w:val="18"/>
              </w:rPr>
            </w:pPr>
          </w:p>
        </w:tc>
      </w:tr>
      <w:tr w:rsidR="00187693" w14:paraId="2E1E79B4" w14:textId="77777777" w:rsidTr="00A74445">
        <w:tc>
          <w:tcPr>
            <w:tcW w:w="9016" w:type="dxa"/>
          </w:tcPr>
          <w:p w14:paraId="03220319" w14:textId="77777777" w:rsidR="00187693" w:rsidRDefault="00187693" w:rsidP="00A74445">
            <w:pPr>
              <w:jc w:val="both"/>
              <w:rPr>
                <w:rFonts w:ascii="Times New Roman" w:hAnsi="Times New Roman" w:cs="Times New Roman"/>
                <w:b/>
                <w:bCs/>
                <w:sz w:val="18"/>
                <w:szCs w:val="18"/>
              </w:rPr>
            </w:pPr>
          </w:p>
          <w:p w14:paraId="4ADD7D58" w14:textId="77777777" w:rsidR="00187693" w:rsidRPr="006E7325" w:rsidRDefault="00187693" w:rsidP="00A74445">
            <w:pPr>
              <w:jc w:val="both"/>
              <w:rPr>
                <w:rFonts w:ascii="Times New Roman" w:hAnsi="Times New Roman" w:cs="Times New Roman"/>
                <w:b/>
                <w:bCs/>
                <w:sz w:val="18"/>
                <w:szCs w:val="18"/>
              </w:rPr>
            </w:pPr>
          </w:p>
        </w:tc>
      </w:tr>
    </w:tbl>
    <w:p w14:paraId="622FCBF9" w14:textId="77777777" w:rsidR="00187693" w:rsidRDefault="00187693" w:rsidP="00187693">
      <w:pPr>
        <w:pStyle w:val="Heading3"/>
      </w:pPr>
      <w:bookmarkStart w:id="163" w:name="_Toc142043656"/>
      <w:r>
        <w:t>5.5.2. The effect of (p)ppGpp on the establishment of systemic infection in zebrafish embryos</w:t>
      </w:r>
      <w:bookmarkEnd w:id="163"/>
    </w:p>
    <w:p w14:paraId="5EB10AA3" w14:textId="77777777" w:rsidR="00187693" w:rsidRDefault="00187693" w:rsidP="00187693">
      <w:pPr>
        <w:spacing w:line="360" w:lineRule="auto"/>
        <w:jc w:val="both"/>
        <w:rPr>
          <w:rFonts w:ascii="Times New Roman" w:hAnsi="Times New Roman" w:cs="Times New Roman"/>
        </w:rPr>
      </w:pPr>
    </w:p>
    <w:p w14:paraId="11B6B8F3" w14:textId="6B8A84AC" w:rsidR="00187693" w:rsidRDefault="00187693" w:rsidP="00187693">
      <w:pPr>
        <w:spacing w:before="240" w:line="360" w:lineRule="auto"/>
        <w:jc w:val="both"/>
        <w:rPr>
          <w:rFonts w:ascii="Times New Roman" w:hAnsi="Times New Roman" w:cs="Times New Roman"/>
        </w:rPr>
      </w:pPr>
      <w:r>
        <w:rPr>
          <w:rFonts w:ascii="Times New Roman" w:hAnsi="Times New Roman" w:cs="Times New Roman"/>
        </w:rPr>
        <w:t>P</w:t>
      </w:r>
      <w:r w:rsidRPr="00B24EDB">
        <w:rPr>
          <w:rFonts w:ascii="Times New Roman" w:hAnsi="Times New Roman" w:cs="Times New Roman"/>
        </w:rPr>
        <w:t xml:space="preserve">revious research has shown a role </w:t>
      </w:r>
      <w:r>
        <w:rPr>
          <w:rFonts w:ascii="Times New Roman" w:hAnsi="Times New Roman" w:cs="Times New Roman"/>
        </w:rPr>
        <w:t xml:space="preserve">for </w:t>
      </w:r>
      <w:r w:rsidRPr="00B24EDB">
        <w:rPr>
          <w:rFonts w:ascii="Times New Roman" w:hAnsi="Times New Roman" w:cs="Times New Roman"/>
        </w:rPr>
        <w:t>the</w:t>
      </w:r>
      <w:r w:rsidRPr="00D65122">
        <w:rPr>
          <w:rFonts w:ascii="Times New Roman" w:hAnsi="Times New Roman" w:cs="Times New Roman"/>
        </w:rPr>
        <w:t xml:space="preserve"> </w:t>
      </w:r>
      <w:r>
        <w:rPr>
          <w:rFonts w:ascii="Times New Roman" w:hAnsi="Times New Roman" w:cs="Times New Roman"/>
        </w:rPr>
        <w:t xml:space="preserve">stringent response </w:t>
      </w:r>
      <w:r w:rsidRPr="00B24EDB">
        <w:rPr>
          <w:rFonts w:ascii="Times New Roman" w:hAnsi="Times New Roman" w:cs="Times New Roman"/>
        </w:rPr>
        <w:t>in the establishment of infection in both Gram-positive and Gram-negative bacteria, as well as the acid-fast mycobacteria</w:t>
      </w:r>
      <w:r>
        <w:rPr>
          <w:rFonts w:ascii="Times New Roman" w:hAnsi="Times New Roman" w:cs="Times New Roman"/>
        </w:rPr>
        <w:t xml:space="preserve"> </w:t>
      </w:r>
      <w:r w:rsidRPr="00BF2000">
        <w:rPr>
          <w:rFonts w:ascii="Times New Roman" w:hAnsi="Times New Roman" w:cs="Times New Roman"/>
          <w:b/>
          <w:bCs/>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PiBldCBhbC48L3N0eWxlPiwgMjAxMDsgRGFzZ3VwdGE8c3R5bGUgZmFjZT0iaXRhbGljIj4gZXQg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</w:fldData>
        </w:fldChar>
      </w:r>
      <w:r w:rsidRPr="00BF2000">
        <w:rPr>
          <w:rFonts w:ascii="Times New Roman" w:hAnsi="Times New Roman" w:cs="Times New Roman"/>
          <w:b/>
          <w:bCs/>
        </w:rPr>
        <w:instrText xml:space="preserve"> ADDIN EN.CITE </w:instrText>
      </w:r>
      <w:r w:rsidRPr="00BF2000">
        <w:rPr>
          <w:rFonts w:ascii="Times New Roman" w:hAnsi="Times New Roman" w:cs="Times New Roman"/>
          <w:b/>
          <w:bCs/>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PiBldCBhbC48L3N0eWxlPiwgMjAxMDsgRGFzZ3VwdGE8c3R5bGUgZmFjZT0iaXRhbGljIj4gZXQg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</w:fldData>
        </w:fldChar>
      </w:r>
      <w:r w:rsidRPr="00BF2000">
        <w:rPr>
          <w:rFonts w:ascii="Times New Roman" w:hAnsi="Times New Roman" w:cs="Times New Roman"/>
          <w:b/>
          <w:bCs/>
        </w:rPr>
        <w:instrText xml:space="preserve"> ADDIN EN.CITE.DATA </w:instrText>
      </w:r>
      <w:r w:rsidRPr="00BF2000">
        <w:rPr>
          <w:rFonts w:ascii="Times New Roman" w:hAnsi="Times New Roman" w:cs="Times New Roman"/>
          <w:b/>
          <w:bCs/>
        </w:rPr>
      </w:r>
      <w:r w:rsidRPr="00BF2000">
        <w:rPr>
          <w:rFonts w:ascii="Times New Roman" w:hAnsi="Times New Roman" w:cs="Times New Roman"/>
          <w:b/>
          <w:bCs/>
        </w:rPr>
        <w:fldChar w:fldCharType="end"/>
      </w:r>
      <w:r w:rsidRPr="00BF2000">
        <w:rPr>
          <w:rFonts w:ascii="Times New Roman" w:hAnsi="Times New Roman" w:cs="Times New Roman"/>
          <w:b/>
          <w:bCs/>
        </w:rPr>
      </w:r>
      <w:r w:rsidRPr="00BF2000">
        <w:rPr>
          <w:rFonts w:ascii="Times New Roman" w:hAnsi="Times New Roman" w:cs="Times New Roman"/>
          <w:b/>
          <w:bCs/>
        </w:rPr>
        <w:fldChar w:fldCharType="separate"/>
      </w:r>
      <w:r w:rsidRPr="00BF2000">
        <w:rPr>
          <w:rFonts w:ascii="Times New Roman" w:hAnsi="Times New Roman" w:cs="Times New Roman"/>
          <w:b/>
          <w:bCs/>
          <w:noProof/>
        </w:rPr>
        <w:t>(Geiger</w:t>
      </w:r>
      <w:r w:rsidRPr="00BF2000">
        <w:rPr>
          <w:rFonts w:ascii="Times New Roman" w:hAnsi="Times New Roman" w:cs="Times New Roman"/>
          <w:b/>
          <w:bCs/>
          <w:i/>
          <w:noProof/>
        </w:rPr>
        <w:t xml:space="preserve"> et al.</w:t>
      </w:r>
      <w:r w:rsidRPr="00BF2000">
        <w:rPr>
          <w:rFonts w:ascii="Times New Roman" w:hAnsi="Times New Roman" w:cs="Times New Roman"/>
          <w:b/>
          <w:bCs/>
          <w:noProof/>
        </w:rPr>
        <w:t>, 2010; Dasgupta</w:t>
      </w:r>
      <w:r w:rsidRPr="00BF2000">
        <w:rPr>
          <w:rFonts w:ascii="Times New Roman" w:hAnsi="Times New Roman" w:cs="Times New Roman"/>
          <w:b/>
          <w:bCs/>
          <w:i/>
          <w:noProof/>
        </w:rPr>
        <w:t xml:space="preserve"> et al.</w:t>
      </w:r>
      <w:r w:rsidRPr="00BF2000">
        <w:rPr>
          <w:rFonts w:ascii="Times New Roman" w:hAnsi="Times New Roman" w:cs="Times New Roman"/>
          <w:b/>
          <w:bCs/>
          <w:noProof/>
        </w:rPr>
        <w:t>, 2019; Primm</w:t>
      </w:r>
      <w:r w:rsidRPr="00BF2000">
        <w:rPr>
          <w:rFonts w:ascii="Times New Roman" w:hAnsi="Times New Roman" w:cs="Times New Roman"/>
          <w:b/>
          <w:bCs/>
          <w:i/>
          <w:noProof/>
        </w:rPr>
        <w:t xml:space="preserve"> et al.</w:t>
      </w:r>
      <w:r w:rsidRPr="00BF2000">
        <w:rPr>
          <w:rFonts w:ascii="Times New Roman" w:hAnsi="Times New Roman" w:cs="Times New Roman"/>
          <w:b/>
          <w:bCs/>
          <w:noProof/>
        </w:rPr>
        <w:t>, 2000)</w:t>
      </w:r>
      <w:r w:rsidRPr="00BF2000">
        <w:rPr>
          <w:rFonts w:ascii="Times New Roman" w:hAnsi="Times New Roman" w:cs="Times New Roman"/>
          <w:b/>
          <w:bCs/>
        </w:rPr>
        <w:fldChar w:fldCharType="end"/>
      </w:r>
      <w:r w:rsidRPr="00B24EDB">
        <w:rPr>
          <w:rFonts w:ascii="Times New Roman" w:hAnsi="Times New Roman" w:cs="Times New Roman"/>
        </w:rPr>
        <w:t xml:space="preserve">. To investigate whether the </w:t>
      </w:r>
      <w:r>
        <w:rPr>
          <w:rFonts w:ascii="Times New Roman" w:hAnsi="Times New Roman" w:cs="Times New Roman"/>
        </w:rPr>
        <w:t>stringent response</w:t>
      </w:r>
      <w:r w:rsidRPr="00B24EDB">
        <w:rPr>
          <w:rFonts w:ascii="Times New Roman" w:hAnsi="Times New Roman" w:cs="Times New Roman"/>
        </w:rPr>
        <w:t xml:space="preserve"> is </w:t>
      </w:r>
      <w:r>
        <w:rPr>
          <w:rFonts w:ascii="Times New Roman" w:hAnsi="Times New Roman" w:cs="Times New Roman"/>
        </w:rPr>
        <w:t>required</w:t>
      </w:r>
      <w:r w:rsidRPr="00B24EDB">
        <w:rPr>
          <w:rFonts w:ascii="Times New Roman" w:hAnsi="Times New Roman" w:cs="Times New Roman"/>
        </w:rPr>
        <w:t xml:space="preserve"> to establish systemic infection within zebrafish embryos, </w:t>
      </w:r>
      <w:r>
        <w:rPr>
          <w:rFonts w:ascii="Times New Roman" w:hAnsi="Times New Roman" w:cs="Times New Roman"/>
        </w:rPr>
        <w:t xml:space="preserve">JE2 </w:t>
      </w:r>
      <w:r w:rsidRPr="00B24EDB">
        <w:rPr>
          <w:rFonts w:ascii="Times New Roman" w:hAnsi="Times New Roman" w:cs="Times New Roman"/>
        </w:rPr>
        <w:t>WT and the (p)ppGpp</w:t>
      </w:r>
      <w:r w:rsidRPr="00B24EDB">
        <w:rPr>
          <w:rFonts w:ascii="Times New Roman" w:hAnsi="Times New Roman" w:cs="Times New Roman"/>
          <w:vertAlign w:val="superscript"/>
        </w:rPr>
        <w:t>0</w:t>
      </w:r>
      <w:r w:rsidRPr="00B24EDB">
        <w:rPr>
          <w:rFonts w:ascii="Times New Roman" w:hAnsi="Times New Roman" w:cs="Times New Roman"/>
        </w:rPr>
        <w:t xml:space="preserve"> mutant were injected into the</w:t>
      </w:r>
      <w:r w:rsidR="003A4487">
        <w:rPr>
          <w:rFonts w:ascii="Times New Roman" w:hAnsi="Times New Roman" w:cs="Times New Roman"/>
        </w:rPr>
        <w:t xml:space="preserve"> </w:t>
      </w:r>
      <w:r w:rsidRPr="00B24EDB">
        <w:rPr>
          <w:rFonts w:ascii="Times New Roman" w:hAnsi="Times New Roman" w:cs="Times New Roman"/>
        </w:rPr>
        <w:t xml:space="preserve">circulation valley </w:t>
      </w:r>
      <w:r w:rsidRPr="00B24EDB">
        <w:rPr>
          <w:rFonts w:ascii="Times New Roman" w:hAnsi="Times New Roman" w:cs="Times New Roman"/>
          <w:b/>
          <w:bCs/>
        </w:rPr>
        <w:t>(Fig. 5.</w:t>
      </w:r>
      <w:r>
        <w:rPr>
          <w:rFonts w:ascii="Times New Roman" w:hAnsi="Times New Roman" w:cs="Times New Roman"/>
          <w:b/>
          <w:bCs/>
        </w:rPr>
        <w:t>5</w:t>
      </w:r>
      <w:r w:rsidRPr="00B24EDB">
        <w:rPr>
          <w:rFonts w:ascii="Times New Roman" w:hAnsi="Times New Roman" w:cs="Times New Roman"/>
          <w:b/>
          <w:bCs/>
        </w:rPr>
        <w:t>.</w:t>
      </w:r>
      <w:r>
        <w:rPr>
          <w:rFonts w:ascii="Times New Roman" w:hAnsi="Times New Roman" w:cs="Times New Roman"/>
          <w:b/>
          <w:bCs/>
        </w:rPr>
        <w:t>3</w:t>
      </w:r>
      <w:r w:rsidRPr="00B24EDB">
        <w:rPr>
          <w:rFonts w:ascii="Times New Roman" w:hAnsi="Times New Roman" w:cs="Times New Roman"/>
          <w:b/>
          <w:bCs/>
        </w:rPr>
        <w:t>).</w:t>
      </w:r>
      <w:r w:rsidRPr="00B24EDB">
        <w:rPr>
          <w:rFonts w:ascii="Times New Roman" w:hAnsi="Times New Roman" w:cs="Times New Roman"/>
        </w:rPr>
        <w:t xml:space="preserve"> Different doses were trialled and after optimisation, a dose of approximately 3000-4000 CFU </w:t>
      </w:r>
      <w:r>
        <w:rPr>
          <w:rFonts w:ascii="Times New Roman" w:hAnsi="Times New Roman" w:cs="Times New Roman"/>
        </w:rPr>
        <w:t xml:space="preserve">of JE2 </w:t>
      </w:r>
      <w:r w:rsidRPr="00B24EDB">
        <w:rPr>
          <w:rFonts w:ascii="Times New Roman" w:hAnsi="Times New Roman" w:cs="Times New Roman"/>
        </w:rPr>
        <w:t>w</w:t>
      </w:r>
      <w:r>
        <w:rPr>
          <w:rFonts w:ascii="Times New Roman" w:hAnsi="Times New Roman" w:cs="Times New Roman"/>
        </w:rPr>
        <w:t xml:space="preserve">as </w:t>
      </w:r>
      <w:r w:rsidRPr="00B24EDB">
        <w:rPr>
          <w:rFonts w:ascii="Times New Roman" w:hAnsi="Times New Roman" w:cs="Times New Roman"/>
        </w:rPr>
        <w:t xml:space="preserve">required to achieve 50% killing. </w:t>
      </w:r>
      <w:r w:rsidRPr="00B24EDB">
        <w:rPr>
          <w:rFonts w:ascii="Times New Roman" w:hAnsi="Times New Roman" w:cs="Times New Roman"/>
          <w:i/>
          <w:iCs/>
        </w:rPr>
        <w:t>S. aureus</w:t>
      </w:r>
      <w:r w:rsidRPr="00B24EDB">
        <w:rPr>
          <w:rFonts w:ascii="Times New Roman" w:hAnsi="Times New Roman" w:cs="Times New Roman"/>
        </w:rPr>
        <w:t xml:space="preserve"> in both exponential </w:t>
      </w:r>
      <w:r w:rsidRPr="00B24EDB">
        <w:rPr>
          <w:rFonts w:ascii="Times New Roman" w:hAnsi="Times New Roman" w:cs="Times New Roman"/>
          <w:b/>
          <w:bCs/>
        </w:rPr>
        <w:t>(Fig. 5.</w:t>
      </w:r>
      <w:r>
        <w:rPr>
          <w:rFonts w:ascii="Times New Roman" w:hAnsi="Times New Roman" w:cs="Times New Roman"/>
          <w:b/>
          <w:bCs/>
        </w:rPr>
        <w:t>5</w:t>
      </w:r>
      <w:r w:rsidRPr="00B24EDB">
        <w:rPr>
          <w:rFonts w:ascii="Times New Roman" w:hAnsi="Times New Roman" w:cs="Times New Roman"/>
          <w:b/>
          <w:bCs/>
        </w:rPr>
        <w:t>.</w:t>
      </w:r>
      <w:r>
        <w:rPr>
          <w:rFonts w:ascii="Times New Roman" w:hAnsi="Times New Roman" w:cs="Times New Roman"/>
          <w:b/>
          <w:bCs/>
        </w:rPr>
        <w:t>3</w:t>
      </w:r>
      <w:r w:rsidRPr="00B24EDB">
        <w:rPr>
          <w:rFonts w:ascii="Times New Roman" w:hAnsi="Times New Roman" w:cs="Times New Roman"/>
          <w:b/>
          <w:bCs/>
        </w:rPr>
        <w:t>a)</w:t>
      </w:r>
      <w:r w:rsidRPr="00B24EDB">
        <w:rPr>
          <w:rFonts w:ascii="Times New Roman" w:hAnsi="Times New Roman" w:cs="Times New Roman"/>
        </w:rPr>
        <w:t xml:space="preserve"> and stationary </w:t>
      </w:r>
      <w:r w:rsidRPr="00B24EDB">
        <w:rPr>
          <w:rFonts w:ascii="Times New Roman" w:hAnsi="Times New Roman" w:cs="Times New Roman"/>
          <w:b/>
          <w:bCs/>
        </w:rPr>
        <w:t>(Fig. 5.</w:t>
      </w:r>
      <w:r>
        <w:rPr>
          <w:rFonts w:ascii="Times New Roman" w:hAnsi="Times New Roman" w:cs="Times New Roman"/>
          <w:b/>
          <w:bCs/>
        </w:rPr>
        <w:t>5</w:t>
      </w:r>
      <w:r w:rsidRPr="00B24EDB">
        <w:rPr>
          <w:rFonts w:ascii="Times New Roman" w:hAnsi="Times New Roman" w:cs="Times New Roman"/>
          <w:b/>
          <w:bCs/>
        </w:rPr>
        <w:t>.</w:t>
      </w:r>
      <w:r>
        <w:rPr>
          <w:rFonts w:ascii="Times New Roman" w:hAnsi="Times New Roman" w:cs="Times New Roman"/>
          <w:b/>
          <w:bCs/>
        </w:rPr>
        <w:t>3</w:t>
      </w:r>
      <w:r w:rsidRPr="00B24EDB">
        <w:rPr>
          <w:rFonts w:ascii="Times New Roman" w:hAnsi="Times New Roman" w:cs="Times New Roman"/>
          <w:b/>
          <w:bCs/>
        </w:rPr>
        <w:t>b)</w:t>
      </w:r>
      <w:r w:rsidRPr="00B24EDB">
        <w:rPr>
          <w:rFonts w:ascii="Times New Roman" w:hAnsi="Times New Roman" w:cs="Times New Roman"/>
        </w:rPr>
        <w:t xml:space="preserve"> growth phases were investigated. The (p)ppGpp</w:t>
      </w:r>
      <w:r w:rsidRPr="00B24EDB">
        <w:rPr>
          <w:rFonts w:ascii="Times New Roman" w:hAnsi="Times New Roman" w:cs="Times New Roman"/>
          <w:vertAlign w:val="superscript"/>
        </w:rPr>
        <w:t>0</w:t>
      </w:r>
      <w:r w:rsidRPr="00B24EDB">
        <w:rPr>
          <w:rFonts w:ascii="Times New Roman" w:hAnsi="Times New Roman" w:cs="Times New Roman"/>
        </w:rPr>
        <w:t xml:space="preserve"> mutant </w:t>
      </w:r>
      <w:r>
        <w:rPr>
          <w:rFonts w:ascii="Times New Roman" w:hAnsi="Times New Roman" w:cs="Times New Roman"/>
        </w:rPr>
        <w:t>from</w:t>
      </w:r>
      <w:r w:rsidRPr="00B24EDB">
        <w:rPr>
          <w:rFonts w:ascii="Times New Roman" w:hAnsi="Times New Roman" w:cs="Times New Roman"/>
        </w:rPr>
        <w:t xml:space="preserve"> both growth phases killed fewer embryos in comparison to WT, suggesting a role for the</w:t>
      </w:r>
      <w:r>
        <w:rPr>
          <w:rFonts w:ascii="Times New Roman" w:hAnsi="Times New Roman" w:cs="Times New Roman"/>
        </w:rPr>
        <w:t xml:space="preserve"> stringent response</w:t>
      </w:r>
      <w:r w:rsidRPr="00B24EDB">
        <w:rPr>
          <w:rFonts w:ascii="Times New Roman" w:hAnsi="Times New Roman" w:cs="Times New Roman"/>
        </w:rPr>
        <w:t xml:space="preserve"> in the pathogenesis of </w:t>
      </w:r>
      <w:r w:rsidRPr="00B24EDB">
        <w:rPr>
          <w:rFonts w:ascii="Times New Roman" w:hAnsi="Times New Roman" w:cs="Times New Roman"/>
          <w:i/>
          <w:iCs/>
        </w:rPr>
        <w:t>S. aureus</w:t>
      </w:r>
      <w:r w:rsidRPr="00B24EDB">
        <w:rPr>
          <w:rFonts w:ascii="Times New Roman" w:hAnsi="Times New Roman" w:cs="Times New Roman"/>
        </w:rPr>
        <w:t>.</w:t>
      </w:r>
      <w:r>
        <w:rPr>
          <w:rFonts w:ascii="Times New Roman" w:hAnsi="Times New Roman" w:cs="Times New Roman"/>
        </w:rPr>
        <w:t xml:space="preserve"> This also highlights that even though there are differences in genes expressed during the stationary and exponential growth phases, (p)ppGpp is required for the establishment of infection in this model regardless of growth phase.</w:t>
      </w:r>
    </w:p>
    <w:p w14:paraId="29E20DBB" w14:textId="77777777" w:rsidR="00187693" w:rsidRPr="00B24EDB" w:rsidRDefault="00187693" w:rsidP="00187693">
      <w:pPr>
        <w:spacing w:before="24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02B15B6D" w14:textId="77777777" w:rsidTr="00A74445">
        <w:tc>
          <w:tcPr>
            <w:tcW w:w="9016" w:type="dxa"/>
          </w:tcPr>
          <w:p w14:paraId="60359566" w14:textId="77777777" w:rsidR="00187693" w:rsidRDefault="00187693" w:rsidP="00A74445">
            <w:pPr>
              <w:spacing w:before="240" w:line="360" w:lineRule="auto"/>
              <w:jc w:val="both"/>
            </w:pPr>
            <w:r>
              <w:rPr>
                <w:noProof/>
              </w:rPr>
              <w:drawing>
                <wp:anchor distT="0" distB="0" distL="114300" distR="114300" simplePos="0" relativeHeight="251665408" behindDoc="0" locked="0" layoutInCell="1" allowOverlap="1" wp14:anchorId="4E1C0BC1" wp14:editId="24FBD48A">
                  <wp:simplePos x="0" y="0"/>
                  <wp:positionH relativeFrom="column">
                    <wp:posOffset>464020</wp:posOffset>
                  </wp:positionH>
                  <wp:positionV relativeFrom="paragraph">
                    <wp:posOffset>15903</wp:posOffset>
                  </wp:positionV>
                  <wp:extent cx="4652645" cy="5342890"/>
                  <wp:effectExtent l="0" t="0" r="0" b="0"/>
                  <wp:wrapSquare wrapText="bothSides"/>
                  <wp:docPr id="1854555899" name="Picture 1854555899" descr="A picture containing red, orange, devic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55899" name="Picture 1854555899" descr="A picture containing red, orange, device, dark&#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2645" cy="5342890"/>
                          </a:xfrm>
                          <a:prstGeom prst="rect">
                            <a:avLst/>
                          </a:prstGeom>
                          <a:noFill/>
                        </pic:spPr>
                      </pic:pic>
                    </a:graphicData>
                  </a:graphic>
                  <wp14:sizeRelH relativeFrom="page">
                    <wp14:pctWidth>0</wp14:pctWidth>
                  </wp14:sizeRelH>
                  <wp14:sizeRelV relativeFrom="page">
                    <wp14:pctHeight>0</wp14:pctHeight>
                  </wp14:sizeRelV>
                </wp:anchor>
              </w:drawing>
            </w:r>
          </w:p>
        </w:tc>
      </w:tr>
      <w:tr w:rsidR="00187693" w14:paraId="355BCE59" w14:textId="77777777" w:rsidTr="00A74445">
        <w:tc>
          <w:tcPr>
            <w:tcW w:w="9016" w:type="dxa"/>
          </w:tcPr>
          <w:p w14:paraId="690D1141" w14:textId="77777777" w:rsidR="00187693" w:rsidRPr="00282A6D" w:rsidRDefault="00187693" w:rsidP="00A74445">
            <w:pPr>
              <w:spacing w:before="240"/>
              <w:jc w:val="both"/>
              <w:rPr>
                <w:rFonts w:ascii="Times New Roman" w:hAnsi="Times New Roman" w:cs="Times New Roman"/>
              </w:rPr>
            </w:pPr>
            <w:r w:rsidRPr="006E7325">
              <w:rPr>
                <w:rFonts w:ascii="Times New Roman" w:hAnsi="Times New Roman" w:cs="Times New Roman"/>
                <w:b/>
                <w:bCs/>
                <w:sz w:val="18"/>
                <w:szCs w:val="18"/>
              </w:rPr>
              <w:t>Figure 5.</w:t>
            </w:r>
            <w:r>
              <w:rPr>
                <w:rFonts w:ascii="Times New Roman" w:hAnsi="Times New Roman" w:cs="Times New Roman"/>
                <w:b/>
                <w:bCs/>
                <w:sz w:val="18"/>
                <w:szCs w:val="18"/>
              </w:rPr>
              <w:t>5.3</w:t>
            </w:r>
            <w:r w:rsidRPr="006E7325">
              <w:rPr>
                <w:rFonts w:ascii="Times New Roman" w:hAnsi="Times New Roman" w:cs="Times New Roman"/>
                <w:b/>
                <w:bCs/>
                <w:sz w:val="18"/>
                <w:szCs w:val="18"/>
              </w:rPr>
              <w:t xml:space="preserve">. Systemic infection of zebrafish embryos with </w:t>
            </w:r>
            <w:r w:rsidRPr="006E7325">
              <w:rPr>
                <w:rFonts w:ascii="Times New Roman" w:hAnsi="Times New Roman" w:cs="Times New Roman"/>
                <w:b/>
                <w:bCs/>
                <w:i/>
                <w:iCs/>
                <w:sz w:val="18"/>
                <w:szCs w:val="18"/>
              </w:rPr>
              <w:t>S. aureus</w:t>
            </w:r>
            <w:r w:rsidRPr="006E7325">
              <w:rPr>
                <w:rFonts w:ascii="Times New Roman" w:hAnsi="Times New Roman" w:cs="Times New Roman"/>
                <w:b/>
                <w:bCs/>
                <w:sz w:val="18"/>
                <w:szCs w:val="18"/>
              </w:rPr>
              <w:t xml:space="preserve"> (p)ppGpp</w:t>
            </w:r>
            <w:r w:rsidRPr="006E7325">
              <w:rPr>
                <w:rFonts w:ascii="Times New Roman" w:hAnsi="Times New Roman" w:cs="Times New Roman"/>
                <w:b/>
                <w:bCs/>
                <w:sz w:val="18"/>
                <w:szCs w:val="18"/>
                <w:vertAlign w:val="superscript"/>
              </w:rPr>
              <w:t xml:space="preserve">0 </w:t>
            </w:r>
            <w:r w:rsidRPr="006E7325">
              <w:rPr>
                <w:rFonts w:ascii="Times New Roman" w:hAnsi="Times New Roman" w:cs="Times New Roman"/>
                <w:b/>
                <w:bCs/>
                <w:sz w:val="18"/>
                <w:szCs w:val="18"/>
              </w:rPr>
              <w:t xml:space="preserve">mutant results in reduced killing of embryos in comparison to WT when using both stationary and exponential phase cultures. </w:t>
            </w:r>
            <w:r w:rsidRPr="006E7325">
              <w:rPr>
                <w:rFonts w:ascii="Times New Roman" w:hAnsi="Times New Roman" w:cs="Times New Roman"/>
                <w:sz w:val="18"/>
                <w:szCs w:val="18"/>
              </w:rPr>
              <w:t xml:space="preserve">Survival of zebrafish embryos injected with </w:t>
            </w:r>
            <w:r w:rsidRPr="006E7325">
              <w:rPr>
                <w:rFonts w:ascii="Times New Roman" w:hAnsi="Times New Roman" w:cs="Times New Roman"/>
                <w:i/>
                <w:iCs/>
                <w:sz w:val="18"/>
                <w:szCs w:val="18"/>
              </w:rPr>
              <w:t xml:space="preserve">S. aureus </w:t>
            </w:r>
            <w:r w:rsidRPr="006E7325">
              <w:rPr>
                <w:rFonts w:ascii="Times New Roman" w:hAnsi="Times New Roman" w:cs="Times New Roman"/>
                <w:sz w:val="18"/>
                <w:szCs w:val="18"/>
              </w:rPr>
              <w:t>((p)ppGpp</w:t>
            </w:r>
            <w:r w:rsidRPr="006E7325">
              <w:rPr>
                <w:rFonts w:ascii="Times New Roman" w:hAnsi="Times New Roman" w:cs="Times New Roman"/>
                <w:sz w:val="18"/>
                <w:szCs w:val="18"/>
                <w:vertAlign w:val="superscript"/>
              </w:rPr>
              <w:t>0</w:t>
            </w:r>
            <w:r w:rsidRPr="006E7325">
              <w:rPr>
                <w:rFonts w:ascii="Times New Roman" w:hAnsi="Times New Roman" w:cs="Times New Roman"/>
                <w:i/>
                <w:iCs/>
                <w:sz w:val="18"/>
                <w:szCs w:val="18"/>
                <w:lang w:val="en-US"/>
              </w:rPr>
              <w:t xml:space="preserve"> </w:t>
            </w:r>
            <w:r w:rsidRPr="006E7325">
              <w:rPr>
                <w:rFonts w:ascii="Times New Roman" w:hAnsi="Times New Roman" w:cs="Times New Roman"/>
                <w:sz w:val="18"/>
                <w:szCs w:val="18"/>
                <w:lang w:val="en-US"/>
              </w:rPr>
              <w:t>(pink) versus WT (black)</w:t>
            </w:r>
            <w:r w:rsidRPr="006E7325">
              <w:rPr>
                <w:rFonts w:ascii="Times New Roman" w:hAnsi="Times New Roman" w:cs="Times New Roman"/>
                <w:sz w:val="18"/>
                <w:szCs w:val="18"/>
              </w:rPr>
              <w:t xml:space="preserve">) in exponential phase </w:t>
            </w:r>
            <w:r w:rsidRPr="006E7325">
              <w:rPr>
                <w:rFonts w:ascii="Times New Roman" w:hAnsi="Times New Roman" w:cs="Times New Roman"/>
                <w:b/>
                <w:bCs/>
                <w:sz w:val="18"/>
                <w:szCs w:val="18"/>
              </w:rPr>
              <w:t xml:space="preserve">(a) </w:t>
            </w:r>
            <w:r w:rsidRPr="006E7325">
              <w:rPr>
                <w:rFonts w:ascii="Times New Roman" w:hAnsi="Times New Roman" w:cs="Times New Roman"/>
                <w:sz w:val="18"/>
                <w:szCs w:val="18"/>
              </w:rPr>
              <w:t xml:space="preserve">and stationary phase </w:t>
            </w:r>
            <w:r w:rsidRPr="006E7325">
              <w:rPr>
                <w:rFonts w:ascii="Times New Roman" w:hAnsi="Times New Roman" w:cs="Times New Roman"/>
                <w:b/>
                <w:bCs/>
                <w:sz w:val="18"/>
                <w:szCs w:val="18"/>
              </w:rPr>
              <w:t xml:space="preserve">(b) </w:t>
            </w:r>
            <w:r w:rsidRPr="006E7325">
              <w:rPr>
                <w:rFonts w:ascii="Times New Roman" w:hAnsi="Times New Roman" w:cs="Times New Roman"/>
                <w:sz w:val="18"/>
                <w:szCs w:val="18"/>
              </w:rPr>
              <w:t>at doses of 3000-4000 CFU/nl at 30 hpf into the circulation</w:t>
            </w:r>
            <w:r>
              <w:rPr>
                <w:rFonts w:ascii="Times New Roman" w:hAnsi="Times New Roman" w:cs="Times New Roman"/>
                <w:sz w:val="18"/>
                <w:szCs w:val="18"/>
              </w:rPr>
              <w:t xml:space="preserve"> valley</w:t>
            </w:r>
            <w:r w:rsidRPr="006E7325">
              <w:rPr>
                <w:rFonts w:ascii="Times New Roman" w:hAnsi="Times New Roman" w:cs="Times New Roman"/>
                <w:sz w:val="18"/>
                <w:szCs w:val="18"/>
              </w:rPr>
              <w:t>. Survival was monitored until 93 hp</w:t>
            </w:r>
            <w:r>
              <w:rPr>
                <w:rFonts w:ascii="Times New Roman" w:hAnsi="Times New Roman" w:cs="Times New Roman"/>
                <w:sz w:val="18"/>
                <w:szCs w:val="18"/>
              </w:rPr>
              <w:t xml:space="preserve">i </w:t>
            </w:r>
            <w:r w:rsidRPr="006E7325">
              <w:rPr>
                <w:rFonts w:ascii="Times New Roman" w:hAnsi="Times New Roman" w:cs="Times New Roman"/>
                <w:sz w:val="18"/>
                <w:szCs w:val="18"/>
              </w:rPr>
              <w:t xml:space="preserve">when the embryos reached 5.2 days post fertilisation. </w:t>
            </w:r>
            <w:r w:rsidRPr="006E7325">
              <w:rPr>
                <w:rFonts w:ascii="Times New Roman" w:hAnsi="Times New Roman" w:cs="Times New Roman"/>
                <w:sz w:val="18"/>
                <w:szCs w:val="18"/>
                <w:lang w:val="en-US"/>
              </w:rPr>
              <w:t xml:space="preserve">Pairwise comparisons (log-rank (Mantel-Cox) test) were as follows: a) </w:t>
            </w:r>
            <w:r w:rsidRPr="006E7325">
              <w:rPr>
                <w:rFonts w:ascii="Times New Roman" w:hAnsi="Times New Roman" w:cs="Times New Roman"/>
                <w:sz w:val="18"/>
                <w:szCs w:val="18"/>
              </w:rPr>
              <w:t>(p)ppGpp</w:t>
            </w:r>
            <w:r w:rsidRPr="006E7325">
              <w:rPr>
                <w:rFonts w:ascii="Times New Roman" w:hAnsi="Times New Roman" w:cs="Times New Roman"/>
                <w:sz w:val="18"/>
                <w:szCs w:val="18"/>
                <w:vertAlign w:val="superscript"/>
              </w:rPr>
              <w:t>0</w:t>
            </w:r>
            <w:r w:rsidRPr="006E7325">
              <w:rPr>
                <w:rFonts w:ascii="Times New Roman" w:hAnsi="Times New Roman" w:cs="Times New Roman"/>
                <w:i/>
                <w:iCs/>
                <w:sz w:val="18"/>
                <w:szCs w:val="18"/>
                <w:lang w:val="en-US"/>
              </w:rPr>
              <w:t xml:space="preserve"> </w:t>
            </w:r>
            <w:r w:rsidRPr="006E7325">
              <w:rPr>
                <w:rFonts w:ascii="Times New Roman" w:hAnsi="Times New Roman" w:cs="Times New Roman"/>
                <w:sz w:val="18"/>
                <w:szCs w:val="18"/>
                <w:lang w:val="en-US"/>
              </w:rPr>
              <w:t xml:space="preserve">versus WT, **** </w:t>
            </w:r>
            <w:r w:rsidRPr="006E7325">
              <w:rPr>
                <w:rFonts w:ascii="Times New Roman" w:hAnsi="Times New Roman" w:cs="Times New Roman"/>
                <w:i/>
                <w:iCs/>
                <w:sz w:val="18"/>
                <w:szCs w:val="18"/>
                <w:lang w:val="en-US"/>
              </w:rPr>
              <w:t xml:space="preserve">P </w:t>
            </w:r>
            <w:r w:rsidRPr="006E7325">
              <w:rPr>
                <w:rFonts w:ascii="Times New Roman" w:hAnsi="Times New Roman" w:cs="Times New Roman"/>
                <w:sz w:val="18"/>
                <w:szCs w:val="18"/>
                <w:lang w:val="en-US"/>
              </w:rPr>
              <w:t xml:space="preserve">&lt; 0.0001, b) </w:t>
            </w:r>
            <w:r w:rsidRPr="006E7325">
              <w:rPr>
                <w:rFonts w:ascii="Times New Roman" w:hAnsi="Times New Roman" w:cs="Times New Roman"/>
                <w:sz w:val="18"/>
                <w:szCs w:val="18"/>
              </w:rPr>
              <w:t>(p)ppGpp</w:t>
            </w:r>
            <w:r w:rsidRPr="006E7325">
              <w:rPr>
                <w:rFonts w:ascii="Times New Roman" w:hAnsi="Times New Roman" w:cs="Times New Roman"/>
                <w:sz w:val="18"/>
                <w:szCs w:val="18"/>
                <w:vertAlign w:val="superscript"/>
              </w:rPr>
              <w:t>0</w:t>
            </w:r>
            <w:r w:rsidRPr="006E7325">
              <w:rPr>
                <w:rFonts w:ascii="Times New Roman" w:hAnsi="Times New Roman" w:cs="Times New Roman"/>
                <w:i/>
                <w:iCs/>
                <w:sz w:val="18"/>
                <w:szCs w:val="18"/>
                <w:lang w:val="en-US"/>
              </w:rPr>
              <w:t xml:space="preserve"> </w:t>
            </w:r>
            <w:r w:rsidRPr="006E7325">
              <w:rPr>
                <w:rFonts w:ascii="Times New Roman" w:hAnsi="Times New Roman" w:cs="Times New Roman"/>
                <w:sz w:val="18"/>
                <w:szCs w:val="18"/>
                <w:lang w:val="en-US"/>
              </w:rPr>
              <w:t xml:space="preserve">versus WT, ** </w:t>
            </w:r>
            <w:r w:rsidRPr="006E7325">
              <w:rPr>
                <w:rFonts w:ascii="Times New Roman" w:hAnsi="Times New Roman" w:cs="Times New Roman"/>
                <w:i/>
                <w:iCs/>
                <w:sz w:val="18"/>
                <w:szCs w:val="18"/>
                <w:lang w:val="en-US"/>
              </w:rPr>
              <w:t xml:space="preserve">P </w:t>
            </w:r>
            <w:r w:rsidRPr="006E7325">
              <w:rPr>
                <w:rFonts w:ascii="Times New Roman" w:hAnsi="Times New Roman" w:cs="Times New Roman"/>
                <w:sz w:val="18"/>
                <w:szCs w:val="18"/>
                <w:lang w:val="en-US"/>
              </w:rPr>
              <w:t>= 0.0048. Experiments were performed in quadruplicate for (a) and in triplicate (b).</w:t>
            </w:r>
          </w:p>
        </w:tc>
      </w:tr>
      <w:tr w:rsidR="00187693" w14:paraId="313881D1" w14:textId="77777777" w:rsidTr="00A74445">
        <w:tc>
          <w:tcPr>
            <w:tcW w:w="9016" w:type="dxa"/>
          </w:tcPr>
          <w:p w14:paraId="1E07EDBF" w14:textId="77777777" w:rsidR="00187693" w:rsidRPr="006E7325" w:rsidRDefault="00187693" w:rsidP="00A74445">
            <w:pPr>
              <w:spacing w:before="240"/>
              <w:jc w:val="both"/>
              <w:rPr>
                <w:rFonts w:ascii="Times New Roman" w:hAnsi="Times New Roman" w:cs="Times New Roman"/>
                <w:b/>
                <w:bCs/>
                <w:sz w:val="18"/>
                <w:szCs w:val="18"/>
              </w:rPr>
            </w:pPr>
          </w:p>
        </w:tc>
      </w:tr>
    </w:tbl>
    <w:p w14:paraId="5FD90910" w14:textId="77777777" w:rsidR="00187693" w:rsidRDefault="00187693" w:rsidP="00187693">
      <w:pPr>
        <w:pStyle w:val="Heading3"/>
      </w:pPr>
      <w:bookmarkStart w:id="164" w:name="_Toc142043657"/>
      <w:r>
        <w:t>5.5.3. Determining whether the (p)ppGpp</w:t>
      </w:r>
      <w:r>
        <w:rPr>
          <w:vertAlign w:val="superscript"/>
        </w:rPr>
        <w:t>0</w:t>
      </w:r>
      <w:r>
        <w:t xml:space="preserve"> mutant attenuation </w:t>
      </w:r>
      <w:r>
        <w:rPr>
          <w:i/>
          <w:iCs/>
        </w:rPr>
        <w:t>in vivo</w:t>
      </w:r>
      <w:r>
        <w:t xml:space="preserve"> is due to a growth or virulence defect</w:t>
      </w:r>
      <w:bookmarkEnd w:id="164"/>
    </w:p>
    <w:p w14:paraId="243D985C" w14:textId="77777777" w:rsidR="00187693" w:rsidRDefault="00187693" w:rsidP="00187693">
      <w:pPr>
        <w:spacing w:before="240" w:line="360" w:lineRule="auto"/>
        <w:jc w:val="both"/>
        <w:rPr>
          <w:rFonts w:ascii="Times New Roman" w:hAnsi="Times New Roman" w:cs="Times New Roman"/>
        </w:rPr>
      </w:pPr>
      <w:r w:rsidRPr="002B0871">
        <w:rPr>
          <w:rFonts w:ascii="Times New Roman" w:hAnsi="Times New Roman" w:cs="Times New Roman"/>
        </w:rPr>
        <w:t>To examine whether attenuation of the (p)ppGpp</w:t>
      </w:r>
      <w:r w:rsidRPr="002B0871">
        <w:rPr>
          <w:rFonts w:ascii="Times New Roman" w:hAnsi="Times New Roman" w:cs="Times New Roman"/>
          <w:vertAlign w:val="superscript"/>
        </w:rPr>
        <w:t>0</w:t>
      </w:r>
      <w:r w:rsidRPr="002B0871">
        <w:rPr>
          <w:rFonts w:ascii="Times New Roman" w:hAnsi="Times New Roman" w:cs="Times New Roman"/>
        </w:rPr>
        <w:t xml:space="preserve"> mutant was due to a growth or virulence defect, WT and the (p)ppGpp</w:t>
      </w:r>
      <w:r w:rsidRPr="002B0871">
        <w:rPr>
          <w:rFonts w:ascii="Times New Roman" w:hAnsi="Times New Roman" w:cs="Times New Roman"/>
          <w:vertAlign w:val="superscript"/>
        </w:rPr>
        <w:t>0</w:t>
      </w:r>
      <w:r w:rsidRPr="002B0871">
        <w:rPr>
          <w:rFonts w:ascii="Times New Roman" w:hAnsi="Times New Roman" w:cs="Times New Roman"/>
        </w:rPr>
        <w:t xml:space="preserve"> mutant were injected into zebrafish embryos and at each timepoint, </w:t>
      </w:r>
      <w:r>
        <w:rPr>
          <w:rFonts w:ascii="Times New Roman" w:hAnsi="Times New Roman" w:cs="Times New Roman"/>
        </w:rPr>
        <w:t xml:space="preserve">five </w:t>
      </w:r>
      <w:r w:rsidRPr="002B0871">
        <w:rPr>
          <w:rFonts w:ascii="Times New Roman" w:hAnsi="Times New Roman" w:cs="Times New Roman"/>
        </w:rPr>
        <w:t xml:space="preserve">live fish and any dead fish were homogenised, and the CFU/embryo was determined </w:t>
      </w:r>
      <w:r w:rsidRPr="002B0871">
        <w:rPr>
          <w:rFonts w:ascii="Times New Roman" w:hAnsi="Times New Roman" w:cs="Times New Roman"/>
          <w:b/>
          <w:bCs/>
        </w:rPr>
        <w:t>(Fig. 5.</w:t>
      </w:r>
      <w:r>
        <w:rPr>
          <w:rFonts w:ascii="Times New Roman" w:hAnsi="Times New Roman" w:cs="Times New Roman"/>
          <w:b/>
          <w:bCs/>
        </w:rPr>
        <w:t>5</w:t>
      </w:r>
      <w:r w:rsidRPr="002B0871">
        <w:rPr>
          <w:rFonts w:ascii="Times New Roman" w:hAnsi="Times New Roman" w:cs="Times New Roman"/>
          <w:b/>
          <w:bCs/>
        </w:rPr>
        <w:t>.</w:t>
      </w:r>
      <w:r>
        <w:rPr>
          <w:rFonts w:ascii="Times New Roman" w:hAnsi="Times New Roman" w:cs="Times New Roman"/>
          <w:b/>
          <w:bCs/>
        </w:rPr>
        <w:t>4</w:t>
      </w:r>
      <w:r w:rsidRPr="002B0871">
        <w:rPr>
          <w:rFonts w:ascii="Times New Roman" w:hAnsi="Times New Roman" w:cs="Times New Roman"/>
          <w:b/>
          <w:bCs/>
        </w:rPr>
        <w:t xml:space="preserve">). </w:t>
      </w:r>
      <w:r w:rsidRPr="002B0871">
        <w:rPr>
          <w:rFonts w:ascii="Times New Roman" w:hAnsi="Times New Roman" w:cs="Times New Roman"/>
        </w:rPr>
        <w:t>At 21 hpi, bacterial loads range from 10</w:t>
      </w:r>
      <w:r w:rsidRPr="002B0871">
        <w:rPr>
          <w:rFonts w:ascii="Times New Roman" w:hAnsi="Times New Roman" w:cs="Times New Roman"/>
          <w:vertAlign w:val="superscript"/>
        </w:rPr>
        <w:t xml:space="preserve">5 </w:t>
      </w:r>
      <w:r w:rsidRPr="002B0871">
        <w:rPr>
          <w:rFonts w:ascii="Times New Roman" w:hAnsi="Times New Roman" w:cs="Times New Roman"/>
        </w:rPr>
        <w:t>to 10</w:t>
      </w:r>
      <w:r w:rsidRPr="002B0871">
        <w:rPr>
          <w:rFonts w:ascii="Times New Roman" w:hAnsi="Times New Roman" w:cs="Times New Roman"/>
          <w:vertAlign w:val="superscript"/>
        </w:rPr>
        <w:t xml:space="preserve">6 </w:t>
      </w:r>
      <w:r w:rsidRPr="002B0871">
        <w:rPr>
          <w:rFonts w:ascii="Times New Roman" w:hAnsi="Times New Roman" w:cs="Times New Roman"/>
        </w:rPr>
        <w:t>for both WT and the (p)ppGpp</w:t>
      </w:r>
      <w:r w:rsidRPr="002B0871">
        <w:rPr>
          <w:rFonts w:ascii="Times New Roman" w:hAnsi="Times New Roman" w:cs="Times New Roman"/>
          <w:vertAlign w:val="superscript"/>
        </w:rPr>
        <w:t>0</w:t>
      </w:r>
      <w:r w:rsidRPr="002B0871">
        <w:rPr>
          <w:rFonts w:ascii="Times New Roman" w:hAnsi="Times New Roman" w:cs="Times New Roman"/>
        </w:rPr>
        <w:t xml:space="preserve"> mutant, demonstrating that</w:t>
      </w:r>
      <w:r>
        <w:rPr>
          <w:rFonts w:ascii="Times New Roman" w:hAnsi="Times New Roman" w:cs="Times New Roman"/>
        </w:rPr>
        <w:t xml:space="preserve"> both</w:t>
      </w:r>
      <w:r w:rsidRPr="002B0871">
        <w:rPr>
          <w:rFonts w:ascii="Times New Roman" w:hAnsi="Times New Roman" w:cs="Times New Roman"/>
        </w:rPr>
        <w:t xml:space="preserve"> </w:t>
      </w:r>
      <w:r w:rsidRPr="002B0871">
        <w:rPr>
          <w:rFonts w:ascii="Times New Roman" w:hAnsi="Times New Roman" w:cs="Times New Roman"/>
          <w:i/>
          <w:iCs/>
        </w:rPr>
        <w:t>S. aureus</w:t>
      </w:r>
      <w:r>
        <w:rPr>
          <w:rFonts w:ascii="Times New Roman" w:hAnsi="Times New Roman" w:cs="Times New Roman"/>
        </w:rPr>
        <w:t xml:space="preserve"> strains </w:t>
      </w:r>
      <w:r w:rsidRPr="002B0871">
        <w:rPr>
          <w:rFonts w:ascii="Times New Roman" w:hAnsi="Times New Roman" w:cs="Times New Roman"/>
        </w:rPr>
        <w:t>w</w:t>
      </w:r>
      <w:r>
        <w:rPr>
          <w:rFonts w:ascii="Times New Roman" w:hAnsi="Times New Roman" w:cs="Times New Roman"/>
        </w:rPr>
        <w:t>ere</w:t>
      </w:r>
      <w:r w:rsidRPr="002B0871">
        <w:rPr>
          <w:rFonts w:ascii="Times New Roman" w:hAnsi="Times New Roman" w:cs="Times New Roman"/>
        </w:rPr>
        <w:t xml:space="preserve"> able to replicate similarly within the embryos from the inoculum (10</w:t>
      </w:r>
      <w:r w:rsidRPr="002B0871">
        <w:rPr>
          <w:rFonts w:ascii="Times New Roman" w:hAnsi="Times New Roman" w:cs="Times New Roman"/>
          <w:vertAlign w:val="superscript"/>
        </w:rPr>
        <w:t>3</w:t>
      </w:r>
      <w:r w:rsidRPr="002B0871">
        <w:rPr>
          <w:rFonts w:ascii="Times New Roman" w:hAnsi="Times New Roman" w:cs="Times New Roman"/>
        </w:rPr>
        <w:t>), which suggests that the (p)ppGpp</w:t>
      </w:r>
      <w:r w:rsidRPr="002B0871">
        <w:rPr>
          <w:rFonts w:ascii="Times New Roman" w:hAnsi="Times New Roman" w:cs="Times New Roman"/>
          <w:vertAlign w:val="superscript"/>
        </w:rPr>
        <w:t>0</w:t>
      </w:r>
      <w:r w:rsidRPr="002B0871">
        <w:rPr>
          <w:rFonts w:ascii="Times New Roman" w:hAnsi="Times New Roman" w:cs="Times New Roman"/>
        </w:rPr>
        <w:t xml:space="preserve"> mutant is not attenuated due to a replication defect. Additionally, the (p)ppGpp</w:t>
      </w:r>
      <w:r w:rsidRPr="002B0871">
        <w:rPr>
          <w:rFonts w:ascii="Times New Roman" w:hAnsi="Times New Roman" w:cs="Times New Roman"/>
          <w:vertAlign w:val="superscript"/>
        </w:rPr>
        <w:t>0</w:t>
      </w:r>
      <w:r w:rsidRPr="002B0871">
        <w:rPr>
          <w:rFonts w:ascii="Times New Roman" w:hAnsi="Times New Roman" w:cs="Times New Roman"/>
        </w:rPr>
        <w:t xml:space="preserve"> mutant was isolated from embryos at numbers higher than the inoculum at timepoints up to 69 hpi, suggesting that the (p)ppGpp</w:t>
      </w:r>
      <w:r w:rsidRPr="002B0871">
        <w:rPr>
          <w:rFonts w:ascii="Times New Roman" w:hAnsi="Times New Roman" w:cs="Times New Roman"/>
          <w:vertAlign w:val="superscript"/>
        </w:rPr>
        <w:t>0</w:t>
      </w:r>
      <w:r w:rsidRPr="002B0871">
        <w:rPr>
          <w:rFonts w:ascii="Times New Roman" w:hAnsi="Times New Roman" w:cs="Times New Roman"/>
        </w:rPr>
        <w:t xml:space="preserve"> mutant was able to replicate later on during infection as well </w:t>
      </w:r>
      <w:r w:rsidRPr="002B0871">
        <w:rPr>
          <w:rFonts w:ascii="Times New Roman" w:hAnsi="Times New Roman" w:cs="Times New Roman"/>
          <w:b/>
          <w:bCs/>
        </w:rPr>
        <w:t>(Fig. 5.</w:t>
      </w:r>
      <w:r>
        <w:rPr>
          <w:rFonts w:ascii="Times New Roman" w:hAnsi="Times New Roman" w:cs="Times New Roman"/>
          <w:b/>
          <w:bCs/>
        </w:rPr>
        <w:t>5</w:t>
      </w:r>
      <w:r w:rsidRPr="002B0871">
        <w:rPr>
          <w:rFonts w:ascii="Times New Roman" w:hAnsi="Times New Roman" w:cs="Times New Roman"/>
          <w:b/>
          <w:bCs/>
        </w:rPr>
        <w:t>.</w:t>
      </w:r>
      <w:r>
        <w:rPr>
          <w:rFonts w:ascii="Times New Roman" w:hAnsi="Times New Roman" w:cs="Times New Roman"/>
          <w:b/>
          <w:bCs/>
        </w:rPr>
        <w:t>4</w:t>
      </w:r>
      <w:r w:rsidRPr="002B0871">
        <w:rPr>
          <w:rFonts w:ascii="Times New Roman" w:hAnsi="Times New Roman" w:cs="Times New Roman"/>
          <w:b/>
          <w:bCs/>
        </w:rPr>
        <w:t>b)</w:t>
      </w:r>
      <w:r w:rsidRPr="002B0871">
        <w:rPr>
          <w:rFonts w:ascii="Times New Roman" w:hAnsi="Times New Roman" w:cs="Times New Roman"/>
        </w:rPr>
        <w:t xml:space="preserve">. When infected embryos were isolated for homogenisation, </w:t>
      </w:r>
      <w:r>
        <w:rPr>
          <w:rFonts w:ascii="Times New Roman" w:hAnsi="Times New Roman" w:cs="Times New Roman"/>
        </w:rPr>
        <w:t xml:space="preserve">embryos infected with the </w:t>
      </w:r>
      <w:r w:rsidRPr="002B0871">
        <w:rPr>
          <w:rFonts w:ascii="Times New Roman" w:hAnsi="Times New Roman" w:cs="Times New Roman"/>
        </w:rPr>
        <w:t>WT w</w:t>
      </w:r>
      <w:r>
        <w:rPr>
          <w:rFonts w:ascii="Times New Roman" w:hAnsi="Times New Roman" w:cs="Times New Roman"/>
        </w:rPr>
        <w:t>ere</w:t>
      </w:r>
      <w:r w:rsidRPr="002B0871">
        <w:rPr>
          <w:rFonts w:ascii="Times New Roman" w:hAnsi="Times New Roman" w:cs="Times New Roman"/>
        </w:rPr>
        <w:t xml:space="preserve"> more often found dead in comparison to</w:t>
      </w:r>
      <w:r>
        <w:rPr>
          <w:rFonts w:ascii="Times New Roman" w:hAnsi="Times New Roman" w:cs="Times New Roman"/>
        </w:rPr>
        <w:t xml:space="preserve"> embryos infected with</w:t>
      </w:r>
      <w:r w:rsidRPr="002B0871">
        <w:rPr>
          <w:rFonts w:ascii="Times New Roman" w:hAnsi="Times New Roman" w:cs="Times New Roman"/>
        </w:rPr>
        <w:t xml:space="preserve"> the (p)ppGpp</w:t>
      </w:r>
      <w:r w:rsidRPr="002B0871">
        <w:rPr>
          <w:rFonts w:ascii="Times New Roman" w:hAnsi="Times New Roman" w:cs="Times New Roman"/>
          <w:vertAlign w:val="superscript"/>
        </w:rPr>
        <w:t>0</w:t>
      </w:r>
      <w:r w:rsidRPr="002B0871">
        <w:rPr>
          <w:rFonts w:ascii="Times New Roman" w:hAnsi="Times New Roman" w:cs="Times New Roman"/>
        </w:rPr>
        <w:t xml:space="preserve"> mutant as demonstrated by a higher number of closed circles, concurrent with the survival curves in </w:t>
      </w:r>
      <w:r w:rsidRPr="002B0871">
        <w:rPr>
          <w:rFonts w:ascii="Times New Roman" w:hAnsi="Times New Roman" w:cs="Times New Roman"/>
          <w:b/>
          <w:bCs/>
        </w:rPr>
        <w:t>Figure 5.</w:t>
      </w:r>
      <w:r>
        <w:rPr>
          <w:rFonts w:ascii="Times New Roman" w:hAnsi="Times New Roman" w:cs="Times New Roman"/>
          <w:b/>
          <w:bCs/>
        </w:rPr>
        <w:t>5.3</w:t>
      </w:r>
      <w:r w:rsidRPr="002B0871">
        <w:rPr>
          <w:rFonts w:ascii="Times New Roman" w:hAnsi="Times New Roman" w:cs="Times New Roman"/>
        </w:rPr>
        <w:t>. However not all dead embryos were included in the dataset as many embryos</w:t>
      </w:r>
      <w:r>
        <w:rPr>
          <w:rFonts w:ascii="Times New Roman" w:hAnsi="Times New Roman" w:cs="Times New Roman"/>
        </w:rPr>
        <w:t xml:space="preserve"> infected with WT</w:t>
      </w:r>
      <w:r w:rsidRPr="002B0871">
        <w:rPr>
          <w:rFonts w:ascii="Times New Roman" w:hAnsi="Times New Roman" w:cs="Times New Roman"/>
        </w:rPr>
        <w:t xml:space="preserve"> had disintegrated substantially, which may</w:t>
      </w:r>
      <w:r>
        <w:rPr>
          <w:rFonts w:ascii="Times New Roman" w:hAnsi="Times New Roman" w:cs="Times New Roman"/>
        </w:rPr>
        <w:t xml:space="preserve"> lead </w:t>
      </w:r>
      <w:r w:rsidRPr="002B0871">
        <w:rPr>
          <w:rFonts w:ascii="Times New Roman" w:hAnsi="Times New Roman" w:cs="Times New Roman"/>
        </w:rPr>
        <w:t xml:space="preserve">to </w:t>
      </w:r>
      <w:r w:rsidRPr="002B0871">
        <w:rPr>
          <w:rFonts w:ascii="Times New Roman" w:hAnsi="Times New Roman" w:cs="Times New Roman"/>
          <w:i/>
          <w:iCs/>
        </w:rPr>
        <w:t>S. aureus</w:t>
      </w:r>
      <w:r w:rsidRPr="002B0871">
        <w:rPr>
          <w:rFonts w:ascii="Times New Roman" w:hAnsi="Times New Roman" w:cs="Times New Roman"/>
        </w:rPr>
        <w:t xml:space="preserve"> growing within the dead embryo, resulting in unreliable CFU/embryo measurements. Additionally, the (p)ppGpp</w:t>
      </w:r>
      <w:r w:rsidRPr="002B0871">
        <w:rPr>
          <w:rFonts w:ascii="Times New Roman" w:hAnsi="Times New Roman" w:cs="Times New Roman"/>
          <w:vertAlign w:val="superscript"/>
        </w:rPr>
        <w:t>0</w:t>
      </w:r>
      <w:r w:rsidRPr="002B0871">
        <w:rPr>
          <w:rFonts w:ascii="Times New Roman" w:hAnsi="Times New Roman" w:cs="Times New Roman"/>
        </w:rPr>
        <w:t xml:space="preserve"> mutant-infected embryos were able to survive with a load of bacteria between 10</w:t>
      </w:r>
      <w:r w:rsidRPr="002B0871">
        <w:rPr>
          <w:rFonts w:ascii="Times New Roman" w:hAnsi="Times New Roman" w:cs="Times New Roman"/>
          <w:vertAlign w:val="superscript"/>
        </w:rPr>
        <w:t xml:space="preserve">1 </w:t>
      </w:r>
      <w:r w:rsidRPr="002B0871">
        <w:rPr>
          <w:rFonts w:ascii="Times New Roman" w:hAnsi="Times New Roman" w:cs="Times New Roman"/>
        </w:rPr>
        <w:t>to 10</w:t>
      </w:r>
      <w:r w:rsidRPr="002B0871">
        <w:rPr>
          <w:rFonts w:ascii="Times New Roman" w:hAnsi="Times New Roman" w:cs="Times New Roman"/>
          <w:vertAlign w:val="superscript"/>
        </w:rPr>
        <w:t>4</w:t>
      </w:r>
      <w:r w:rsidRPr="002B0871">
        <w:rPr>
          <w:rFonts w:ascii="Times New Roman" w:hAnsi="Times New Roman" w:cs="Times New Roman"/>
        </w:rPr>
        <w:t>, while this was not entirely the case with WT-infected embryos. This could imply that the attenuated (p)ppGpp</w:t>
      </w:r>
      <w:r w:rsidRPr="002B0871">
        <w:rPr>
          <w:rFonts w:ascii="Times New Roman" w:hAnsi="Times New Roman" w:cs="Times New Roman"/>
          <w:vertAlign w:val="superscript"/>
        </w:rPr>
        <w:t>0</w:t>
      </w:r>
      <w:r w:rsidRPr="002B0871">
        <w:rPr>
          <w:rFonts w:ascii="Times New Roman" w:hAnsi="Times New Roman" w:cs="Times New Roman"/>
        </w:rPr>
        <w:t xml:space="preserve"> mutant can allow embryos to survive at these loads while embryos infected with JE2 at the same bacterial load may not.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3B00C83D" w14:textId="77777777" w:rsidTr="00A74445">
        <w:tc>
          <w:tcPr>
            <w:tcW w:w="9016" w:type="dxa"/>
          </w:tcPr>
          <w:p w14:paraId="6A0ACA53" w14:textId="77777777" w:rsidR="00187693" w:rsidRDefault="00187693" w:rsidP="00A74445">
            <w:pPr>
              <w:spacing w:before="240" w:line="360" w:lineRule="auto"/>
              <w:jc w:val="both"/>
              <w:rPr>
                <w:rFonts w:ascii="Times New Roman" w:hAnsi="Times New Roman" w:cs="Times New Roman"/>
              </w:rPr>
            </w:pPr>
            <w:r>
              <w:rPr>
                <w:rFonts w:ascii="Times New Roman" w:hAnsi="Times New Roman" w:cs="Times New Roman"/>
                <w:noProof/>
              </w:rPr>
              <w:drawing>
                <wp:inline distT="0" distB="0" distL="0" distR="0" wp14:anchorId="6C157B69" wp14:editId="0F2C5DB7">
                  <wp:extent cx="4889500" cy="6309995"/>
                  <wp:effectExtent l="0" t="0" r="0" b="0"/>
                  <wp:docPr id="1574531075" name="Picture 157453107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31075" name="Picture 1574531075" descr="Shape&#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9500" cy="6309995"/>
                          </a:xfrm>
                          <a:prstGeom prst="rect">
                            <a:avLst/>
                          </a:prstGeom>
                          <a:noFill/>
                        </pic:spPr>
                      </pic:pic>
                    </a:graphicData>
                  </a:graphic>
                </wp:inline>
              </w:drawing>
            </w:r>
          </w:p>
        </w:tc>
      </w:tr>
      <w:tr w:rsidR="00187693" w14:paraId="568A0E15" w14:textId="77777777" w:rsidTr="00A74445">
        <w:tc>
          <w:tcPr>
            <w:tcW w:w="9016" w:type="dxa"/>
          </w:tcPr>
          <w:p w14:paraId="280EB031" w14:textId="77777777" w:rsidR="00187693" w:rsidRDefault="00187693" w:rsidP="00A74445">
            <w:pPr>
              <w:spacing w:before="240"/>
              <w:jc w:val="both"/>
              <w:rPr>
                <w:rFonts w:ascii="Times New Roman" w:hAnsi="Times New Roman" w:cs="Times New Roman"/>
              </w:rPr>
            </w:pPr>
            <w:r w:rsidRPr="00282A6D">
              <w:rPr>
                <w:rFonts w:ascii="Times New Roman" w:hAnsi="Times New Roman" w:cs="Times New Roman"/>
                <w:b/>
                <w:bCs/>
                <w:sz w:val="18"/>
                <w:szCs w:val="18"/>
              </w:rPr>
              <w:t>Figure 5.</w:t>
            </w:r>
            <w:r>
              <w:rPr>
                <w:rFonts w:ascii="Times New Roman" w:hAnsi="Times New Roman" w:cs="Times New Roman"/>
                <w:b/>
                <w:bCs/>
                <w:sz w:val="18"/>
                <w:szCs w:val="18"/>
              </w:rPr>
              <w:t>5</w:t>
            </w:r>
            <w:r w:rsidRPr="00282A6D">
              <w:rPr>
                <w:rFonts w:ascii="Times New Roman" w:hAnsi="Times New Roman" w:cs="Times New Roman"/>
                <w:b/>
                <w:bCs/>
                <w:sz w:val="18"/>
                <w:szCs w:val="18"/>
              </w:rPr>
              <w:t>.</w:t>
            </w:r>
            <w:r>
              <w:rPr>
                <w:rFonts w:ascii="Times New Roman" w:hAnsi="Times New Roman" w:cs="Times New Roman"/>
                <w:b/>
                <w:bCs/>
                <w:sz w:val="18"/>
                <w:szCs w:val="18"/>
              </w:rPr>
              <w:t>4</w:t>
            </w:r>
            <w:r w:rsidRPr="00282A6D">
              <w:rPr>
                <w:rFonts w:ascii="Times New Roman" w:hAnsi="Times New Roman" w:cs="Times New Roman"/>
                <w:b/>
                <w:bCs/>
                <w:sz w:val="18"/>
                <w:szCs w:val="18"/>
              </w:rPr>
              <w:t>. WT and the (p)ppGpp</w:t>
            </w:r>
            <w:r w:rsidRPr="00282A6D">
              <w:rPr>
                <w:rFonts w:ascii="Times New Roman" w:hAnsi="Times New Roman" w:cs="Times New Roman"/>
                <w:b/>
                <w:bCs/>
                <w:sz w:val="18"/>
                <w:szCs w:val="18"/>
                <w:vertAlign w:val="superscript"/>
              </w:rPr>
              <w:t xml:space="preserve">0 </w:t>
            </w:r>
            <w:r w:rsidRPr="00282A6D">
              <w:rPr>
                <w:rFonts w:ascii="Times New Roman" w:hAnsi="Times New Roman" w:cs="Times New Roman"/>
                <w:b/>
                <w:bCs/>
                <w:sz w:val="18"/>
                <w:szCs w:val="18"/>
              </w:rPr>
              <w:t xml:space="preserve">mutant replicate similarly </w:t>
            </w:r>
            <w:r w:rsidRPr="00282A6D">
              <w:rPr>
                <w:rFonts w:ascii="Times New Roman" w:hAnsi="Times New Roman" w:cs="Times New Roman"/>
                <w:b/>
                <w:bCs/>
                <w:i/>
                <w:iCs/>
                <w:sz w:val="18"/>
                <w:szCs w:val="18"/>
              </w:rPr>
              <w:t>in vivo</w:t>
            </w:r>
            <w:r w:rsidRPr="00282A6D">
              <w:rPr>
                <w:rFonts w:ascii="Times New Roman" w:hAnsi="Times New Roman" w:cs="Times New Roman"/>
                <w:b/>
                <w:bCs/>
                <w:sz w:val="18"/>
                <w:szCs w:val="18"/>
              </w:rPr>
              <w:t xml:space="preserve"> in a systemic zebrafish embryo infection model. </w:t>
            </w:r>
            <w:r w:rsidRPr="00282A6D">
              <w:rPr>
                <w:rFonts w:ascii="Times New Roman" w:hAnsi="Times New Roman" w:cs="Times New Roman"/>
                <w:sz w:val="18"/>
                <w:szCs w:val="18"/>
              </w:rPr>
              <w:t xml:space="preserve">Growth of </w:t>
            </w:r>
            <w:r w:rsidRPr="00282A6D">
              <w:rPr>
                <w:rFonts w:ascii="Times New Roman" w:hAnsi="Times New Roman" w:cs="Times New Roman"/>
                <w:i/>
                <w:iCs/>
                <w:sz w:val="18"/>
                <w:szCs w:val="18"/>
              </w:rPr>
              <w:t>S. aureus</w:t>
            </w:r>
            <w:r w:rsidRPr="00282A6D">
              <w:rPr>
                <w:rFonts w:ascii="Times New Roman" w:hAnsi="Times New Roman" w:cs="Times New Roman"/>
                <w:sz w:val="18"/>
                <w:szCs w:val="18"/>
                <w:lang w:val="en-US"/>
              </w:rPr>
              <w:t xml:space="preserve"> WT </w:t>
            </w:r>
            <w:r w:rsidRPr="00282A6D">
              <w:rPr>
                <w:rFonts w:ascii="Times New Roman" w:hAnsi="Times New Roman" w:cs="Times New Roman"/>
                <w:b/>
                <w:bCs/>
                <w:sz w:val="18"/>
                <w:szCs w:val="18"/>
                <w:lang w:val="en-US"/>
              </w:rPr>
              <w:t xml:space="preserve">(a) </w:t>
            </w:r>
            <w:r w:rsidRPr="00282A6D">
              <w:rPr>
                <w:rFonts w:ascii="Times New Roman" w:hAnsi="Times New Roman" w:cs="Times New Roman"/>
                <w:sz w:val="18"/>
                <w:szCs w:val="18"/>
                <w:lang w:val="en-US"/>
              </w:rPr>
              <w:t>and</w:t>
            </w:r>
            <w:r w:rsidRPr="00282A6D">
              <w:rPr>
                <w:rFonts w:ascii="Times New Roman" w:hAnsi="Times New Roman" w:cs="Times New Roman"/>
                <w:sz w:val="18"/>
                <w:szCs w:val="18"/>
              </w:rPr>
              <w:t xml:space="preserve"> (p)ppGpp</w:t>
            </w:r>
            <w:r w:rsidRPr="00282A6D">
              <w:rPr>
                <w:rFonts w:ascii="Times New Roman" w:hAnsi="Times New Roman" w:cs="Times New Roman"/>
                <w:sz w:val="18"/>
                <w:szCs w:val="18"/>
                <w:vertAlign w:val="superscript"/>
              </w:rPr>
              <w:t>0</w:t>
            </w:r>
            <w:r w:rsidRPr="00282A6D">
              <w:rPr>
                <w:rFonts w:ascii="Times New Roman" w:hAnsi="Times New Roman" w:cs="Times New Roman"/>
                <w:i/>
                <w:iCs/>
                <w:sz w:val="18"/>
                <w:szCs w:val="18"/>
                <w:lang w:val="en-US"/>
              </w:rPr>
              <w:t xml:space="preserve"> </w:t>
            </w:r>
            <w:r w:rsidRPr="00282A6D">
              <w:rPr>
                <w:rFonts w:ascii="Times New Roman" w:hAnsi="Times New Roman" w:cs="Times New Roman"/>
                <w:b/>
                <w:bCs/>
                <w:sz w:val="18"/>
                <w:szCs w:val="18"/>
                <w:lang w:val="en-US"/>
              </w:rPr>
              <w:t xml:space="preserve">(b) </w:t>
            </w:r>
            <w:r w:rsidRPr="00282A6D">
              <w:rPr>
                <w:rFonts w:ascii="Times New Roman" w:hAnsi="Times New Roman" w:cs="Times New Roman"/>
                <w:sz w:val="18"/>
                <w:szCs w:val="18"/>
                <w:lang w:val="en-US"/>
              </w:rPr>
              <w:t xml:space="preserve">in zebrafish </w:t>
            </w:r>
            <w:r w:rsidRPr="00282A6D">
              <w:rPr>
                <w:rFonts w:ascii="Times New Roman" w:hAnsi="Times New Roman" w:cs="Times New Roman"/>
                <w:sz w:val="18"/>
                <w:szCs w:val="18"/>
              </w:rPr>
              <w:t>embryos after injection of 3000-4000 CFU into the circulation at 30 hpf. Five live embryos and any dead embryos were taken at the specified timepoints for CFU/embryo determination. Open circles represent live embryos and closed circles represent dead embryos. Survival was monitored until 93 hp</w:t>
            </w:r>
            <w:r>
              <w:rPr>
                <w:rFonts w:ascii="Times New Roman" w:hAnsi="Times New Roman" w:cs="Times New Roman"/>
                <w:sz w:val="18"/>
                <w:szCs w:val="18"/>
              </w:rPr>
              <w:t xml:space="preserve">i </w:t>
            </w:r>
            <w:r w:rsidRPr="00282A6D">
              <w:rPr>
                <w:rFonts w:ascii="Times New Roman" w:hAnsi="Times New Roman" w:cs="Times New Roman"/>
                <w:sz w:val="18"/>
                <w:szCs w:val="18"/>
              </w:rPr>
              <w:t>when the embryos reached 5.2 days post fertilisation. Experiment was performed in triplicate with one representative shown.</w:t>
            </w:r>
          </w:p>
        </w:tc>
      </w:tr>
    </w:tbl>
    <w:p w14:paraId="094B2402" w14:textId="77777777" w:rsidR="00187693" w:rsidRDefault="00187693" w:rsidP="00187693">
      <w:pPr>
        <w:spacing w:before="240" w:line="360" w:lineRule="auto"/>
        <w:jc w:val="both"/>
        <w:rPr>
          <w:rFonts w:ascii="Times New Roman" w:hAnsi="Times New Roman" w:cs="Times New Roman"/>
        </w:rPr>
      </w:pPr>
      <w:r w:rsidRPr="002B0871">
        <w:rPr>
          <w:rFonts w:ascii="Times New Roman" w:hAnsi="Times New Roman" w:cs="Times New Roman"/>
        </w:rPr>
        <w:t xml:space="preserve"> </w:t>
      </w:r>
    </w:p>
    <w:p w14:paraId="22B1152E" w14:textId="65A4F37A" w:rsidR="00187693" w:rsidRDefault="00187693" w:rsidP="00187693">
      <w:pPr>
        <w:pStyle w:val="Heading2"/>
      </w:pPr>
      <w:bookmarkStart w:id="165" w:name="_Toc142043658"/>
      <w:r>
        <w:t>5.6. Control of the stringent response mutant within zebrafish embryos is myeloid cell-dependent</w:t>
      </w:r>
      <w:bookmarkEnd w:id="165"/>
    </w:p>
    <w:p w14:paraId="7E863EE1" w14:textId="761FD9DD" w:rsidR="00187693" w:rsidRPr="00300B91" w:rsidRDefault="00187693" w:rsidP="00187693">
      <w:pPr>
        <w:spacing w:before="240" w:line="360" w:lineRule="auto"/>
        <w:jc w:val="both"/>
        <w:rPr>
          <w:rFonts w:ascii="Times New Roman" w:hAnsi="Times New Roman" w:cs="Times New Roman"/>
          <w:i/>
          <w:iCs/>
        </w:rPr>
      </w:pPr>
      <w:r w:rsidRPr="0079551D">
        <w:rPr>
          <w:rFonts w:ascii="Times New Roman" w:hAnsi="Times New Roman" w:cs="Times New Roman"/>
        </w:rPr>
        <w:t xml:space="preserve">The importance of professional phagocytes and the mechanism by which they exert their antimicrobial effects have been previously discussed- </w:t>
      </w:r>
      <w:r>
        <w:rPr>
          <w:rFonts w:ascii="Times New Roman" w:hAnsi="Times New Roman" w:cs="Times New Roman"/>
        </w:rPr>
        <w:t>stringent response</w:t>
      </w:r>
      <w:r w:rsidRPr="0079551D">
        <w:rPr>
          <w:rFonts w:ascii="Times New Roman" w:hAnsi="Times New Roman" w:cs="Times New Roman"/>
        </w:rPr>
        <w:t xml:space="preserve"> mutants are susceptible to components of the phagolysosome, as shown in chapter four. Taking this into account, understanding how </w:t>
      </w:r>
      <w:r w:rsidRPr="0079551D">
        <w:rPr>
          <w:rFonts w:ascii="Times New Roman" w:hAnsi="Times New Roman" w:cs="Times New Roman"/>
          <w:i/>
          <w:iCs/>
        </w:rPr>
        <w:t>S. aureus</w:t>
      </w:r>
      <w:r w:rsidRPr="0079551D">
        <w:rPr>
          <w:rFonts w:ascii="Times New Roman" w:hAnsi="Times New Roman" w:cs="Times New Roman"/>
        </w:rPr>
        <w:t xml:space="preserve"> interacts with the zebrafish innate immune system during infection is important and therefore the effect of myeloid cell depletion was studied. In order to </w:t>
      </w:r>
      <w:r>
        <w:rPr>
          <w:rFonts w:ascii="Times New Roman" w:hAnsi="Times New Roman" w:cs="Times New Roman"/>
        </w:rPr>
        <w:t>achieve</w:t>
      </w:r>
      <w:r w:rsidRPr="0079551D">
        <w:rPr>
          <w:rFonts w:ascii="Times New Roman" w:hAnsi="Times New Roman" w:cs="Times New Roman"/>
        </w:rPr>
        <w:t xml:space="preserve"> this, morpholino-modified antisense oligonucleotides were employed. These are short sequences </w:t>
      </w:r>
      <w:r>
        <w:rPr>
          <w:rFonts w:ascii="Times New Roman" w:hAnsi="Times New Roman" w:cs="Times New Roman"/>
        </w:rPr>
        <w:t xml:space="preserve">of DNA </w:t>
      </w:r>
      <w:r w:rsidRPr="0079551D">
        <w:rPr>
          <w:rFonts w:ascii="Times New Roman" w:hAnsi="Times New Roman" w:cs="Times New Roman"/>
        </w:rPr>
        <w:t xml:space="preserve">consisting of one of the four bases affixed to carbon one of a methylenemorpholine ring, forming a monomer. Monomers are linked by phosphorodiamidate bonds to form the oligonucleotide </w:t>
      </w:r>
      <w:r w:rsidRPr="0079551D">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&lt;EndNote&gt;&lt;Cite&gt;&lt;Author&gt;Summerton&lt;/Author&gt;&lt;Year&gt;1997&lt;/Year&gt;&lt;IDText&gt;Morpholino antisense oligomers: Design, preparation, and properties&lt;/IDText&gt;&lt;DisplayText&gt;(Summerton and Weller, 1997)&lt;/DisplayText&gt;&lt;record&gt;&lt;dates&gt;&lt;pub-dates&gt;&lt;date&gt;Jun&lt;/date&gt;&lt;/pub-dates&gt;&lt;year&gt;1997&lt;/year&gt;&lt;/dates&gt;&lt;urls&gt;&lt;related-urls&gt;&lt;url&gt;&amp;lt;Go to ISI&amp;gt;://WOS:A1997XG51400007&lt;/url&gt;&lt;/related-urls&gt;&lt;/urls&gt;&lt;isbn&gt;1087-2906&lt;/isbn&gt;&lt;titles&gt;&lt;title&gt;Morpholino antisense oligomers: Design, preparation, and properties&lt;/title&gt;&lt;secondary-title&gt;Antisense &amp;amp; Nucleic Acid Drug Development&lt;/secondary-title&gt;&lt;/titles&gt;&lt;pages&gt;187-195&lt;/pages&gt;&lt;number&gt;3&lt;/number&gt;&lt;contributors&gt;&lt;authors&gt;&lt;author&gt;Summerton, J.&lt;/author&gt;&lt;author&gt;Weller, D.&lt;/author&gt;&lt;/authors&gt;&lt;/contributors&gt;&lt;added-date format="utc"&gt;1674852821&lt;/added-date&gt;&lt;ref-type name="Journal Article"&gt;17&lt;/ref-type&gt;&lt;rec-number&gt;276&lt;/rec-number&gt;&lt;last-updated-date format="utc"&gt;1674852821&lt;/last-updated-date&gt;&lt;accession-num&gt;WOS:A1997XG51400007&lt;/accession-num&gt;&lt;electronic-resource-num&gt;10.1089/oli.1.1997.7.187&lt;/electronic-resource-num&gt;&lt;volume&gt;7&lt;/volume&gt;&lt;/record&gt;&lt;/Cite&gt;&lt;/EndNote&gt;</w:instrText>
      </w:r>
      <w:r w:rsidRPr="0079551D">
        <w:rPr>
          <w:rFonts w:ascii="Times New Roman" w:hAnsi="Times New Roman" w:cs="Times New Roman"/>
          <w:b/>
          <w:bCs/>
        </w:rPr>
        <w:fldChar w:fldCharType="separate"/>
      </w:r>
      <w:r>
        <w:rPr>
          <w:rFonts w:ascii="Times New Roman" w:hAnsi="Times New Roman" w:cs="Times New Roman"/>
          <w:b/>
          <w:bCs/>
          <w:noProof/>
        </w:rPr>
        <w:t>(Summerton and Weller, 1997)</w:t>
      </w:r>
      <w:r w:rsidRPr="0079551D">
        <w:rPr>
          <w:rFonts w:ascii="Times New Roman" w:hAnsi="Times New Roman" w:cs="Times New Roman"/>
          <w:b/>
          <w:bCs/>
        </w:rPr>
        <w:fldChar w:fldCharType="end"/>
      </w:r>
      <w:r w:rsidRPr="0079551D">
        <w:rPr>
          <w:rFonts w:ascii="Times New Roman" w:hAnsi="Times New Roman" w:cs="Times New Roman"/>
          <w:b/>
          <w:bCs/>
        </w:rPr>
        <w:t>.</w:t>
      </w:r>
      <w:r w:rsidRPr="0079551D">
        <w:rPr>
          <w:rFonts w:ascii="Times New Roman" w:hAnsi="Times New Roman" w:cs="Times New Roman"/>
        </w:rPr>
        <w:t xml:space="preserve"> Morpholinos are used to transiently knockdown genes. The P</w:t>
      </w:r>
      <w:r w:rsidR="003A4487">
        <w:rPr>
          <w:rFonts w:ascii="Times New Roman" w:hAnsi="Times New Roman" w:cs="Times New Roman"/>
        </w:rPr>
        <w:t>u</w:t>
      </w:r>
      <w:r w:rsidRPr="0079551D">
        <w:rPr>
          <w:rFonts w:ascii="Times New Roman" w:hAnsi="Times New Roman" w:cs="Times New Roman"/>
        </w:rPr>
        <w:t>.1 morpholino facilitates the knockdown of the P</w:t>
      </w:r>
      <w:r w:rsidR="003A4487">
        <w:rPr>
          <w:rFonts w:ascii="Times New Roman" w:hAnsi="Times New Roman" w:cs="Times New Roman"/>
        </w:rPr>
        <w:t>u</w:t>
      </w:r>
      <w:r w:rsidRPr="0079551D">
        <w:rPr>
          <w:rFonts w:ascii="Times New Roman" w:hAnsi="Times New Roman" w:cs="Times New Roman"/>
        </w:rPr>
        <w:t>.1</w:t>
      </w:r>
      <w:r>
        <w:rPr>
          <w:rFonts w:ascii="Times New Roman" w:hAnsi="Times New Roman" w:cs="Times New Roman"/>
        </w:rPr>
        <w:t>/Spi1b</w:t>
      </w:r>
      <w:r w:rsidRPr="0079551D">
        <w:rPr>
          <w:rFonts w:ascii="Times New Roman" w:hAnsi="Times New Roman" w:cs="Times New Roman"/>
        </w:rPr>
        <w:t xml:space="preserve"> transcription factor</w:t>
      </w:r>
      <w:r>
        <w:rPr>
          <w:rFonts w:ascii="Times New Roman" w:hAnsi="Times New Roman" w:cs="Times New Roman"/>
        </w:rPr>
        <w:t xml:space="preserve"> by steric block of translation of the P</w:t>
      </w:r>
      <w:r w:rsidR="003A4487">
        <w:rPr>
          <w:rFonts w:ascii="Times New Roman" w:hAnsi="Times New Roman" w:cs="Times New Roman"/>
        </w:rPr>
        <w:t>u</w:t>
      </w:r>
      <w:r>
        <w:rPr>
          <w:rFonts w:ascii="Times New Roman" w:hAnsi="Times New Roman" w:cs="Times New Roman"/>
        </w:rPr>
        <w:t>.1</w:t>
      </w:r>
      <w:r w:rsidR="00E84242">
        <w:rPr>
          <w:rFonts w:ascii="Times New Roman" w:hAnsi="Times New Roman" w:cs="Times New Roman"/>
        </w:rPr>
        <w:t>/Spi</w:t>
      </w:r>
      <w:r w:rsidR="003A4487">
        <w:rPr>
          <w:rFonts w:ascii="Times New Roman" w:hAnsi="Times New Roman" w:cs="Times New Roman"/>
        </w:rPr>
        <w:t>1b</w:t>
      </w:r>
      <w:r>
        <w:rPr>
          <w:rFonts w:ascii="Times New Roman" w:hAnsi="Times New Roman" w:cs="Times New Roman"/>
        </w:rPr>
        <w:t xml:space="preserve"> mRNA.</w:t>
      </w:r>
      <w:r w:rsidRPr="0079551D">
        <w:rPr>
          <w:rFonts w:ascii="Times New Roman" w:hAnsi="Times New Roman" w:cs="Times New Roman"/>
        </w:rPr>
        <w:t xml:space="preserve"> </w:t>
      </w:r>
      <w:r>
        <w:rPr>
          <w:rFonts w:ascii="Times New Roman" w:hAnsi="Times New Roman" w:cs="Times New Roman"/>
        </w:rPr>
        <w:t>P</w:t>
      </w:r>
      <w:r w:rsidR="003A4487">
        <w:rPr>
          <w:rFonts w:ascii="Times New Roman" w:hAnsi="Times New Roman" w:cs="Times New Roman"/>
        </w:rPr>
        <w:t>u</w:t>
      </w:r>
      <w:r>
        <w:rPr>
          <w:rFonts w:ascii="Times New Roman" w:hAnsi="Times New Roman" w:cs="Times New Roman"/>
        </w:rPr>
        <w:t>.1</w:t>
      </w:r>
      <w:bookmarkStart w:id="166" w:name="_Hlk130746430"/>
      <w:r>
        <w:rPr>
          <w:rFonts w:ascii="Times New Roman" w:hAnsi="Times New Roman" w:cs="Times New Roman"/>
        </w:rPr>
        <w:t>/Spi</w:t>
      </w:r>
      <w:r w:rsidR="003A4487">
        <w:rPr>
          <w:rFonts w:ascii="Times New Roman" w:hAnsi="Times New Roman" w:cs="Times New Roman"/>
        </w:rPr>
        <w:t>1b</w:t>
      </w:r>
      <w:r>
        <w:rPr>
          <w:rFonts w:ascii="Times New Roman" w:hAnsi="Times New Roman" w:cs="Times New Roman"/>
        </w:rPr>
        <w:t xml:space="preserve"> </w:t>
      </w:r>
      <w:bookmarkEnd w:id="166"/>
      <w:r>
        <w:rPr>
          <w:rFonts w:ascii="Times New Roman" w:hAnsi="Times New Roman" w:cs="Times New Roman"/>
        </w:rPr>
        <w:t xml:space="preserve">is </w:t>
      </w:r>
      <w:r w:rsidRPr="0079551D">
        <w:rPr>
          <w:rFonts w:ascii="Times New Roman" w:hAnsi="Times New Roman" w:cs="Times New Roman"/>
        </w:rPr>
        <w:t xml:space="preserve">a lineage determinant and an integral component in the differentiation of pluripotent haematopoietic stem cells into cells of the myeloid lineage </w:t>
      </w:r>
      <w:r w:rsidRPr="0079551D">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&lt;EndNote&gt;&lt;Cite&gt;&lt;Author&gt;Burda&lt;/Author&gt;&lt;Year&gt;2010&lt;/Year&gt;&lt;IDText&gt;The role of PU.1 and GATA-1 transcription factors during normal and leukemogenic hematopoiesis&lt;/IDText&gt;&lt;DisplayText&gt;(Burda, Laslo and Stopka, 2010)&lt;/DisplayText&gt;&lt;record&gt;&lt;dates&gt;&lt;pub-dates&gt;&lt;date&gt;Jul&lt;/date&gt;&lt;/pub-dates&gt;&lt;year&gt;2010&lt;/year&gt;&lt;/dates&gt;&lt;urls&gt;&lt;related-urls&gt;&lt;url&gt;&amp;lt;Go to ISI&amp;gt;://WOS:000279892900002&lt;/url&gt;&lt;/related-urls&gt;&lt;/urls&gt;&lt;isbn&gt;0887-6924&lt;/isbn&gt;&lt;titles&gt;&lt;title&gt;The role of PU.1 and GATA-1 transcription factors during normal and leukemogenic hematopoiesis&lt;/title&gt;&lt;secondary-title&gt;Leukemia&lt;/secondary-title&gt;&lt;/titles&gt;&lt;pages&gt;1249-1257&lt;/pages&gt;&lt;number&gt;7&lt;/number&gt;&lt;contributors&gt;&lt;authors&gt;&lt;author&gt;Burda, P.&lt;/author&gt;&lt;author&gt;Laslo, P.&lt;/author&gt;&lt;author&gt;Stopka, T.&lt;/author&gt;&lt;/authors&gt;&lt;/contributors&gt;&lt;added-date format="utc"&gt;1675026243&lt;/added-date&gt;&lt;ref-type name="Journal Article"&gt;17&lt;/ref-type&gt;&lt;rec-number&gt;288&lt;/rec-number&gt;&lt;last-updated-date format="utc"&gt;1675026243&lt;/last-updated-date&gt;&lt;accession-num&gt;WOS:000279892900002&lt;/accession-num&gt;&lt;electronic-resource-num&gt;10.1038/leu.2010.104&lt;/electronic-resource-num&gt;&lt;volume&gt;24&lt;/volume&gt;&lt;/record&gt;&lt;/Cite&gt;&lt;/EndNote&gt;</w:instrText>
      </w:r>
      <w:r w:rsidRPr="0079551D">
        <w:rPr>
          <w:rFonts w:ascii="Times New Roman" w:hAnsi="Times New Roman" w:cs="Times New Roman"/>
          <w:b/>
          <w:bCs/>
        </w:rPr>
        <w:fldChar w:fldCharType="separate"/>
      </w:r>
      <w:r>
        <w:rPr>
          <w:rFonts w:ascii="Times New Roman" w:hAnsi="Times New Roman" w:cs="Times New Roman"/>
          <w:b/>
          <w:bCs/>
          <w:noProof/>
        </w:rPr>
        <w:t>(Burda, Laslo and Stopka, 2010)</w:t>
      </w:r>
      <w:r w:rsidRPr="0079551D">
        <w:rPr>
          <w:rFonts w:ascii="Times New Roman" w:hAnsi="Times New Roman" w:cs="Times New Roman"/>
          <w:b/>
          <w:bCs/>
        </w:rPr>
        <w:fldChar w:fldCharType="end"/>
      </w:r>
      <w:r w:rsidRPr="0079551D">
        <w:rPr>
          <w:rFonts w:ascii="Times New Roman" w:hAnsi="Times New Roman" w:cs="Times New Roman"/>
        </w:rPr>
        <w:t xml:space="preserve">. </w:t>
      </w:r>
      <w:r>
        <w:rPr>
          <w:rFonts w:ascii="Times New Roman" w:hAnsi="Times New Roman" w:cs="Times New Roman"/>
        </w:rPr>
        <w:t>While the P</w:t>
      </w:r>
      <w:r w:rsidR="003A4487">
        <w:rPr>
          <w:rFonts w:ascii="Times New Roman" w:hAnsi="Times New Roman" w:cs="Times New Roman"/>
        </w:rPr>
        <w:t>u</w:t>
      </w:r>
      <w:r>
        <w:rPr>
          <w:rFonts w:ascii="Times New Roman" w:hAnsi="Times New Roman" w:cs="Times New Roman"/>
        </w:rPr>
        <w:t xml:space="preserve">.1 morpholino designed by Rhodes and colleagues that was used in this study was said to target the AUG translational start site, the morpholino actually binds to exon 3 as shown in </w:t>
      </w:r>
      <w:r>
        <w:rPr>
          <w:rFonts w:ascii="Times New Roman" w:hAnsi="Times New Roman" w:cs="Times New Roman"/>
          <w:b/>
          <w:bCs/>
        </w:rPr>
        <w:t>Figure 5.6.1a</w:t>
      </w:r>
      <w:r>
        <w:rPr>
          <w:rFonts w:ascii="Times New Roman" w:hAnsi="Times New Roman" w:cs="Times New Roman"/>
        </w:rPr>
        <w:t>. However, translation of P</w:t>
      </w:r>
      <w:r w:rsidR="003A4487">
        <w:rPr>
          <w:rFonts w:ascii="Times New Roman" w:hAnsi="Times New Roman" w:cs="Times New Roman"/>
        </w:rPr>
        <w:t>u</w:t>
      </w:r>
      <w:r>
        <w:rPr>
          <w:rFonts w:ascii="Times New Roman" w:hAnsi="Times New Roman" w:cs="Times New Roman"/>
        </w:rPr>
        <w:t>.1/Sp</w:t>
      </w:r>
      <w:r w:rsidR="003A4487">
        <w:rPr>
          <w:rFonts w:ascii="Times New Roman" w:hAnsi="Times New Roman" w:cs="Times New Roman"/>
        </w:rPr>
        <w:t>i1b</w:t>
      </w:r>
      <w:r>
        <w:rPr>
          <w:rFonts w:ascii="Times New Roman" w:hAnsi="Times New Roman" w:cs="Times New Roman"/>
        </w:rPr>
        <w:t xml:space="preserve"> in zebrafish embryos is still inhibited despite the binding site being 170 bp downstream of the translational start site as the expression of </w:t>
      </w:r>
      <w:r>
        <w:rPr>
          <w:rFonts w:ascii="Times New Roman" w:hAnsi="Times New Roman" w:cs="Times New Roman"/>
          <w:i/>
          <w:iCs/>
        </w:rPr>
        <w:t>pu.1/spi</w:t>
      </w:r>
      <w:r w:rsidR="003A4487">
        <w:rPr>
          <w:rFonts w:ascii="Times New Roman" w:hAnsi="Times New Roman" w:cs="Times New Roman"/>
          <w:i/>
          <w:iCs/>
        </w:rPr>
        <w:t>1b</w:t>
      </w:r>
      <w:r>
        <w:rPr>
          <w:rFonts w:ascii="Times New Roman" w:hAnsi="Times New Roman" w:cs="Times New Roman"/>
        </w:rPr>
        <w:t xml:space="preserve"> mRNA is abolished upon morpholino administration </w:t>
      </w:r>
      <w:r w:rsidRPr="00300B91">
        <w:rPr>
          <w:rFonts w:ascii="Times New Roman" w:hAnsi="Times New Roman" w:cs="Times New Roman"/>
          <w:b/>
          <w:bCs/>
        </w:rPr>
        <w:fldChar w:fldCharType="begin"/>
      </w:r>
      <w:r w:rsidRPr="00300B91">
        <w:rPr>
          <w:rFonts w:ascii="Times New Roman" w:hAnsi="Times New Roman" w:cs="Times New Roman"/>
          <w:b/>
          <w:bCs/>
        </w:rPr>
        <w:instrText xml:space="preserve"> ADDIN EN.CITE &lt;EndNote&gt;&lt;Cite&gt;&lt;Author&gt;Rhodes&lt;/Author&gt;&lt;Year&gt;2005&lt;/Year&gt;&lt;IDText&gt;Interplay of Pu.1 and gatal determines myelo-erythroid progenitor cell fate in zebrafish&lt;/IDText&gt;&lt;DisplayText&gt;(Rhodes&lt;style face="italic"&gt; et al.&lt;/style&gt;, 2005)&lt;/DisplayText&gt;&lt;record&gt;&lt;dates&gt;&lt;pub-dates&gt;&lt;date&gt;Jan&lt;/date&gt;&lt;/pub-dates&gt;&lt;year&gt;2005&lt;/year&gt;&lt;/dates&gt;&lt;urls&gt;&lt;related-urls&gt;&lt;url&gt;&amp;lt;Go to ISI&amp;gt;://WOS:000226325700013&lt;/url&gt;&lt;/related-urls&gt;&lt;/urls&gt;&lt;isbn&gt;1534-5807&lt;/isbn&gt;&lt;titles&gt;&lt;title&gt;Interplay of Pu.1 and gatal determines myelo-erythroid progenitor cell fate in zebrafish&lt;/title&gt;&lt;secondary-title&gt;Developmental Cell&lt;/secondary-title&gt;&lt;/titles&gt;&lt;pages&gt;97-108&lt;/pages&gt;&lt;number&gt;1&lt;/number&gt;&lt;contributors&gt;&lt;authors&gt;&lt;author&gt;Rhodes, J.&lt;/author&gt;&lt;author&gt;Hagen, A.&lt;/author&gt;&lt;author&gt;Hsu, K.&lt;/author&gt;&lt;author&gt;Deng, M.&lt;/author&gt;&lt;author&gt;Liu, T. X.&lt;/author&gt;&lt;author&gt;Look, A. T.&lt;/author&gt;&lt;author&gt;Kanki, J. P.&lt;/author&gt;&lt;/authors&gt;&lt;/contributors&gt;&lt;added-date format="utc"&gt;1678987024&lt;/added-date&gt;&lt;ref-type name="Journal Article"&gt;17&lt;/ref-type&gt;&lt;rec-number&gt;780&lt;/rec-number&gt;&lt;last-updated-date format="utc"&gt;1678987024&lt;/last-updated-date&gt;&lt;accession-num&gt;WOS:000226325700013&lt;/accession-num&gt;&lt;electronic-resource-num&gt;10.1016/j.devcel.2004.11.014&lt;/electronic-resource-num&gt;&lt;volume&gt;8&lt;/volume&gt;&lt;/record&gt;&lt;/Cite&gt;&lt;/EndNote&gt;</w:instrText>
      </w:r>
      <w:r w:rsidRPr="00300B91">
        <w:rPr>
          <w:rFonts w:ascii="Times New Roman" w:hAnsi="Times New Roman" w:cs="Times New Roman"/>
          <w:b/>
          <w:bCs/>
        </w:rPr>
        <w:fldChar w:fldCharType="separate"/>
      </w:r>
      <w:r w:rsidRPr="00300B91">
        <w:rPr>
          <w:rFonts w:ascii="Times New Roman" w:hAnsi="Times New Roman" w:cs="Times New Roman"/>
          <w:b/>
          <w:bCs/>
          <w:noProof/>
        </w:rPr>
        <w:t>(Rhodes</w:t>
      </w:r>
      <w:r w:rsidRPr="00300B91">
        <w:rPr>
          <w:rFonts w:ascii="Times New Roman" w:hAnsi="Times New Roman" w:cs="Times New Roman"/>
          <w:b/>
          <w:bCs/>
          <w:i/>
          <w:noProof/>
        </w:rPr>
        <w:t xml:space="preserve"> et al.</w:t>
      </w:r>
      <w:r w:rsidRPr="00300B91">
        <w:rPr>
          <w:rFonts w:ascii="Times New Roman" w:hAnsi="Times New Roman" w:cs="Times New Roman"/>
          <w:b/>
          <w:bCs/>
          <w:noProof/>
        </w:rPr>
        <w:t>, 2005)</w:t>
      </w:r>
      <w:r w:rsidRPr="00300B91">
        <w:rPr>
          <w:rFonts w:ascii="Times New Roman" w:hAnsi="Times New Roman" w:cs="Times New Roman"/>
          <w:b/>
          <w:bCs/>
        </w:rPr>
        <w:fldChar w:fldCharType="end"/>
      </w:r>
      <w:r>
        <w:rPr>
          <w:rFonts w:ascii="Times New Roman" w:hAnsi="Times New Roman" w:cs="Times New Roman"/>
        </w:rPr>
        <w:t>.</w:t>
      </w:r>
      <w:r>
        <w:rPr>
          <w:rFonts w:ascii="Times New Roman" w:hAnsi="Times New Roman" w:cs="Times New Roman"/>
          <w:i/>
          <w:iCs/>
        </w:rPr>
        <w:t xml:space="preserve"> </w:t>
      </w:r>
      <w:r w:rsidRPr="0079551D">
        <w:rPr>
          <w:rFonts w:ascii="Times New Roman" w:hAnsi="Times New Roman" w:cs="Times New Roman"/>
        </w:rPr>
        <w:t>Th</w:t>
      </w:r>
      <w:r>
        <w:rPr>
          <w:rFonts w:ascii="Times New Roman" w:hAnsi="Times New Roman" w:cs="Times New Roman"/>
        </w:rPr>
        <w:t>us</w:t>
      </w:r>
      <w:r w:rsidRPr="0079551D">
        <w:rPr>
          <w:rFonts w:ascii="Times New Roman" w:hAnsi="Times New Roman" w:cs="Times New Roman"/>
        </w:rPr>
        <w:t xml:space="preserve">, </w:t>
      </w:r>
      <w:r>
        <w:rPr>
          <w:rFonts w:ascii="Times New Roman" w:hAnsi="Times New Roman" w:cs="Times New Roman"/>
        </w:rPr>
        <w:t xml:space="preserve">the </w:t>
      </w:r>
      <w:r w:rsidRPr="0079551D">
        <w:rPr>
          <w:rFonts w:ascii="Times New Roman" w:hAnsi="Times New Roman" w:cs="Times New Roman"/>
        </w:rPr>
        <w:t>knockdown of</w:t>
      </w:r>
      <w:r>
        <w:rPr>
          <w:rFonts w:ascii="Times New Roman" w:hAnsi="Times New Roman" w:cs="Times New Roman"/>
        </w:rPr>
        <w:t xml:space="preserve"> </w:t>
      </w:r>
      <w:r w:rsidRPr="0079551D">
        <w:rPr>
          <w:rFonts w:ascii="Times New Roman" w:hAnsi="Times New Roman" w:cs="Times New Roman"/>
        </w:rPr>
        <w:t>P</w:t>
      </w:r>
      <w:r w:rsidR="003A4487">
        <w:rPr>
          <w:rFonts w:ascii="Times New Roman" w:hAnsi="Times New Roman" w:cs="Times New Roman"/>
        </w:rPr>
        <w:t>u</w:t>
      </w:r>
      <w:r w:rsidRPr="0079551D">
        <w:rPr>
          <w:rFonts w:ascii="Times New Roman" w:hAnsi="Times New Roman" w:cs="Times New Roman"/>
        </w:rPr>
        <w:t xml:space="preserve">.1 </w:t>
      </w:r>
      <w:r>
        <w:rPr>
          <w:rFonts w:ascii="Times New Roman" w:hAnsi="Times New Roman" w:cs="Times New Roman"/>
        </w:rPr>
        <w:t xml:space="preserve">in zebrafish embryos </w:t>
      </w:r>
      <w:r w:rsidRPr="0079551D">
        <w:rPr>
          <w:rFonts w:ascii="Times New Roman" w:hAnsi="Times New Roman" w:cs="Times New Roman"/>
        </w:rPr>
        <w:t xml:space="preserve">results in the delayed appearance of cells such as macrophages and neutrophils until 48 and 36 hpf </w:t>
      </w:r>
      <w:r w:rsidRPr="0079551D">
        <w:rPr>
          <w:rFonts w:ascii="Times New Roman" w:hAnsi="Times New Roman" w:cs="Times New Roman"/>
          <w:b/>
          <w:bCs/>
        </w:rPr>
        <w:fldChar w:fldCharType="begin">
          <w:fldData xml:space="preserve">PEVuZE5vdGU+PENpdGU+PEF1dGhvcj5IZXJib21lbDwvQXV0aG9yPjxZZWFyPjIwMDE8L1llYXI+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PEVuZE5vdGU+PENpdGU+PEF1dGhvcj5IZXJib21lbDwvQXV0aG9yPjxZZWFyPjIwMDE8L1llYXI+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79551D">
        <w:rPr>
          <w:rFonts w:ascii="Times New Roman" w:hAnsi="Times New Roman" w:cs="Times New Roman"/>
          <w:b/>
          <w:bCs/>
        </w:rPr>
      </w:r>
      <w:r w:rsidRPr="0079551D">
        <w:rPr>
          <w:rFonts w:ascii="Times New Roman" w:hAnsi="Times New Roman" w:cs="Times New Roman"/>
          <w:b/>
          <w:bCs/>
        </w:rPr>
        <w:fldChar w:fldCharType="separate"/>
      </w:r>
      <w:r>
        <w:rPr>
          <w:rFonts w:ascii="Times New Roman" w:hAnsi="Times New Roman" w:cs="Times New Roman"/>
          <w:b/>
          <w:bCs/>
          <w:noProof/>
        </w:rPr>
        <w:t>(Herbomel, Thisse and Thisse, 2001; Renshaw</w:t>
      </w:r>
      <w:r w:rsidRPr="00F95468">
        <w:rPr>
          <w:rFonts w:ascii="Times New Roman" w:hAnsi="Times New Roman" w:cs="Times New Roman"/>
          <w:b/>
          <w:bCs/>
          <w:i/>
          <w:noProof/>
        </w:rPr>
        <w:t xml:space="preserve"> et al.</w:t>
      </w:r>
      <w:r>
        <w:rPr>
          <w:rFonts w:ascii="Times New Roman" w:hAnsi="Times New Roman" w:cs="Times New Roman"/>
          <w:b/>
          <w:bCs/>
          <w:noProof/>
        </w:rPr>
        <w:t>, 2006)</w:t>
      </w:r>
      <w:r w:rsidRPr="0079551D">
        <w:rPr>
          <w:rFonts w:ascii="Times New Roman" w:hAnsi="Times New Roman" w:cs="Times New Roman"/>
          <w:b/>
          <w:bCs/>
        </w:rPr>
        <w:fldChar w:fldCharType="end"/>
      </w:r>
      <w:r w:rsidRPr="0079551D">
        <w:rPr>
          <w:rFonts w:ascii="Times New Roman" w:hAnsi="Times New Roman" w:cs="Times New Roman"/>
        </w:rPr>
        <w:t xml:space="preserve"> instead of the typical 25 and 30 hpf respectively </w:t>
      </w:r>
      <w:r w:rsidRPr="0079551D">
        <w:rPr>
          <w:rFonts w:ascii="Times New Roman" w:hAnsi="Times New Roman" w:cs="Times New Roman"/>
          <w:b/>
          <w:bCs/>
        </w:rPr>
        <w:fldChar w:fldCharType="begin">
          <w:fldData xml:space="preserve">PEVuZE5vdGU+PENpdGU+PEF1dGhvcj5IZXJib21lbDwvQXV0aG9yPjxZZWFyPjE5OTk8L1llYXI+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PEVuZE5vdGU+PENpdGU+PEF1dGhvcj5IZXJib21lbDwvQXV0aG9yPjxZZWFyPjE5OTk8L1llYXI+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79551D">
        <w:rPr>
          <w:rFonts w:ascii="Times New Roman" w:hAnsi="Times New Roman" w:cs="Times New Roman"/>
          <w:b/>
          <w:bCs/>
        </w:rPr>
      </w:r>
      <w:r w:rsidRPr="0079551D">
        <w:rPr>
          <w:rFonts w:ascii="Times New Roman" w:hAnsi="Times New Roman" w:cs="Times New Roman"/>
          <w:b/>
          <w:bCs/>
        </w:rPr>
        <w:fldChar w:fldCharType="separate"/>
      </w:r>
      <w:r>
        <w:rPr>
          <w:rFonts w:ascii="Times New Roman" w:hAnsi="Times New Roman" w:cs="Times New Roman"/>
          <w:b/>
          <w:bCs/>
          <w:noProof/>
        </w:rPr>
        <w:t>(Herbomel, Thisse and Thisse, 1999; Lieschke</w:t>
      </w:r>
      <w:r w:rsidRPr="00F95468">
        <w:rPr>
          <w:rFonts w:ascii="Times New Roman" w:hAnsi="Times New Roman" w:cs="Times New Roman"/>
          <w:b/>
          <w:bCs/>
          <w:i/>
          <w:noProof/>
        </w:rPr>
        <w:t xml:space="preserve"> et al.</w:t>
      </w:r>
      <w:r>
        <w:rPr>
          <w:rFonts w:ascii="Times New Roman" w:hAnsi="Times New Roman" w:cs="Times New Roman"/>
          <w:b/>
          <w:bCs/>
          <w:noProof/>
        </w:rPr>
        <w:t>, 2001)</w:t>
      </w:r>
      <w:r w:rsidRPr="0079551D">
        <w:rPr>
          <w:rFonts w:ascii="Times New Roman" w:hAnsi="Times New Roman" w:cs="Times New Roman"/>
          <w:b/>
          <w:bCs/>
        </w:rPr>
        <w:fldChar w:fldCharType="end"/>
      </w:r>
      <w:r w:rsidRPr="0079551D">
        <w:rPr>
          <w:rFonts w:ascii="Times New Roman" w:hAnsi="Times New Roman" w:cs="Times New Roman"/>
        </w:rPr>
        <w:t>. At the one-cell stage of embryonic development</w:t>
      </w:r>
      <w:r>
        <w:rPr>
          <w:rFonts w:ascii="Times New Roman" w:hAnsi="Times New Roman" w:cs="Times New Roman"/>
        </w:rPr>
        <w:t xml:space="preserve"> (approximately 0.2 hpf)</w:t>
      </w:r>
      <w:r w:rsidRPr="0079551D">
        <w:rPr>
          <w:rFonts w:ascii="Times New Roman" w:hAnsi="Times New Roman" w:cs="Times New Roman"/>
        </w:rPr>
        <w:t xml:space="preserve">, 1 pmol of </w:t>
      </w:r>
      <w:r>
        <w:rPr>
          <w:rFonts w:ascii="Times New Roman" w:hAnsi="Times New Roman" w:cs="Times New Roman"/>
        </w:rPr>
        <w:t xml:space="preserve">the </w:t>
      </w:r>
      <w:r w:rsidRPr="0079551D">
        <w:rPr>
          <w:rFonts w:ascii="Times New Roman" w:hAnsi="Times New Roman" w:cs="Times New Roman"/>
        </w:rPr>
        <w:t>P</w:t>
      </w:r>
      <w:r w:rsidR="003A4487">
        <w:rPr>
          <w:rFonts w:ascii="Times New Roman" w:hAnsi="Times New Roman" w:cs="Times New Roman"/>
        </w:rPr>
        <w:t>u</w:t>
      </w:r>
      <w:r w:rsidRPr="0079551D">
        <w:rPr>
          <w:rFonts w:ascii="Times New Roman" w:hAnsi="Times New Roman" w:cs="Times New Roman"/>
        </w:rPr>
        <w:t xml:space="preserve">.1 morpholino was injected into the yolk sac of the embryos and this was followed by injection of </w:t>
      </w:r>
      <w:r w:rsidRPr="0079551D">
        <w:rPr>
          <w:rFonts w:ascii="Times New Roman" w:hAnsi="Times New Roman" w:cs="Times New Roman"/>
          <w:i/>
          <w:iCs/>
        </w:rPr>
        <w:t>S. aureus</w:t>
      </w:r>
      <w:r w:rsidRPr="0079551D">
        <w:rPr>
          <w:rFonts w:ascii="Times New Roman" w:hAnsi="Times New Roman" w:cs="Times New Roman"/>
        </w:rPr>
        <w:t xml:space="preserve"> at 30 hpf into the circulation valley</w:t>
      </w:r>
      <w:r w:rsidRPr="0079551D">
        <w:rPr>
          <w:rFonts w:ascii="Times New Roman" w:hAnsi="Times New Roman" w:cs="Times New Roman"/>
          <w:b/>
          <w:bCs/>
        </w:rPr>
        <w:t xml:space="preserve"> (Fig. 5.</w:t>
      </w:r>
      <w:r>
        <w:rPr>
          <w:rFonts w:ascii="Times New Roman" w:hAnsi="Times New Roman" w:cs="Times New Roman"/>
          <w:b/>
          <w:bCs/>
        </w:rPr>
        <w:t>6</w:t>
      </w:r>
      <w:r w:rsidRPr="0079551D">
        <w:rPr>
          <w:rFonts w:ascii="Times New Roman" w:hAnsi="Times New Roman" w:cs="Times New Roman"/>
          <w:b/>
          <w:bCs/>
        </w:rPr>
        <w:t>.1</w:t>
      </w:r>
      <w:r>
        <w:rPr>
          <w:rFonts w:ascii="Times New Roman" w:hAnsi="Times New Roman" w:cs="Times New Roman"/>
          <w:b/>
          <w:bCs/>
        </w:rPr>
        <w:t>b</w:t>
      </w:r>
      <w:r w:rsidRPr="0079551D">
        <w:rPr>
          <w:rFonts w:ascii="Times New Roman" w:hAnsi="Times New Roman" w:cs="Times New Roman"/>
          <w:b/>
          <w:bCs/>
        </w:rPr>
        <w:t>)</w:t>
      </w:r>
      <w:r w:rsidRPr="0079551D">
        <w:rPr>
          <w:rFonts w:ascii="Times New Roman" w:hAnsi="Times New Roman" w:cs="Times New Roman"/>
        </w:rPr>
        <w:t xml:space="preserve">. From </w:t>
      </w:r>
      <w:r w:rsidRPr="0079551D">
        <w:rPr>
          <w:rFonts w:ascii="Times New Roman" w:hAnsi="Times New Roman" w:cs="Times New Roman"/>
          <w:b/>
          <w:bCs/>
        </w:rPr>
        <w:t>Figure 5.</w:t>
      </w:r>
      <w:r>
        <w:rPr>
          <w:rFonts w:ascii="Times New Roman" w:hAnsi="Times New Roman" w:cs="Times New Roman"/>
          <w:b/>
          <w:bCs/>
        </w:rPr>
        <w:t>5</w:t>
      </w:r>
      <w:r w:rsidRPr="0079551D">
        <w:rPr>
          <w:rFonts w:ascii="Times New Roman" w:hAnsi="Times New Roman" w:cs="Times New Roman"/>
          <w:b/>
          <w:bCs/>
        </w:rPr>
        <w:t xml:space="preserve">.2 </w:t>
      </w:r>
      <w:r w:rsidRPr="0079551D">
        <w:rPr>
          <w:rFonts w:ascii="Times New Roman" w:hAnsi="Times New Roman" w:cs="Times New Roman"/>
        </w:rPr>
        <w:t>it is evident that the (p)ppGpp</w:t>
      </w:r>
      <w:r w:rsidRPr="0079551D">
        <w:rPr>
          <w:rFonts w:ascii="Times New Roman" w:hAnsi="Times New Roman" w:cs="Times New Roman"/>
          <w:vertAlign w:val="superscript"/>
        </w:rPr>
        <w:t>0</w:t>
      </w:r>
      <w:r w:rsidRPr="0079551D">
        <w:rPr>
          <w:rFonts w:ascii="Times New Roman" w:hAnsi="Times New Roman" w:cs="Times New Roman"/>
        </w:rPr>
        <w:t xml:space="preserve"> mutant is attenuated in comparison to WT. However, in </w:t>
      </w:r>
      <w:r w:rsidRPr="0079551D">
        <w:rPr>
          <w:rFonts w:ascii="Times New Roman" w:hAnsi="Times New Roman" w:cs="Times New Roman"/>
          <w:b/>
          <w:bCs/>
        </w:rPr>
        <w:t>Figure 5.</w:t>
      </w:r>
      <w:r>
        <w:rPr>
          <w:rFonts w:ascii="Times New Roman" w:hAnsi="Times New Roman" w:cs="Times New Roman"/>
          <w:b/>
          <w:bCs/>
        </w:rPr>
        <w:t>6</w:t>
      </w:r>
      <w:r w:rsidRPr="0079551D">
        <w:rPr>
          <w:rFonts w:ascii="Times New Roman" w:hAnsi="Times New Roman" w:cs="Times New Roman"/>
          <w:b/>
          <w:bCs/>
        </w:rPr>
        <w:t>.1</w:t>
      </w:r>
      <w:r>
        <w:rPr>
          <w:rFonts w:ascii="Times New Roman" w:hAnsi="Times New Roman" w:cs="Times New Roman"/>
          <w:b/>
          <w:bCs/>
        </w:rPr>
        <w:t>b</w:t>
      </w:r>
      <w:r w:rsidRPr="0079551D">
        <w:rPr>
          <w:rFonts w:ascii="Times New Roman" w:hAnsi="Times New Roman" w:cs="Times New Roman"/>
          <w:b/>
          <w:bCs/>
        </w:rPr>
        <w:t>,</w:t>
      </w:r>
      <w:r w:rsidRPr="0079551D">
        <w:rPr>
          <w:rFonts w:ascii="Times New Roman" w:hAnsi="Times New Roman" w:cs="Times New Roman"/>
        </w:rPr>
        <w:t xml:space="preserve"> depletion of myeloid cells using the P</w:t>
      </w:r>
      <w:r w:rsidR="003A4487">
        <w:rPr>
          <w:rFonts w:ascii="Times New Roman" w:hAnsi="Times New Roman" w:cs="Times New Roman"/>
        </w:rPr>
        <w:t>u</w:t>
      </w:r>
      <w:r w:rsidRPr="0079551D">
        <w:rPr>
          <w:rFonts w:ascii="Times New Roman" w:hAnsi="Times New Roman" w:cs="Times New Roman"/>
        </w:rPr>
        <w:t>.1 morpholino restores virulence of the (p)ppGpp</w:t>
      </w:r>
      <w:r w:rsidRPr="0079551D">
        <w:rPr>
          <w:rFonts w:ascii="Times New Roman" w:hAnsi="Times New Roman" w:cs="Times New Roman"/>
          <w:vertAlign w:val="superscript"/>
        </w:rPr>
        <w:t>0</w:t>
      </w:r>
      <w:r w:rsidRPr="0079551D">
        <w:rPr>
          <w:rFonts w:ascii="Times New Roman" w:hAnsi="Times New Roman" w:cs="Times New Roman"/>
        </w:rPr>
        <w:t xml:space="preserve"> mutant</w:t>
      </w:r>
      <w:r>
        <w:rPr>
          <w:rFonts w:ascii="Times New Roman" w:hAnsi="Times New Roman" w:cs="Times New Roman"/>
        </w:rPr>
        <w:t xml:space="preserve"> to WT levels</w:t>
      </w:r>
      <w:r w:rsidRPr="0079551D">
        <w:rPr>
          <w:rFonts w:ascii="Times New Roman" w:hAnsi="Times New Roman" w:cs="Times New Roman"/>
        </w:rPr>
        <w:t>, suggesting that (p)ppGpp is required for the survival within myeloid cells and that these cells are necessary for controlling infection</w:t>
      </w:r>
      <w:r>
        <w:rPr>
          <w:rFonts w:ascii="Times New Roman" w:hAnsi="Times New Roman" w:cs="Times New Roman"/>
        </w:rPr>
        <w:t xml:space="preserve"> at this infectious dose</w:t>
      </w:r>
      <w:r w:rsidRPr="0079551D">
        <w:rPr>
          <w:rFonts w:ascii="Times New Roman" w:hAnsi="Times New Roman" w:cs="Times New Roman"/>
        </w:rPr>
        <w:t>.</w:t>
      </w:r>
      <w:r>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1D275367" w14:textId="77777777" w:rsidTr="00A74445">
        <w:tc>
          <w:tcPr>
            <w:tcW w:w="9016" w:type="dxa"/>
          </w:tcPr>
          <w:p w14:paraId="7F272E47" w14:textId="77777777" w:rsidR="00187693" w:rsidRDefault="00187693" w:rsidP="00A74445">
            <w:pPr>
              <w:spacing w:before="240" w:line="360" w:lineRule="auto"/>
              <w:jc w:val="center"/>
              <w:rPr>
                <w:rFonts w:ascii="Times New Roman" w:hAnsi="Times New Roman" w:cs="Times New Roman"/>
              </w:rPr>
            </w:pPr>
            <w:r>
              <w:rPr>
                <w:rFonts w:ascii="Times New Roman" w:hAnsi="Times New Roman" w:cs="Times New Roman"/>
                <w:noProof/>
              </w:rPr>
              <w:drawing>
                <wp:inline distT="0" distB="0" distL="0" distR="0" wp14:anchorId="3413DE9E" wp14:editId="79502285">
                  <wp:extent cx="5182235" cy="6706235"/>
                  <wp:effectExtent l="0" t="0" r="0" b="0"/>
                  <wp:docPr id="624152754" name="Picture 62415275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2754" name="Picture 624152754" descr="Graphical user interface, text, application, Team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2235" cy="6706235"/>
                          </a:xfrm>
                          <a:prstGeom prst="rect">
                            <a:avLst/>
                          </a:prstGeom>
                          <a:noFill/>
                        </pic:spPr>
                      </pic:pic>
                    </a:graphicData>
                  </a:graphic>
                </wp:inline>
              </w:drawing>
            </w:r>
          </w:p>
        </w:tc>
      </w:tr>
      <w:tr w:rsidR="00187693" w14:paraId="7F3AF294" w14:textId="77777777" w:rsidTr="00A74445">
        <w:tc>
          <w:tcPr>
            <w:tcW w:w="9016" w:type="dxa"/>
          </w:tcPr>
          <w:p w14:paraId="08B768C5" w14:textId="1473BC87" w:rsidR="00187693" w:rsidRDefault="00187693" w:rsidP="00A74445">
            <w:pPr>
              <w:spacing w:before="240"/>
              <w:jc w:val="both"/>
              <w:rPr>
                <w:rFonts w:ascii="Times New Roman" w:hAnsi="Times New Roman" w:cs="Times New Roman"/>
              </w:rPr>
            </w:pPr>
            <w:r w:rsidRPr="00282A6D">
              <w:rPr>
                <w:rFonts w:ascii="Times New Roman" w:hAnsi="Times New Roman" w:cs="Times New Roman"/>
                <w:b/>
                <w:bCs/>
                <w:sz w:val="18"/>
                <w:szCs w:val="18"/>
                <w:lang w:val="en-US"/>
              </w:rPr>
              <w:t>Figure 5.</w:t>
            </w:r>
            <w:r>
              <w:rPr>
                <w:rFonts w:ascii="Times New Roman" w:hAnsi="Times New Roman" w:cs="Times New Roman"/>
                <w:b/>
                <w:bCs/>
                <w:sz w:val="18"/>
                <w:szCs w:val="18"/>
                <w:lang w:val="en-US"/>
              </w:rPr>
              <w:t>6</w:t>
            </w:r>
            <w:r w:rsidRPr="00282A6D">
              <w:rPr>
                <w:rFonts w:ascii="Times New Roman" w:hAnsi="Times New Roman" w:cs="Times New Roman"/>
                <w:b/>
                <w:bCs/>
                <w:sz w:val="18"/>
                <w:szCs w:val="18"/>
                <w:lang w:val="en-US"/>
              </w:rPr>
              <w:t>.1. Knockdown of P</w:t>
            </w:r>
            <w:r w:rsidR="003A4487">
              <w:rPr>
                <w:rFonts w:ascii="Times New Roman" w:hAnsi="Times New Roman" w:cs="Times New Roman"/>
                <w:b/>
                <w:bCs/>
                <w:sz w:val="18"/>
                <w:szCs w:val="18"/>
                <w:lang w:val="en-US"/>
              </w:rPr>
              <w:t>u</w:t>
            </w:r>
            <w:r w:rsidRPr="00282A6D">
              <w:rPr>
                <w:rFonts w:ascii="Times New Roman" w:hAnsi="Times New Roman" w:cs="Times New Roman"/>
                <w:b/>
                <w:bCs/>
                <w:sz w:val="18"/>
                <w:szCs w:val="18"/>
                <w:lang w:val="en-US"/>
              </w:rPr>
              <w:t xml:space="preserve">.1 transcription factor mRNA restores virulence to wildtype levels in the </w:t>
            </w:r>
            <w:r w:rsidRPr="00282A6D">
              <w:rPr>
                <w:rFonts w:ascii="Times New Roman" w:hAnsi="Times New Roman" w:cs="Times New Roman"/>
                <w:b/>
                <w:bCs/>
                <w:i/>
                <w:iCs/>
                <w:sz w:val="18"/>
                <w:szCs w:val="18"/>
                <w:lang w:val="en-US"/>
              </w:rPr>
              <w:t xml:space="preserve">S. aureus </w:t>
            </w:r>
            <w:r w:rsidRPr="00282A6D">
              <w:rPr>
                <w:rFonts w:ascii="Times New Roman" w:hAnsi="Times New Roman" w:cs="Times New Roman"/>
                <w:b/>
                <w:bCs/>
                <w:sz w:val="18"/>
                <w:szCs w:val="18"/>
              </w:rPr>
              <w:t>(p)ppGpp</w:t>
            </w:r>
            <w:r w:rsidRPr="00282A6D">
              <w:rPr>
                <w:rFonts w:ascii="Times New Roman" w:hAnsi="Times New Roman" w:cs="Times New Roman"/>
                <w:b/>
                <w:bCs/>
                <w:sz w:val="18"/>
                <w:szCs w:val="18"/>
                <w:vertAlign w:val="superscript"/>
              </w:rPr>
              <w:t xml:space="preserve">0 </w:t>
            </w:r>
            <w:r w:rsidRPr="00282A6D">
              <w:rPr>
                <w:rFonts w:ascii="Times New Roman" w:hAnsi="Times New Roman" w:cs="Times New Roman"/>
                <w:b/>
                <w:bCs/>
                <w:sz w:val="18"/>
                <w:szCs w:val="18"/>
                <w:lang w:val="en-US"/>
              </w:rPr>
              <w:t xml:space="preserve">mutant. </w:t>
            </w:r>
            <w:r w:rsidRPr="00700426">
              <w:rPr>
                <w:rFonts w:ascii="Times New Roman" w:hAnsi="Times New Roman" w:cs="Times New Roman"/>
                <w:b/>
                <w:bCs/>
                <w:sz w:val="18"/>
                <w:szCs w:val="18"/>
                <w:lang w:val="en-US"/>
              </w:rPr>
              <w:t>a</w:t>
            </w:r>
            <w:r w:rsidRPr="00700426">
              <w:rPr>
                <w:rFonts w:ascii="Times New Roman" w:hAnsi="Times New Roman" w:cs="Times New Roman"/>
                <w:sz w:val="18"/>
                <w:szCs w:val="18"/>
                <w:lang w:val="en-US"/>
              </w:rPr>
              <w:t xml:space="preserve">) Schematic of the location of morpholino binding in the pu.1/spi1b </w:t>
            </w:r>
            <w:r>
              <w:rPr>
                <w:rFonts w:ascii="Times New Roman" w:hAnsi="Times New Roman" w:cs="Times New Roman"/>
                <w:sz w:val="18"/>
                <w:szCs w:val="18"/>
                <w:lang w:val="en-US"/>
              </w:rPr>
              <w:t>mRNA</w:t>
            </w:r>
            <w:r w:rsidRPr="00700426">
              <w:rPr>
                <w:rFonts w:ascii="Times New Roman" w:hAnsi="Times New Roman" w:cs="Times New Roman"/>
                <w:sz w:val="18"/>
                <w:szCs w:val="18"/>
                <w:lang w:val="en-US"/>
              </w:rPr>
              <w:t>. The P</w:t>
            </w:r>
            <w:r w:rsidR="003A4487">
              <w:rPr>
                <w:rFonts w:ascii="Times New Roman" w:hAnsi="Times New Roman" w:cs="Times New Roman"/>
                <w:sz w:val="18"/>
                <w:szCs w:val="18"/>
                <w:lang w:val="en-US"/>
              </w:rPr>
              <w:t>u</w:t>
            </w:r>
            <w:r w:rsidRPr="00700426">
              <w:rPr>
                <w:rFonts w:ascii="Times New Roman" w:hAnsi="Times New Roman" w:cs="Times New Roman"/>
                <w:sz w:val="18"/>
                <w:szCs w:val="18"/>
                <w:lang w:val="en-US"/>
              </w:rPr>
              <w:t xml:space="preserve">.1 morpholino designed by Rhodes and colleagues binds within exon 3 of the </w:t>
            </w:r>
            <w:r w:rsidRPr="00700426">
              <w:rPr>
                <w:rFonts w:ascii="Times New Roman" w:hAnsi="Times New Roman" w:cs="Times New Roman"/>
                <w:i/>
                <w:iCs/>
                <w:sz w:val="18"/>
                <w:szCs w:val="18"/>
                <w:lang w:val="en-US"/>
              </w:rPr>
              <w:t xml:space="preserve">pu.1/spib1 </w:t>
            </w:r>
            <w:r>
              <w:rPr>
                <w:rFonts w:ascii="Times New Roman" w:hAnsi="Times New Roman" w:cs="Times New Roman"/>
                <w:sz w:val="18"/>
                <w:szCs w:val="18"/>
                <w:lang w:val="en-US"/>
              </w:rPr>
              <w:t>mRNA</w:t>
            </w:r>
            <w:r w:rsidRPr="00700426">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b) </w:t>
            </w:r>
            <w:r w:rsidRPr="00282A6D">
              <w:rPr>
                <w:rFonts w:ascii="Times New Roman" w:hAnsi="Times New Roman" w:cs="Times New Roman"/>
                <w:sz w:val="18"/>
                <w:szCs w:val="18"/>
              </w:rPr>
              <w:t xml:space="preserve">Survival of PU.1 knockdown zebrafish embryos injected with </w:t>
            </w:r>
            <w:r w:rsidRPr="00282A6D">
              <w:rPr>
                <w:rFonts w:ascii="Times New Roman" w:hAnsi="Times New Roman" w:cs="Times New Roman"/>
                <w:i/>
                <w:iCs/>
                <w:sz w:val="18"/>
                <w:szCs w:val="18"/>
              </w:rPr>
              <w:t>S. aureus</w:t>
            </w:r>
            <w:r w:rsidRPr="00282A6D">
              <w:rPr>
                <w:rFonts w:ascii="Times New Roman" w:hAnsi="Times New Roman" w:cs="Times New Roman"/>
                <w:sz w:val="18"/>
                <w:szCs w:val="18"/>
              </w:rPr>
              <w:t>, comparing WT (black), (p)ppGpp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 xml:space="preserve">(pink), JE2 </w:t>
            </w:r>
            <w:r w:rsidRPr="00282A6D">
              <w:rPr>
                <w:rFonts w:ascii="Times New Roman" w:hAnsi="Times New Roman" w:cs="Times New Roman"/>
                <w:sz w:val="18"/>
                <w:szCs w:val="18"/>
                <w:lang w:val="el-GR"/>
              </w:rPr>
              <w:t>Δ</w:t>
            </w:r>
            <w:r w:rsidRPr="00282A6D">
              <w:rPr>
                <w:rFonts w:ascii="Times New Roman" w:hAnsi="Times New Roman" w:cs="Times New Roman"/>
                <w:i/>
                <w:iCs/>
                <w:sz w:val="18"/>
                <w:szCs w:val="18"/>
              </w:rPr>
              <w:t>codY</w:t>
            </w:r>
            <w:r w:rsidRPr="00282A6D">
              <w:rPr>
                <w:rFonts w:ascii="Times New Roman" w:hAnsi="Times New Roman" w:cs="Times New Roman"/>
                <w:sz w:val="18"/>
                <w:szCs w:val="18"/>
              </w:rPr>
              <w:t xml:space="preserve"> (teal) and (p)ppGpp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lang w:val="el-GR"/>
              </w:rPr>
              <w:t>Δ</w:t>
            </w:r>
            <w:r w:rsidRPr="00282A6D">
              <w:rPr>
                <w:rFonts w:ascii="Times New Roman" w:hAnsi="Times New Roman" w:cs="Times New Roman"/>
                <w:i/>
                <w:iCs/>
                <w:sz w:val="18"/>
                <w:szCs w:val="18"/>
              </w:rPr>
              <w:t xml:space="preserve">codY </w:t>
            </w:r>
            <w:r w:rsidRPr="00282A6D">
              <w:rPr>
                <w:rFonts w:ascii="Times New Roman" w:hAnsi="Times New Roman" w:cs="Times New Roman"/>
                <w:sz w:val="18"/>
                <w:szCs w:val="18"/>
              </w:rPr>
              <w:t>(purple) at doses of 3000-4000 CFU at 30 hpf into the duct of Cuvier. 1 pmol of P</w:t>
            </w:r>
            <w:r w:rsidR="003A4487">
              <w:rPr>
                <w:rFonts w:ascii="Times New Roman" w:hAnsi="Times New Roman" w:cs="Times New Roman"/>
                <w:sz w:val="18"/>
                <w:szCs w:val="18"/>
              </w:rPr>
              <w:t>u</w:t>
            </w:r>
            <w:r w:rsidRPr="00282A6D">
              <w:rPr>
                <w:rFonts w:ascii="Times New Roman" w:hAnsi="Times New Roman" w:cs="Times New Roman"/>
                <w:sz w:val="18"/>
                <w:szCs w:val="18"/>
              </w:rPr>
              <w:t>.1 morpholino was injected into the yolk of one-cell stage embryos. Survival was monitored until 93 hp</w:t>
            </w:r>
            <w:r>
              <w:rPr>
                <w:rFonts w:ascii="Times New Roman" w:hAnsi="Times New Roman" w:cs="Times New Roman"/>
                <w:sz w:val="18"/>
                <w:szCs w:val="18"/>
              </w:rPr>
              <w:t>i</w:t>
            </w:r>
            <w:r w:rsidRPr="00282A6D">
              <w:rPr>
                <w:rFonts w:ascii="Times New Roman" w:hAnsi="Times New Roman" w:cs="Times New Roman"/>
                <w:sz w:val="18"/>
                <w:szCs w:val="18"/>
              </w:rPr>
              <w:t xml:space="preserve"> when the embryos reached 5.2 days post fertilisation. </w:t>
            </w:r>
            <w:r w:rsidRPr="00282A6D">
              <w:rPr>
                <w:rFonts w:ascii="Times New Roman" w:hAnsi="Times New Roman" w:cs="Times New Roman"/>
                <w:sz w:val="18"/>
                <w:szCs w:val="18"/>
                <w:lang w:val="en-US"/>
              </w:rPr>
              <w:t xml:space="preserve">Pairwise comparisons (log-rank (Mantel-Cox) test) were as follows: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lang w:val="en-US"/>
              </w:rPr>
              <w:t>vs</w:t>
            </w:r>
            <w:r w:rsidRPr="00282A6D">
              <w:rPr>
                <w:rFonts w:ascii="Times New Roman" w:hAnsi="Times New Roman" w:cs="Times New Roman"/>
                <w:sz w:val="18"/>
                <w:szCs w:val="18"/>
              </w:rPr>
              <w:t xml:space="preserve"> WT</w:t>
            </w:r>
            <w:r w:rsidRPr="00282A6D">
              <w:rPr>
                <w:rFonts w:ascii="Times New Roman" w:hAnsi="Times New Roman" w:cs="Times New Roman"/>
                <w:sz w:val="18"/>
                <w:szCs w:val="18"/>
                <w:lang w:val="en-US"/>
              </w:rPr>
              <w:t xml:space="preserve">, ns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w:t>
            </w:r>
            <w:r w:rsidRPr="00282A6D">
              <w:rPr>
                <w:rFonts w:ascii="Times New Roman" w:hAnsi="Times New Roman" w:cs="Times New Roman"/>
                <w:sz w:val="18"/>
                <w:szCs w:val="18"/>
              </w:rPr>
              <w:t>0.5275.</w:t>
            </w:r>
            <w:r w:rsidRPr="00282A6D">
              <w:rPr>
                <w:rFonts w:ascii="Times New Roman" w:hAnsi="Times New Roman" w:cs="Times New Roman"/>
                <w:sz w:val="18"/>
                <w:szCs w:val="18"/>
                <w:lang w:val="en-US"/>
              </w:rPr>
              <w:t xml:space="preserve"> </w:t>
            </w:r>
            <w:r w:rsidRPr="00282A6D">
              <w:rPr>
                <w:rFonts w:ascii="Times New Roman" w:hAnsi="Times New Roman" w:cs="Times New Roman"/>
                <w:sz w:val="18"/>
                <w:szCs w:val="18"/>
              </w:rPr>
              <w:t>The experiment was performed in triplicate.</w:t>
            </w:r>
          </w:p>
        </w:tc>
      </w:tr>
      <w:tr w:rsidR="00187693" w14:paraId="260CA8B0" w14:textId="77777777" w:rsidTr="00A74445">
        <w:tc>
          <w:tcPr>
            <w:tcW w:w="9016" w:type="dxa"/>
          </w:tcPr>
          <w:p w14:paraId="13790DA2" w14:textId="77777777" w:rsidR="00187693" w:rsidRPr="00282A6D" w:rsidRDefault="00187693" w:rsidP="00A74445">
            <w:pPr>
              <w:spacing w:before="240"/>
              <w:jc w:val="both"/>
              <w:rPr>
                <w:rFonts w:ascii="Times New Roman" w:hAnsi="Times New Roman" w:cs="Times New Roman"/>
                <w:b/>
                <w:bCs/>
                <w:sz w:val="18"/>
                <w:szCs w:val="18"/>
                <w:lang w:val="en-US"/>
              </w:rPr>
            </w:pPr>
          </w:p>
        </w:tc>
      </w:tr>
    </w:tbl>
    <w:p w14:paraId="4EB0418D" w14:textId="77777777" w:rsidR="00187693" w:rsidRDefault="00187693" w:rsidP="00187693">
      <w:pPr>
        <w:pStyle w:val="Heading2"/>
        <w:rPr>
          <w:i/>
          <w:iCs/>
        </w:rPr>
      </w:pPr>
      <w:bookmarkStart w:id="167" w:name="_Toc142043659"/>
      <w:r>
        <w:t xml:space="preserve">5.7. The effect of (p)ppGpp overproduction </w:t>
      </w:r>
      <w:r>
        <w:rPr>
          <w:i/>
          <w:iCs/>
        </w:rPr>
        <w:t>in vivo</w:t>
      </w:r>
      <w:bookmarkEnd w:id="167"/>
    </w:p>
    <w:p w14:paraId="5ACFA15A" w14:textId="1BF58D82" w:rsidR="00187693" w:rsidRDefault="00187693" w:rsidP="00187693">
      <w:pPr>
        <w:spacing w:before="240" w:line="360" w:lineRule="auto"/>
        <w:jc w:val="both"/>
        <w:rPr>
          <w:rFonts w:ascii="Times New Roman" w:hAnsi="Times New Roman" w:cs="Times New Roman"/>
        </w:rPr>
      </w:pPr>
      <w:r w:rsidRPr="009C7FD9">
        <w:rPr>
          <w:rFonts w:ascii="Times New Roman" w:hAnsi="Times New Roman" w:cs="Times New Roman"/>
        </w:rPr>
        <w:t xml:space="preserve">This study has demonstrated the protective effect of (p)ppGpp overproduction </w:t>
      </w:r>
      <w:r w:rsidRPr="009C7FD9">
        <w:rPr>
          <w:rFonts w:ascii="Times New Roman" w:hAnsi="Times New Roman" w:cs="Times New Roman"/>
          <w:i/>
          <w:iCs/>
        </w:rPr>
        <w:t>in vitro</w:t>
      </w:r>
      <w:r w:rsidRPr="009C7FD9">
        <w:rPr>
          <w:rFonts w:ascii="Times New Roman" w:hAnsi="Times New Roman" w:cs="Times New Roman"/>
        </w:rPr>
        <w:t xml:space="preserve"> </w:t>
      </w:r>
      <w:r>
        <w:rPr>
          <w:rFonts w:ascii="Times New Roman" w:hAnsi="Times New Roman" w:cs="Times New Roman"/>
          <w:b/>
          <w:bCs/>
        </w:rPr>
        <w:t>(Fig. 4.2.8)</w:t>
      </w:r>
      <w:r>
        <w:rPr>
          <w:rFonts w:ascii="Times New Roman" w:hAnsi="Times New Roman" w:cs="Times New Roman"/>
        </w:rPr>
        <w:t xml:space="preserve"> </w:t>
      </w:r>
      <w:r w:rsidRPr="009C7FD9">
        <w:rPr>
          <w:rFonts w:ascii="Times New Roman" w:hAnsi="Times New Roman" w:cs="Times New Roman"/>
        </w:rPr>
        <w:t xml:space="preserve">and therefore this was also studied </w:t>
      </w:r>
      <w:r w:rsidRPr="009C7FD9">
        <w:rPr>
          <w:rFonts w:ascii="Times New Roman" w:hAnsi="Times New Roman" w:cs="Times New Roman"/>
          <w:i/>
          <w:iCs/>
        </w:rPr>
        <w:t xml:space="preserve">in vivo </w:t>
      </w:r>
      <w:r w:rsidRPr="009C7FD9">
        <w:rPr>
          <w:rFonts w:ascii="Times New Roman" w:hAnsi="Times New Roman" w:cs="Times New Roman"/>
        </w:rPr>
        <w:t xml:space="preserve">to examine how (p)ppGpp overproduction affects </w:t>
      </w:r>
      <w:r>
        <w:rPr>
          <w:rFonts w:ascii="Times New Roman" w:hAnsi="Times New Roman" w:cs="Times New Roman"/>
          <w:i/>
          <w:iCs/>
        </w:rPr>
        <w:t xml:space="preserve">S. aureus </w:t>
      </w:r>
      <w:r>
        <w:rPr>
          <w:rFonts w:ascii="Times New Roman" w:hAnsi="Times New Roman" w:cs="Times New Roman"/>
        </w:rPr>
        <w:t>survival within zebrafish embryos</w:t>
      </w:r>
      <w:r w:rsidRPr="009C7FD9">
        <w:rPr>
          <w:rFonts w:ascii="Times New Roman" w:hAnsi="Times New Roman" w:cs="Times New Roman"/>
        </w:rPr>
        <w:t>. The (p)ppGpp overproduction strain JE2 pCL55-iTET</w:t>
      </w:r>
      <w:r w:rsidRPr="009C7FD9">
        <w:rPr>
          <w:rFonts w:ascii="Times New Roman" w:hAnsi="Times New Roman" w:cs="Times New Roman"/>
          <w:vertAlign w:val="subscript"/>
        </w:rPr>
        <w:t>r862</w:t>
      </w:r>
      <w:r w:rsidRPr="009C7FD9">
        <w:rPr>
          <w:rFonts w:ascii="Times New Roman" w:hAnsi="Times New Roman" w:cs="Times New Roman"/>
        </w:rPr>
        <w:t>-</w:t>
      </w:r>
      <w:r w:rsidRPr="009C7FD9">
        <w:rPr>
          <w:rFonts w:ascii="Times New Roman" w:hAnsi="Times New Roman" w:cs="Times New Roman"/>
          <w:i/>
          <w:iCs/>
        </w:rPr>
        <w:t xml:space="preserve">rel </w:t>
      </w:r>
      <w:r w:rsidRPr="009C7FD9">
        <w:rPr>
          <w:rFonts w:ascii="Times New Roman" w:hAnsi="Times New Roman" w:cs="Times New Roman"/>
        </w:rPr>
        <w:t xml:space="preserve">was injected into zebrafish embryos </w:t>
      </w:r>
      <w:r>
        <w:rPr>
          <w:rFonts w:ascii="Times New Roman" w:hAnsi="Times New Roman" w:cs="Times New Roman"/>
        </w:rPr>
        <w:t>alongside</w:t>
      </w:r>
      <w:r w:rsidRPr="009C7FD9">
        <w:rPr>
          <w:rFonts w:ascii="Times New Roman" w:hAnsi="Times New Roman" w:cs="Times New Roman"/>
        </w:rPr>
        <w:t xml:space="preserve"> the empty vector controls </w:t>
      </w:r>
      <w:r w:rsidRPr="009C7FD9">
        <w:rPr>
          <w:rFonts w:ascii="Times New Roman" w:hAnsi="Times New Roman" w:cs="Times New Roman"/>
          <w:b/>
          <w:bCs/>
        </w:rPr>
        <w:t>(Fig. 5.</w:t>
      </w:r>
      <w:r>
        <w:rPr>
          <w:rFonts w:ascii="Times New Roman" w:hAnsi="Times New Roman" w:cs="Times New Roman"/>
          <w:b/>
          <w:bCs/>
        </w:rPr>
        <w:t>7</w:t>
      </w:r>
      <w:r w:rsidRPr="009C7FD9">
        <w:rPr>
          <w:rFonts w:ascii="Times New Roman" w:hAnsi="Times New Roman" w:cs="Times New Roman"/>
          <w:b/>
          <w:bCs/>
        </w:rPr>
        <w:t>.1a).</w:t>
      </w:r>
      <w:r w:rsidRPr="009C7FD9">
        <w:rPr>
          <w:rFonts w:ascii="Times New Roman" w:hAnsi="Times New Roman" w:cs="Times New Roman"/>
        </w:rPr>
        <w:t xml:space="preserve"> While the (p)ppGpp</w:t>
      </w:r>
      <w:r w:rsidRPr="009C7FD9">
        <w:rPr>
          <w:rFonts w:ascii="Times New Roman" w:hAnsi="Times New Roman" w:cs="Times New Roman"/>
          <w:vertAlign w:val="superscript"/>
        </w:rPr>
        <w:t>0</w:t>
      </w:r>
      <w:r w:rsidRPr="009C7FD9">
        <w:rPr>
          <w:rFonts w:ascii="Times New Roman" w:hAnsi="Times New Roman" w:cs="Times New Roman"/>
        </w:rPr>
        <w:t xml:space="preserve"> mutant displayed the characteristic attenuation</w:t>
      </w:r>
      <w:r w:rsidR="00E25DD2">
        <w:rPr>
          <w:rFonts w:ascii="Times New Roman" w:hAnsi="Times New Roman" w:cs="Times New Roman"/>
        </w:rPr>
        <w:t xml:space="preserve"> of virulence</w:t>
      </w:r>
      <w:r w:rsidRPr="009C7FD9">
        <w:rPr>
          <w:rFonts w:ascii="Times New Roman" w:hAnsi="Times New Roman" w:cs="Times New Roman"/>
        </w:rPr>
        <w:t xml:space="preserve"> leading to fewer embryos being killed in comparison to WT, the</w:t>
      </w:r>
      <w:r>
        <w:rPr>
          <w:rFonts w:ascii="Times New Roman" w:hAnsi="Times New Roman" w:cs="Times New Roman"/>
        </w:rPr>
        <w:t xml:space="preserve"> </w:t>
      </w:r>
      <w:r w:rsidRPr="009C7FD9">
        <w:rPr>
          <w:rFonts w:ascii="Times New Roman" w:hAnsi="Times New Roman" w:cs="Times New Roman"/>
        </w:rPr>
        <w:t xml:space="preserve">(p)ppGpp overproduction strain killed significantly fewer embryos than WT </w:t>
      </w:r>
      <w:r w:rsidRPr="009C7FD9">
        <w:rPr>
          <w:rFonts w:ascii="Times New Roman" w:hAnsi="Times New Roman" w:cs="Times New Roman"/>
          <w:b/>
          <w:bCs/>
        </w:rPr>
        <w:t>(Fig. 5.</w:t>
      </w:r>
      <w:r>
        <w:rPr>
          <w:rFonts w:ascii="Times New Roman" w:hAnsi="Times New Roman" w:cs="Times New Roman"/>
          <w:b/>
          <w:bCs/>
        </w:rPr>
        <w:t>7</w:t>
      </w:r>
      <w:r w:rsidRPr="009C7FD9">
        <w:rPr>
          <w:rFonts w:ascii="Times New Roman" w:hAnsi="Times New Roman" w:cs="Times New Roman"/>
          <w:b/>
          <w:bCs/>
        </w:rPr>
        <w:t>.1a)</w:t>
      </w:r>
      <w:r w:rsidRPr="009C7FD9">
        <w:rPr>
          <w:rFonts w:ascii="Times New Roman" w:hAnsi="Times New Roman" w:cs="Times New Roman"/>
        </w:rPr>
        <w:t xml:space="preserve">. These results are in contrast to the </w:t>
      </w:r>
      <w:r w:rsidRPr="009C7FD9">
        <w:rPr>
          <w:rFonts w:ascii="Times New Roman" w:hAnsi="Times New Roman" w:cs="Times New Roman"/>
          <w:i/>
          <w:iCs/>
        </w:rPr>
        <w:t>in vitro</w:t>
      </w:r>
      <w:r w:rsidRPr="009C7FD9">
        <w:rPr>
          <w:rFonts w:ascii="Times New Roman" w:hAnsi="Times New Roman" w:cs="Times New Roman"/>
        </w:rPr>
        <w:t xml:space="preserve"> data, suggesting that (p)ppGpp overproduction is not beneficial for the survival of </w:t>
      </w:r>
      <w:r w:rsidRPr="009C7FD9">
        <w:rPr>
          <w:rFonts w:ascii="Times New Roman" w:hAnsi="Times New Roman" w:cs="Times New Roman"/>
          <w:i/>
          <w:iCs/>
        </w:rPr>
        <w:t xml:space="preserve">S. aureus in vivo. </w:t>
      </w:r>
      <w:r w:rsidRPr="009C7FD9">
        <w:rPr>
          <w:rFonts w:ascii="Times New Roman" w:hAnsi="Times New Roman" w:cs="Times New Roman"/>
        </w:rPr>
        <w:t>Likewise, Gao</w:t>
      </w:r>
      <w:r>
        <w:rPr>
          <w:rFonts w:ascii="Times New Roman" w:hAnsi="Times New Roman" w:cs="Times New Roman"/>
        </w:rPr>
        <w:t xml:space="preserve"> and colleagues</w:t>
      </w:r>
      <w:r w:rsidRPr="009C7FD9">
        <w:rPr>
          <w:rFonts w:ascii="Times New Roman" w:hAnsi="Times New Roman" w:cs="Times New Roman"/>
        </w:rPr>
        <w:t xml:space="preserve"> found that </w:t>
      </w:r>
      <w:r>
        <w:rPr>
          <w:rFonts w:ascii="Times New Roman" w:hAnsi="Times New Roman" w:cs="Times New Roman"/>
        </w:rPr>
        <w:t>a</w:t>
      </w:r>
      <w:r w:rsidRPr="009C7FD9">
        <w:rPr>
          <w:rFonts w:ascii="Times New Roman" w:hAnsi="Times New Roman" w:cs="Times New Roman"/>
        </w:rPr>
        <w:t xml:space="preserve"> HD domain mutation that led to a permanently activated </w:t>
      </w:r>
      <w:r>
        <w:rPr>
          <w:rFonts w:ascii="Times New Roman" w:hAnsi="Times New Roman" w:cs="Times New Roman"/>
        </w:rPr>
        <w:t xml:space="preserve">stringent response </w:t>
      </w:r>
      <w:r w:rsidRPr="009C7FD9">
        <w:rPr>
          <w:rFonts w:ascii="Times New Roman" w:hAnsi="Times New Roman" w:cs="Times New Roman"/>
        </w:rPr>
        <w:t xml:space="preserve">in a clinical isolate, when mimicked in the laboratory, was also attenuated in a </w:t>
      </w:r>
      <w:r w:rsidRPr="009C7FD9">
        <w:rPr>
          <w:rFonts w:ascii="Times New Roman" w:hAnsi="Times New Roman" w:cs="Times New Roman"/>
          <w:i/>
          <w:iCs/>
        </w:rPr>
        <w:t>G</w:t>
      </w:r>
      <w:r w:rsidR="0054173E">
        <w:rPr>
          <w:rFonts w:ascii="Times New Roman" w:hAnsi="Times New Roman" w:cs="Times New Roman"/>
          <w:i/>
          <w:iCs/>
        </w:rPr>
        <w:t xml:space="preserve">alleria </w:t>
      </w:r>
      <w:r w:rsidRPr="009C7FD9">
        <w:rPr>
          <w:rFonts w:ascii="Times New Roman" w:hAnsi="Times New Roman" w:cs="Times New Roman"/>
          <w:i/>
          <w:iCs/>
        </w:rPr>
        <w:t>mellonella</w:t>
      </w:r>
      <w:r w:rsidRPr="009C7FD9">
        <w:rPr>
          <w:rFonts w:ascii="Times New Roman" w:hAnsi="Times New Roman" w:cs="Times New Roman"/>
        </w:rPr>
        <w:t xml:space="preserve"> model, corroborating the data in </w:t>
      </w:r>
      <w:r w:rsidRPr="009C7FD9">
        <w:rPr>
          <w:rFonts w:ascii="Times New Roman" w:hAnsi="Times New Roman" w:cs="Times New Roman"/>
          <w:b/>
          <w:bCs/>
        </w:rPr>
        <w:t>Figure 5.</w:t>
      </w:r>
      <w:r>
        <w:rPr>
          <w:rFonts w:ascii="Times New Roman" w:hAnsi="Times New Roman" w:cs="Times New Roman"/>
          <w:b/>
          <w:bCs/>
        </w:rPr>
        <w:t>7</w:t>
      </w:r>
      <w:r w:rsidRPr="009C7FD9">
        <w:rPr>
          <w:rFonts w:ascii="Times New Roman" w:hAnsi="Times New Roman" w:cs="Times New Roman"/>
          <w:b/>
          <w:bCs/>
        </w:rPr>
        <w:t>.1a</w:t>
      </w:r>
      <w:r w:rsidRPr="009C7FD9">
        <w:rPr>
          <w:rFonts w:ascii="Times New Roman" w:hAnsi="Times New Roman" w:cs="Times New Roman"/>
        </w:rPr>
        <w:t>. (p)ppGpp overproduction from RelP and RelQ were also examined, and similar results were observed</w:t>
      </w:r>
      <w:r>
        <w:rPr>
          <w:rFonts w:ascii="Times New Roman" w:hAnsi="Times New Roman" w:cs="Times New Roman"/>
        </w:rPr>
        <w:t xml:space="preserve"> as with the </w:t>
      </w:r>
      <w:r w:rsidR="00E25DD2">
        <w:rPr>
          <w:rFonts w:ascii="Times New Roman" w:hAnsi="Times New Roman" w:cs="Times New Roman"/>
        </w:rPr>
        <w:t>Rel-</w:t>
      </w:r>
      <w:r>
        <w:rPr>
          <w:rFonts w:ascii="Times New Roman" w:hAnsi="Times New Roman" w:cs="Times New Roman"/>
        </w:rPr>
        <w:t>overproduction strain</w:t>
      </w:r>
      <w:r w:rsidRPr="009C7FD9">
        <w:rPr>
          <w:rFonts w:ascii="Times New Roman" w:hAnsi="Times New Roman" w:cs="Times New Roman"/>
        </w:rPr>
        <w:t xml:space="preserve"> </w:t>
      </w:r>
      <w:r w:rsidRPr="009C7FD9">
        <w:rPr>
          <w:rFonts w:ascii="Times New Roman" w:hAnsi="Times New Roman" w:cs="Times New Roman"/>
          <w:b/>
          <w:bCs/>
        </w:rPr>
        <w:t>(Fig. 5.</w:t>
      </w:r>
      <w:r>
        <w:rPr>
          <w:rFonts w:ascii="Times New Roman" w:hAnsi="Times New Roman" w:cs="Times New Roman"/>
          <w:b/>
          <w:bCs/>
        </w:rPr>
        <w:t>7</w:t>
      </w:r>
      <w:r w:rsidRPr="009C7FD9">
        <w:rPr>
          <w:rFonts w:ascii="Times New Roman" w:hAnsi="Times New Roman" w:cs="Times New Roman"/>
          <w:b/>
          <w:bCs/>
        </w:rPr>
        <w:t>.1b).</w:t>
      </w:r>
      <w:r w:rsidRPr="009C7FD9">
        <w:rPr>
          <w:rFonts w:ascii="Times New Roman" w:hAnsi="Times New Roman" w:cs="Times New Roman"/>
        </w:rPr>
        <w:t xml:space="preserve"> This highlights the importance of regulating levels of (p)ppGpp within bacteria, and that while (p)ppGpp overproduction may increase tolerance </w:t>
      </w:r>
      <w:r w:rsidRPr="009C7FD9">
        <w:rPr>
          <w:rFonts w:ascii="Times New Roman" w:hAnsi="Times New Roman" w:cs="Times New Roman"/>
          <w:i/>
          <w:iCs/>
        </w:rPr>
        <w:t>in vitro</w:t>
      </w:r>
      <w:r w:rsidRPr="009C7FD9">
        <w:rPr>
          <w:rFonts w:ascii="Times New Roman" w:hAnsi="Times New Roman" w:cs="Times New Roman"/>
        </w:rPr>
        <w:t xml:space="preserve">, this is not the case </w:t>
      </w:r>
      <w:r w:rsidRPr="009C7FD9">
        <w:rPr>
          <w:rFonts w:ascii="Times New Roman" w:hAnsi="Times New Roman" w:cs="Times New Roman"/>
          <w:i/>
          <w:iCs/>
        </w:rPr>
        <w:t>in vivo.</w:t>
      </w:r>
      <w:r w:rsidRPr="009C7FD9">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14220BE2" w14:textId="77777777" w:rsidTr="00A74445">
        <w:tc>
          <w:tcPr>
            <w:tcW w:w="9016" w:type="dxa"/>
          </w:tcPr>
          <w:p w14:paraId="6A6DDF72" w14:textId="77777777" w:rsidR="00187693" w:rsidRDefault="00187693" w:rsidP="00A74445">
            <w:pPr>
              <w:spacing w:before="240" w:line="360" w:lineRule="auto"/>
              <w:jc w:val="both"/>
              <w:rPr>
                <w:rFonts w:ascii="Times New Roman" w:hAnsi="Times New Roman" w:cs="Times New Roman"/>
              </w:rPr>
            </w:pPr>
            <w:r>
              <w:rPr>
                <w:rFonts w:ascii="Times New Roman" w:hAnsi="Times New Roman" w:cs="Times New Roman"/>
                <w:noProof/>
              </w:rPr>
              <w:drawing>
                <wp:inline distT="0" distB="0" distL="0" distR="0" wp14:anchorId="12494154" wp14:editId="1F5BF47B">
                  <wp:extent cx="5609361" cy="5297214"/>
                  <wp:effectExtent l="0" t="0" r="0" b="0"/>
                  <wp:docPr id="1508445911" name="Picture 15084459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45911" name="Picture 1508445911" descr="A picture containing 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2501" cy="5309623"/>
                          </a:xfrm>
                          <a:prstGeom prst="rect">
                            <a:avLst/>
                          </a:prstGeom>
                          <a:noFill/>
                        </pic:spPr>
                      </pic:pic>
                    </a:graphicData>
                  </a:graphic>
                </wp:inline>
              </w:drawing>
            </w:r>
          </w:p>
        </w:tc>
      </w:tr>
      <w:tr w:rsidR="00187693" w14:paraId="09E63585" w14:textId="77777777" w:rsidTr="00A74445">
        <w:tc>
          <w:tcPr>
            <w:tcW w:w="9016" w:type="dxa"/>
          </w:tcPr>
          <w:p w14:paraId="792E8D0D" w14:textId="77777777" w:rsidR="00187693" w:rsidRDefault="00187693" w:rsidP="00A74445">
            <w:pPr>
              <w:spacing w:before="240"/>
              <w:jc w:val="both"/>
              <w:rPr>
                <w:rFonts w:ascii="Times New Roman" w:hAnsi="Times New Roman" w:cs="Times New Roman"/>
              </w:rPr>
            </w:pPr>
            <w:r w:rsidRPr="00282A6D">
              <w:rPr>
                <w:rFonts w:ascii="Times New Roman" w:hAnsi="Times New Roman" w:cs="Times New Roman"/>
                <w:b/>
                <w:bCs/>
                <w:sz w:val="18"/>
                <w:szCs w:val="18"/>
              </w:rPr>
              <w:t>Figure 5.</w:t>
            </w:r>
            <w:r>
              <w:rPr>
                <w:rFonts w:ascii="Times New Roman" w:hAnsi="Times New Roman" w:cs="Times New Roman"/>
                <w:b/>
                <w:bCs/>
                <w:sz w:val="18"/>
                <w:szCs w:val="18"/>
              </w:rPr>
              <w:t>7</w:t>
            </w:r>
            <w:r w:rsidRPr="00282A6D">
              <w:rPr>
                <w:rFonts w:ascii="Times New Roman" w:hAnsi="Times New Roman" w:cs="Times New Roman"/>
                <w:b/>
                <w:bCs/>
                <w:sz w:val="18"/>
                <w:szCs w:val="18"/>
              </w:rPr>
              <w:t xml:space="preserve">.1. (p)ppGpp overproduction in systemic zebrafish embryo infection model attenuates </w:t>
            </w:r>
            <w:r w:rsidRPr="00282A6D">
              <w:rPr>
                <w:rFonts w:ascii="Times New Roman" w:hAnsi="Times New Roman" w:cs="Times New Roman"/>
                <w:b/>
                <w:bCs/>
                <w:i/>
                <w:iCs/>
                <w:sz w:val="18"/>
                <w:szCs w:val="18"/>
              </w:rPr>
              <w:t xml:space="preserve">S. aureus </w:t>
            </w:r>
            <w:r w:rsidRPr="00282A6D">
              <w:rPr>
                <w:rFonts w:ascii="Times New Roman" w:hAnsi="Times New Roman" w:cs="Times New Roman"/>
                <w:b/>
                <w:bCs/>
                <w:sz w:val="18"/>
                <w:szCs w:val="18"/>
              </w:rPr>
              <w:t xml:space="preserve">virulence. </w:t>
            </w:r>
            <w:r w:rsidRPr="00282A6D">
              <w:rPr>
                <w:rFonts w:ascii="Times New Roman" w:hAnsi="Times New Roman" w:cs="Times New Roman"/>
                <w:sz w:val="18"/>
                <w:szCs w:val="18"/>
              </w:rPr>
              <w:t xml:space="preserve">Survival of zebrafish embryos injected with </w:t>
            </w:r>
            <w:r w:rsidRPr="00282A6D">
              <w:rPr>
                <w:rFonts w:ascii="Times New Roman" w:hAnsi="Times New Roman" w:cs="Times New Roman"/>
                <w:i/>
                <w:iCs/>
                <w:sz w:val="18"/>
                <w:szCs w:val="18"/>
              </w:rPr>
              <w:t xml:space="preserve">S. </w:t>
            </w:r>
            <w:r w:rsidRPr="00282A6D">
              <w:rPr>
                <w:rFonts w:ascii="Times New Roman" w:hAnsi="Times New Roman" w:cs="Times New Roman"/>
                <w:sz w:val="18"/>
                <w:szCs w:val="18"/>
              </w:rPr>
              <w:t>aureus, comparing WT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 (black), (p)ppGpp-null mutant ((p)ppGpp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 (pink), the Rel (p)ppGpp overproduction strain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w:t>
            </w:r>
            <w:r w:rsidRPr="00282A6D">
              <w:rPr>
                <w:rFonts w:ascii="Times New Roman" w:hAnsi="Times New Roman" w:cs="Times New Roman"/>
                <w:sz w:val="18"/>
                <w:szCs w:val="18"/>
              </w:rPr>
              <w:t xml:space="preserve">) (purple) </w:t>
            </w:r>
            <w:r w:rsidRPr="00282A6D">
              <w:rPr>
                <w:rFonts w:ascii="Times New Roman" w:hAnsi="Times New Roman" w:cs="Times New Roman"/>
                <w:b/>
                <w:bCs/>
                <w:sz w:val="18"/>
                <w:szCs w:val="18"/>
              </w:rPr>
              <w:t>(a)</w:t>
            </w:r>
            <w:r w:rsidRPr="00282A6D">
              <w:rPr>
                <w:rFonts w:ascii="Times New Roman" w:hAnsi="Times New Roman" w:cs="Times New Roman"/>
                <w:sz w:val="18"/>
                <w:szCs w:val="18"/>
              </w:rPr>
              <w:t xml:space="preserve"> and the RelP/Q (p)ppGpp overproduction strains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relP</w:t>
            </w:r>
            <w:r w:rsidRPr="00282A6D">
              <w:rPr>
                <w:rFonts w:ascii="Times New Roman" w:hAnsi="Times New Roman" w:cs="Times New Roman"/>
                <w:sz w:val="18"/>
                <w:szCs w:val="18"/>
              </w:rPr>
              <w:t xml:space="preserve"> (blue) and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 xml:space="preserve">relQ </w:t>
            </w:r>
            <w:r w:rsidRPr="00282A6D">
              <w:rPr>
                <w:rFonts w:ascii="Times New Roman" w:hAnsi="Times New Roman" w:cs="Times New Roman"/>
                <w:sz w:val="18"/>
                <w:szCs w:val="18"/>
              </w:rPr>
              <w:t xml:space="preserve">(orange)) </w:t>
            </w:r>
            <w:r w:rsidRPr="00282A6D">
              <w:rPr>
                <w:rFonts w:ascii="Times New Roman" w:hAnsi="Times New Roman" w:cs="Times New Roman"/>
                <w:b/>
                <w:bCs/>
                <w:sz w:val="18"/>
                <w:szCs w:val="18"/>
              </w:rPr>
              <w:t>(b)</w:t>
            </w:r>
            <w:r w:rsidRPr="00282A6D">
              <w:rPr>
                <w:rFonts w:ascii="Times New Roman" w:hAnsi="Times New Roman" w:cs="Times New Roman"/>
                <w:sz w:val="18"/>
                <w:szCs w:val="18"/>
              </w:rPr>
              <w:t xml:space="preserve"> at doses of 3000-4000 CFU</w:t>
            </w:r>
            <w:r>
              <w:rPr>
                <w:rFonts w:ascii="Times New Roman" w:hAnsi="Times New Roman" w:cs="Times New Roman"/>
                <w:sz w:val="18"/>
                <w:szCs w:val="18"/>
              </w:rPr>
              <w:t xml:space="preserve"> </w:t>
            </w:r>
            <w:r w:rsidRPr="00282A6D">
              <w:rPr>
                <w:rFonts w:ascii="Times New Roman" w:hAnsi="Times New Roman" w:cs="Times New Roman"/>
                <w:sz w:val="18"/>
                <w:szCs w:val="18"/>
              </w:rPr>
              <w:t>at 30 hpf into the circulation. Survival was monitored until 93 hp</w:t>
            </w:r>
            <w:r>
              <w:rPr>
                <w:rFonts w:ascii="Times New Roman" w:hAnsi="Times New Roman" w:cs="Times New Roman"/>
                <w:sz w:val="18"/>
                <w:szCs w:val="18"/>
              </w:rPr>
              <w:t>i</w:t>
            </w:r>
            <w:r w:rsidRPr="00282A6D">
              <w:rPr>
                <w:rFonts w:ascii="Times New Roman" w:hAnsi="Times New Roman" w:cs="Times New Roman"/>
                <w:sz w:val="18"/>
                <w:szCs w:val="18"/>
              </w:rPr>
              <w:t xml:space="preserve"> when the embryos reached 5.2 days post fertilisation. </w:t>
            </w:r>
            <w:r w:rsidRPr="00282A6D">
              <w:rPr>
                <w:rFonts w:ascii="Times New Roman" w:hAnsi="Times New Roman" w:cs="Times New Roman"/>
                <w:sz w:val="18"/>
                <w:szCs w:val="18"/>
                <w:lang w:val="en-US"/>
              </w:rPr>
              <w:t xml:space="preserve">Pairwise comparisons (log-rank (Mantel-Cox) test) were as follows: </w:t>
            </w:r>
            <w:r w:rsidRPr="00282A6D">
              <w:rPr>
                <w:rFonts w:ascii="Times New Roman" w:hAnsi="Times New Roman" w:cs="Times New Roman"/>
                <w:b/>
                <w:bCs/>
                <w:sz w:val="18"/>
                <w:szCs w:val="18"/>
              </w:rPr>
              <w:t xml:space="preserve">a)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 xml:space="preserve"> </w:t>
            </w:r>
            <w:r w:rsidRPr="00282A6D">
              <w:rPr>
                <w:rFonts w:ascii="Times New Roman" w:hAnsi="Times New Roman" w:cs="Times New Roman"/>
                <w:sz w:val="18"/>
                <w:szCs w:val="18"/>
                <w:lang w:val="en-US"/>
              </w:rPr>
              <w:t xml:space="preserve">vs </w:t>
            </w:r>
            <w:r w:rsidRPr="00282A6D">
              <w:rPr>
                <w:rFonts w:ascii="Times New Roman" w:hAnsi="Times New Roman" w:cs="Times New Roman"/>
                <w:sz w:val="18"/>
                <w:szCs w:val="18"/>
              </w:rPr>
              <w:t>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lang w:val="en-US"/>
              </w:rPr>
              <w:t xml:space="preserve">, **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0.0011; </w:t>
            </w:r>
            <w:r w:rsidRPr="00282A6D">
              <w:rPr>
                <w:rFonts w:ascii="Times New Roman" w:hAnsi="Times New Roman" w:cs="Times New Roman"/>
                <w:sz w:val="18"/>
                <w:szCs w:val="18"/>
              </w:rPr>
              <w:t>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w:t>
            </w:r>
            <w:r w:rsidRPr="00282A6D">
              <w:rPr>
                <w:rFonts w:ascii="Times New Roman" w:hAnsi="Times New Roman" w:cs="Times New Roman"/>
                <w:sz w:val="18"/>
                <w:szCs w:val="18"/>
              </w:rPr>
              <w:t xml:space="preserve"> vs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lang w:val="en-US"/>
              </w:rPr>
              <w:t xml:space="preserve">, *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0.0399;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 xml:space="preserve">r862 </w:t>
            </w:r>
            <w:r w:rsidRPr="00282A6D">
              <w:rPr>
                <w:rFonts w:ascii="Times New Roman" w:hAnsi="Times New Roman" w:cs="Times New Roman"/>
                <w:sz w:val="18"/>
                <w:szCs w:val="18"/>
              </w:rPr>
              <w:t>vs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 xml:space="preserve">rel, </w:t>
            </w:r>
            <w:r w:rsidRPr="00282A6D">
              <w:rPr>
                <w:rFonts w:ascii="Times New Roman" w:hAnsi="Times New Roman" w:cs="Times New Roman"/>
                <w:sz w:val="18"/>
                <w:szCs w:val="18"/>
              </w:rPr>
              <w:t xml:space="preserve">ns </w:t>
            </w:r>
            <w:r w:rsidRPr="00282A6D">
              <w:rPr>
                <w:rFonts w:ascii="Times New Roman" w:hAnsi="Times New Roman" w:cs="Times New Roman"/>
                <w:i/>
                <w:iCs/>
                <w:sz w:val="18"/>
                <w:szCs w:val="18"/>
              </w:rPr>
              <w:t xml:space="preserve">P = </w:t>
            </w:r>
            <w:r w:rsidRPr="00282A6D">
              <w:rPr>
                <w:rFonts w:ascii="Times New Roman" w:hAnsi="Times New Roman" w:cs="Times New Roman"/>
                <w:sz w:val="18"/>
                <w:szCs w:val="18"/>
              </w:rPr>
              <w:t xml:space="preserve">0.2637. </w:t>
            </w:r>
            <w:r w:rsidRPr="00282A6D">
              <w:rPr>
                <w:rFonts w:ascii="Times New Roman" w:hAnsi="Times New Roman" w:cs="Times New Roman"/>
                <w:b/>
                <w:bCs/>
                <w:sz w:val="18"/>
                <w:szCs w:val="18"/>
                <w:lang w:val="en-US"/>
              </w:rPr>
              <w:t>b)</w:t>
            </w:r>
            <w:r w:rsidRPr="00282A6D">
              <w:rPr>
                <w:rFonts w:ascii="Times New Roman" w:hAnsi="Times New Roman" w:cs="Times New Roman"/>
                <w:sz w:val="18"/>
                <w:szCs w:val="18"/>
                <w:lang w:val="en-US"/>
              </w:rPr>
              <w:t xml:space="preserve">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 xml:space="preserve"> </w:t>
            </w:r>
            <w:r w:rsidRPr="00282A6D">
              <w:rPr>
                <w:rFonts w:ascii="Times New Roman" w:hAnsi="Times New Roman" w:cs="Times New Roman"/>
                <w:sz w:val="18"/>
                <w:szCs w:val="18"/>
                <w:lang w:val="en-US"/>
              </w:rPr>
              <w:t xml:space="preserve">vs </w:t>
            </w:r>
            <w:r w:rsidRPr="00282A6D">
              <w:rPr>
                <w:rFonts w:ascii="Times New Roman" w:hAnsi="Times New Roman" w:cs="Times New Roman"/>
                <w:sz w:val="18"/>
                <w:szCs w:val="18"/>
              </w:rPr>
              <w:t>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lang w:val="en-US"/>
              </w:rPr>
              <w:t xml:space="preserve">, ***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0.0006; </w:t>
            </w:r>
            <w:r w:rsidRPr="00282A6D">
              <w:rPr>
                <w:rFonts w:ascii="Times New Roman" w:hAnsi="Times New Roman" w:cs="Times New Roman"/>
                <w:sz w:val="18"/>
                <w:szCs w:val="18"/>
              </w:rPr>
              <w:t>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relP</w:t>
            </w:r>
            <w:r w:rsidRPr="00282A6D">
              <w:rPr>
                <w:rFonts w:ascii="Times New Roman" w:hAnsi="Times New Roman" w:cs="Times New Roman"/>
                <w:sz w:val="18"/>
                <w:szCs w:val="18"/>
              </w:rPr>
              <w:t xml:space="preserve"> vs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lang w:val="en-US"/>
              </w:rPr>
              <w:t xml:space="preserve">, ns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0.0992; </w:t>
            </w:r>
            <w:r w:rsidRPr="00282A6D">
              <w:rPr>
                <w:rFonts w:ascii="Times New Roman" w:hAnsi="Times New Roman" w:cs="Times New Roman"/>
                <w:sz w:val="18"/>
                <w:szCs w:val="18"/>
              </w:rPr>
              <w:t>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relQ</w:t>
            </w:r>
            <w:r w:rsidRPr="00282A6D">
              <w:rPr>
                <w:rFonts w:ascii="Times New Roman" w:hAnsi="Times New Roman" w:cs="Times New Roman"/>
                <w:sz w:val="18"/>
                <w:szCs w:val="18"/>
              </w:rPr>
              <w:t xml:space="preserve"> vs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lang w:val="en-US"/>
              </w:rPr>
              <w:t xml:space="preserve">, ns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0.0550;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 xml:space="preserve">r862 </w:t>
            </w:r>
            <w:r w:rsidRPr="00282A6D">
              <w:rPr>
                <w:rFonts w:ascii="Times New Roman" w:hAnsi="Times New Roman" w:cs="Times New Roman"/>
                <w:sz w:val="18"/>
                <w:szCs w:val="18"/>
              </w:rPr>
              <w:t>vs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 xml:space="preserve">relP, </w:t>
            </w:r>
            <w:r w:rsidRPr="00282A6D">
              <w:rPr>
                <w:rFonts w:ascii="Times New Roman" w:hAnsi="Times New Roman" w:cs="Times New Roman"/>
                <w:sz w:val="18"/>
                <w:szCs w:val="18"/>
              </w:rPr>
              <w:t xml:space="preserve">ns </w:t>
            </w:r>
            <w:r w:rsidRPr="00282A6D">
              <w:rPr>
                <w:rFonts w:ascii="Times New Roman" w:hAnsi="Times New Roman" w:cs="Times New Roman"/>
                <w:i/>
                <w:iCs/>
                <w:sz w:val="18"/>
                <w:szCs w:val="18"/>
              </w:rPr>
              <w:t xml:space="preserve">P = </w:t>
            </w:r>
            <w:r w:rsidRPr="00282A6D">
              <w:rPr>
                <w:rFonts w:ascii="Times New Roman" w:hAnsi="Times New Roman" w:cs="Times New Roman"/>
                <w:sz w:val="18"/>
                <w:szCs w:val="18"/>
              </w:rPr>
              <w:t>0.0562; (p)ppGpp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 xml:space="preserve">r862 </w:t>
            </w:r>
            <w:r w:rsidRPr="00282A6D">
              <w:rPr>
                <w:rFonts w:ascii="Times New Roman" w:hAnsi="Times New Roman" w:cs="Times New Roman"/>
                <w:sz w:val="18"/>
                <w:szCs w:val="18"/>
              </w:rPr>
              <w:t>vs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 xml:space="preserve">relQ, </w:t>
            </w:r>
            <w:r w:rsidRPr="00282A6D">
              <w:rPr>
                <w:rFonts w:ascii="Times New Roman" w:hAnsi="Times New Roman" w:cs="Times New Roman"/>
                <w:sz w:val="18"/>
                <w:szCs w:val="18"/>
              </w:rPr>
              <w:t xml:space="preserve">ns </w:t>
            </w:r>
            <w:r w:rsidRPr="00282A6D">
              <w:rPr>
                <w:rFonts w:ascii="Times New Roman" w:hAnsi="Times New Roman" w:cs="Times New Roman"/>
                <w:i/>
                <w:iCs/>
                <w:sz w:val="18"/>
                <w:szCs w:val="18"/>
              </w:rPr>
              <w:t xml:space="preserve">P = </w:t>
            </w:r>
            <w:r w:rsidRPr="00282A6D">
              <w:rPr>
                <w:rFonts w:ascii="Times New Roman" w:hAnsi="Times New Roman" w:cs="Times New Roman"/>
                <w:sz w:val="18"/>
                <w:szCs w:val="18"/>
              </w:rPr>
              <w:t xml:space="preserve">0.1224. </w:t>
            </w:r>
            <w:r w:rsidRPr="00282A6D">
              <w:rPr>
                <w:rFonts w:ascii="Times New Roman" w:hAnsi="Times New Roman" w:cs="Times New Roman"/>
                <w:sz w:val="18"/>
                <w:szCs w:val="18"/>
                <w:lang w:val="en-US"/>
              </w:rPr>
              <w:t xml:space="preserve">In both </w:t>
            </w:r>
            <w:r w:rsidRPr="00282A6D">
              <w:rPr>
                <w:rFonts w:ascii="Times New Roman" w:hAnsi="Times New Roman" w:cs="Times New Roman"/>
                <w:b/>
                <w:bCs/>
                <w:sz w:val="18"/>
                <w:szCs w:val="18"/>
                <w:lang w:val="en-US"/>
              </w:rPr>
              <w:t xml:space="preserve">(a) </w:t>
            </w:r>
            <w:r w:rsidRPr="00282A6D">
              <w:rPr>
                <w:rFonts w:ascii="Times New Roman" w:hAnsi="Times New Roman" w:cs="Times New Roman"/>
                <w:sz w:val="18"/>
                <w:szCs w:val="18"/>
                <w:lang w:val="en-US"/>
              </w:rPr>
              <w:t xml:space="preserve">and </w:t>
            </w:r>
            <w:r w:rsidRPr="00282A6D">
              <w:rPr>
                <w:rFonts w:ascii="Times New Roman" w:hAnsi="Times New Roman" w:cs="Times New Roman"/>
                <w:b/>
                <w:bCs/>
                <w:sz w:val="18"/>
                <w:szCs w:val="18"/>
                <w:lang w:val="en-US"/>
              </w:rPr>
              <w:t>(b)</w:t>
            </w:r>
            <w:r w:rsidRPr="00282A6D">
              <w:rPr>
                <w:rFonts w:ascii="Times New Roman" w:hAnsi="Times New Roman" w:cs="Times New Roman"/>
                <w:sz w:val="18"/>
                <w:szCs w:val="18"/>
                <w:lang w:val="en-US"/>
              </w:rPr>
              <w:t>, experiments were performed in triplicate.</w:t>
            </w:r>
          </w:p>
        </w:tc>
      </w:tr>
      <w:tr w:rsidR="00187693" w14:paraId="1405D4D6" w14:textId="77777777" w:rsidTr="00A74445">
        <w:tc>
          <w:tcPr>
            <w:tcW w:w="9016" w:type="dxa"/>
          </w:tcPr>
          <w:p w14:paraId="5F9FE44A" w14:textId="77777777" w:rsidR="00187693" w:rsidRPr="00282A6D" w:rsidRDefault="00187693" w:rsidP="00A74445">
            <w:pPr>
              <w:spacing w:before="240"/>
              <w:jc w:val="both"/>
              <w:rPr>
                <w:rFonts w:ascii="Times New Roman" w:hAnsi="Times New Roman" w:cs="Times New Roman"/>
                <w:b/>
                <w:bCs/>
                <w:sz w:val="18"/>
                <w:szCs w:val="18"/>
              </w:rPr>
            </w:pPr>
          </w:p>
        </w:tc>
      </w:tr>
    </w:tbl>
    <w:p w14:paraId="3EC2C313" w14:textId="77777777" w:rsidR="00187693" w:rsidRDefault="00187693" w:rsidP="00187693">
      <w:pPr>
        <w:pStyle w:val="Heading2"/>
      </w:pPr>
      <w:bookmarkStart w:id="168" w:name="_Toc142043660"/>
      <w:r>
        <w:t>5.8. Determination of the (p)ppGpp synthetase required for</w:t>
      </w:r>
      <w:r>
        <w:rPr>
          <w:i/>
          <w:iCs/>
        </w:rPr>
        <w:t xml:space="preserve"> S. aureus </w:t>
      </w:r>
      <w:r>
        <w:t>systemic infection</w:t>
      </w:r>
      <w:bookmarkEnd w:id="168"/>
      <w:r>
        <w:t xml:space="preserve"> </w:t>
      </w:r>
    </w:p>
    <w:p w14:paraId="50C2859F" w14:textId="176C282A" w:rsidR="00187693" w:rsidRPr="00C718B7" w:rsidRDefault="00187693" w:rsidP="00187693">
      <w:pPr>
        <w:spacing w:before="240" w:line="360" w:lineRule="auto"/>
        <w:jc w:val="both"/>
        <w:rPr>
          <w:rFonts w:ascii="Times New Roman" w:hAnsi="Times New Roman" w:cs="Times New Roman"/>
        </w:rPr>
      </w:pPr>
      <w:r>
        <w:rPr>
          <w:rFonts w:ascii="Times New Roman" w:hAnsi="Times New Roman" w:cs="Times New Roman"/>
        </w:rPr>
        <w:t xml:space="preserve">As </w:t>
      </w:r>
      <w:r w:rsidRPr="00CA17EF">
        <w:rPr>
          <w:rFonts w:ascii="Times New Roman" w:hAnsi="Times New Roman" w:cs="Times New Roman"/>
        </w:rPr>
        <w:t xml:space="preserve">Rel from </w:t>
      </w:r>
      <w:r w:rsidRPr="00CA17EF">
        <w:rPr>
          <w:rFonts w:ascii="Times New Roman" w:hAnsi="Times New Roman" w:cs="Times New Roman"/>
          <w:i/>
          <w:iCs/>
        </w:rPr>
        <w:t xml:space="preserve">S. aureus </w:t>
      </w:r>
      <w:r>
        <w:rPr>
          <w:rFonts w:ascii="Times New Roman" w:hAnsi="Times New Roman" w:cs="Times New Roman"/>
        </w:rPr>
        <w:t>is</w:t>
      </w:r>
      <w:r w:rsidRPr="00CA17EF">
        <w:rPr>
          <w:rFonts w:ascii="Times New Roman" w:hAnsi="Times New Roman" w:cs="Times New Roman"/>
        </w:rPr>
        <w:t xml:space="preserve"> </w:t>
      </w:r>
      <w:r>
        <w:rPr>
          <w:rFonts w:ascii="Times New Roman" w:hAnsi="Times New Roman" w:cs="Times New Roman"/>
        </w:rPr>
        <w:t>required for virulence</w:t>
      </w:r>
      <w:r w:rsidRPr="00CA17EF">
        <w:rPr>
          <w:rFonts w:ascii="Times New Roman" w:hAnsi="Times New Roman" w:cs="Times New Roman"/>
        </w:rPr>
        <w:t xml:space="preserve"> in a murine haematogenic kidney abscess model </w:t>
      </w:r>
      <w:r w:rsidRPr="00CA17EF">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&lt;EndNote&gt;&lt;Cite&gt;&lt;Author&gt;Geiger&lt;/Author&gt;&lt;Year&gt;2010&lt;/Year&gt;&lt;IDText&gt;Role of the (p)ppGpp Synthase RSH, a RelA/SpoT Homolog, in Stringent Response and Virulence of Staphylococcus aureus&lt;/IDText&gt;&lt;DisplayText&gt;(Geiger&lt;style face="italic"&gt; et al.&lt;/style&gt;, 2010)&lt;/DisplayText&gt;&lt;record&gt;&lt;dates&gt;&lt;pub-dates&gt;&lt;date&gt;May&lt;/date&gt;&lt;/pub-dates&gt;&lt;year&gt;2010&lt;/year&gt;&lt;/dates&gt;&lt;urls&gt;&lt;related-urls&gt;&lt;url&gt;&amp;lt;Go to ISI&amp;gt;://WOS:000276778700008&lt;/url&gt;&lt;/related-urls&gt;&lt;/urls&gt;&lt;isbn&gt;0019-9567&lt;/isbn&gt;&lt;titles&gt;&lt;title&gt;Role of the (p)ppGpp Synthase RSH, a RelA/SpoT Homolog, in Stringent Response and Virulence of Staphylococcus aureus&lt;/title&gt;&lt;secondary-title&gt;Infection and Immunity&lt;/secondary-title&gt;&lt;/titles&gt;&lt;pages&gt;1873-1883&lt;/pages&gt;&lt;number&gt;5&lt;/number&gt;&lt;contributors&gt;&lt;authors&gt;&lt;author&gt;Geiger, Tobias&lt;/author&gt;&lt;author&gt;Goerke, Christiane&lt;/author&gt;&lt;author&gt;Fritz, Michaela&lt;/author&gt;&lt;author&gt;Schaefer, Tina&lt;/author&gt;&lt;author&gt;Ohlsen, Knut&lt;/author&gt;&lt;author&gt;Liebeke, Manuel&lt;/author&gt;&lt;author&gt;Lalk, Michael&lt;/author&gt;&lt;author&gt;Wolz, Christiane&lt;/author&gt;&lt;/authors&gt;&lt;/contributors&gt;&lt;added-date format="utc"&gt;1663612960&lt;/added-date&gt;&lt;ref-type name="Journal Article"&gt;17&lt;/ref-type&gt;&lt;rec-number&gt;70&lt;/rec-number&gt;&lt;last-updated-date format="utc"&gt;1663624413&lt;/last-updated-date&gt;&lt;accession-num&gt;WOS:000276778700008&lt;/accession-num&gt;&lt;electronic-resource-num&gt;10.1128/iai.01439-09&lt;/electronic-resource-num&gt;&lt;volume&gt;78&lt;/volume&gt;&lt;/record&gt;&lt;/Cite&gt;&lt;/EndNote&gt;</w:instrText>
      </w:r>
      <w:r w:rsidRPr="00CA17EF">
        <w:rPr>
          <w:rFonts w:ascii="Times New Roman" w:hAnsi="Times New Roman" w:cs="Times New Roman"/>
          <w:b/>
          <w:bCs/>
        </w:rPr>
        <w:fldChar w:fldCharType="separate"/>
      </w:r>
      <w:r>
        <w:rPr>
          <w:rFonts w:ascii="Times New Roman" w:hAnsi="Times New Roman" w:cs="Times New Roman"/>
          <w:b/>
          <w:bCs/>
          <w:noProof/>
        </w:rPr>
        <w:t>(Geiger</w:t>
      </w:r>
      <w:r w:rsidRPr="00F95468">
        <w:rPr>
          <w:rFonts w:ascii="Times New Roman" w:hAnsi="Times New Roman" w:cs="Times New Roman"/>
          <w:b/>
          <w:bCs/>
          <w:i/>
          <w:noProof/>
        </w:rPr>
        <w:t xml:space="preserve"> et al.</w:t>
      </w:r>
      <w:r>
        <w:rPr>
          <w:rFonts w:ascii="Times New Roman" w:hAnsi="Times New Roman" w:cs="Times New Roman"/>
          <w:b/>
          <w:bCs/>
          <w:noProof/>
        </w:rPr>
        <w:t>, 2010)</w:t>
      </w:r>
      <w:r w:rsidRPr="00CA17EF">
        <w:rPr>
          <w:rFonts w:ascii="Times New Roman" w:hAnsi="Times New Roman" w:cs="Times New Roman"/>
          <w:b/>
          <w:bCs/>
        </w:rPr>
        <w:fldChar w:fldCharType="end"/>
      </w:r>
      <w:r w:rsidRPr="00CA17EF">
        <w:rPr>
          <w:rFonts w:ascii="Times New Roman" w:hAnsi="Times New Roman" w:cs="Times New Roman"/>
        </w:rPr>
        <w:t xml:space="preserve"> and </w:t>
      </w:r>
      <w:r>
        <w:rPr>
          <w:rFonts w:ascii="Times New Roman" w:hAnsi="Times New Roman" w:cs="Times New Roman"/>
        </w:rPr>
        <w:t xml:space="preserve">a </w:t>
      </w:r>
      <w:r w:rsidRPr="00CA17EF">
        <w:rPr>
          <w:rFonts w:ascii="Times New Roman" w:hAnsi="Times New Roman" w:cs="Times New Roman"/>
        </w:rPr>
        <w:t xml:space="preserve">cutaneous abscess model </w:t>
      </w:r>
      <w:r w:rsidRPr="00CA17EF">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&lt;EndNote&gt;&lt;Cite&gt;&lt;Author&gt;Mansour&lt;/Author&gt;&lt;Year&gt;2016&lt;/Year&gt;&lt;IDText&gt;Bacterial Abscess Formation Is Controlled by the Stringent Stress Response and Can Be Targeted Therapeutically&lt;/IDText&gt;&lt;DisplayText&gt;(Mansour&lt;style face="italic"&gt; et al.&lt;/style&gt;, 2016)&lt;/DisplayText&gt;&lt;record&gt;&lt;dates&gt;&lt;pub-dates&gt;&lt;date&gt;Oct&lt;/date&gt;&lt;/pub-dates&gt;&lt;year&gt;2016&lt;/year&gt;&lt;/dates&gt;&lt;urls&gt;&lt;related-urls&gt;&lt;url&gt;&amp;lt;Go to ISI&amp;gt;://WOS:000386878500038&lt;/url&gt;&lt;/related-urls&gt;&lt;/urls&gt;&lt;isbn&gt;2352-3964&lt;/isbn&gt;&lt;titles&gt;&lt;title&gt;Bacterial Abscess Formation Is Controlled by the Stringent Stress Response and Can Be Targeted Therapeutically&lt;/title&gt;&lt;secondary-title&gt;Ebiomedicine&lt;/secondary-title&gt;&lt;/titles&gt;&lt;pages&gt;219-226&lt;/pages&gt;&lt;contributors&gt;&lt;authors&gt;&lt;author&gt;Mansour, S. C.&lt;/author&gt;&lt;author&gt;Pletzer, D.&lt;/author&gt;&lt;author&gt;de la Fuente-Nunez, C.&lt;/author&gt;&lt;author&gt;Kim, P.&lt;/author&gt;&lt;author&gt;Cheung, G. Y. C.&lt;/author&gt;&lt;author&gt;Joo, H. S.&lt;/author&gt;&lt;author&gt;Otto, M.&lt;/author&gt;&lt;author&gt;Hancock, R. E. W.&lt;/author&gt;&lt;/authors&gt;&lt;/contributors&gt;&lt;added-date format="utc"&gt;1674945879&lt;/added-date&gt;&lt;ref-type name="Journal Article"&gt;17&lt;/ref-type&gt;&lt;rec-number&gt;286&lt;/rec-number&gt;&lt;last-updated-date format="utc"&gt;1675008997&lt;/last-updated-date&gt;&lt;accession-num&gt;WOS:000386878500038&lt;/accession-num&gt;&lt;electronic-resource-num&gt;10.1016/j.ebiom.2016.09.015&lt;/electronic-resource-num&gt;&lt;volume&gt;12&lt;/volume&gt;&lt;/record&gt;&lt;/Cite&gt;&lt;/EndNote&gt;</w:instrText>
      </w:r>
      <w:r w:rsidRPr="00CA17EF">
        <w:rPr>
          <w:rFonts w:ascii="Times New Roman" w:hAnsi="Times New Roman" w:cs="Times New Roman"/>
          <w:b/>
          <w:bCs/>
        </w:rPr>
        <w:fldChar w:fldCharType="separate"/>
      </w:r>
      <w:r>
        <w:rPr>
          <w:rFonts w:ascii="Times New Roman" w:hAnsi="Times New Roman" w:cs="Times New Roman"/>
          <w:b/>
          <w:bCs/>
          <w:noProof/>
        </w:rPr>
        <w:t>(Mansour</w:t>
      </w:r>
      <w:r w:rsidRPr="00F95468">
        <w:rPr>
          <w:rFonts w:ascii="Times New Roman" w:hAnsi="Times New Roman" w:cs="Times New Roman"/>
          <w:b/>
          <w:bCs/>
          <w:i/>
          <w:noProof/>
        </w:rPr>
        <w:t xml:space="preserve"> et al.</w:t>
      </w:r>
      <w:r>
        <w:rPr>
          <w:rFonts w:ascii="Times New Roman" w:hAnsi="Times New Roman" w:cs="Times New Roman"/>
          <w:b/>
          <w:bCs/>
          <w:noProof/>
        </w:rPr>
        <w:t>, 2016)</w:t>
      </w:r>
      <w:r w:rsidRPr="00CA17EF">
        <w:rPr>
          <w:rFonts w:ascii="Times New Roman" w:hAnsi="Times New Roman" w:cs="Times New Roman"/>
          <w:b/>
          <w:bCs/>
        </w:rPr>
        <w:fldChar w:fldCharType="end"/>
      </w:r>
      <w:r w:rsidRPr="00CA17EF">
        <w:rPr>
          <w:rFonts w:ascii="Times New Roman" w:hAnsi="Times New Roman" w:cs="Times New Roman"/>
        </w:rPr>
        <w:t xml:space="preserve">, the absence of </w:t>
      </w:r>
      <w:r>
        <w:rPr>
          <w:rFonts w:ascii="Times New Roman" w:hAnsi="Times New Roman" w:cs="Times New Roman"/>
        </w:rPr>
        <w:t xml:space="preserve">Rel </w:t>
      </w:r>
      <w:r w:rsidRPr="00CA17EF">
        <w:rPr>
          <w:rFonts w:ascii="Times New Roman" w:hAnsi="Times New Roman" w:cs="Times New Roman"/>
        </w:rPr>
        <w:t>was first investigated. JE2 WT, the (p)ppGpp</w:t>
      </w:r>
      <w:r w:rsidRPr="00CA17EF">
        <w:rPr>
          <w:rFonts w:ascii="Times New Roman" w:hAnsi="Times New Roman" w:cs="Times New Roman"/>
          <w:vertAlign w:val="superscript"/>
        </w:rPr>
        <w:t>0</w:t>
      </w:r>
      <w:r w:rsidRPr="00CA17EF">
        <w:rPr>
          <w:rFonts w:ascii="Times New Roman" w:hAnsi="Times New Roman" w:cs="Times New Roman"/>
        </w:rPr>
        <w:t xml:space="preserve"> </w:t>
      </w:r>
      <w:r>
        <w:rPr>
          <w:rFonts w:ascii="Times New Roman" w:hAnsi="Times New Roman" w:cs="Times New Roman"/>
        </w:rPr>
        <w:t xml:space="preserve">triple </w:t>
      </w:r>
      <w:r w:rsidRPr="00CA17EF">
        <w:rPr>
          <w:rFonts w:ascii="Times New Roman" w:hAnsi="Times New Roman" w:cs="Times New Roman"/>
        </w:rPr>
        <w:t>mutant and ∆</w:t>
      </w:r>
      <w:r w:rsidRPr="00CA17EF">
        <w:rPr>
          <w:rFonts w:ascii="Times New Roman" w:hAnsi="Times New Roman" w:cs="Times New Roman"/>
          <w:i/>
          <w:iCs/>
        </w:rPr>
        <w:t>relQP</w:t>
      </w:r>
      <w:r w:rsidRPr="00CA17EF">
        <w:rPr>
          <w:rFonts w:ascii="Times New Roman" w:hAnsi="Times New Roman" w:cs="Times New Roman"/>
        </w:rPr>
        <w:t xml:space="preserve"> were injected into embryo</w:t>
      </w:r>
      <w:r>
        <w:rPr>
          <w:rFonts w:ascii="Times New Roman" w:hAnsi="Times New Roman" w:cs="Times New Roman"/>
        </w:rPr>
        <w:t>s.</w:t>
      </w:r>
      <w:r w:rsidRPr="00CA17EF">
        <w:rPr>
          <w:rFonts w:ascii="Times New Roman" w:hAnsi="Times New Roman" w:cs="Times New Roman"/>
        </w:rPr>
        <w:t xml:space="preserve"> </w:t>
      </w:r>
      <w:r>
        <w:rPr>
          <w:rFonts w:ascii="Times New Roman" w:hAnsi="Times New Roman" w:cs="Times New Roman"/>
        </w:rPr>
        <w:t>T</w:t>
      </w:r>
      <w:r w:rsidRPr="00CA17EF">
        <w:rPr>
          <w:rFonts w:ascii="Times New Roman" w:hAnsi="Times New Roman" w:cs="Times New Roman"/>
        </w:rPr>
        <w:t>he survival curves demonstrated that the ∆</w:t>
      </w:r>
      <w:r w:rsidRPr="00CA17EF">
        <w:rPr>
          <w:rFonts w:ascii="Times New Roman" w:hAnsi="Times New Roman" w:cs="Times New Roman"/>
          <w:i/>
          <w:iCs/>
        </w:rPr>
        <w:t>relQP</w:t>
      </w:r>
      <w:r w:rsidRPr="00CA17EF">
        <w:rPr>
          <w:rFonts w:ascii="Times New Roman" w:hAnsi="Times New Roman" w:cs="Times New Roman"/>
        </w:rPr>
        <w:t xml:space="preserve"> mutant was able to kill similarly to JE2 WT </w:t>
      </w:r>
      <w:r w:rsidRPr="00CA17EF">
        <w:rPr>
          <w:rFonts w:ascii="Times New Roman" w:hAnsi="Times New Roman" w:cs="Times New Roman"/>
          <w:b/>
          <w:bCs/>
        </w:rPr>
        <w:t>(Fig</w:t>
      </w:r>
      <w:r>
        <w:rPr>
          <w:rFonts w:ascii="Times New Roman" w:hAnsi="Times New Roman" w:cs="Times New Roman"/>
          <w:b/>
          <w:bCs/>
        </w:rPr>
        <w:t>. 5.8.1</w:t>
      </w:r>
      <w:r w:rsidRPr="00CA17EF">
        <w:rPr>
          <w:rFonts w:ascii="Times New Roman" w:hAnsi="Times New Roman" w:cs="Times New Roman"/>
          <w:b/>
          <w:bCs/>
        </w:rPr>
        <w:t>a)</w:t>
      </w:r>
      <w:r>
        <w:rPr>
          <w:rFonts w:ascii="Times New Roman" w:hAnsi="Times New Roman" w:cs="Times New Roman"/>
        </w:rPr>
        <w:t xml:space="preserve">, indicating </w:t>
      </w:r>
      <w:r w:rsidRPr="00CA17EF">
        <w:rPr>
          <w:rFonts w:ascii="Times New Roman" w:hAnsi="Times New Roman" w:cs="Times New Roman"/>
        </w:rPr>
        <w:t xml:space="preserve">that the presence of </w:t>
      </w:r>
      <w:r w:rsidRPr="00CA17EF">
        <w:rPr>
          <w:rFonts w:ascii="Times New Roman" w:hAnsi="Times New Roman" w:cs="Times New Roman"/>
          <w:i/>
          <w:iCs/>
        </w:rPr>
        <w:t xml:space="preserve">rel </w:t>
      </w:r>
      <w:r w:rsidR="00E059AC">
        <w:rPr>
          <w:rFonts w:ascii="Times New Roman" w:hAnsi="Times New Roman" w:cs="Times New Roman"/>
        </w:rPr>
        <w:t xml:space="preserve">only </w:t>
      </w:r>
      <w:r w:rsidRPr="00CA17EF">
        <w:rPr>
          <w:rFonts w:ascii="Times New Roman" w:hAnsi="Times New Roman" w:cs="Times New Roman"/>
        </w:rPr>
        <w:t>is sufficient for</w:t>
      </w:r>
      <w:r>
        <w:rPr>
          <w:rFonts w:ascii="Times New Roman" w:hAnsi="Times New Roman" w:cs="Times New Roman"/>
        </w:rPr>
        <w:t xml:space="preserve"> virulence during</w:t>
      </w:r>
      <w:r w:rsidRPr="00CA17EF">
        <w:rPr>
          <w:rFonts w:ascii="Times New Roman" w:hAnsi="Times New Roman" w:cs="Times New Roman"/>
        </w:rPr>
        <w:t xml:space="preserve"> infection. </w:t>
      </w:r>
      <w:r w:rsidRPr="00C718B7">
        <w:rPr>
          <w:rFonts w:ascii="Times New Roman" w:hAnsi="Times New Roman" w:cs="Times New Roman"/>
        </w:rPr>
        <w:t xml:space="preserve">To further understand the </w:t>
      </w:r>
      <w:r>
        <w:rPr>
          <w:rFonts w:ascii="Times New Roman" w:hAnsi="Times New Roman" w:cs="Times New Roman"/>
        </w:rPr>
        <w:t>importance</w:t>
      </w:r>
      <w:r w:rsidRPr="00C718B7">
        <w:rPr>
          <w:rFonts w:ascii="Times New Roman" w:hAnsi="Times New Roman" w:cs="Times New Roman"/>
        </w:rPr>
        <w:t xml:space="preserve"> of Rel, the existing laboratory strains LAC* WT and LAC* </w:t>
      </w:r>
      <w:r w:rsidRPr="00C718B7">
        <w:rPr>
          <w:rFonts w:ascii="Times New Roman" w:hAnsi="Times New Roman" w:cs="Times New Roman"/>
          <w:i/>
          <w:iCs/>
        </w:rPr>
        <w:t>rel</w:t>
      </w:r>
      <w:r w:rsidRPr="00C718B7">
        <w:rPr>
          <w:rFonts w:ascii="Times New Roman" w:hAnsi="Times New Roman" w:cs="Times New Roman"/>
          <w:i/>
          <w:iCs/>
          <w:vertAlign w:val="subscript"/>
        </w:rPr>
        <w:t>syn</w:t>
      </w:r>
      <w:r w:rsidRPr="00C718B7">
        <w:rPr>
          <w:rFonts w:ascii="Times New Roman" w:hAnsi="Times New Roman" w:cs="Times New Roman"/>
        </w:rPr>
        <w:t xml:space="preserve"> mutant, a mutant lacking three conserved amino acids (amino acids Y308, Q309 and S310) within the SYNTH domain rendering it non-functional, were studied. There was no difference in killing observed between</w:t>
      </w:r>
      <w:r>
        <w:rPr>
          <w:rFonts w:ascii="Times New Roman" w:hAnsi="Times New Roman" w:cs="Times New Roman"/>
        </w:rPr>
        <w:t xml:space="preserve"> embryos injected with</w:t>
      </w:r>
      <w:r w:rsidRPr="00C718B7">
        <w:rPr>
          <w:rFonts w:ascii="Times New Roman" w:hAnsi="Times New Roman" w:cs="Times New Roman"/>
        </w:rPr>
        <w:t xml:space="preserve"> LAC* WT and LAC* </w:t>
      </w:r>
      <w:r w:rsidRPr="00C718B7">
        <w:rPr>
          <w:rFonts w:ascii="Times New Roman" w:hAnsi="Times New Roman" w:cs="Times New Roman"/>
          <w:i/>
          <w:iCs/>
        </w:rPr>
        <w:t>rel</w:t>
      </w:r>
      <w:r w:rsidRPr="00C718B7">
        <w:rPr>
          <w:rFonts w:ascii="Times New Roman" w:hAnsi="Times New Roman" w:cs="Times New Roman"/>
          <w:i/>
          <w:iCs/>
          <w:vertAlign w:val="subscript"/>
        </w:rPr>
        <w:t>syn</w:t>
      </w:r>
      <w:r>
        <w:rPr>
          <w:rFonts w:ascii="Times New Roman" w:hAnsi="Times New Roman" w:cs="Times New Roman"/>
        </w:rPr>
        <w:t xml:space="preserve">. This </w:t>
      </w:r>
      <w:r w:rsidRPr="00C718B7">
        <w:rPr>
          <w:rFonts w:ascii="Times New Roman" w:hAnsi="Times New Roman" w:cs="Times New Roman"/>
        </w:rPr>
        <w:t xml:space="preserve">could suggest that (p)ppGpp produced by RelP and RelQ is sufficient to compensate for the absence of Rel </w:t>
      </w:r>
      <w:r w:rsidRPr="00C718B7">
        <w:rPr>
          <w:rFonts w:ascii="Times New Roman" w:hAnsi="Times New Roman" w:cs="Times New Roman"/>
          <w:b/>
          <w:bCs/>
        </w:rPr>
        <w:t>(Fig. 5.</w:t>
      </w:r>
      <w:r>
        <w:rPr>
          <w:rFonts w:ascii="Times New Roman" w:hAnsi="Times New Roman" w:cs="Times New Roman"/>
          <w:b/>
          <w:bCs/>
        </w:rPr>
        <w:t>8</w:t>
      </w:r>
      <w:r w:rsidRPr="00C718B7">
        <w:rPr>
          <w:rFonts w:ascii="Times New Roman" w:hAnsi="Times New Roman" w:cs="Times New Roman"/>
          <w:b/>
          <w:bCs/>
        </w:rPr>
        <w:t xml:space="preserve">.1b). </w:t>
      </w:r>
      <w:r w:rsidRPr="00C718B7">
        <w:rPr>
          <w:rFonts w:ascii="Times New Roman" w:hAnsi="Times New Roman" w:cs="Times New Roman"/>
        </w:rPr>
        <w:t xml:space="preserve">Additionally, </w:t>
      </w:r>
      <w:r w:rsidRPr="00C718B7">
        <w:rPr>
          <w:rFonts w:ascii="Times New Roman" w:hAnsi="Times New Roman" w:cs="Times New Roman"/>
          <w:b/>
          <w:bCs/>
        </w:rPr>
        <w:t>Figure 5.</w:t>
      </w:r>
      <w:r>
        <w:rPr>
          <w:rFonts w:ascii="Times New Roman" w:hAnsi="Times New Roman" w:cs="Times New Roman"/>
          <w:b/>
          <w:bCs/>
        </w:rPr>
        <w:t>5</w:t>
      </w:r>
      <w:r w:rsidRPr="00C718B7">
        <w:rPr>
          <w:rFonts w:ascii="Times New Roman" w:hAnsi="Times New Roman" w:cs="Times New Roman"/>
          <w:b/>
          <w:bCs/>
        </w:rPr>
        <w:t xml:space="preserve">.1b </w:t>
      </w:r>
      <w:r w:rsidRPr="00C718B7">
        <w:rPr>
          <w:rFonts w:ascii="Times New Roman" w:hAnsi="Times New Roman" w:cs="Times New Roman"/>
        </w:rPr>
        <w:t xml:space="preserve">demonstrated that </w:t>
      </w:r>
      <w:r>
        <w:rPr>
          <w:rFonts w:ascii="Times New Roman" w:hAnsi="Times New Roman" w:cs="Times New Roman"/>
        </w:rPr>
        <w:t>JE2</w:t>
      </w:r>
      <w:r w:rsidRPr="00C718B7">
        <w:rPr>
          <w:rFonts w:ascii="Times New Roman" w:hAnsi="Times New Roman" w:cs="Times New Roman"/>
        </w:rPr>
        <w:t xml:space="preserve"> WT does not kill 50% of </w:t>
      </w:r>
      <w:r>
        <w:rPr>
          <w:rFonts w:ascii="Times New Roman" w:hAnsi="Times New Roman" w:cs="Times New Roman"/>
        </w:rPr>
        <w:t xml:space="preserve">infected </w:t>
      </w:r>
      <w:r w:rsidRPr="00C718B7">
        <w:rPr>
          <w:rFonts w:ascii="Times New Roman" w:hAnsi="Times New Roman" w:cs="Times New Roman"/>
        </w:rPr>
        <w:t xml:space="preserve">embryos </w:t>
      </w:r>
      <w:r>
        <w:rPr>
          <w:rFonts w:ascii="Times New Roman" w:hAnsi="Times New Roman" w:cs="Times New Roman"/>
        </w:rPr>
        <w:t>when injected with 550 CFU</w:t>
      </w:r>
      <w:r w:rsidRPr="00C718B7">
        <w:rPr>
          <w:rFonts w:ascii="Times New Roman" w:hAnsi="Times New Roman" w:cs="Times New Roman"/>
        </w:rPr>
        <w:t xml:space="preserve">, as LAC* has previously been shown to do. In </w:t>
      </w:r>
      <w:r w:rsidRPr="00C718B7">
        <w:rPr>
          <w:rFonts w:ascii="Times New Roman" w:hAnsi="Times New Roman" w:cs="Times New Roman"/>
          <w:b/>
          <w:bCs/>
        </w:rPr>
        <w:t>Figure 5.</w:t>
      </w:r>
      <w:r>
        <w:rPr>
          <w:rFonts w:ascii="Times New Roman" w:hAnsi="Times New Roman" w:cs="Times New Roman"/>
          <w:b/>
          <w:bCs/>
        </w:rPr>
        <w:t>8</w:t>
      </w:r>
      <w:r w:rsidRPr="00C718B7">
        <w:rPr>
          <w:rFonts w:ascii="Times New Roman" w:hAnsi="Times New Roman" w:cs="Times New Roman"/>
          <w:b/>
          <w:bCs/>
        </w:rPr>
        <w:t>.1b</w:t>
      </w:r>
      <w:r w:rsidRPr="00C718B7">
        <w:rPr>
          <w:rFonts w:ascii="Times New Roman" w:hAnsi="Times New Roman" w:cs="Times New Roman"/>
        </w:rPr>
        <w:t>, the dose required of LAC* strains was</w:t>
      </w:r>
      <w:r>
        <w:rPr>
          <w:rFonts w:ascii="Times New Roman" w:hAnsi="Times New Roman" w:cs="Times New Roman"/>
        </w:rPr>
        <w:t xml:space="preserve"> </w:t>
      </w:r>
      <w:r w:rsidRPr="00C718B7">
        <w:rPr>
          <w:rFonts w:ascii="Times New Roman" w:hAnsi="Times New Roman" w:cs="Times New Roman"/>
        </w:rPr>
        <w:t xml:space="preserve">1500 CFU/nl, measuring at approximately half the dose required for JE2 strains, confirming that LAC* is more virulent than JE2 and the two plasmids it harbours in comparison to JE2 </w:t>
      </w:r>
      <w:r w:rsidR="00E059AC">
        <w:rPr>
          <w:rFonts w:ascii="Times New Roman" w:hAnsi="Times New Roman" w:cs="Times New Roman"/>
        </w:rPr>
        <w:t>may indeed</w:t>
      </w:r>
      <w:r w:rsidRPr="00C718B7">
        <w:rPr>
          <w:rFonts w:ascii="Times New Roman" w:hAnsi="Times New Roman" w:cs="Times New Roman"/>
        </w:rPr>
        <w:t xml:space="preserve"> confer virulence. </w:t>
      </w:r>
    </w:p>
    <w:p w14:paraId="518CF6CF" w14:textId="77777777" w:rsidR="00187693" w:rsidRPr="00EE397A" w:rsidRDefault="00187693" w:rsidP="00187693">
      <w:pPr>
        <w:spacing w:before="240" w:line="360" w:lineRule="auto"/>
        <w:ind w:firstLine="720"/>
        <w:jc w:val="both"/>
        <w:rPr>
          <w:rFonts w:ascii="Times New Roman" w:hAnsi="Times New Roman" w:cs="Times New Roman"/>
        </w:rPr>
      </w:pPr>
      <w:r w:rsidRPr="00EE397A">
        <w:rPr>
          <w:rFonts w:ascii="Times New Roman" w:hAnsi="Times New Roman" w:cs="Times New Roman"/>
        </w:rPr>
        <w:t xml:space="preserve">In order to </w:t>
      </w:r>
      <w:r>
        <w:rPr>
          <w:rFonts w:ascii="Times New Roman" w:hAnsi="Times New Roman" w:cs="Times New Roman"/>
        </w:rPr>
        <w:t>further study</w:t>
      </w:r>
      <w:r w:rsidRPr="00EE397A">
        <w:rPr>
          <w:rFonts w:ascii="Times New Roman" w:hAnsi="Times New Roman" w:cs="Times New Roman"/>
        </w:rPr>
        <w:t xml:space="preserve"> the role of each synthetase</w:t>
      </w:r>
      <w:r>
        <w:rPr>
          <w:rFonts w:ascii="Times New Roman" w:hAnsi="Times New Roman" w:cs="Times New Roman"/>
        </w:rPr>
        <w:t xml:space="preserve"> during infection</w:t>
      </w:r>
      <w:r w:rsidRPr="00EE397A">
        <w:rPr>
          <w:rFonts w:ascii="Times New Roman" w:hAnsi="Times New Roman" w:cs="Times New Roman"/>
        </w:rPr>
        <w:t xml:space="preserve">, </w:t>
      </w:r>
      <w:r w:rsidRPr="00EE397A">
        <w:rPr>
          <w:rFonts w:ascii="Times New Roman" w:hAnsi="Times New Roman" w:cs="Times New Roman"/>
          <w:i/>
          <w:iCs/>
        </w:rPr>
        <w:t>rel</w:t>
      </w:r>
      <w:r w:rsidRPr="00EE397A">
        <w:rPr>
          <w:rFonts w:ascii="Times New Roman" w:hAnsi="Times New Roman" w:cs="Times New Roman"/>
        </w:rPr>
        <w:t xml:space="preserve"> was first complemented in a (p)ppGpp</w:t>
      </w:r>
      <w:r w:rsidRPr="00EE397A">
        <w:rPr>
          <w:rFonts w:ascii="Times New Roman" w:hAnsi="Times New Roman" w:cs="Times New Roman"/>
          <w:vertAlign w:val="superscript"/>
        </w:rPr>
        <w:t>0</w:t>
      </w:r>
      <w:r w:rsidRPr="00EE397A">
        <w:rPr>
          <w:rFonts w:ascii="Times New Roman" w:hAnsi="Times New Roman" w:cs="Times New Roman"/>
        </w:rPr>
        <w:t xml:space="preserve"> mutant background, which resulted in killing similar to WT </w:t>
      </w:r>
      <w:r w:rsidRPr="00EE397A">
        <w:rPr>
          <w:rFonts w:ascii="Times New Roman" w:hAnsi="Times New Roman" w:cs="Times New Roman"/>
          <w:b/>
          <w:bCs/>
        </w:rPr>
        <w:t>(Fig. 5.</w:t>
      </w:r>
      <w:r>
        <w:rPr>
          <w:rFonts w:ascii="Times New Roman" w:hAnsi="Times New Roman" w:cs="Times New Roman"/>
          <w:b/>
          <w:bCs/>
        </w:rPr>
        <w:t>8</w:t>
      </w:r>
      <w:r w:rsidRPr="00EE397A">
        <w:rPr>
          <w:rFonts w:ascii="Times New Roman" w:hAnsi="Times New Roman" w:cs="Times New Roman"/>
          <w:b/>
          <w:bCs/>
        </w:rPr>
        <w:t xml:space="preserve">.1c). </w:t>
      </w:r>
      <w:r w:rsidRPr="00EE397A">
        <w:rPr>
          <w:rFonts w:ascii="Times New Roman" w:hAnsi="Times New Roman" w:cs="Times New Roman"/>
        </w:rPr>
        <w:t>This is comparable to the killing observed by ∆</w:t>
      </w:r>
      <w:r w:rsidRPr="00EE397A">
        <w:rPr>
          <w:rFonts w:ascii="Times New Roman" w:hAnsi="Times New Roman" w:cs="Times New Roman"/>
          <w:i/>
          <w:iCs/>
        </w:rPr>
        <w:t xml:space="preserve">relQP </w:t>
      </w:r>
      <w:r w:rsidRPr="00EE397A">
        <w:rPr>
          <w:rFonts w:ascii="Times New Roman" w:hAnsi="Times New Roman" w:cs="Times New Roman"/>
        </w:rPr>
        <w:t xml:space="preserve">in </w:t>
      </w:r>
      <w:r w:rsidRPr="00EE397A">
        <w:rPr>
          <w:rFonts w:ascii="Times New Roman" w:hAnsi="Times New Roman" w:cs="Times New Roman"/>
          <w:b/>
          <w:bCs/>
        </w:rPr>
        <w:t>Figure 5.</w:t>
      </w:r>
      <w:r>
        <w:rPr>
          <w:rFonts w:ascii="Times New Roman" w:hAnsi="Times New Roman" w:cs="Times New Roman"/>
          <w:b/>
          <w:bCs/>
        </w:rPr>
        <w:t>8</w:t>
      </w:r>
      <w:r w:rsidRPr="00EE397A">
        <w:rPr>
          <w:rFonts w:ascii="Times New Roman" w:hAnsi="Times New Roman" w:cs="Times New Roman"/>
          <w:b/>
          <w:bCs/>
        </w:rPr>
        <w:t>.1a</w:t>
      </w:r>
      <w:r w:rsidRPr="00EE397A">
        <w:rPr>
          <w:rFonts w:ascii="Times New Roman" w:hAnsi="Times New Roman" w:cs="Times New Roman"/>
        </w:rPr>
        <w:t xml:space="preserve">, confirming the importance of Rel </w:t>
      </w:r>
      <w:r w:rsidRPr="00EE397A">
        <w:rPr>
          <w:rFonts w:ascii="Times New Roman" w:hAnsi="Times New Roman" w:cs="Times New Roman"/>
          <w:i/>
          <w:iCs/>
        </w:rPr>
        <w:t xml:space="preserve">in vivo </w:t>
      </w:r>
      <w:r w:rsidRPr="00EE397A">
        <w:rPr>
          <w:rFonts w:ascii="Times New Roman" w:hAnsi="Times New Roman" w:cs="Times New Roman"/>
        </w:rPr>
        <w:t xml:space="preserve">as shown previously </w:t>
      </w:r>
      <w:r w:rsidRPr="00EE397A">
        <w:rPr>
          <w:rFonts w:ascii="Times New Roman" w:hAnsi="Times New Roman" w:cs="Times New Roman"/>
          <w:b/>
          <w:bCs/>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PiBldCBhbC48L3N0eWxlPiwgMjAxMDsgTWFuc291cjxzdHlsZSBmYWNlPSJpdGFsaWMiPiBldCBh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==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PiBldCBhbC48L3N0eWxlPiwgMjAxMDsgTWFuc291cjxzdHlsZSBmYWNlPSJpdGFsaWMiPiBldCBh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==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EE397A">
        <w:rPr>
          <w:rFonts w:ascii="Times New Roman" w:hAnsi="Times New Roman" w:cs="Times New Roman"/>
          <w:b/>
          <w:bCs/>
        </w:rPr>
      </w:r>
      <w:r w:rsidRPr="00EE397A">
        <w:rPr>
          <w:rFonts w:ascii="Times New Roman" w:hAnsi="Times New Roman" w:cs="Times New Roman"/>
          <w:b/>
          <w:bCs/>
        </w:rPr>
        <w:fldChar w:fldCharType="separate"/>
      </w:r>
      <w:r>
        <w:rPr>
          <w:rFonts w:ascii="Times New Roman" w:hAnsi="Times New Roman" w:cs="Times New Roman"/>
          <w:b/>
          <w:bCs/>
          <w:noProof/>
        </w:rPr>
        <w:t>(Geiger</w:t>
      </w:r>
      <w:r w:rsidRPr="00F95468">
        <w:rPr>
          <w:rFonts w:ascii="Times New Roman" w:hAnsi="Times New Roman" w:cs="Times New Roman"/>
          <w:b/>
          <w:bCs/>
          <w:i/>
          <w:noProof/>
        </w:rPr>
        <w:t xml:space="preserve"> et al.</w:t>
      </w:r>
      <w:r>
        <w:rPr>
          <w:rFonts w:ascii="Times New Roman" w:hAnsi="Times New Roman" w:cs="Times New Roman"/>
          <w:b/>
          <w:bCs/>
          <w:noProof/>
        </w:rPr>
        <w:t>, 2010; Mansour</w:t>
      </w:r>
      <w:r w:rsidRPr="00F95468">
        <w:rPr>
          <w:rFonts w:ascii="Times New Roman" w:hAnsi="Times New Roman" w:cs="Times New Roman"/>
          <w:b/>
          <w:bCs/>
          <w:i/>
          <w:noProof/>
        </w:rPr>
        <w:t xml:space="preserve"> et al.</w:t>
      </w:r>
      <w:r>
        <w:rPr>
          <w:rFonts w:ascii="Times New Roman" w:hAnsi="Times New Roman" w:cs="Times New Roman"/>
          <w:b/>
          <w:bCs/>
          <w:noProof/>
        </w:rPr>
        <w:t>, 2016)</w:t>
      </w:r>
      <w:r w:rsidRPr="00EE397A">
        <w:rPr>
          <w:rFonts w:ascii="Times New Roman" w:hAnsi="Times New Roman" w:cs="Times New Roman"/>
          <w:b/>
          <w:bCs/>
        </w:rPr>
        <w:fldChar w:fldCharType="end"/>
      </w:r>
      <w:r w:rsidRPr="00EE397A">
        <w:rPr>
          <w:rFonts w:ascii="Times New Roman" w:hAnsi="Times New Roman" w:cs="Times New Roman"/>
        </w:rPr>
        <w:t xml:space="preserve">. In contrast, complementing </w:t>
      </w:r>
      <w:r w:rsidRPr="00EE397A">
        <w:rPr>
          <w:rFonts w:ascii="Times New Roman" w:hAnsi="Times New Roman" w:cs="Times New Roman"/>
          <w:i/>
          <w:iCs/>
        </w:rPr>
        <w:t>relP</w:t>
      </w:r>
      <w:r w:rsidRPr="00EE397A">
        <w:rPr>
          <w:rFonts w:ascii="Times New Roman" w:hAnsi="Times New Roman" w:cs="Times New Roman"/>
        </w:rPr>
        <w:t xml:space="preserve"> did not restore virulence and its ability to kill zebrafish embryos was indistinguishable from the (p)ppGpp</w:t>
      </w:r>
      <w:r w:rsidRPr="00EE397A">
        <w:rPr>
          <w:rFonts w:ascii="Times New Roman" w:hAnsi="Times New Roman" w:cs="Times New Roman"/>
          <w:vertAlign w:val="superscript"/>
        </w:rPr>
        <w:t>0</w:t>
      </w:r>
      <w:r w:rsidRPr="00EE397A">
        <w:rPr>
          <w:rFonts w:ascii="Times New Roman" w:hAnsi="Times New Roman" w:cs="Times New Roman"/>
        </w:rPr>
        <w:t xml:space="preserve"> mutant </w:t>
      </w:r>
      <w:r w:rsidRPr="00EE397A">
        <w:rPr>
          <w:rFonts w:ascii="Times New Roman" w:hAnsi="Times New Roman" w:cs="Times New Roman"/>
          <w:b/>
          <w:bCs/>
        </w:rPr>
        <w:t>(Fig. 5.</w:t>
      </w:r>
      <w:r>
        <w:rPr>
          <w:rFonts w:ascii="Times New Roman" w:hAnsi="Times New Roman" w:cs="Times New Roman"/>
          <w:b/>
          <w:bCs/>
        </w:rPr>
        <w:t>8</w:t>
      </w:r>
      <w:r w:rsidRPr="00EE397A">
        <w:rPr>
          <w:rFonts w:ascii="Times New Roman" w:hAnsi="Times New Roman" w:cs="Times New Roman"/>
          <w:b/>
          <w:bCs/>
        </w:rPr>
        <w:t>.1d)</w:t>
      </w:r>
      <w:r w:rsidRPr="00EE397A">
        <w:rPr>
          <w:rFonts w:ascii="Times New Roman" w:hAnsi="Times New Roman" w:cs="Times New Roman"/>
        </w:rPr>
        <w:t>, suggesting that the (p)ppGpp produced by RelP is not enough to compensate in the absence of both Rel and RelQ.</w:t>
      </w:r>
      <w:r>
        <w:rPr>
          <w:rFonts w:ascii="Times New Roman" w:hAnsi="Times New Roman" w:cs="Times New Roman"/>
        </w:rPr>
        <w:t xml:space="preserve"> In summary, the presence of Rel alone is sufficient for virulence during the systemic infection of zebrafish. RelP and RelQ together are also sufficient but the expression of RelP alone is not. It may be that all three (p)ppGpp synthetases are involved during infection, but Rel could have a greater role. In order to elucidate this, further research including complementing RelQ, is necessary.</w:t>
      </w:r>
    </w:p>
    <w:p w14:paraId="27E53912" w14:textId="77777777" w:rsidR="00187693" w:rsidRPr="00CA17EF" w:rsidRDefault="00187693" w:rsidP="00187693">
      <w:pPr>
        <w:spacing w:before="24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7693" w14:paraId="4EC3EF85" w14:textId="77777777" w:rsidTr="00A74445">
        <w:tc>
          <w:tcPr>
            <w:tcW w:w="9016" w:type="dxa"/>
          </w:tcPr>
          <w:p w14:paraId="1FCB2129" w14:textId="77777777" w:rsidR="00187693" w:rsidRDefault="00187693" w:rsidP="00A74445">
            <w:pPr>
              <w:spacing w:before="240"/>
              <w:jc w:val="both"/>
            </w:pPr>
            <w:r>
              <w:rPr>
                <w:noProof/>
              </w:rPr>
              <w:drawing>
                <wp:inline distT="0" distB="0" distL="0" distR="0" wp14:anchorId="25BED8AB" wp14:editId="258AE4A0">
                  <wp:extent cx="5468620" cy="88372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3295" cy="8844828"/>
                          </a:xfrm>
                          <a:prstGeom prst="rect">
                            <a:avLst/>
                          </a:prstGeom>
                          <a:noFill/>
                        </pic:spPr>
                      </pic:pic>
                    </a:graphicData>
                  </a:graphic>
                </wp:inline>
              </w:drawing>
            </w:r>
          </w:p>
        </w:tc>
      </w:tr>
      <w:tr w:rsidR="00187693" w14:paraId="24FD934F" w14:textId="77777777" w:rsidTr="00A74445">
        <w:tc>
          <w:tcPr>
            <w:tcW w:w="9016" w:type="dxa"/>
          </w:tcPr>
          <w:p w14:paraId="4DC8A20C" w14:textId="77777777" w:rsidR="00187693" w:rsidRPr="00282A6D" w:rsidRDefault="00187693" w:rsidP="00A74445">
            <w:pPr>
              <w:spacing w:before="240"/>
              <w:jc w:val="both"/>
              <w:rPr>
                <w:rFonts w:ascii="Times New Roman" w:hAnsi="Times New Roman" w:cs="Times New Roman"/>
              </w:rPr>
            </w:pPr>
            <w:r w:rsidRPr="00282A6D">
              <w:rPr>
                <w:rFonts w:ascii="Times New Roman" w:hAnsi="Times New Roman" w:cs="Times New Roman"/>
                <w:b/>
                <w:bCs/>
                <w:sz w:val="18"/>
                <w:szCs w:val="18"/>
              </w:rPr>
              <w:t>Figure 5.</w:t>
            </w:r>
            <w:r>
              <w:rPr>
                <w:rFonts w:ascii="Times New Roman" w:hAnsi="Times New Roman" w:cs="Times New Roman"/>
                <w:b/>
                <w:bCs/>
                <w:sz w:val="18"/>
                <w:szCs w:val="18"/>
              </w:rPr>
              <w:t>8</w:t>
            </w:r>
            <w:r w:rsidRPr="00282A6D">
              <w:rPr>
                <w:rFonts w:ascii="Times New Roman" w:hAnsi="Times New Roman" w:cs="Times New Roman"/>
                <w:b/>
                <w:bCs/>
                <w:sz w:val="18"/>
                <w:szCs w:val="18"/>
              </w:rPr>
              <w:t xml:space="preserve">.1. (p)ppGpp produced by Rel is important for </w:t>
            </w:r>
            <w:r w:rsidRPr="00282A6D">
              <w:rPr>
                <w:rFonts w:ascii="Times New Roman" w:hAnsi="Times New Roman" w:cs="Times New Roman"/>
                <w:b/>
                <w:bCs/>
                <w:i/>
                <w:iCs/>
                <w:sz w:val="18"/>
                <w:szCs w:val="18"/>
              </w:rPr>
              <w:t>S. aureus</w:t>
            </w:r>
            <w:r w:rsidRPr="00282A6D">
              <w:rPr>
                <w:rFonts w:ascii="Times New Roman" w:hAnsi="Times New Roman" w:cs="Times New Roman"/>
                <w:b/>
                <w:bCs/>
                <w:sz w:val="18"/>
                <w:szCs w:val="18"/>
              </w:rPr>
              <w:t xml:space="preserve"> virulence in a systemic zebrafish embryo infection model.</w:t>
            </w:r>
            <w:r w:rsidRPr="00282A6D">
              <w:rPr>
                <w:rFonts w:ascii="Times New Roman" w:hAnsi="Times New Roman" w:cs="Times New Roman"/>
                <w:sz w:val="18"/>
                <w:szCs w:val="18"/>
              </w:rPr>
              <w:t xml:space="preserve"> Survival of zebrafish embryos injected with </w:t>
            </w:r>
            <w:r w:rsidRPr="00282A6D">
              <w:rPr>
                <w:rFonts w:ascii="Times New Roman" w:hAnsi="Times New Roman" w:cs="Times New Roman"/>
                <w:i/>
                <w:iCs/>
                <w:sz w:val="18"/>
                <w:szCs w:val="18"/>
              </w:rPr>
              <w:t>S. aureus</w:t>
            </w:r>
            <w:r w:rsidRPr="00282A6D">
              <w:rPr>
                <w:rFonts w:ascii="Times New Roman" w:hAnsi="Times New Roman" w:cs="Times New Roman"/>
                <w:sz w:val="18"/>
                <w:szCs w:val="18"/>
              </w:rPr>
              <w:t xml:space="preserve"> at 30 hpf into the circulation. Survival was monitored until 93 hp</w:t>
            </w:r>
            <w:r>
              <w:rPr>
                <w:rFonts w:ascii="Times New Roman" w:hAnsi="Times New Roman" w:cs="Times New Roman"/>
                <w:sz w:val="18"/>
                <w:szCs w:val="18"/>
              </w:rPr>
              <w:t>i</w:t>
            </w:r>
            <w:r w:rsidRPr="00282A6D">
              <w:rPr>
                <w:rFonts w:ascii="Times New Roman" w:hAnsi="Times New Roman" w:cs="Times New Roman"/>
                <w:sz w:val="18"/>
                <w:szCs w:val="18"/>
              </w:rPr>
              <w:t xml:space="preserve"> when the embryos reached 5.2 days post fertilisation. </w:t>
            </w:r>
            <w:r w:rsidRPr="00282A6D">
              <w:rPr>
                <w:rFonts w:ascii="Times New Roman" w:hAnsi="Times New Roman" w:cs="Times New Roman"/>
                <w:b/>
                <w:bCs/>
                <w:sz w:val="18"/>
                <w:szCs w:val="18"/>
              </w:rPr>
              <w:t xml:space="preserve">a) </w:t>
            </w:r>
            <w:r w:rsidRPr="00282A6D">
              <w:rPr>
                <w:rFonts w:ascii="Times New Roman" w:hAnsi="Times New Roman" w:cs="Times New Roman"/>
                <w:sz w:val="18"/>
                <w:szCs w:val="18"/>
              </w:rPr>
              <w:t>Injection of JE2 WT (black), (p)ppGpp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 xml:space="preserve">(pink) and </w:t>
            </w:r>
            <w:r w:rsidRPr="00282A6D">
              <w:rPr>
                <w:rFonts w:ascii="Times New Roman" w:hAnsi="Times New Roman" w:cs="Times New Roman"/>
                <w:sz w:val="18"/>
                <w:szCs w:val="18"/>
                <w:lang w:val="en-US"/>
              </w:rPr>
              <w:t>∆</w:t>
            </w:r>
            <w:r w:rsidRPr="00282A6D">
              <w:rPr>
                <w:rFonts w:ascii="Times New Roman" w:hAnsi="Times New Roman" w:cs="Times New Roman"/>
                <w:i/>
                <w:iCs/>
                <w:sz w:val="18"/>
                <w:szCs w:val="18"/>
              </w:rPr>
              <w:t xml:space="preserve">relQP </w:t>
            </w:r>
            <w:r w:rsidRPr="00282A6D">
              <w:rPr>
                <w:rFonts w:ascii="Times New Roman" w:hAnsi="Times New Roman" w:cs="Times New Roman"/>
                <w:sz w:val="18"/>
                <w:szCs w:val="18"/>
              </w:rPr>
              <w:t xml:space="preserve">(green) (dose 3000-4000 CFU). </w:t>
            </w:r>
            <w:r w:rsidRPr="00282A6D">
              <w:rPr>
                <w:rFonts w:ascii="Times New Roman" w:hAnsi="Times New Roman" w:cs="Times New Roman"/>
                <w:b/>
                <w:bCs/>
                <w:sz w:val="18"/>
                <w:szCs w:val="18"/>
              </w:rPr>
              <w:t xml:space="preserve">b) </w:t>
            </w:r>
            <w:r w:rsidRPr="00282A6D">
              <w:rPr>
                <w:rFonts w:ascii="Times New Roman" w:hAnsi="Times New Roman" w:cs="Times New Roman"/>
                <w:sz w:val="18"/>
                <w:szCs w:val="18"/>
              </w:rPr>
              <w:t xml:space="preserve">Injection of LAC* WT (black) and </w:t>
            </w:r>
            <w:r w:rsidRPr="00282A6D">
              <w:rPr>
                <w:rFonts w:ascii="Times New Roman" w:hAnsi="Times New Roman" w:cs="Times New Roman"/>
                <w:sz w:val="18"/>
                <w:szCs w:val="18"/>
                <w:lang w:val="en-US"/>
              </w:rPr>
              <w:t>LAC*</w:t>
            </w:r>
            <w:r w:rsidRPr="00282A6D">
              <w:rPr>
                <w:rFonts w:ascii="Times New Roman" w:hAnsi="Times New Roman" w:cs="Times New Roman"/>
                <w:sz w:val="18"/>
                <w:szCs w:val="18"/>
              </w:rPr>
              <w:t xml:space="preserve"> </w:t>
            </w:r>
            <w:r w:rsidRPr="00282A6D">
              <w:rPr>
                <w:rFonts w:ascii="Times New Roman" w:hAnsi="Times New Roman" w:cs="Times New Roman"/>
                <w:i/>
                <w:iCs/>
                <w:sz w:val="18"/>
                <w:szCs w:val="18"/>
              </w:rPr>
              <w:t>rel</w:t>
            </w:r>
            <w:r w:rsidRPr="00282A6D">
              <w:rPr>
                <w:rFonts w:ascii="Times New Roman" w:hAnsi="Times New Roman" w:cs="Times New Roman"/>
                <w:i/>
                <w:iCs/>
                <w:sz w:val="18"/>
                <w:szCs w:val="18"/>
                <w:vertAlign w:val="subscript"/>
              </w:rPr>
              <w:t xml:space="preserve">syn </w:t>
            </w:r>
            <w:r w:rsidRPr="00282A6D">
              <w:rPr>
                <w:rFonts w:ascii="Times New Roman" w:hAnsi="Times New Roman" w:cs="Times New Roman"/>
                <w:sz w:val="18"/>
                <w:szCs w:val="18"/>
              </w:rPr>
              <w:t>(orange) (dose 1500 CF</w:t>
            </w:r>
            <w:r>
              <w:rPr>
                <w:rFonts w:ascii="Times New Roman" w:hAnsi="Times New Roman" w:cs="Times New Roman"/>
                <w:sz w:val="18"/>
                <w:szCs w:val="18"/>
              </w:rPr>
              <w:t>U</w:t>
            </w:r>
            <w:r w:rsidRPr="00282A6D">
              <w:rPr>
                <w:rFonts w:ascii="Times New Roman" w:hAnsi="Times New Roman" w:cs="Times New Roman"/>
                <w:sz w:val="18"/>
                <w:szCs w:val="18"/>
              </w:rPr>
              <w:t xml:space="preserve">). </w:t>
            </w:r>
            <w:r w:rsidRPr="00282A6D">
              <w:rPr>
                <w:rFonts w:ascii="Times New Roman" w:hAnsi="Times New Roman" w:cs="Times New Roman"/>
                <w:b/>
                <w:bCs/>
                <w:sz w:val="18"/>
                <w:szCs w:val="18"/>
              </w:rPr>
              <w:t xml:space="preserve">c) </w:t>
            </w:r>
            <w:r w:rsidRPr="00282A6D">
              <w:rPr>
                <w:rFonts w:ascii="Times New Roman" w:hAnsi="Times New Roman" w:cs="Times New Roman"/>
                <w:sz w:val="18"/>
                <w:szCs w:val="18"/>
              </w:rPr>
              <w:t>Injection of JE2 pCL55-iTET</w:t>
            </w:r>
            <w:r w:rsidRPr="00282A6D">
              <w:rPr>
                <w:rFonts w:ascii="Times New Roman" w:hAnsi="Times New Roman" w:cs="Times New Roman"/>
                <w:sz w:val="18"/>
                <w:szCs w:val="18"/>
                <w:vertAlign w:val="subscript"/>
              </w:rPr>
              <w:t xml:space="preserve">r862 </w:t>
            </w:r>
            <w:r w:rsidRPr="00282A6D">
              <w:rPr>
                <w:rFonts w:ascii="Times New Roman" w:hAnsi="Times New Roman" w:cs="Times New Roman"/>
                <w:sz w:val="18"/>
                <w:szCs w:val="18"/>
              </w:rPr>
              <w:t>(black), (p)ppGpp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 xml:space="preserve">r862 </w:t>
            </w:r>
            <w:r w:rsidRPr="00282A6D">
              <w:rPr>
                <w:rFonts w:ascii="Times New Roman" w:hAnsi="Times New Roman" w:cs="Times New Roman"/>
                <w:sz w:val="18"/>
                <w:szCs w:val="18"/>
              </w:rPr>
              <w:t>(pink) and (p)ppGpp</w:t>
            </w:r>
            <w:r w:rsidRPr="00282A6D">
              <w:rPr>
                <w:rFonts w:ascii="Times New Roman" w:hAnsi="Times New Roman" w:cs="Times New Roman"/>
                <w:sz w:val="18"/>
                <w:szCs w:val="18"/>
                <w:vertAlign w:val="superscript"/>
              </w:rPr>
              <w:t>0</w:t>
            </w:r>
            <w:r w:rsidRPr="00282A6D">
              <w:rPr>
                <w:rFonts w:ascii="Times New Roman" w:hAnsi="Times New Roman" w:cs="Times New Roman"/>
                <w:sz w:val="18"/>
                <w:szCs w:val="18"/>
              </w:rPr>
              <w:t xml:space="preserve">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w:t>
            </w:r>
            <w:r w:rsidRPr="00282A6D">
              <w:rPr>
                <w:rFonts w:ascii="Times New Roman" w:hAnsi="Times New Roman" w:cs="Times New Roman"/>
                <w:sz w:val="18"/>
                <w:szCs w:val="18"/>
              </w:rPr>
              <w:t xml:space="preserve"> (purple) (dose 3000-4000 CFU). </w:t>
            </w:r>
            <w:r w:rsidRPr="00282A6D">
              <w:rPr>
                <w:rFonts w:ascii="Times New Roman" w:hAnsi="Times New Roman" w:cs="Times New Roman"/>
                <w:b/>
                <w:bCs/>
                <w:sz w:val="18"/>
                <w:szCs w:val="18"/>
              </w:rPr>
              <w:t xml:space="preserve">d) </w:t>
            </w:r>
            <w:r w:rsidRPr="00282A6D">
              <w:rPr>
                <w:rFonts w:ascii="Times New Roman" w:hAnsi="Times New Roman" w:cs="Times New Roman"/>
                <w:sz w:val="18"/>
                <w:szCs w:val="18"/>
              </w:rPr>
              <w:t>Injection of JE2 pCL55-iTET</w:t>
            </w:r>
            <w:r w:rsidRPr="00282A6D">
              <w:rPr>
                <w:rFonts w:ascii="Times New Roman" w:hAnsi="Times New Roman" w:cs="Times New Roman"/>
                <w:sz w:val="18"/>
                <w:szCs w:val="18"/>
                <w:vertAlign w:val="subscript"/>
              </w:rPr>
              <w:t xml:space="preserve">r862 </w:t>
            </w:r>
            <w:r w:rsidRPr="00282A6D">
              <w:rPr>
                <w:rFonts w:ascii="Times New Roman" w:hAnsi="Times New Roman" w:cs="Times New Roman"/>
                <w:sz w:val="18"/>
                <w:szCs w:val="18"/>
              </w:rPr>
              <w:t>(black), (p)ppGpp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 xml:space="preserve"> (pink) and (p)ppGpp</w:t>
            </w:r>
            <w:r w:rsidRPr="00282A6D">
              <w:rPr>
                <w:rFonts w:ascii="Times New Roman" w:hAnsi="Times New Roman" w:cs="Times New Roman"/>
                <w:sz w:val="18"/>
                <w:szCs w:val="18"/>
                <w:vertAlign w:val="superscript"/>
              </w:rPr>
              <w:t>0</w:t>
            </w:r>
            <w:r w:rsidRPr="00282A6D">
              <w:rPr>
                <w:rFonts w:ascii="Times New Roman" w:hAnsi="Times New Roman" w:cs="Times New Roman"/>
                <w:sz w:val="18"/>
                <w:szCs w:val="18"/>
              </w:rPr>
              <w:t xml:space="preserve">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relP</w:t>
            </w:r>
            <w:r w:rsidRPr="00282A6D">
              <w:rPr>
                <w:rFonts w:ascii="Times New Roman" w:hAnsi="Times New Roman" w:cs="Times New Roman"/>
                <w:sz w:val="18"/>
                <w:szCs w:val="18"/>
              </w:rPr>
              <w:t xml:space="preserve"> (blue) (dose 3000-4000 CFU). </w:t>
            </w:r>
            <w:r w:rsidRPr="00282A6D">
              <w:rPr>
                <w:rFonts w:ascii="Times New Roman" w:hAnsi="Times New Roman" w:cs="Times New Roman"/>
                <w:b/>
                <w:bCs/>
                <w:sz w:val="18"/>
                <w:szCs w:val="18"/>
              </w:rPr>
              <w:t xml:space="preserve">a) </w:t>
            </w:r>
            <w:r w:rsidRPr="00282A6D">
              <w:rPr>
                <w:rFonts w:ascii="Times New Roman" w:hAnsi="Times New Roman" w:cs="Times New Roman"/>
                <w:sz w:val="18"/>
                <w:szCs w:val="18"/>
                <w:lang w:val="en-US"/>
              </w:rPr>
              <w:t xml:space="preserve">Pairwise comparisons (log-rank (Mantel-Cox) test) were as follows: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lang w:val="en-US"/>
              </w:rPr>
              <w:t xml:space="preserve">vs </w:t>
            </w:r>
            <w:r w:rsidRPr="00282A6D">
              <w:rPr>
                <w:rFonts w:ascii="Times New Roman" w:hAnsi="Times New Roman" w:cs="Times New Roman"/>
                <w:sz w:val="18"/>
                <w:szCs w:val="18"/>
              </w:rPr>
              <w:t>JE2 WT</w:t>
            </w:r>
            <w:r w:rsidRPr="00282A6D">
              <w:rPr>
                <w:rFonts w:ascii="Times New Roman" w:hAnsi="Times New Roman" w:cs="Times New Roman"/>
                <w:sz w:val="18"/>
                <w:szCs w:val="18"/>
                <w:lang w:val="en-US"/>
              </w:rPr>
              <w:t xml:space="preserve">, **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0.0027; ∆</w:t>
            </w:r>
            <w:r w:rsidRPr="00282A6D">
              <w:rPr>
                <w:rFonts w:ascii="Times New Roman" w:hAnsi="Times New Roman" w:cs="Times New Roman"/>
                <w:i/>
                <w:iCs/>
                <w:sz w:val="18"/>
                <w:szCs w:val="18"/>
              </w:rPr>
              <w:t>relQP</w:t>
            </w:r>
            <w:r w:rsidRPr="00282A6D">
              <w:rPr>
                <w:rFonts w:ascii="Times New Roman" w:hAnsi="Times New Roman" w:cs="Times New Roman"/>
                <w:sz w:val="18"/>
                <w:szCs w:val="18"/>
              </w:rPr>
              <w:t xml:space="preserve"> vs JE2 WT</w:t>
            </w:r>
            <w:r w:rsidRPr="00282A6D">
              <w:rPr>
                <w:rFonts w:ascii="Times New Roman" w:hAnsi="Times New Roman" w:cs="Times New Roman"/>
                <w:sz w:val="18"/>
                <w:szCs w:val="18"/>
                <w:lang w:val="en-US"/>
              </w:rPr>
              <w:t xml:space="preserve">, ns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0.5358;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 xml:space="preserve">vs </w:t>
            </w:r>
            <w:r w:rsidRPr="00282A6D">
              <w:rPr>
                <w:rFonts w:ascii="Times New Roman" w:hAnsi="Times New Roman" w:cs="Times New Roman"/>
                <w:sz w:val="18"/>
                <w:szCs w:val="18"/>
                <w:lang w:val="en-US"/>
              </w:rPr>
              <w:t>∆</w:t>
            </w:r>
            <w:r w:rsidRPr="00282A6D">
              <w:rPr>
                <w:rFonts w:ascii="Times New Roman" w:hAnsi="Times New Roman" w:cs="Times New Roman"/>
                <w:i/>
                <w:iCs/>
                <w:sz w:val="18"/>
                <w:szCs w:val="18"/>
              </w:rPr>
              <w:t xml:space="preserve">relQP, </w:t>
            </w:r>
            <w:r w:rsidRPr="00282A6D">
              <w:rPr>
                <w:rFonts w:ascii="Times New Roman" w:hAnsi="Times New Roman" w:cs="Times New Roman"/>
                <w:sz w:val="18"/>
                <w:szCs w:val="18"/>
              </w:rPr>
              <w:t xml:space="preserve">**** </w:t>
            </w:r>
            <w:r w:rsidRPr="00282A6D">
              <w:rPr>
                <w:rFonts w:ascii="Times New Roman" w:hAnsi="Times New Roman" w:cs="Times New Roman"/>
                <w:i/>
                <w:iCs/>
                <w:sz w:val="18"/>
                <w:szCs w:val="18"/>
              </w:rPr>
              <w:t xml:space="preserve">P &lt; </w:t>
            </w:r>
            <w:r w:rsidRPr="00282A6D">
              <w:rPr>
                <w:rFonts w:ascii="Times New Roman" w:hAnsi="Times New Roman" w:cs="Times New Roman"/>
                <w:sz w:val="18"/>
                <w:szCs w:val="18"/>
              </w:rPr>
              <w:t xml:space="preserve">0.0001. </w:t>
            </w:r>
            <w:r w:rsidRPr="00282A6D">
              <w:rPr>
                <w:rFonts w:ascii="Times New Roman" w:hAnsi="Times New Roman" w:cs="Times New Roman"/>
                <w:b/>
                <w:bCs/>
                <w:sz w:val="18"/>
                <w:szCs w:val="18"/>
              </w:rPr>
              <w:t xml:space="preserve">b) </w:t>
            </w:r>
            <w:r w:rsidRPr="00282A6D">
              <w:rPr>
                <w:rFonts w:ascii="Times New Roman" w:hAnsi="Times New Roman" w:cs="Times New Roman"/>
                <w:sz w:val="18"/>
                <w:szCs w:val="18"/>
                <w:lang w:val="en-US"/>
              </w:rPr>
              <w:t>Pairwise comparisons (log-rank (Mantel-Cox) test) were as follows: LAC* WT vs LAC*</w:t>
            </w:r>
            <w:r w:rsidRPr="00282A6D">
              <w:rPr>
                <w:rFonts w:ascii="Times New Roman" w:hAnsi="Times New Roman" w:cs="Times New Roman"/>
                <w:sz w:val="18"/>
                <w:szCs w:val="18"/>
              </w:rPr>
              <w:t xml:space="preserve"> </w:t>
            </w:r>
            <w:r w:rsidRPr="00282A6D">
              <w:rPr>
                <w:rFonts w:ascii="Times New Roman" w:hAnsi="Times New Roman" w:cs="Times New Roman"/>
                <w:i/>
                <w:iCs/>
                <w:sz w:val="18"/>
                <w:szCs w:val="18"/>
              </w:rPr>
              <w:t>rel</w:t>
            </w:r>
            <w:r w:rsidRPr="00282A6D">
              <w:rPr>
                <w:rFonts w:ascii="Times New Roman" w:hAnsi="Times New Roman" w:cs="Times New Roman"/>
                <w:i/>
                <w:iCs/>
                <w:sz w:val="18"/>
                <w:szCs w:val="18"/>
                <w:vertAlign w:val="subscript"/>
              </w:rPr>
              <w:t>syn</w:t>
            </w:r>
            <w:r w:rsidRPr="00282A6D">
              <w:rPr>
                <w:rFonts w:ascii="Times New Roman" w:hAnsi="Times New Roman" w:cs="Times New Roman"/>
                <w:sz w:val="18"/>
                <w:szCs w:val="18"/>
              </w:rPr>
              <w:t xml:space="preserve">, </w:t>
            </w:r>
            <w:r w:rsidRPr="00282A6D">
              <w:rPr>
                <w:rFonts w:ascii="Times New Roman" w:hAnsi="Times New Roman" w:cs="Times New Roman"/>
                <w:sz w:val="18"/>
                <w:szCs w:val="18"/>
                <w:lang w:val="en-US"/>
              </w:rPr>
              <w:t xml:space="preserve">ns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0.1499. </w:t>
            </w:r>
            <w:r w:rsidRPr="00282A6D">
              <w:rPr>
                <w:rFonts w:ascii="Times New Roman" w:hAnsi="Times New Roman" w:cs="Times New Roman"/>
                <w:b/>
                <w:bCs/>
                <w:sz w:val="18"/>
                <w:szCs w:val="18"/>
                <w:lang w:val="en-US"/>
              </w:rPr>
              <w:t xml:space="preserve">c) </w:t>
            </w:r>
            <w:r w:rsidRPr="00282A6D">
              <w:rPr>
                <w:rFonts w:ascii="Times New Roman" w:hAnsi="Times New Roman" w:cs="Times New Roman"/>
                <w:sz w:val="18"/>
                <w:szCs w:val="18"/>
                <w:lang w:val="en-US"/>
              </w:rPr>
              <w:t xml:space="preserve">Pairwise comparisons (log-rank (Mantel-Cox) test) were as follows: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 xml:space="preserve"> </w:t>
            </w:r>
            <w:r w:rsidRPr="00282A6D">
              <w:rPr>
                <w:rFonts w:ascii="Times New Roman" w:hAnsi="Times New Roman" w:cs="Times New Roman"/>
                <w:sz w:val="18"/>
                <w:szCs w:val="18"/>
                <w:lang w:val="en-US"/>
              </w:rPr>
              <w:t xml:space="preserve">vs </w:t>
            </w:r>
            <w:r w:rsidRPr="00282A6D">
              <w:rPr>
                <w:rFonts w:ascii="Times New Roman" w:hAnsi="Times New Roman" w:cs="Times New Roman"/>
                <w:sz w:val="18"/>
                <w:szCs w:val="18"/>
              </w:rPr>
              <w:t>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lang w:val="en-US"/>
              </w:rPr>
              <w:t xml:space="preserve">, ***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0.0002;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0</w:t>
            </w:r>
            <w:r w:rsidRPr="00282A6D">
              <w:rPr>
                <w:rFonts w:ascii="Times New Roman" w:hAnsi="Times New Roman" w:cs="Times New Roman"/>
                <w:sz w:val="18"/>
                <w:szCs w:val="18"/>
              </w:rPr>
              <w:t xml:space="preserve">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w:t>
            </w:r>
            <w:r w:rsidRPr="00282A6D">
              <w:rPr>
                <w:rFonts w:ascii="Times New Roman" w:hAnsi="Times New Roman" w:cs="Times New Roman"/>
                <w:sz w:val="18"/>
                <w:szCs w:val="18"/>
              </w:rPr>
              <w:t xml:space="preserve"> vs 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lang w:val="en-US"/>
              </w:rPr>
              <w:t xml:space="preserve">, ns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0.7305;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 xml:space="preserve">r862 </w:t>
            </w:r>
            <w:r w:rsidRPr="00282A6D">
              <w:rPr>
                <w:rFonts w:ascii="Times New Roman" w:hAnsi="Times New Roman" w:cs="Times New Roman"/>
                <w:sz w:val="18"/>
                <w:szCs w:val="18"/>
              </w:rPr>
              <w:t>vs (p)ppGpp</w:t>
            </w:r>
            <w:r w:rsidRPr="00282A6D">
              <w:rPr>
                <w:rFonts w:ascii="Times New Roman" w:hAnsi="Times New Roman" w:cs="Times New Roman"/>
                <w:sz w:val="18"/>
                <w:szCs w:val="18"/>
                <w:vertAlign w:val="superscript"/>
              </w:rPr>
              <w:t>0</w:t>
            </w:r>
            <w:r w:rsidRPr="00282A6D">
              <w:rPr>
                <w:rFonts w:ascii="Times New Roman" w:hAnsi="Times New Roman" w:cs="Times New Roman"/>
                <w:sz w:val="18"/>
                <w:szCs w:val="18"/>
              </w:rPr>
              <w:t xml:space="preserve">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 xml:space="preserve">rel, </w:t>
            </w:r>
            <w:r w:rsidRPr="00282A6D">
              <w:rPr>
                <w:rFonts w:ascii="Times New Roman" w:hAnsi="Times New Roman" w:cs="Times New Roman"/>
                <w:sz w:val="18"/>
                <w:szCs w:val="18"/>
              </w:rPr>
              <w:t xml:space="preserve">*** </w:t>
            </w:r>
            <w:r w:rsidRPr="00282A6D">
              <w:rPr>
                <w:rFonts w:ascii="Times New Roman" w:hAnsi="Times New Roman" w:cs="Times New Roman"/>
                <w:i/>
                <w:iCs/>
                <w:sz w:val="18"/>
                <w:szCs w:val="18"/>
              </w:rPr>
              <w:t xml:space="preserve">P = </w:t>
            </w:r>
            <w:r w:rsidRPr="00282A6D">
              <w:rPr>
                <w:rFonts w:ascii="Times New Roman" w:hAnsi="Times New Roman" w:cs="Times New Roman"/>
                <w:sz w:val="18"/>
                <w:szCs w:val="18"/>
              </w:rPr>
              <w:t xml:space="preserve">0.0007. </w:t>
            </w:r>
            <w:r w:rsidRPr="00282A6D">
              <w:rPr>
                <w:rFonts w:ascii="Times New Roman" w:hAnsi="Times New Roman" w:cs="Times New Roman"/>
                <w:b/>
                <w:bCs/>
                <w:sz w:val="18"/>
                <w:szCs w:val="18"/>
              </w:rPr>
              <w:t xml:space="preserve">d) </w:t>
            </w:r>
            <w:r w:rsidRPr="00282A6D">
              <w:rPr>
                <w:rFonts w:ascii="Times New Roman" w:hAnsi="Times New Roman" w:cs="Times New Roman"/>
                <w:sz w:val="18"/>
                <w:szCs w:val="18"/>
                <w:lang w:val="en-US"/>
              </w:rPr>
              <w:t xml:space="preserve">Pairwise comparisons (log-rank (Mantel-Cox) test) were as follows: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 xml:space="preserve"> </w:t>
            </w:r>
            <w:r w:rsidRPr="00282A6D">
              <w:rPr>
                <w:rFonts w:ascii="Times New Roman" w:hAnsi="Times New Roman" w:cs="Times New Roman"/>
                <w:sz w:val="18"/>
                <w:szCs w:val="18"/>
                <w:lang w:val="en-US"/>
              </w:rPr>
              <w:t xml:space="preserve">vs </w:t>
            </w:r>
            <w:r w:rsidRPr="00282A6D">
              <w:rPr>
                <w:rFonts w:ascii="Times New Roman" w:hAnsi="Times New Roman" w:cs="Times New Roman"/>
                <w:sz w:val="18"/>
                <w:szCs w:val="18"/>
              </w:rPr>
              <w:t>JE2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lang w:val="en-US"/>
              </w:rPr>
              <w:t xml:space="preserve">, **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xml:space="preserve">= 0.0073;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0</w:t>
            </w:r>
            <w:r w:rsidRPr="00282A6D">
              <w:rPr>
                <w:rFonts w:ascii="Times New Roman" w:hAnsi="Times New Roman" w:cs="Times New Roman"/>
                <w:sz w:val="18"/>
                <w:szCs w:val="18"/>
              </w:rPr>
              <w:t xml:space="preserve">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relP</w:t>
            </w:r>
            <w:r w:rsidRPr="00282A6D">
              <w:rPr>
                <w:rFonts w:ascii="Times New Roman" w:hAnsi="Times New Roman" w:cs="Times New Roman"/>
                <w:sz w:val="18"/>
                <w:szCs w:val="18"/>
              </w:rPr>
              <w:t xml:space="preserve"> vs JE2 pCL55-iTET</w:t>
            </w:r>
            <w:r w:rsidRPr="00282A6D">
              <w:rPr>
                <w:rFonts w:ascii="Times New Roman" w:hAnsi="Times New Roman" w:cs="Times New Roman"/>
                <w:sz w:val="18"/>
                <w:szCs w:val="18"/>
                <w:vertAlign w:val="subscript"/>
              </w:rPr>
              <w:t>r862</w:t>
            </w:r>
            <w:r w:rsidRPr="008908B9">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282A6D">
              <w:rPr>
                <w:rFonts w:ascii="Times New Roman" w:hAnsi="Times New Roman" w:cs="Times New Roman"/>
                <w:sz w:val="18"/>
                <w:szCs w:val="18"/>
              </w:rPr>
              <w:t xml:space="preserve">** </w:t>
            </w:r>
            <w:r w:rsidRPr="00282A6D">
              <w:rPr>
                <w:rFonts w:ascii="Times New Roman" w:hAnsi="Times New Roman" w:cs="Times New Roman"/>
                <w:i/>
                <w:iCs/>
                <w:sz w:val="18"/>
                <w:szCs w:val="18"/>
              </w:rPr>
              <w:t xml:space="preserve">P = </w:t>
            </w:r>
            <w:r w:rsidRPr="00282A6D">
              <w:rPr>
                <w:rFonts w:ascii="Times New Roman" w:hAnsi="Times New Roman" w:cs="Times New Roman"/>
                <w:sz w:val="18"/>
                <w:szCs w:val="18"/>
              </w:rPr>
              <w:t>0.0096</w:t>
            </w:r>
            <w:r>
              <w:rPr>
                <w:rFonts w:ascii="Times New Roman" w:hAnsi="Times New Roman" w:cs="Times New Roman"/>
                <w:sz w:val="18"/>
                <w:szCs w:val="18"/>
              </w:rPr>
              <w:t>;</w:t>
            </w:r>
            <w:r w:rsidRPr="00282A6D">
              <w:rPr>
                <w:rFonts w:ascii="Times New Roman" w:hAnsi="Times New Roman" w:cs="Times New Roman"/>
                <w:sz w:val="18"/>
                <w:szCs w:val="18"/>
                <w:lang w:val="en-US"/>
              </w:rPr>
              <w:t xml:space="preserve"> </w:t>
            </w:r>
            <w:r w:rsidRPr="00282A6D">
              <w:rPr>
                <w:rFonts w:ascii="Times New Roman" w:hAnsi="Times New Roman" w:cs="Times New Roman"/>
                <w:sz w:val="18"/>
                <w:szCs w:val="18"/>
              </w:rPr>
              <w:t>(p)ppGpp</w:t>
            </w:r>
            <w:r w:rsidRPr="00282A6D">
              <w:rPr>
                <w:rFonts w:ascii="Times New Roman" w:hAnsi="Times New Roman" w:cs="Times New Roman"/>
                <w:sz w:val="18"/>
                <w:szCs w:val="18"/>
                <w:vertAlign w:val="superscript"/>
              </w:rPr>
              <w:t xml:space="preserve">0 </w:t>
            </w:r>
            <w:r w:rsidRPr="00282A6D">
              <w:rPr>
                <w:rFonts w:ascii="Times New Roman" w:hAnsi="Times New Roman" w:cs="Times New Roman"/>
                <w:sz w:val="18"/>
                <w:szCs w:val="18"/>
              </w:rPr>
              <w:t>pCL55-iTET</w:t>
            </w:r>
            <w:r w:rsidRPr="00282A6D">
              <w:rPr>
                <w:rFonts w:ascii="Times New Roman" w:hAnsi="Times New Roman" w:cs="Times New Roman"/>
                <w:sz w:val="18"/>
                <w:szCs w:val="18"/>
                <w:vertAlign w:val="subscript"/>
              </w:rPr>
              <w:t xml:space="preserve">r862 </w:t>
            </w:r>
            <w:r w:rsidRPr="00282A6D">
              <w:rPr>
                <w:rFonts w:ascii="Times New Roman" w:hAnsi="Times New Roman" w:cs="Times New Roman"/>
                <w:sz w:val="18"/>
                <w:szCs w:val="18"/>
              </w:rPr>
              <w:t>vs (p)ppGpp</w:t>
            </w:r>
            <w:r w:rsidRPr="00282A6D">
              <w:rPr>
                <w:rFonts w:ascii="Times New Roman" w:hAnsi="Times New Roman" w:cs="Times New Roman"/>
                <w:sz w:val="18"/>
                <w:szCs w:val="18"/>
                <w:vertAlign w:val="superscript"/>
              </w:rPr>
              <w:t>0</w:t>
            </w:r>
            <w:r w:rsidRPr="00282A6D">
              <w:rPr>
                <w:rFonts w:ascii="Times New Roman" w:hAnsi="Times New Roman" w:cs="Times New Roman"/>
                <w:sz w:val="18"/>
                <w:szCs w:val="18"/>
              </w:rPr>
              <w:t xml:space="preserve"> pCL55-iTET</w:t>
            </w:r>
            <w:r w:rsidRPr="00282A6D">
              <w:rPr>
                <w:rFonts w:ascii="Times New Roman" w:hAnsi="Times New Roman" w:cs="Times New Roman"/>
                <w:sz w:val="18"/>
                <w:szCs w:val="18"/>
                <w:vertAlign w:val="subscript"/>
              </w:rPr>
              <w:t>r862</w:t>
            </w:r>
            <w:r w:rsidRPr="00282A6D">
              <w:rPr>
                <w:rFonts w:ascii="Times New Roman" w:hAnsi="Times New Roman" w:cs="Times New Roman"/>
                <w:sz w:val="18"/>
                <w:szCs w:val="18"/>
              </w:rPr>
              <w:t>-</w:t>
            </w:r>
            <w:r w:rsidRPr="00282A6D">
              <w:rPr>
                <w:rFonts w:ascii="Times New Roman" w:hAnsi="Times New Roman" w:cs="Times New Roman"/>
                <w:i/>
                <w:iCs/>
                <w:sz w:val="18"/>
                <w:szCs w:val="18"/>
              </w:rPr>
              <w:t>relP,</w:t>
            </w:r>
            <w:r>
              <w:rPr>
                <w:rFonts w:ascii="Times New Roman" w:hAnsi="Times New Roman" w:cs="Times New Roman"/>
                <w:i/>
                <w:iCs/>
                <w:sz w:val="18"/>
                <w:szCs w:val="18"/>
              </w:rPr>
              <w:t xml:space="preserve"> </w:t>
            </w:r>
            <w:r w:rsidRPr="00282A6D">
              <w:rPr>
                <w:rFonts w:ascii="Times New Roman" w:hAnsi="Times New Roman" w:cs="Times New Roman"/>
                <w:sz w:val="18"/>
                <w:szCs w:val="18"/>
                <w:lang w:val="en-US"/>
              </w:rPr>
              <w:t xml:space="preserve">ns </w:t>
            </w:r>
            <w:r w:rsidRPr="00282A6D">
              <w:rPr>
                <w:rFonts w:ascii="Times New Roman" w:hAnsi="Times New Roman" w:cs="Times New Roman"/>
                <w:i/>
                <w:iCs/>
                <w:sz w:val="18"/>
                <w:szCs w:val="18"/>
                <w:lang w:val="en-US"/>
              </w:rPr>
              <w:t xml:space="preserve">P </w:t>
            </w:r>
            <w:r w:rsidRPr="00282A6D">
              <w:rPr>
                <w:rFonts w:ascii="Times New Roman" w:hAnsi="Times New Roman" w:cs="Times New Roman"/>
                <w:sz w:val="18"/>
                <w:szCs w:val="18"/>
                <w:lang w:val="en-US"/>
              </w:rPr>
              <w:t>= 0.9704</w:t>
            </w:r>
            <w:r w:rsidRPr="00282A6D">
              <w:rPr>
                <w:rFonts w:ascii="Times New Roman" w:hAnsi="Times New Roman" w:cs="Times New Roman"/>
                <w:sz w:val="18"/>
                <w:szCs w:val="18"/>
              </w:rPr>
              <w:t xml:space="preserve">. </w:t>
            </w:r>
            <w:r w:rsidRPr="00282A6D">
              <w:rPr>
                <w:rFonts w:ascii="Times New Roman" w:hAnsi="Times New Roman" w:cs="Times New Roman"/>
                <w:sz w:val="18"/>
                <w:szCs w:val="18"/>
                <w:lang w:val="en-US"/>
              </w:rPr>
              <w:t xml:space="preserve">In </w:t>
            </w:r>
            <w:r w:rsidRPr="00282A6D">
              <w:rPr>
                <w:rFonts w:ascii="Times New Roman" w:hAnsi="Times New Roman" w:cs="Times New Roman"/>
                <w:b/>
                <w:bCs/>
                <w:sz w:val="18"/>
                <w:szCs w:val="18"/>
                <w:lang w:val="en-US"/>
              </w:rPr>
              <w:t>(a)</w:t>
            </w:r>
            <w:r w:rsidRPr="00282A6D">
              <w:rPr>
                <w:rFonts w:ascii="Times New Roman" w:hAnsi="Times New Roman" w:cs="Times New Roman"/>
                <w:sz w:val="18"/>
                <w:szCs w:val="18"/>
                <w:lang w:val="en-US"/>
              </w:rPr>
              <w:t xml:space="preserve">, </w:t>
            </w:r>
            <w:r w:rsidRPr="00282A6D">
              <w:rPr>
                <w:rFonts w:ascii="Times New Roman" w:hAnsi="Times New Roman" w:cs="Times New Roman"/>
                <w:b/>
                <w:bCs/>
                <w:sz w:val="18"/>
                <w:szCs w:val="18"/>
                <w:lang w:val="en-US"/>
              </w:rPr>
              <w:t xml:space="preserve">(c) </w:t>
            </w:r>
            <w:r w:rsidRPr="00282A6D">
              <w:rPr>
                <w:rFonts w:ascii="Times New Roman" w:hAnsi="Times New Roman" w:cs="Times New Roman"/>
                <w:sz w:val="18"/>
                <w:szCs w:val="18"/>
                <w:lang w:val="en-US"/>
              </w:rPr>
              <w:t xml:space="preserve">and </w:t>
            </w:r>
            <w:r w:rsidRPr="00282A6D">
              <w:rPr>
                <w:rFonts w:ascii="Times New Roman" w:hAnsi="Times New Roman" w:cs="Times New Roman"/>
                <w:b/>
                <w:bCs/>
                <w:sz w:val="18"/>
                <w:szCs w:val="18"/>
                <w:lang w:val="en-US"/>
              </w:rPr>
              <w:t>(d)</w:t>
            </w:r>
            <w:r w:rsidRPr="00282A6D">
              <w:rPr>
                <w:rFonts w:ascii="Times New Roman" w:hAnsi="Times New Roman" w:cs="Times New Roman"/>
                <w:sz w:val="18"/>
                <w:szCs w:val="18"/>
                <w:lang w:val="en-US"/>
              </w:rPr>
              <w:t xml:space="preserve">, experiments were performed in triplicate, while </w:t>
            </w:r>
            <w:r w:rsidRPr="00282A6D">
              <w:rPr>
                <w:rFonts w:ascii="Times New Roman" w:hAnsi="Times New Roman" w:cs="Times New Roman"/>
                <w:b/>
                <w:bCs/>
                <w:sz w:val="18"/>
                <w:szCs w:val="18"/>
                <w:lang w:val="en-US"/>
              </w:rPr>
              <w:t xml:space="preserve">(b) </w:t>
            </w:r>
            <w:r w:rsidRPr="00282A6D">
              <w:rPr>
                <w:rFonts w:ascii="Times New Roman" w:hAnsi="Times New Roman" w:cs="Times New Roman"/>
                <w:sz w:val="18"/>
                <w:szCs w:val="18"/>
                <w:lang w:val="en-US"/>
              </w:rPr>
              <w:t>was performed in quadruplicate.</w:t>
            </w:r>
          </w:p>
        </w:tc>
      </w:tr>
      <w:tr w:rsidR="00187693" w14:paraId="05B4560A" w14:textId="77777777" w:rsidTr="00A74445">
        <w:tc>
          <w:tcPr>
            <w:tcW w:w="9016" w:type="dxa"/>
          </w:tcPr>
          <w:p w14:paraId="2F08F539" w14:textId="77777777" w:rsidR="00187693" w:rsidRPr="00282A6D" w:rsidRDefault="00187693" w:rsidP="00A74445">
            <w:pPr>
              <w:spacing w:before="240"/>
              <w:jc w:val="both"/>
              <w:rPr>
                <w:rFonts w:ascii="Times New Roman" w:hAnsi="Times New Roman" w:cs="Times New Roman"/>
                <w:b/>
                <w:bCs/>
                <w:sz w:val="18"/>
                <w:szCs w:val="18"/>
              </w:rPr>
            </w:pPr>
          </w:p>
        </w:tc>
      </w:tr>
    </w:tbl>
    <w:p w14:paraId="7255784D" w14:textId="77777777" w:rsidR="00187693" w:rsidRDefault="00187693" w:rsidP="00187693">
      <w:pPr>
        <w:pStyle w:val="Heading2"/>
      </w:pPr>
      <w:bookmarkStart w:id="169" w:name="_Toc142043661"/>
      <w:r>
        <w:t xml:space="preserve">5.9. Investigating the effect of deleting CodY on </w:t>
      </w:r>
      <w:r>
        <w:rPr>
          <w:i/>
          <w:iCs/>
        </w:rPr>
        <w:t xml:space="preserve">S. aureus </w:t>
      </w:r>
      <w:r>
        <w:t>virulence</w:t>
      </w:r>
      <w:bookmarkEnd w:id="169"/>
      <w:r>
        <w:t xml:space="preserve"> </w:t>
      </w:r>
    </w:p>
    <w:p w14:paraId="53F5046D" w14:textId="25A29CBC" w:rsidR="00187693" w:rsidRDefault="00187693" w:rsidP="00187693">
      <w:pPr>
        <w:spacing w:before="240" w:line="360" w:lineRule="auto"/>
        <w:jc w:val="both"/>
        <w:rPr>
          <w:rFonts w:ascii="Times New Roman" w:hAnsi="Times New Roman" w:cs="Times New Roman"/>
        </w:rPr>
      </w:pPr>
      <w:r w:rsidRPr="00F859FA">
        <w:rPr>
          <w:rFonts w:ascii="Times New Roman" w:hAnsi="Times New Roman" w:cs="Times New Roman"/>
        </w:rPr>
        <w:t>The transcriptional repressor CodY regulates many genes including those involved in amino acid metabolism</w:t>
      </w:r>
      <w:r>
        <w:rPr>
          <w:rFonts w:ascii="Times New Roman" w:hAnsi="Times New Roman" w:cs="Times New Roman"/>
        </w:rPr>
        <w:t>, uptake and transport</w:t>
      </w:r>
      <w:r w:rsidRPr="00F859FA">
        <w:rPr>
          <w:rFonts w:ascii="Times New Roman" w:hAnsi="Times New Roman" w:cs="Times New Roman"/>
        </w:rPr>
        <w:t xml:space="preserve"> and also</w:t>
      </w:r>
      <w:r>
        <w:rPr>
          <w:rFonts w:ascii="Times New Roman" w:hAnsi="Times New Roman" w:cs="Times New Roman"/>
        </w:rPr>
        <w:t xml:space="preserve"> many</w:t>
      </w:r>
      <w:r w:rsidRPr="00F859FA">
        <w:rPr>
          <w:rFonts w:ascii="Times New Roman" w:hAnsi="Times New Roman" w:cs="Times New Roman"/>
        </w:rPr>
        <w:t xml:space="preserve"> virulence genes </w:t>
      </w:r>
      <w:r w:rsidRPr="00F859FA">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&lt;EndNote&gt;&lt;Cite&gt;&lt;Author&gt;Pohl&lt;/Author&gt;&lt;Year&gt;2009&lt;/Year&gt;&lt;IDText&gt;CodY in Staphylococcus aureus: a Regulatory Link between Metabolism and Virulence Gene Expression (vol 191, pg 2953, 2009)&lt;/IDText&gt;&lt;DisplayText&gt;(Pohl&lt;style face="italic"&gt; et al.&lt;/style&gt;, 2009)&lt;/DisplayText&gt;&lt;record&gt;&lt;dates&gt;&lt;pub-dates&gt;&lt;date&gt;Jul&lt;/date&gt;&lt;/pub-dates&gt;&lt;year&gt;2009&lt;/year&gt;&lt;/dates&gt;&lt;urls&gt;&lt;related-urls&gt;&lt;url&gt;&amp;lt;Go to ISI&amp;gt;://WOS:000267372900026&lt;/url&gt;&lt;/related-urls&gt;&lt;/urls&gt;&lt;isbn&gt;0021-9193&lt;/isbn&gt;&lt;titles&gt;&lt;title&gt;CodY in Staphylococcus aureus: a Regulatory Link between Metabolism and Virulence Gene Expression (vol 191, pg 2953, 2009)&lt;/title&gt;&lt;secondary-title&gt;Journal of Bacteriology&lt;/secondary-title&gt;&lt;/titles&gt;&lt;pages&gt;4695-4695&lt;/pages&gt;&lt;number&gt;14&lt;/number&gt;&lt;contributors&gt;&lt;authors&gt;&lt;author&gt;Pohl, K.&lt;/author&gt;&lt;author&gt;Francois, P.&lt;/author&gt;&lt;author&gt;Stenz, L.&lt;/author&gt;&lt;author&gt;Schlink, F.&lt;/author&gt;&lt;author&gt;Geiger, T.&lt;/author&gt;&lt;author&gt;Herbert, S.&lt;/author&gt;&lt;author&gt;Goerke, C.&lt;/author&gt;&lt;author&gt;Schrenzel, J.&lt;/author&gt;&lt;author&gt;Wolz, C.&lt;/author&gt;&lt;/authors&gt;&lt;/contributors&gt;&lt;added-date format="utc"&gt;1675043623&lt;/added-date&gt;&lt;ref-type name="Journal Article"&gt;17&lt;/ref-type&gt;&lt;rec-number&gt;293&lt;/rec-number&gt;&lt;last-updated-date format="utc"&gt;1675043623&lt;/last-updated-date&gt;&lt;accession-num&gt;WOS:000267372900026&lt;/accession-num&gt;&lt;electronic-resource-num&gt;10.1128/jb.00542-09&lt;/electronic-resource-num&gt;&lt;volume&gt;191&lt;/volume&gt;&lt;/record&gt;&lt;/Cite&gt;&lt;/EndNote&gt;</w:instrText>
      </w:r>
      <w:r w:rsidRPr="00F859FA">
        <w:rPr>
          <w:rFonts w:ascii="Times New Roman" w:hAnsi="Times New Roman" w:cs="Times New Roman"/>
          <w:b/>
          <w:bCs/>
        </w:rPr>
        <w:fldChar w:fldCharType="separate"/>
      </w:r>
      <w:r>
        <w:rPr>
          <w:rFonts w:ascii="Times New Roman" w:hAnsi="Times New Roman" w:cs="Times New Roman"/>
          <w:b/>
          <w:bCs/>
          <w:noProof/>
        </w:rPr>
        <w:t>(Pohl</w:t>
      </w:r>
      <w:r w:rsidRPr="00F95468">
        <w:rPr>
          <w:rFonts w:ascii="Times New Roman" w:hAnsi="Times New Roman" w:cs="Times New Roman"/>
          <w:b/>
          <w:bCs/>
          <w:i/>
          <w:noProof/>
        </w:rPr>
        <w:t xml:space="preserve"> et al.</w:t>
      </w:r>
      <w:r>
        <w:rPr>
          <w:rFonts w:ascii="Times New Roman" w:hAnsi="Times New Roman" w:cs="Times New Roman"/>
          <w:b/>
          <w:bCs/>
          <w:noProof/>
        </w:rPr>
        <w:t>, 2009)</w:t>
      </w:r>
      <w:r w:rsidRPr="00F859FA">
        <w:rPr>
          <w:rFonts w:ascii="Times New Roman" w:hAnsi="Times New Roman" w:cs="Times New Roman"/>
          <w:b/>
          <w:bCs/>
        </w:rPr>
        <w:fldChar w:fldCharType="end"/>
      </w:r>
      <w:r w:rsidRPr="00F859FA">
        <w:rPr>
          <w:rFonts w:ascii="Times New Roman" w:hAnsi="Times New Roman" w:cs="Times New Roman"/>
          <w:b/>
          <w:bCs/>
        </w:rPr>
        <w:t xml:space="preserve">. </w:t>
      </w:r>
      <w:r>
        <w:rPr>
          <w:rFonts w:ascii="Times New Roman" w:hAnsi="Times New Roman" w:cs="Times New Roman"/>
        </w:rPr>
        <w:t xml:space="preserve">Virulence genes include the virulence regulator </w:t>
      </w:r>
      <w:r>
        <w:rPr>
          <w:rFonts w:ascii="Times New Roman" w:hAnsi="Times New Roman" w:cs="Times New Roman"/>
          <w:i/>
          <w:iCs/>
        </w:rPr>
        <w:t xml:space="preserve">saeS </w:t>
      </w:r>
      <w:r>
        <w:rPr>
          <w:rFonts w:ascii="Times New Roman" w:hAnsi="Times New Roman" w:cs="Times New Roman"/>
        </w:rPr>
        <w:t xml:space="preserve">and quorum-sensing regulator </w:t>
      </w:r>
      <w:r>
        <w:rPr>
          <w:rFonts w:ascii="Times New Roman" w:hAnsi="Times New Roman" w:cs="Times New Roman"/>
          <w:i/>
          <w:iCs/>
        </w:rPr>
        <w:t xml:space="preserve">agrA, </w:t>
      </w:r>
      <w:r>
        <w:rPr>
          <w:rFonts w:ascii="Times New Roman" w:hAnsi="Times New Roman" w:cs="Times New Roman"/>
        </w:rPr>
        <w:t xml:space="preserve">capsular polysaccharide biosynthetic genes, fibrinogen-binding protein </w:t>
      </w:r>
      <w:r>
        <w:rPr>
          <w:rFonts w:ascii="Times New Roman" w:hAnsi="Times New Roman" w:cs="Times New Roman"/>
          <w:i/>
          <w:iCs/>
        </w:rPr>
        <w:t xml:space="preserve">efb, </w:t>
      </w:r>
      <w:r>
        <w:rPr>
          <w:rFonts w:ascii="Times New Roman" w:hAnsi="Times New Roman" w:cs="Times New Roman"/>
        </w:rPr>
        <w:t xml:space="preserve">fibronectin-binding protein </w:t>
      </w:r>
      <w:r>
        <w:rPr>
          <w:rFonts w:ascii="Times New Roman" w:hAnsi="Times New Roman" w:cs="Times New Roman"/>
          <w:i/>
          <w:iCs/>
        </w:rPr>
        <w:t>fnBPA</w:t>
      </w:r>
      <w:r>
        <w:rPr>
          <w:rFonts w:ascii="Times New Roman" w:hAnsi="Times New Roman" w:cs="Times New Roman"/>
        </w:rPr>
        <w:t xml:space="preserve"> and toxin such as the </w:t>
      </w:r>
      <w:r w:rsidRPr="00063E87">
        <w:rPr>
          <w:rFonts w:ascii="Times New Roman" w:hAnsi="Times New Roman" w:cs="Times New Roman"/>
        </w:rPr>
        <w:t>α</w:t>
      </w:r>
      <w:r>
        <w:rPr>
          <w:rFonts w:ascii="Times New Roman" w:hAnsi="Times New Roman" w:cs="Times New Roman"/>
        </w:rPr>
        <w:t xml:space="preserve">-haemolysin and TSST-1 </w:t>
      </w:r>
      <w:r w:rsidRPr="00D14DB2">
        <w:rPr>
          <w:rFonts w:ascii="Times New Roman" w:hAnsi="Times New Roman" w:cs="Times New Roman"/>
          <w:b/>
          <w:bCs/>
        </w:rPr>
        <w:fldChar w:fldCharType="begin">
          <w:fldData xml:space="preserve">PEVuZE5vdGU+PENpdGU+PEF1dGhvcj5NYWplcmN6eWs8L0F1dGhvcj48WWVhcj4yMDEwPC9ZZWFy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PEVuZE5vdGU+PENpdGU+PEF1dGhvcj5NYWplcmN6eWs8L0F1dGhvcj48WWVhcj4yMDEwPC9ZZWFy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D14DB2">
        <w:rPr>
          <w:rFonts w:ascii="Times New Roman" w:hAnsi="Times New Roman" w:cs="Times New Roman"/>
          <w:b/>
          <w:bCs/>
        </w:rPr>
      </w:r>
      <w:r w:rsidRPr="00D14DB2">
        <w:rPr>
          <w:rFonts w:ascii="Times New Roman" w:hAnsi="Times New Roman" w:cs="Times New Roman"/>
          <w:b/>
          <w:bCs/>
        </w:rPr>
        <w:fldChar w:fldCharType="separate"/>
      </w:r>
      <w:r>
        <w:rPr>
          <w:rFonts w:ascii="Times New Roman" w:hAnsi="Times New Roman" w:cs="Times New Roman"/>
          <w:b/>
          <w:bCs/>
          <w:noProof/>
        </w:rPr>
        <w:t>(Majerczyk</w:t>
      </w:r>
      <w:r w:rsidRPr="00F95468">
        <w:rPr>
          <w:rFonts w:ascii="Times New Roman" w:hAnsi="Times New Roman" w:cs="Times New Roman"/>
          <w:b/>
          <w:bCs/>
          <w:i/>
          <w:noProof/>
        </w:rPr>
        <w:t xml:space="preserve"> et al.</w:t>
      </w:r>
      <w:r>
        <w:rPr>
          <w:rFonts w:ascii="Times New Roman" w:hAnsi="Times New Roman" w:cs="Times New Roman"/>
          <w:b/>
          <w:bCs/>
          <w:noProof/>
        </w:rPr>
        <w:t>, 2010; Pohl</w:t>
      </w:r>
      <w:r w:rsidRPr="00F95468">
        <w:rPr>
          <w:rFonts w:ascii="Times New Roman" w:hAnsi="Times New Roman" w:cs="Times New Roman"/>
          <w:b/>
          <w:bCs/>
          <w:i/>
          <w:noProof/>
        </w:rPr>
        <w:t xml:space="preserve"> et al.</w:t>
      </w:r>
      <w:r>
        <w:rPr>
          <w:rFonts w:ascii="Times New Roman" w:hAnsi="Times New Roman" w:cs="Times New Roman"/>
          <w:b/>
          <w:bCs/>
          <w:noProof/>
        </w:rPr>
        <w:t>, 2009)</w:t>
      </w:r>
      <w:r w:rsidRPr="00D14DB2">
        <w:rPr>
          <w:rFonts w:ascii="Times New Roman" w:hAnsi="Times New Roman" w:cs="Times New Roman"/>
          <w:b/>
          <w:bCs/>
        </w:rPr>
        <w:fldChar w:fldCharType="end"/>
      </w:r>
      <w:r>
        <w:rPr>
          <w:rFonts w:ascii="Times New Roman" w:hAnsi="Times New Roman" w:cs="Times New Roman"/>
          <w:i/>
          <w:iCs/>
        </w:rPr>
        <w:t>.</w:t>
      </w:r>
      <w:r>
        <w:rPr>
          <w:rFonts w:ascii="Times New Roman" w:hAnsi="Times New Roman" w:cs="Times New Roman"/>
        </w:rPr>
        <w:t xml:space="preserve"> </w:t>
      </w:r>
      <w:r w:rsidRPr="00F859FA">
        <w:rPr>
          <w:rFonts w:ascii="Times New Roman" w:hAnsi="Times New Roman" w:cs="Times New Roman"/>
        </w:rPr>
        <w:t xml:space="preserve">Chapter four details how the absence of CodY significantly increased the tolerance of </w:t>
      </w:r>
      <w:r w:rsidRPr="00F859FA">
        <w:rPr>
          <w:rFonts w:ascii="Times New Roman" w:hAnsi="Times New Roman" w:cs="Times New Roman"/>
          <w:i/>
          <w:iCs/>
        </w:rPr>
        <w:t>S. aureus</w:t>
      </w:r>
      <w:r>
        <w:rPr>
          <w:rFonts w:ascii="Times New Roman" w:hAnsi="Times New Roman" w:cs="Times New Roman"/>
          <w:i/>
          <w:iCs/>
        </w:rPr>
        <w:t xml:space="preserve"> </w:t>
      </w:r>
      <w:r>
        <w:rPr>
          <w:rFonts w:ascii="Times New Roman" w:hAnsi="Times New Roman" w:cs="Times New Roman"/>
        </w:rPr>
        <w:t>to itaconic acid and ROS stress.</w:t>
      </w:r>
      <w:r w:rsidRPr="00F859FA">
        <w:rPr>
          <w:rFonts w:ascii="Times New Roman" w:hAnsi="Times New Roman" w:cs="Times New Roman"/>
        </w:rPr>
        <w:t xml:space="preserve"> </w:t>
      </w:r>
      <w:r>
        <w:rPr>
          <w:rFonts w:ascii="Times New Roman" w:hAnsi="Times New Roman" w:cs="Times New Roman"/>
        </w:rPr>
        <w:t xml:space="preserve">It also </w:t>
      </w:r>
      <w:r w:rsidRPr="00F859FA">
        <w:rPr>
          <w:rFonts w:ascii="Times New Roman" w:hAnsi="Times New Roman" w:cs="Times New Roman"/>
        </w:rPr>
        <w:t>restor</w:t>
      </w:r>
      <w:r>
        <w:rPr>
          <w:rFonts w:ascii="Times New Roman" w:hAnsi="Times New Roman" w:cs="Times New Roman"/>
        </w:rPr>
        <w:t>ed</w:t>
      </w:r>
      <w:r w:rsidRPr="00F859FA">
        <w:rPr>
          <w:rFonts w:ascii="Times New Roman" w:hAnsi="Times New Roman" w:cs="Times New Roman"/>
        </w:rPr>
        <w:t xml:space="preserve"> tolerance of the (p)ppGpp</w:t>
      </w:r>
      <w:r w:rsidRPr="00F859FA">
        <w:rPr>
          <w:rFonts w:ascii="Times New Roman" w:hAnsi="Times New Roman" w:cs="Times New Roman"/>
          <w:vertAlign w:val="superscript"/>
        </w:rPr>
        <w:t>0</w:t>
      </w:r>
      <w:r w:rsidRPr="00F859FA">
        <w:rPr>
          <w:rFonts w:ascii="Times New Roman" w:hAnsi="Times New Roman" w:cs="Times New Roman"/>
        </w:rPr>
        <w:t xml:space="preserve"> mutant to levels that surpass WT. Previous </w:t>
      </w:r>
      <w:r w:rsidRPr="00F859FA">
        <w:rPr>
          <w:rFonts w:ascii="Times New Roman" w:hAnsi="Times New Roman" w:cs="Times New Roman"/>
          <w:i/>
          <w:iCs/>
        </w:rPr>
        <w:t xml:space="preserve">in vivo </w:t>
      </w:r>
      <w:r w:rsidRPr="00F859FA">
        <w:rPr>
          <w:rFonts w:ascii="Times New Roman" w:hAnsi="Times New Roman" w:cs="Times New Roman"/>
        </w:rPr>
        <w:t>studies in a m</w:t>
      </w:r>
      <w:r>
        <w:rPr>
          <w:rFonts w:ascii="Times New Roman" w:hAnsi="Times New Roman" w:cs="Times New Roman"/>
        </w:rPr>
        <w:t>urine</w:t>
      </w:r>
      <w:r w:rsidRPr="00F859FA">
        <w:rPr>
          <w:rFonts w:ascii="Times New Roman" w:hAnsi="Times New Roman" w:cs="Times New Roman"/>
        </w:rPr>
        <w:t xml:space="preserve"> necrotising pneumonia model and a </w:t>
      </w:r>
      <w:r>
        <w:rPr>
          <w:rFonts w:ascii="Times New Roman" w:hAnsi="Times New Roman" w:cs="Times New Roman"/>
        </w:rPr>
        <w:t xml:space="preserve">murine </w:t>
      </w:r>
      <w:r w:rsidRPr="00F859FA">
        <w:rPr>
          <w:rFonts w:ascii="Times New Roman" w:hAnsi="Times New Roman" w:cs="Times New Roman"/>
        </w:rPr>
        <w:t xml:space="preserve">dermonecrosis model has shown that deletion of </w:t>
      </w:r>
      <w:r w:rsidRPr="00F859FA">
        <w:rPr>
          <w:rFonts w:ascii="Times New Roman" w:hAnsi="Times New Roman" w:cs="Times New Roman"/>
          <w:i/>
          <w:iCs/>
        </w:rPr>
        <w:t>codY</w:t>
      </w:r>
      <w:r w:rsidRPr="00F859FA">
        <w:rPr>
          <w:rFonts w:ascii="Times New Roman" w:hAnsi="Times New Roman" w:cs="Times New Roman"/>
        </w:rPr>
        <w:t xml:space="preserve"> in an MRSA background led to hypervirulence</w:t>
      </w:r>
      <w:r>
        <w:rPr>
          <w:rFonts w:ascii="Times New Roman" w:hAnsi="Times New Roman" w:cs="Times New Roman"/>
        </w:rPr>
        <w:t xml:space="preserve">, demonstrated by increased percent mortality and increased area of dermonecrosis respectively </w:t>
      </w:r>
      <w:r w:rsidRPr="00F859FA">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&lt;EndNote&gt;&lt;Cite&gt;&lt;Author&gt;Montgomery&lt;/Author&gt;&lt;Year&gt;2012&lt;/Year&gt;&lt;IDText&gt;CodY Deletion Enhances In Vivo Virulence of Community-Associated Methicillin-Resistant Staphylococcus aureus Clone USA300&lt;/IDText&gt;&lt;DisplayText&gt;(Montgomery&lt;style face="italic"&gt; et al.&lt;/style&gt;, 2012)&lt;/DisplayText&gt;&lt;record&gt;&lt;dates&gt;&lt;pub-dates&gt;&lt;date&gt;Jul&lt;/date&gt;&lt;/pub-dates&gt;&lt;year&gt;2012&lt;/year&gt;&lt;/dates&gt;&lt;urls&gt;&lt;related-urls&gt;&lt;url&gt;&amp;lt;Go to ISI&amp;gt;://WOS:000305599400014&lt;/url&gt;&lt;/related-urls&gt;&lt;/urls&gt;&lt;isbn&gt;0019-9567&lt;/isbn&gt;&lt;titles&gt;&lt;title&gt;CodY Deletion Enhances In Vivo Virulence of Community-Associated Methicillin-Resistant Staphylococcus aureus Clone USA300&lt;/title&gt;&lt;secondary-title&gt;Infection and Immunity&lt;/secondary-title&gt;&lt;/titles&gt;&lt;pages&gt;2382-2389&lt;/pages&gt;&lt;number&gt;7&lt;/number&gt;&lt;contributors&gt;&lt;authors&gt;&lt;author&gt;Montgomery, C. P.&lt;/author&gt;&lt;author&gt;Boyle-Vavra, S.&lt;/author&gt;&lt;author&gt;Roux, A.&lt;/author&gt;&lt;author&gt;Ebine, K.&lt;/author&gt;&lt;author&gt;Sonenshein, A. L.&lt;/author&gt;&lt;author&gt;Daum, R. S.&lt;/author&gt;&lt;/authors&gt;&lt;/contributors&gt;&lt;added-date format="utc"&gt;1675045932&lt;/added-date&gt;&lt;ref-type name="Journal Article"&gt;17&lt;/ref-type&gt;&lt;rec-number&gt;294&lt;/rec-number&gt;&lt;last-updated-date format="utc"&gt;1675045932&lt;/last-updated-date&gt;&lt;accession-num&gt;WOS:000305599400014&lt;/accession-num&gt;&lt;electronic-resource-num&gt;10.1128/iai.06172-11&lt;/electronic-resource-num&gt;&lt;volume&gt;80&lt;/volume&gt;&lt;/record&gt;&lt;/Cite&gt;&lt;/EndNote&gt;</w:instrText>
      </w:r>
      <w:r w:rsidRPr="00F859FA">
        <w:rPr>
          <w:rFonts w:ascii="Times New Roman" w:hAnsi="Times New Roman" w:cs="Times New Roman"/>
          <w:b/>
          <w:bCs/>
        </w:rPr>
        <w:fldChar w:fldCharType="separate"/>
      </w:r>
      <w:r>
        <w:rPr>
          <w:rFonts w:ascii="Times New Roman" w:hAnsi="Times New Roman" w:cs="Times New Roman"/>
          <w:b/>
          <w:bCs/>
          <w:noProof/>
        </w:rPr>
        <w:t>(Montgomery</w:t>
      </w:r>
      <w:r w:rsidRPr="00F95468">
        <w:rPr>
          <w:rFonts w:ascii="Times New Roman" w:hAnsi="Times New Roman" w:cs="Times New Roman"/>
          <w:b/>
          <w:bCs/>
          <w:i/>
          <w:noProof/>
        </w:rPr>
        <w:t xml:space="preserve"> et al.</w:t>
      </w:r>
      <w:r>
        <w:rPr>
          <w:rFonts w:ascii="Times New Roman" w:hAnsi="Times New Roman" w:cs="Times New Roman"/>
          <w:b/>
          <w:bCs/>
          <w:noProof/>
        </w:rPr>
        <w:t>, 2012)</w:t>
      </w:r>
      <w:r w:rsidRPr="00F859FA">
        <w:rPr>
          <w:rFonts w:ascii="Times New Roman" w:hAnsi="Times New Roman" w:cs="Times New Roman"/>
          <w:b/>
          <w:bCs/>
        </w:rPr>
        <w:fldChar w:fldCharType="end"/>
      </w:r>
      <w:r w:rsidRPr="00F859FA">
        <w:rPr>
          <w:rFonts w:ascii="Times New Roman" w:hAnsi="Times New Roman" w:cs="Times New Roman"/>
        </w:rPr>
        <w:t xml:space="preserve">. </w:t>
      </w:r>
      <w:r>
        <w:rPr>
          <w:rFonts w:ascii="Times New Roman" w:hAnsi="Times New Roman" w:cs="Times New Roman"/>
        </w:rPr>
        <w:t xml:space="preserve">Therefore, the role of CodY during systemic infection was investigated as an increase in cellular (p)ppGpp levels due to induction of the stringent response results in CodY derepression and thus, the expression of the virulence genes mentioned above. </w:t>
      </w:r>
      <w:r w:rsidR="00DF2044">
        <w:rPr>
          <w:rFonts w:ascii="Times New Roman" w:hAnsi="Times New Roman" w:cs="Times New Roman"/>
        </w:rPr>
        <w:t>However, i</w:t>
      </w:r>
      <w:r w:rsidRPr="00F859FA">
        <w:rPr>
          <w:rFonts w:ascii="Times New Roman" w:hAnsi="Times New Roman" w:cs="Times New Roman"/>
        </w:rPr>
        <w:t>nject</w:t>
      </w:r>
      <w:r>
        <w:rPr>
          <w:rFonts w:ascii="Times New Roman" w:hAnsi="Times New Roman" w:cs="Times New Roman"/>
        </w:rPr>
        <w:t xml:space="preserve">ion of </w:t>
      </w:r>
      <w:r w:rsidRPr="00F859FA">
        <w:rPr>
          <w:rFonts w:ascii="Times New Roman" w:hAnsi="Times New Roman" w:cs="Times New Roman"/>
        </w:rPr>
        <w:t xml:space="preserve">the JE2 </w:t>
      </w:r>
      <w:r w:rsidR="004600C2" w:rsidRPr="000B3602">
        <w:rPr>
          <w:rFonts w:ascii="Times New Roman" w:hAnsi="Times New Roman" w:cs="Times New Roman"/>
          <w:i/>
          <w:iCs/>
        </w:rPr>
        <w:t>codY</w:t>
      </w:r>
      <w:r w:rsidR="004600C2" w:rsidRPr="000B3602">
        <w:rPr>
          <w:rFonts w:ascii="Times New Roman" w:hAnsi="Times New Roman" w:cs="Times New Roman"/>
        </w:rPr>
        <w:t>::Tn</w:t>
      </w:r>
      <w:r w:rsidR="004600C2" w:rsidRPr="000B3602">
        <w:rPr>
          <w:rFonts w:ascii="Times New Roman" w:hAnsi="Times New Roman" w:cs="Times New Roman"/>
          <w:i/>
          <w:iCs/>
        </w:rPr>
        <w:t xml:space="preserve"> </w:t>
      </w:r>
      <w:r w:rsidRPr="00F859FA">
        <w:rPr>
          <w:rFonts w:ascii="Times New Roman" w:hAnsi="Times New Roman" w:cs="Times New Roman"/>
        </w:rPr>
        <w:t>and (p)ppGpp</w:t>
      </w:r>
      <w:r w:rsidRPr="00F859FA">
        <w:rPr>
          <w:rFonts w:ascii="Times New Roman" w:hAnsi="Times New Roman" w:cs="Times New Roman"/>
          <w:vertAlign w:val="superscript"/>
        </w:rPr>
        <w:t>0</w:t>
      </w:r>
      <w:r w:rsidRPr="00F859FA">
        <w:rPr>
          <w:rFonts w:ascii="Times New Roman" w:hAnsi="Times New Roman" w:cs="Times New Roman"/>
        </w:rPr>
        <w:t xml:space="preserve"> </w:t>
      </w:r>
      <w:r w:rsidR="004600C2" w:rsidRPr="000B3602">
        <w:rPr>
          <w:rFonts w:ascii="Times New Roman" w:hAnsi="Times New Roman" w:cs="Times New Roman"/>
          <w:i/>
          <w:iCs/>
        </w:rPr>
        <w:t>codY</w:t>
      </w:r>
      <w:r w:rsidR="004600C2" w:rsidRPr="000B3602">
        <w:rPr>
          <w:rFonts w:ascii="Times New Roman" w:hAnsi="Times New Roman" w:cs="Times New Roman"/>
        </w:rPr>
        <w:t>::Tn</w:t>
      </w:r>
      <w:r w:rsidR="004600C2" w:rsidRPr="000B3602">
        <w:rPr>
          <w:rFonts w:ascii="Times New Roman" w:hAnsi="Times New Roman" w:cs="Times New Roman"/>
          <w:i/>
          <w:iCs/>
        </w:rPr>
        <w:t xml:space="preserve"> </w:t>
      </w:r>
      <w:r w:rsidRPr="00F859FA">
        <w:rPr>
          <w:rFonts w:ascii="Times New Roman" w:hAnsi="Times New Roman" w:cs="Times New Roman"/>
        </w:rPr>
        <w:t xml:space="preserve">mutants resulted no difference in virulence with regards to the respective controls </w:t>
      </w:r>
      <w:r w:rsidRPr="00F859FA">
        <w:rPr>
          <w:rFonts w:ascii="Times New Roman" w:hAnsi="Times New Roman" w:cs="Times New Roman"/>
          <w:b/>
          <w:bCs/>
        </w:rPr>
        <w:t>(Fig. 5.</w:t>
      </w:r>
      <w:r>
        <w:rPr>
          <w:rFonts w:ascii="Times New Roman" w:hAnsi="Times New Roman" w:cs="Times New Roman"/>
          <w:b/>
          <w:bCs/>
        </w:rPr>
        <w:t>9</w:t>
      </w:r>
      <w:r w:rsidRPr="00F859FA">
        <w:rPr>
          <w:rFonts w:ascii="Times New Roman" w:hAnsi="Times New Roman" w:cs="Times New Roman"/>
          <w:b/>
          <w:bCs/>
        </w:rPr>
        <w:t>.1)</w:t>
      </w:r>
      <w:r w:rsidRPr="00F859FA">
        <w:rPr>
          <w:rFonts w:ascii="Times New Roman" w:hAnsi="Times New Roman" w:cs="Times New Roman"/>
        </w:rPr>
        <w:t xml:space="preserve">, suggesting that the absence of CodY is not beneficial for survival of </w:t>
      </w:r>
      <w:r w:rsidRPr="00F859FA">
        <w:rPr>
          <w:rFonts w:ascii="Times New Roman" w:hAnsi="Times New Roman" w:cs="Times New Roman"/>
          <w:i/>
          <w:iCs/>
        </w:rPr>
        <w:t xml:space="preserve">S. aureus in vivo </w:t>
      </w:r>
      <w:r w:rsidRPr="00F859FA">
        <w:rPr>
          <w:rFonts w:ascii="Times New Roman" w:hAnsi="Times New Roman" w:cs="Times New Roman"/>
        </w:rPr>
        <w:t>in a zebrafish embryo systemic infection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87693" w14:paraId="18EE245B" w14:textId="77777777" w:rsidTr="00A74445">
        <w:tc>
          <w:tcPr>
            <w:tcW w:w="9016" w:type="dxa"/>
          </w:tcPr>
          <w:p w14:paraId="79B7BD82" w14:textId="08FFDC50" w:rsidR="00187693" w:rsidRDefault="00AC0958" w:rsidP="00A74445">
            <w:pPr>
              <w:spacing w:before="240" w:line="360" w:lineRule="auto"/>
              <w:jc w:val="both"/>
              <w:rPr>
                <w:rFonts w:ascii="Times New Roman" w:hAnsi="Times New Roman" w:cs="Times New Roman"/>
              </w:rPr>
            </w:pPr>
            <w:r w:rsidRPr="000B3602">
              <w:rPr>
                <w:rFonts w:ascii="Times New Roman" w:hAnsi="Times New Roman" w:cs="Times New Roman"/>
                <w:noProof/>
              </w:rPr>
              <w:drawing>
                <wp:inline distT="0" distB="0" distL="0" distR="0" wp14:anchorId="5AB390B3" wp14:editId="35C3003D">
                  <wp:extent cx="5628005" cy="2696210"/>
                  <wp:effectExtent l="0" t="0" r="0" b="0"/>
                  <wp:docPr id="174683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28005" cy="2696210"/>
                          </a:xfrm>
                          <a:prstGeom prst="rect">
                            <a:avLst/>
                          </a:prstGeom>
                          <a:noFill/>
                          <a:ln>
                            <a:noFill/>
                          </a:ln>
                        </pic:spPr>
                      </pic:pic>
                    </a:graphicData>
                  </a:graphic>
                </wp:inline>
              </w:drawing>
            </w:r>
          </w:p>
        </w:tc>
      </w:tr>
      <w:tr w:rsidR="00187693" w14:paraId="1F85B318" w14:textId="77777777" w:rsidTr="00A74445">
        <w:tc>
          <w:tcPr>
            <w:tcW w:w="9016" w:type="dxa"/>
          </w:tcPr>
          <w:p w14:paraId="02F581EA" w14:textId="5E6D4C95" w:rsidR="00187693" w:rsidRDefault="00187693" w:rsidP="00A74445">
            <w:pPr>
              <w:spacing w:before="240"/>
              <w:jc w:val="both"/>
              <w:rPr>
                <w:rFonts w:ascii="Times New Roman" w:hAnsi="Times New Roman" w:cs="Times New Roman"/>
              </w:rPr>
            </w:pPr>
            <w:r w:rsidRPr="00C072A0">
              <w:rPr>
                <w:rFonts w:ascii="Times New Roman" w:hAnsi="Times New Roman" w:cs="Times New Roman"/>
                <w:b/>
                <w:bCs/>
                <w:sz w:val="18"/>
                <w:szCs w:val="18"/>
                <w:lang w:val="en-US"/>
              </w:rPr>
              <w:t>Figure 5.</w:t>
            </w:r>
            <w:r>
              <w:rPr>
                <w:rFonts w:ascii="Times New Roman" w:hAnsi="Times New Roman" w:cs="Times New Roman"/>
                <w:b/>
                <w:bCs/>
                <w:sz w:val="18"/>
                <w:szCs w:val="18"/>
                <w:lang w:val="en-US"/>
              </w:rPr>
              <w:t>9</w:t>
            </w:r>
            <w:r w:rsidRPr="00C072A0">
              <w:rPr>
                <w:rFonts w:ascii="Times New Roman" w:hAnsi="Times New Roman" w:cs="Times New Roman"/>
                <w:b/>
                <w:bCs/>
                <w:sz w:val="18"/>
                <w:szCs w:val="18"/>
                <w:lang w:val="en-US"/>
              </w:rPr>
              <w:t xml:space="preserve">.1. Deletion of </w:t>
            </w:r>
            <w:r w:rsidRPr="00C072A0">
              <w:rPr>
                <w:rFonts w:ascii="Times New Roman" w:hAnsi="Times New Roman" w:cs="Times New Roman"/>
                <w:b/>
                <w:bCs/>
                <w:i/>
                <w:iCs/>
                <w:sz w:val="18"/>
                <w:szCs w:val="18"/>
                <w:lang w:val="en-US"/>
              </w:rPr>
              <w:t xml:space="preserve">codY </w:t>
            </w:r>
            <w:r w:rsidRPr="00C072A0">
              <w:rPr>
                <w:rFonts w:ascii="Times New Roman" w:hAnsi="Times New Roman" w:cs="Times New Roman"/>
                <w:b/>
                <w:bCs/>
                <w:sz w:val="18"/>
                <w:szCs w:val="18"/>
                <w:lang w:val="en-US"/>
              </w:rPr>
              <w:t xml:space="preserve">transcriptional repressor does not affect virulence of </w:t>
            </w:r>
            <w:r w:rsidRPr="00C072A0">
              <w:rPr>
                <w:rFonts w:ascii="Times New Roman" w:hAnsi="Times New Roman" w:cs="Times New Roman"/>
                <w:b/>
                <w:bCs/>
                <w:i/>
                <w:iCs/>
                <w:sz w:val="18"/>
                <w:szCs w:val="18"/>
                <w:lang w:val="en-US"/>
              </w:rPr>
              <w:t xml:space="preserve">S. aureus </w:t>
            </w:r>
            <w:r w:rsidRPr="00C072A0">
              <w:rPr>
                <w:rFonts w:ascii="Times New Roman" w:hAnsi="Times New Roman" w:cs="Times New Roman"/>
                <w:b/>
                <w:bCs/>
                <w:sz w:val="18"/>
                <w:szCs w:val="18"/>
                <w:lang w:val="en-US"/>
              </w:rPr>
              <w:t>in a systemic zebrafish embryo infection model</w:t>
            </w:r>
            <w:r w:rsidRPr="00C072A0">
              <w:rPr>
                <w:rFonts w:ascii="Times New Roman" w:hAnsi="Times New Roman" w:cs="Times New Roman"/>
                <w:b/>
                <w:bCs/>
                <w:i/>
                <w:iCs/>
                <w:sz w:val="18"/>
                <w:szCs w:val="18"/>
                <w:lang w:val="en-US"/>
              </w:rPr>
              <w:t>.</w:t>
            </w:r>
            <w:r w:rsidRPr="00C072A0">
              <w:rPr>
                <w:rFonts w:ascii="Times New Roman" w:hAnsi="Times New Roman" w:cs="Times New Roman"/>
                <w:b/>
                <w:bCs/>
                <w:sz w:val="18"/>
                <w:szCs w:val="18"/>
                <w:lang w:val="en-US"/>
              </w:rPr>
              <w:t xml:space="preserve"> </w:t>
            </w:r>
            <w:r w:rsidRPr="00C072A0">
              <w:rPr>
                <w:rFonts w:ascii="Times New Roman" w:hAnsi="Times New Roman" w:cs="Times New Roman"/>
                <w:sz w:val="18"/>
                <w:szCs w:val="18"/>
              </w:rPr>
              <w:t xml:space="preserve">Survival of zebrafish embryos injected with </w:t>
            </w:r>
            <w:r w:rsidRPr="00C072A0">
              <w:rPr>
                <w:rFonts w:ascii="Times New Roman" w:hAnsi="Times New Roman" w:cs="Times New Roman"/>
                <w:i/>
                <w:iCs/>
                <w:sz w:val="18"/>
                <w:szCs w:val="18"/>
              </w:rPr>
              <w:t>S. aureus</w:t>
            </w:r>
            <w:r w:rsidRPr="00C072A0">
              <w:rPr>
                <w:rFonts w:ascii="Times New Roman" w:hAnsi="Times New Roman" w:cs="Times New Roman"/>
                <w:sz w:val="18"/>
                <w:szCs w:val="18"/>
              </w:rPr>
              <w:t>, comparing WT (black), (p)ppGpp</w:t>
            </w:r>
            <w:r w:rsidRPr="00C072A0">
              <w:rPr>
                <w:rFonts w:ascii="Times New Roman" w:hAnsi="Times New Roman" w:cs="Times New Roman"/>
                <w:sz w:val="18"/>
                <w:szCs w:val="18"/>
                <w:vertAlign w:val="superscript"/>
              </w:rPr>
              <w:t xml:space="preserve">0 </w:t>
            </w:r>
            <w:r w:rsidRPr="00C072A0">
              <w:rPr>
                <w:rFonts w:ascii="Times New Roman" w:hAnsi="Times New Roman" w:cs="Times New Roman"/>
                <w:sz w:val="18"/>
                <w:szCs w:val="18"/>
              </w:rPr>
              <w:t xml:space="preserve">(pink), JE2 </w:t>
            </w:r>
            <w:r w:rsidR="000B3602" w:rsidRPr="000B3602">
              <w:rPr>
                <w:rFonts w:ascii="Times New Roman" w:hAnsi="Times New Roman" w:cs="Times New Roman"/>
                <w:i/>
                <w:iCs/>
                <w:sz w:val="18"/>
                <w:szCs w:val="18"/>
              </w:rPr>
              <w:t>codY</w:t>
            </w:r>
            <w:r w:rsidR="000B3602" w:rsidRPr="000B3602">
              <w:rPr>
                <w:rFonts w:ascii="Times New Roman" w:hAnsi="Times New Roman" w:cs="Times New Roman"/>
                <w:sz w:val="18"/>
                <w:szCs w:val="18"/>
              </w:rPr>
              <w:t>::Tn</w:t>
            </w:r>
            <w:r w:rsidR="000B3602" w:rsidRPr="000B3602">
              <w:rPr>
                <w:rFonts w:ascii="Times New Roman" w:hAnsi="Times New Roman" w:cs="Times New Roman"/>
                <w:i/>
                <w:iCs/>
                <w:sz w:val="18"/>
                <w:szCs w:val="18"/>
              </w:rPr>
              <w:t xml:space="preserve"> </w:t>
            </w:r>
            <w:r w:rsidRPr="00C072A0">
              <w:rPr>
                <w:rFonts w:ascii="Times New Roman" w:hAnsi="Times New Roman" w:cs="Times New Roman"/>
                <w:sz w:val="18"/>
                <w:szCs w:val="18"/>
              </w:rPr>
              <w:t>(teal) and (p)ppGpp</w:t>
            </w:r>
            <w:r w:rsidRPr="00C072A0">
              <w:rPr>
                <w:rFonts w:ascii="Times New Roman" w:hAnsi="Times New Roman" w:cs="Times New Roman"/>
                <w:sz w:val="18"/>
                <w:szCs w:val="18"/>
                <w:vertAlign w:val="superscript"/>
              </w:rPr>
              <w:t xml:space="preserve">0 </w:t>
            </w:r>
            <w:r w:rsidR="000B3602" w:rsidRPr="000B3602">
              <w:rPr>
                <w:rFonts w:ascii="Times New Roman" w:hAnsi="Times New Roman" w:cs="Times New Roman"/>
                <w:i/>
                <w:iCs/>
                <w:sz w:val="18"/>
                <w:szCs w:val="18"/>
              </w:rPr>
              <w:t>codY</w:t>
            </w:r>
            <w:r w:rsidR="000B3602" w:rsidRPr="000B3602">
              <w:rPr>
                <w:rFonts w:ascii="Times New Roman" w:hAnsi="Times New Roman" w:cs="Times New Roman"/>
                <w:sz w:val="18"/>
                <w:szCs w:val="18"/>
              </w:rPr>
              <w:t>::Tn</w:t>
            </w:r>
            <w:r w:rsidRPr="00C072A0">
              <w:rPr>
                <w:rFonts w:ascii="Times New Roman" w:hAnsi="Times New Roman" w:cs="Times New Roman"/>
                <w:i/>
                <w:iCs/>
                <w:sz w:val="18"/>
                <w:szCs w:val="18"/>
              </w:rPr>
              <w:t xml:space="preserve"> </w:t>
            </w:r>
            <w:r w:rsidRPr="00C072A0">
              <w:rPr>
                <w:rFonts w:ascii="Times New Roman" w:hAnsi="Times New Roman" w:cs="Times New Roman"/>
                <w:sz w:val="18"/>
                <w:szCs w:val="18"/>
              </w:rPr>
              <w:t>(purple) at doses of 3000-4000 CFU at 30 hpf into the circulation. Survival was monitored until 93 hp</w:t>
            </w:r>
            <w:r>
              <w:rPr>
                <w:rFonts w:ascii="Times New Roman" w:hAnsi="Times New Roman" w:cs="Times New Roman"/>
                <w:sz w:val="18"/>
                <w:szCs w:val="18"/>
              </w:rPr>
              <w:t>i</w:t>
            </w:r>
            <w:r w:rsidRPr="00C072A0">
              <w:rPr>
                <w:rFonts w:ascii="Times New Roman" w:hAnsi="Times New Roman" w:cs="Times New Roman"/>
                <w:sz w:val="18"/>
                <w:szCs w:val="18"/>
              </w:rPr>
              <w:t xml:space="preserve"> when the embryos reached 5.2 days post fertilisation. </w:t>
            </w:r>
            <w:r w:rsidRPr="00C072A0">
              <w:rPr>
                <w:rFonts w:ascii="Times New Roman" w:hAnsi="Times New Roman" w:cs="Times New Roman"/>
                <w:sz w:val="18"/>
                <w:szCs w:val="18"/>
                <w:lang w:val="en-US"/>
              </w:rPr>
              <w:t xml:space="preserve">Pairwise comparisons (log-rank (Mantel-Cox) test) were as follows: </w:t>
            </w:r>
            <w:r w:rsidRPr="00C072A0">
              <w:rPr>
                <w:rFonts w:ascii="Times New Roman" w:hAnsi="Times New Roman" w:cs="Times New Roman"/>
                <w:sz w:val="18"/>
                <w:szCs w:val="18"/>
              </w:rPr>
              <w:t>(p)ppGpp</w:t>
            </w:r>
            <w:r w:rsidRPr="00C072A0">
              <w:rPr>
                <w:rFonts w:ascii="Times New Roman" w:hAnsi="Times New Roman" w:cs="Times New Roman"/>
                <w:sz w:val="18"/>
                <w:szCs w:val="18"/>
                <w:vertAlign w:val="superscript"/>
              </w:rPr>
              <w:t xml:space="preserve">0 </w:t>
            </w:r>
            <w:r w:rsidRPr="00C072A0">
              <w:rPr>
                <w:rFonts w:ascii="Times New Roman" w:hAnsi="Times New Roman" w:cs="Times New Roman"/>
                <w:sz w:val="18"/>
                <w:szCs w:val="18"/>
                <w:lang w:val="en-US"/>
              </w:rPr>
              <w:t xml:space="preserve">vs </w:t>
            </w:r>
            <w:r w:rsidRPr="00C072A0">
              <w:rPr>
                <w:rFonts w:ascii="Times New Roman" w:hAnsi="Times New Roman" w:cs="Times New Roman"/>
                <w:sz w:val="18"/>
                <w:szCs w:val="18"/>
              </w:rPr>
              <w:t>WT</w:t>
            </w:r>
            <w:r w:rsidRPr="00C072A0">
              <w:rPr>
                <w:rFonts w:ascii="Times New Roman" w:hAnsi="Times New Roman" w:cs="Times New Roman"/>
                <w:sz w:val="18"/>
                <w:szCs w:val="18"/>
                <w:lang w:val="en-US"/>
              </w:rPr>
              <w:t xml:space="preserve">, * </w:t>
            </w:r>
            <w:r w:rsidRPr="00C072A0">
              <w:rPr>
                <w:rFonts w:ascii="Times New Roman" w:hAnsi="Times New Roman" w:cs="Times New Roman"/>
                <w:i/>
                <w:iCs/>
                <w:sz w:val="18"/>
                <w:szCs w:val="18"/>
                <w:lang w:val="en-US"/>
              </w:rPr>
              <w:t xml:space="preserve">P </w:t>
            </w:r>
            <w:r w:rsidRPr="00C072A0">
              <w:rPr>
                <w:rFonts w:ascii="Times New Roman" w:hAnsi="Times New Roman" w:cs="Times New Roman"/>
                <w:sz w:val="18"/>
                <w:szCs w:val="18"/>
                <w:lang w:val="en-US"/>
              </w:rPr>
              <w:t xml:space="preserve">= </w:t>
            </w:r>
            <w:r w:rsidRPr="00C072A0">
              <w:rPr>
                <w:rFonts w:ascii="Times New Roman" w:hAnsi="Times New Roman" w:cs="Times New Roman"/>
                <w:sz w:val="18"/>
                <w:szCs w:val="18"/>
              </w:rPr>
              <w:t>0.0481;</w:t>
            </w:r>
            <w:r w:rsidRPr="00C072A0">
              <w:rPr>
                <w:rFonts w:ascii="Times New Roman" w:hAnsi="Times New Roman" w:cs="Times New Roman"/>
                <w:sz w:val="18"/>
                <w:szCs w:val="18"/>
                <w:lang w:val="en-US"/>
              </w:rPr>
              <w:t xml:space="preserve"> </w:t>
            </w:r>
            <w:r w:rsidRPr="00C072A0">
              <w:rPr>
                <w:rFonts w:ascii="Times New Roman" w:hAnsi="Times New Roman" w:cs="Times New Roman"/>
                <w:sz w:val="18"/>
                <w:szCs w:val="18"/>
              </w:rPr>
              <w:t xml:space="preserve">JE2 </w:t>
            </w:r>
            <w:r w:rsidRPr="00C072A0">
              <w:rPr>
                <w:rFonts w:ascii="Times New Roman" w:hAnsi="Times New Roman" w:cs="Times New Roman"/>
                <w:sz w:val="18"/>
                <w:szCs w:val="18"/>
                <w:lang w:val="el-GR"/>
              </w:rPr>
              <w:t>Δ</w:t>
            </w:r>
            <w:r w:rsidRPr="00C072A0">
              <w:rPr>
                <w:rFonts w:ascii="Times New Roman" w:hAnsi="Times New Roman" w:cs="Times New Roman"/>
                <w:i/>
                <w:iCs/>
                <w:sz w:val="18"/>
                <w:szCs w:val="18"/>
              </w:rPr>
              <w:t>codY</w:t>
            </w:r>
            <w:r w:rsidRPr="00C072A0">
              <w:rPr>
                <w:rFonts w:ascii="Times New Roman" w:hAnsi="Times New Roman" w:cs="Times New Roman"/>
                <w:sz w:val="18"/>
                <w:szCs w:val="18"/>
              </w:rPr>
              <w:t xml:space="preserve"> vs WT</w:t>
            </w:r>
            <w:r w:rsidRPr="00C072A0">
              <w:rPr>
                <w:rFonts w:ascii="Times New Roman" w:hAnsi="Times New Roman" w:cs="Times New Roman"/>
                <w:sz w:val="18"/>
                <w:szCs w:val="18"/>
                <w:lang w:val="en-US"/>
              </w:rPr>
              <w:t xml:space="preserve">, ns </w:t>
            </w:r>
            <w:r w:rsidRPr="00C072A0">
              <w:rPr>
                <w:rFonts w:ascii="Times New Roman" w:hAnsi="Times New Roman" w:cs="Times New Roman"/>
                <w:i/>
                <w:iCs/>
                <w:sz w:val="18"/>
                <w:szCs w:val="18"/>
                <w:lang w:val="en-US"/>
              </w:rPr>
              <w:t xml:space="preserve">P </w:t>
            </w:r>
            <w:r w:rsidRPr="00C072A0">
              <w:rPr>
                <w:rFonts w:ascii="Times New Roman" w:hAnsi="Times New Roman" w:cs="Times New Roman"/>
                <w:sz w:val="18"/>
                <w:szCs w:val="18"/>
                <w:lang w:val="en-US"/>
              </w:rPr>
              <w:t xml:space="preserve">= </w:t>
            </w:r>
            <w:r w:rsidRPr="00C072A0">
              <w:rPr>
                <w:rFonts w:ascii="Times New Roman" w:hAnsi="Times New Roman" w:cs="Times New Roman"/>
                <w:sz w:val="18"/>
                <w:szCs w:val="18"/>
              </w:rPr>
              <w:t>0.6612</w:t>
            </w:r>
            <w:r w:rsidRPr="00C072A0">
              <w:rPr>
                <w:rFonts w:ascii="Times New Roman" w:hAnsi="Times New Roman" w:cs="Times New Roman"/>
                <w:sz w:val="18"/>
                <w:szCs w:val="18"/>
                <w:lang w:val="en-US"/>
              </w:rPr>
              <w:t xml:space="preserve">; </w:t>
            </w:r>
            <w:r w:rsidRPr="00C072A0">
              <w:rPr>
                <w:rFonts w:ascii="Times New Roman" w:hAnsi="Times New Roman" w:cs="Times New Roman"/>
                <w:sz w:val="18"/>
                <w:szCs w:val="18"/>
              </w:rPr>
              <w:t>(p)ppGpp</w:t>
            </w:r>
            <w:r w:rsidRPr="00C072A0">
              <w:rPr>
                <w:rFonts w:ascii="Times New Roman" w:hAnsi="Times New Roman" w:cs="Times New Roman"/>
                <w:sz w:val="18"/>
                <w:szCs w:val="18"/>
                <w:vertAlign w:val="superscript"/>
              </w:rPr>
              <w:t xml:space="preserve">0 </w:t>
            </w:r>
            <w:r w:rsidRPr="00C072A0">
              <w:rPr>
                <w:rFonts w:ascii="Times New Roman" w:hAnsi="Times New Roman" w:cs="Times New Roman"/>
                <w:sz w:val="18"/>
                <w:szCs w:val="18"/>
                <w:lang w:val="el-GR"/>
              </w:rPr>
              <w:t>Δ</w:t>
            </w:r>
            <w:r w:rsidRPr="00C072A0">
              <w:rPr>
                <w:rFonts w:ascii="Times New Roman" w:hAnsi="Times New Roman" w:cs="Times New Roman"/>
                <w:i/>
                <w:iCs/>
                <w:sz w:val="18"/>
                <w:szCs w:val="18"/>
              </w:rPr>
              <w:t xml:space="preserve">codY </w:t>
            </w:r>
            <w:r w:rsidRPr="00C072A0">
              <w:rPr>
                <w:rFonts w:ascii="Times New Roman" w:hAnsi="Times New Roman" w:cs="Times New Roman"/>
                <w:sz w:val="18"/>
                <w:szCs w:val="18"/>
              </w:rPr>
              <w:t>vs (p)ppGpp</w:t>
            </w:r>
            <w:r w:rsidRPr="00C072A0">
              <w:rPr>
                <w:rFonts w:ascii="Times New Roman" w:hAnsi="Times New Roman" w:cs="Times New Roman"/>
                <w:sz w:val="18"/>
                <w:szCs w:val="18"/>
                <w:vertAlign w:val="superscript"/>
              </w:rPr>
              <w:t>0</w:t>
            </w:r>
            <w:r w:rsidRPr="00C072A0">
              <w:rPr>
                <w:rFonts w:ascii="Times New Roman" w:hAnsi="Times New Roman" w:cs="Times New Roman"/>
                <w:i/>
                <w:iCs/>
                <w:sz w:val="18"/>
                <w:szCs w:val="18"/>
              </w:rPr>
              <w:t xml:space="preserve">, </w:t>
            </w:r>
            <w:r w:rsidRPr="00C072A0">
              <w:rPr>
                <w:rFonts w:ascii="Times New Roman" w:hAnsi="Times New Roman" w:cs="Times New Roman"/>
                <w:sz w:val="18"/>
                <w:szCs w:val="18"/>
              </w:rPr>
              <w:t xml:space="preserve">ns </w:t>
            </w:r>
            <w:r w:rsidRPr="00C072A0">
              <w:rPr>
                <w:rFonts w:ascii="Times New Roman" w:hAnsi="Times New Roman" w:cs="Times New Roman"/>
                <w:i/>
                <w:iCs/>
                <w:sz w:val="18"/>
                <w:szCs w:val="18"/>
              </w:rPr>
              <w:t xml:space="preserve">P = </w:t>
            </w:r>
            <w:r w:rsidRPr="00C072A0">
              <w:rPr>
                <w:rFonts w:ascii="Times New Roman" w:hAnsi="Times New Roman" w:cs="Times New Roman"/>
                <w:sz w:val="18"/>
                <w:szCs w:val="18"/>
              </w:rPr>
              <w:t>0.5074; (p)ppGpp</w:t>
            </w:r>
            <w:r w:rsidRPr="00C072A0">
              <w:rPr>
                <w:rFonts w:ascii="Times New Roman" w:hAnsi="Times New Roman" w:cs="Times New Roman"/>
                <w:sz w:val="18"/>
                <w:szCs w:val="18"/>
                <w:vertAlign w:val="superscript"/>
              </w:rPr>
              <w:t xml:space="preserve">0 </w:t>
            </w:r>
            <w:r w:rsidRPr="00C072A0">
              <w:rPr>
                <w:rFonts w:ascii="Times New Roman" w:hAnsi="Times New Roman" w:cs="Times New Roman"/>
                <w:sz w:val="18"/>
                <w:szCs w:val="18"/>
              </w:rPr>
              <w:t xml:space="preserve">vs JE2 </w:t>
            </w:r>
            <w:r w:rsidRPr="00C072A0">
              <w:rPr>
                <w:rFonts w:ascii="Times New Roman" w:hAnsi="Times New Roman" w:cs="Times New Roman"/>
                <w:sz w:val="18"/>
                <w:szCs w:val="18"/>
                <w:lang w:val="el-GR"/>
              </w:rPr>
              <w:t>Δ</w:t>
            </w:r>
            <w:r w:rsidRPr="00C072A0">
              <w:rPr>
                <w:rFonts w:ascii="Times New Roman" w:hAnsi="Times New Roman" w:cs="Times New Roman"/>
                <w:i/>
                <w:iCs/>
                <w:sz w:val="18"/>
                <w:szCs w:val="18"/>
              </w:rPr>
              <w:t xml:space="preserve">codY, </w:t>
            </w:r>
            <w:r w:rsidRPr="00C072A0">
              <w:rPr>
                <w:rFonts w:ascii="Times New Roman" w:hAnsi="Times New Roman" w:cs="Times New Roman"/>
                <w:sz w:val="18"/>
                <w:szCs w:val="18"/>
              </w:rPr>
              <w:t xml:space="preserve">ns </w:t>
            </w:r>
            <w:r w:rsidRPr="00C072A0">
              <w:rPr>
                <w:rFonts w:ascii="Times New Roman" w:hAnsi="Times New Roman" w:cs="Times New Roman"/>
                <w:i/>
                <w:iCs/>
                <w:sz w:val="18"/>
                <w:szCs w:val="18"/>
              </w:rPr>
              <w:t xml:space="preserve">P = </w:t>
            </w:r>
            <w:r w:rsidRPr="00C072A0">
              <w:rPr>
                <w:rFonts w:ascii="Times New Roman" w:hAnsi="Times New Roman" w:cs="Times New Roman"/>
                <w:sz w:val="18"/>
                <w:szCs w:val="18"/>
              </w:rPr>
              <w:t>0.1391; (p)ppGpp</w:t>
            </w:r>
            <w:r w:rsidRPr="00C072A0">
              <w:rPr>
                <w:rFonts w:ascii="Times New Roman" w:hAnsi="Times New Roman" w:cs="Times New Roman"/>
                <w:sz w:val="18"/>
                <w:szCs w:val="18"/>
                <w:vertAlign w:val="superscript"/>
              </w:rPr>
              <w:t xml:space="preserve">0 </w:t>
            </w:r>
            <w:r w:rsidRPr="00C072A0">
              <w:rPr>
                <w:rFonts w:ascii="Times New Roman" w:hAnsi="Times New Roman" w:cs="Times New Roman"/>
                <w:sz w:val="18"/>
                <w:szCs w:val="18"/>
                <w:lang w:val="el-GR"/>
              </w:rPr>
              <w:t>Δ</w:t>
            </w:r>
            <w:r w:rsidRPr="00C072A0">
              <w:rPr>
                <w:rFonts w:ascii="Times New Roman" w:hAnsi="Times New Roman" w:cs="Times New Roman"/>
                <w:i/>
                <w:iCs/>
                <w:sz w:val="18"/>
                <w:szCs w:val="18"/>
              </w:rPr>
              <w:t xml:space="preserve">codY </w:t>
            </w:r>
            <w:r w:rsidRPr="00C072A0">
              <w:rPr>
                <w:rFonts w:ascii="Times New Roman" w:hAnsi="Times New Roman" w:cs="Times New Roman"/>
                <w:sz w:val="18"/>
                <w:szCs w:val="18"/>
              </w:rPr>
              <w:t xml:space="preserve">vs WT * </w:t>
            </w:r>
            <w:r w:rsidRPr="00C072A0">
              <w:rPr>
                <w:rFonts w:ascii="Times New Roman" w:hAnsi="Times New Roman" w:cs="Times New Roman"/>
                <w:i/>
                <w:iCs/>
                <w:sz w:val="18"/>
                <w:szCs w:val="18"/>
              </w:rPr>
              <w:t xml:space="preserve">P = </w:t>
            </w:r>
            <w:r w:rsidRPr="00C072A0">
              <w:rPr>
                <w:rFonts w:ascii="Times New Roman" w:hAnsi="Times New Roman" w:cs="Times New Roman"/>
                <w:sz w:val="18"/>
                <w:szCs w:val="18"/>
              </w:rPr>
              <w:t>0.0108. The experiment was performed in triplicate.</w:t>
            </w:r>
          </w:p>
        </w:tc>
      </w:tr>
      <w:tr w:rsidR="00187693" w14:paraId="60202E8A" w14:textId="77777777" w:rsidTr="00A74445">
        <w:tc>
          <w:tcPr>
            <w:tcW w:w="9016" w:type="dxa"/>
          </w:tcPr>
          <w:p w14:paraId="67346554" w14:textId="77777777" w:rsidR="00187693" w:rsidRPr="00C072A0" w:rsidRDefault="00187693" w:rsidP="00A74445">
            <w:pPr>
              <w:spacing w:before="240"/>
              <w:jc w:val="both"/>
              <w:rPr>
                <w:rFonts w:ascii="Times New Roman" w:hAnsi="Times New Roman" w:cs="Times New Roman"/>
                <w:b/>
                <w:bCs/>
                <w:sz w:val="18"/>
                <w:szCs w:val="18"/>
                <w:lang w:val="en-US"/>
              </w:rPr>
            </w:pPr>
          </w:p>
        </w:tc>
      </w:tr>
    </w:tbl>
    <w:p w14:paraId="4DA65AF8" w14:textId="77777777" w:rsidR="00187693" w:rsidRPr="00E878C4" w:rsidRDefault="00187693" w:rsidP="00187693">
      <w:pPr>
        <w:pStyle w:val="Heading2"/>
      </w:pPr>
      <w:bookmarkStart w:id="170" w:name="_Toc142043662"/>
      <w:r>
        <w:t>5.10. Discussion</w:t>
      </w:r>
      <w:bookmarkEnd w:id="170"/>
    </w:p>
    <w:p w14:paraId="01FCB915" w14:textId="77777777" w:rsidR="00187693" w:rsidRDefault="00187693" w:rsidP="00187693">
      <w:pPr>
        <w:rPr>
          <w:rFonts w:ascii="Times New Roman" w:hAnsi="Times New Roman" w:cs="Times New Roman"/>
        </w:rPr>
      </w:pPr>
    </w:p>
    <w:p w14:paraId="57551E10" w14:textId="2B5FFDE8" w:rsidR="00187693" w:rsidRDefault="00187693" w:rsidP="00187693">
      <w:pPr>
        <w:spacing w:line="360" w:lineRule="auto"/>
        <w:jc w:val="both"/>
        <w:rPr>
          <w:rFonts w:ascii="Times New Roman" w:hAnsi="Times New Roman" w:cs="Times New Roman"/>
        </w:rPr>
      </w:pPr>
      <w:r>
        <w:rPr>
          <w:rFonts w:ascii="Times New Roman" w:hAnsi="Times New Roman" w:cs="Times New Roman"/>
        </w:rPr>
        <w:t xml:space="preserve">This chapter aimed to understand how the stringent response is involved in </w:t>
      </w:r>
      <w:r>
        <w:rPr>
          <w:rFonts w:ascii="Times New Roman" w:hAnsi="Times New Roman" w:cs="Times New Roman"/>
          <w:i/>
          <w:iCs/>
        </w:rPr>
        <w:t>S. aureus</w:t>
      </w:r>
      <w:r>
        <w:rPr>
          <w:rFonts w:ascii="Times New Roman" w:hAnsi="Times New Roman" w:cs="Times New Roman"/>
        </w:rPr>
        <w:t xml:space="preserve"> survival and virulence during infection of professional and non-professional phagocytes and systemic infection in a zebrafish embryo model. </w:t>
      </w:r>
      <w:r w:rsidRPr="008F20FF">
        <w:rPr>
          <w:rFonts w:ascii="Times New Roman" w:hAnsi="Times New Roman" w:cs="Times New Roman"/>
        </w:rPr>
        <w:t>While no difference in killing between WT and the (p)ppGpp</w:t>
      </w:r>
      <w:r w:rsidRPr="008F20FF">
        <w:rPr>
          <w:rFonts w:ascii="Times New Roman" w:hAnsi="Times New Roman" w:cs="Times New Roman"/>
          <w:vertAlign w:val="superscript"/>
        </w:rPr>
        <w:t>0</w:t>
      </w:r>
      <w:r w:rsidRPr="008F20FF">
        <w:rPr>
          <w:rFonts w:ascii="Times New Roman" w:hAnsi="Times New Roman" w:cs="Times New Roman"/>
        </w:rPr>
        <w:t xml:space="preserve"> mutant was observed in RAW 264.7 macrophages, the ability of the (p)ppGpp</w:t>
      </w:r>
      <w:r w:rsidRPr="008F20FF">
        <w:rPr>
          <w:rFonts w:ascii="Times New Roman" w:hAnsi="Times New Roman" w:cs="Times New Roman"/>
          <w:vertAlign w:val="superscript"/>
        </w:rPr>
        <w:t>0</w:t>
      </w:r>
      <w:r w:rsidRPr="008F20FF">
        <w:rPr>
          <w:rFonts w:ascii="Times New Roman" w:hAnsi="Times New Roman" w:cs="Times New Roman"/>
        </w:rPr>
        <w:t xml:space="preserve"> mutant to invade HTE cells seemed to be decreased in comparison to WT. </w:t>
      </w:r>
      <w:r>
        <w:rPr>
          <w:rFonts w:ascii="Times New Roman" w:hAnsi="Times New Roman" w:cs="Times New Roman"/>
        </w:rPr>
        <w:t xml:space="preserve">Furthermore, it was observed that the synthetase-GFP fusions did not fluoresce during flow cytometry and microscopy analysis and thus fluorescence was not detected intracellularly within MDMs. The stringent response was found to contribute to virulence as the </w:t>
      </w:r>
      <w:r w:rsidRPr="00EE397A">
        <w:rPr>
          <w:rFonts w:ascii="Times New Roman" w:hAnsi="Times New Roman" w:cs="Times New Roman"/>
        </w:rPr>
        <w:t>(p)ppGpp</w:t>
      </w:r>
      <w:r w:rsidRPr="00EE397A">
        <w:rPr>
          <w:rFonts w:ascii="Times New Roman" w:hAnsi="Times New Roman" w:cs="Times New Roman"/>
          <w:vertAlign w:val="superscript"/>
        </w:rPr>
        <w:t>0</w:t>
      </w:r>
      <w:r w:rsidRPr="00EE397A">
        <w:rPr>
          <w:rFonts w:ascii="Times New Roman" w:hAnsi="Times New Roman" w:cs="Times New Roman"/>
        </w:rPr>
        <w:t xml:space="preserve"> mutant</w:t>
      </w:r>
      <w:r>
        <w:rPr>
          <w:rFonts w:ascii="Times New Roman" w:hAnsi="Times New Roman" w:cs="Times New Roman"/>
        </w:rPr>
        <w:t xml:space="preserve"> was attenuated and its ability to kill zebrafish embryos was reduced in comparison to WT. Attenuation of the </w:t>
      </w:r>
      <w:r w:rsidRPr="00EE397A">
        <w:rPr>
          <w:rFonts w:ascii="Times New Roman" w:hAnsi="Times New Roman" w:cs="Times New Roman"/>
        </w:rPr>
        <w:t>(p)ppGpp</w:t>
      </w:r>
      <w:r w:rsidRPr="00EE397A">
        <w:rPr>
          <w:rFonts w:ascii="Times New Roman" w:hAnsi="Times New Roman" w:cs="Times New Roman"/>
          <w:vertAlign w:val="superscript"/>
        </w:rPr>
        <w:t>0</w:t>
      </w:r>
      <w:r w:rsidRPr="00EE397A">
        <w:rPr>
          <w:rFonts w:ascii="Times New Roman" w:hAnsi="Times New Roman" w:cs="Times New Roman"/>
        </w:rPr>
        <w:t xml:space="preserve"> mutant</w:t>
      </w:r>
      <w:r>
        <w:rPr>
          <w:rFonts w:ascii="Times New Roman" w:hAnsi="Times New Roman" w:cs="Times New Roman"/>
        </w:rPr>
        <w:t xml:space="preserve"> appears to be due to a virulence defect rather than a growth defect as the </w:t>
      </w:r>
      <w:r w:rsidRPr="00EE397A">
        <w:rPr>
          <w:rFonts w:ascii="Times New Roman" w:hAnsi="Times New Roman" w:cs="Times New Roman"/>
        </w:rPr>
        <w:t>(p)ppGpp</w:t>
      </w:r>
      <w:r w:rsidRPr="00EE397A">
        <w:rPr>
          <w:rFonts w:ascii="Times New Roman" w:hAnsi="Times New Roman" w:cs="Times New Roman"/>
          <w:vertAlign w:val="superscript"/>
        </w:rPr>
        <w:t>0</w:t>
      </w:r>
      <w:r w:rsidRPr="00EE397A">
        <w:rPr>
          <w:rFonts w:ascii="Times New Roman" w:hAnsi="Times New Roman" w:cs="Times New Roman"/>
        </w:rPr>
        <w:t xml:space="preserve"> mutant</w:t>
      </w:r>
      <w:r>
        <w:rPr>
          <w:rFonts w:ascii="Times New Roman" w:hAnsi="Times New Roman" w:cs="Times New Roman"/>
        </w:rPr>
        <w:t xml:space="preserve"> was able to replicate </w:t>
      </w:r>
      <w:r>
        <w:rPr>
          <w:rFonts w:ascii="Times New Roman" w:hAnsi="Times New Roman" w:cs="Times New Roman"/>
          <w:i/>
          <w:iCs/>
        </w:rPr>
        <w:t>in vivo</w:t>
      </w:r>
      <w:r>
        <w:rPr>
          <w:rFonts w:ascii="Times New Roman" w:hAnsi="Times New Roman" w:cs="Times New Roman"/>
        </w:rPr>
        <w:t xml:space="preserve"> as well as WT. While the absence of (p)ppGpp hindered </w:t>
      </w:r>
      <w:r>
        <w:rPr>
          <w:rFonts w:ascii="Times New Roman" w:hAnsi="Times New Roman" w:cs="Times New Roman"/>
          <w:i/>
          <w:iCs/>
        </w:rPr>
        <w:t>S. aureus</w:t>
      </w:r>
      <w:r>
        <w:rPr>
          <w:rFonts w:ascii="Times New Roman" w:hAnsi="Times New Roman" w:cs="Times New Roman"/>
        </w:rPr>
        <w:t xml:space="preserve"> virulence, (p)ppGpp overproduction was also detrimental for </w:t>
      </w:r>
      <w:r>
        <w:rPr>
          <w:rFonts w:ascii="Times New Roman" w:hAnsi="Times New Roman" w:cs="Times New Roman"/>
          <w:i/>
          <w:iCs/>
        </w:rPr>
        <w:t xml:space="preserve">S. aureus </w:t>
      </w:r>
      <w:r>
        <w:rPr>
          <w:rFonts w:ascii="Times New Roman" w:hAnsi="Times New Roman" w:cs="Times New Roman"/>
        </w:rPr>
        <w:t xml:space="preserve">survival </w:t>
      </w:r>
      <w:r>
        <w:rPr>
          <w:rFonts w:ascii="Times New Roman" w:hAnsi="Times New Roman" w:cs="Times New Roman"/>
          <w:i/>
          <w:iCs/>
        </w:rPr>
        <w:t>in vivo</w:t>
      </w:r>
      <w:r>
        <w:rPr>
          <w:rFonts w:ascii="Times New Roman" w:hAnsi="Times New Roman" w:cs="Times New Roman"/>
        </w:rPr>
        <w:t xml:space="preserve">. Furthermore, the impact of Rel for </w:t>
      </w:r>
      <w:r>
        <w:rPr>
          <w:rFonts w:ascii="Times New Roman" w:hAnsi="Times New Roman" w:cs="Times New Roman"/>
          <w:i/>
          <w:iCs/>
        </w:rPr>
        <w:t>S. aureus</w:t>
      </w:r>
      <w:r>
        <w:rPr>
          <w:rFonts w:ascii="Times New Roman" w:hAnsi="Times New Roman" w:cs="Times New Roman"/>
        </w:rPr>
        <w:t xml:space="preserve"> virulence has been demonstrated in various animal models and here it is shown that (p)ppGpp produced by Rel, controlled by a non-native promoter, and not RelP is sufficient during a zebrafish embryo systemic infection model</w:t>
      </w:r>
      <w:r w:rsidRPr="002C7E8E">
        <w:rPr>
          <w:rFonts w:ascii="Times New Roman" w:hAnsi="Times New Roman" w:cs="Times New Roman"/>
        </w:rPr>
        <w:t xml:space="preserve">. Interestingly, the absence of CodY did not corroborate the </w:t>
      </w:r>
      <w:r>
        <w:rPr>
          <w:rFonts w:ascii="Times New Roman" w:hAnsi="Times New Roman" w:cs="Times New Roman"/>
          <w:i/>
          <w:iCs/>
        </w:rPr>
        <w:t xml:space="preserve">in vitro </w:t>
      </w:r>
      <w:r>
        <w:rPr>
          <w:rFonts w:ascii="Times New Roman" w:hAnsi="Times New Roman" w:cs="Times New Roman"/>
        </w:rPr>
        <w:t>tolerance assay</w:t>
      </w:r>
      <w:r w:rsidRPr="002C7E8E">
        <w:rPr>
          <w:rFonts w:ascii="Times New Roman" w:hAnsi="Times New Roman" w:cs="Times New Roman"/>
        </w:rPr>
        <w:t xml:space="preserve"> findings</w:t>
      </w:r>
      <w:r>
        <w:rPr>
          <w:rFonts w:ascii="Times New Roman" w:hAnsi="Times New Roman" w:cs="Times New Roman"/>
        </w:rPr>
        <w:t xml:space="preserve"> in</w:t>
      </w:r>
      <w:r w:rsidRPr="002C7E8E">
        <w:rPr>
          <w:rFonts w:ascii="Times New Roman" w:hAnsi="Times New Roman" w:cs="Times New Roman"/>
        </w:rPr>
        <w:t xml:space="preserve"> </w:t>
      </w:r>
      <w:r w:rsidRPr="002C7E8E">
        <w:rPr>
          <w:rFonts w:ascii="Times New Roman" w:hAnsi="Times New Roman" w:cs="Times New Roman"/>
          <w:b/>
          <w:bCs/>
        </w:rPr>
        <w:t>Figure 4.2.10</w:t>
      </w:r>
      <w:r w:rsidRPr="002C7E8E">
        <w:rPr>
          <w:rFonts w:ascii="Times New Roman" w:hAnsi="Times New Roman" w:cs="Times New Roman"/>
        </w:rPr>
        <w:t xml:space="preserve">, as the </w:t>
      </w:r>
      <w:r w:rsidR="004600C2" w:rsidRPr="000B3602">
        <w:rPr>
          <w:rFonts w:ascii="Times New Roman" w:hAnsi="Times New Roman" w:cs="Times New Roman"/>
          <w:i/>
          <w:iCs/>
        </w:rPr>
        <w:t>codY</w:t>
      </w:r>
      <w:r w:rsidR="004600C2" w:rsidRPr="000B3602">
        <w:rPr>
          <w:rFonts w:ascii="Times New Roman" w:hAnsi="Times New Roman" w:cs="Times New Roman"/>
        </w:rPr>
        <w:t>::Tn</w:t>
      </w:r>
      <w:r w:rsidR="004600C2" w:rsidRPr="000B3602">
        <w:rPr>
          <w:rFonts w:ascii="Times New Roman" w:hAnsi="Times New Roman" w:cs="Times New Roman"/>
          <w:i/>
          <w:iCs/>
        </w:rPr>
        <w:t xml:space="preserve"> </w:t>
      </w:r>
      <w:r w:rsidRPr="002C7E8E">
        <w:rPr>
          <w:rFonts w:ascii="Times New Roman" w:hAnsi="Times New Roman" w:cs="Times New Roman"/>
        </w:rPr>
        <w:t xml:space="preserve">mutants did not display higher killing or virulence in comparison to WT. </w:t>
      </w:r>
      <w:r>
        <w:rPr>
          <w:rFonts w:ascii="Times New Roman" w:hAnsi="Times New Roman" w:cs="Times New Roman"/>
        </w:rPr>
        <w:t xml:space="preserve">These findings give an insight as to how the stringent response is implicated for </w:t>
      </w:r>
      <w:r>
        <w:rPr>
          <w:rFonts w:ascii="Times New Roman" w:hAnsi="Times New Roman" w:cs="Times New Roman"/>
          <w:i/>
          <w:iCs/>
        </w:rPr>
        <w:t>S. aureus</w:t>
      </w:r>
      <w:r>
        <w:rPr>
          <w:rFonts w:ascii="Times New Roman" w:hAnsi="Times New Roman" w:cs="Times New Roman"/>
        </w:rPr>
        <w:t xml:space="preserve"> survival and virulence during infection and demonstrates that the stringent response is an important regulatory pathway that contributes to </w:t>
      </w:r>
      <w:r>
        <w:rPr>
          <w:rFonts w:ascii="Times New Roman" w:hAnsi="Times New Roman" w:cs="Times New Roman"/>
          <w:i/>
          <w:iCs/>
        </w:rPr>
        <w:t xml:space="preserve">S. aureus </w:t>
      </w:r>
      <w:r>
        <w:rPr>
          <w:rFonts w:ascii="Times New Roman" w:hAnsi="Times New Roman" w:cs="Times New Roman"/>
        </w:rPr>
        <w:t xml:space="preserve">virulence. </w:t>
      </w:r>
    </w:p>
    <w:p w14:paraId="776F37EF" w14:textId="77777777" w:rsidR="00187693" w:rsidRPr="001D36A9" w:rsidRDefault="00187693" w:rsidP="00187693">
      <w:pPr>
        <w:spacing w:line="360" w:lineRule="auto"/>
        <w:jc w:val="both"/>
        <w:rPr>
          <w:rFonts w:ascii="Times New Roman" w:hAnsi="Times New Roman" w:cs="Times New Roman"/>
          <w:b/>
          <w:bCs/>
        </w:rPr>
      </w:pPr>
      <w:r w:rsidRPr="00B436D2">
        <w:rPr>
          <w:rFonts w:ascii="Times New Roman" w:hAnsi="Times New Roman" w:cs="Times New Roman"/>
          <w:color w:val="FF0000"/>
        </w:rPr>
        <w:tab/>
      </w:r>
      <w:r w:rsidRPr="001D36A9">
        <w:rPr>
          <w:rFonts w:ascii="Times New Roman" w:hAnsi="Times New Roman" w:cs="Times New Roman"/>
        </w:rPr>
        <w:t xml:space="preserve">RAW 264.7 murine macrophages are a well-established cell culture model used to make predictions about how human monocytes/macrophages may interact with pathogens. For over 40 years, this cell line has been deemed suitable to study these interactions due to its similarity to human macrophages e.g., the ability to perform phagocytosis, pinocytosis and the production of NO in response to stimulation by LPS </w:t>
      </w:r>
      <w:r w:rsidRPr="001D36A9">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&lt;EndNote&gt;&lt;Cite&gt;&lt;Author&gt;Taciak&lt;/Author&gt;&lt;Year&gt;2018&lt;/Year&gt;&lt;IDText&gt;Evaluation of phenotypic and functional stability of RAW 264.7 cell line through serial passages&lt;/IDText&gt;&lt;DisplayText&gt;(Taciak&lt;style face="italic"&gt; et al.&lt;/style&gt;, 2018)&lt;/DisplayText&gt;&lt;record&gt;&lt;dates&gt;&lt;pub-dates&gt;&lt;date&gt;Jun 11&lt;/date&gt;&lt;/pub-dates&gt;&lt;year&gt;2018&lt;/year&gt;&lt;/dates&gt;&lt;urls&gt;&lt;related-urls&gt;&lt;url&gt;&amp;lt;Go to ISI&amp;gt;://WOS:000434786600065&lt;/url&gt;&lt;/related-urls&gt;&lt;/urls&gt;&lt;isbn&gt;1932-6203&lt;/isbn&gt;&lt;work-type&gt;Article&lt;/work-type&gt;&lt;titles&gt;&lt;title&gt;Evaluation of phenotypic and functional stability of RAW 264.7 cell line through serial passages&lt;/title&gt;&lt;secondary-title&gt;Plos One&lt;/secondary-title&gt;&lt;/titles&gt;&lt;number&gt;6&lt;/number&gt;&lt;contributors&gt;&lt;authors&gt;&lt;author&gt;Taciak, Bartlomiej&lt;/author&gt;&lt;author&gt;Bialasek, Maciej&lt;/author&gt;&lt;author&gt;Braniewska, Agata&lt;/author&gt;&lt;author&gt;Sas, Zuzanna&lt;/author&gt;&lt;author&gt;Sawicka, Paulina&lt;/author&gt;&lt;author&gt;Kiraga, Lukasz&lt;/author&gt;&lt;author&gt;Rygiel, Tomasz&lt;/author&gt;&lt;author&gt;Krol, Magdalena&lt;/author&gt;&lt;/authors&gt;&lt;/contributors&gt;&lt;custom7&gt;E0198943&lt;/custom7&gt;&lt;added-date format="utc"&gt;1674603755&lt;/added-date&gt;&lt;ref-type name="Journal Article"&gt;17&lt;/ref-type&gt;&lt;rec-number&gt;255&lt;/rec-number&gt;&lt;last-updated-date format="utc"&gt;1674603755&lt;/last-updated-date&gt;&lt;accession-num&gt;WOS:000434786600065&lt;/accession-num&gt;&lt;electronic-resource-num&gt;10.1371/journal.pone.0198943&lt;/electronic-resource-num&gt;&lt;volume&gt;13&lt;/volume&gt;&lt;/record&gt;&lt;/Cite&gt;&lt;/EndNote&gt;</w:instrText>
      </w:r>
      <w:r w:rsidRPr="001D36A9">
        <w:rPr>
          <w:rFonts w:ascii="Times New Roman" w:hAnsi="Times New Roman" w:cs="Times New Roman"/>
          <w:b/>
          <w:bCs/>
        </w:rPr>
        <w:fldChar w:fldCharType="separate"/>
      </w:r>
      <w:r>
        <w:rPr>
          <w:rFonts w:ascii="Times New Roman" w:hAnsi="Times New Roman" w:cs="Times New Roman"/>
          <w:b/>
          <w:bCs/>
          <w:noProof/>
        </w:rPr>
        <w:t>(Taciak</w:t>
      </w:r>
      <w:r w:rsidRPr="00F95468">
        <w:rPr>
          <w:rFonts w:ascii="Times New Roman" w:hAnsi="Times New Roman" w:cs="Times New Roman"/>
          <w:b/>
          <w:bCs/>
          <w:i/>
          <w:noProof/>
        </w:rPr>
        <w:t xml:space="preserve"> et al.</w:t>
      </w:r>
      <w:r>
        <w:rPr>
          <w:rFonts w:ascii="Times New Roman" w:hAnsi="Times New Roman" w:cs="Times New Roman"/>
          <w:b/>
          <w:bCs/>
          <w:noProof/>
        </w:rPr>
        <w:t>, 2018)</w:t>
      </w:r>
      <w:r w:rsidRPr="001D36A9">
        <w:rPr>
          <w:rFonts w:ascii="Times New Roman" w:hAnsi="Times New Roman" w:cs="Times New Roman"/>
          <w:b/>
          <w:bCs/>
        </w:rPr>
        <w:fldChar w:fldCharType="end"/>
      </w:r>
      <w:r w:rsidRPr="001D36A9">
        <w:rPr>
          <w:rFonts w:ascii="Times New Roman" w:hAnsi="Times New Roman" w:cs="Times New Roman"/>
        </w:rPr>
        <w:t>.</w:t>
      </w:r>
      <w:r w:rsidRPr="001D36A9">
        <w:rPr>
          <w:rFonts w:ascii="Times New Roman" w:hAnsi="Times New Roman" w:cs="Times New Roman"/>
          <w:b/>
          <w:bCs/>
        </w:rPr>
        <w:t xml:space="preserve"> </w:t>
      </w:r>
      <w:r w:rsidRPr="001D36A9">
        <w:rPr>
          <w:rFonts w:ascii="Times New Roman" w:hAnsi="Times New Roman" w:cs="Times New Roman"/>
        </w:rPr>
        <w:t xml:space="preserve">As RAW 264.7 macrophages were derived from leukaemic lymphoid cells, they are immortalised which poses an advantage over primary cells isolated from human blood donors as they can be easily propagated. Additionally, acquiring human blood donors can be difficult as the reliability of donors, amount of blood donated, and the number of cells vary from donor to donor. As the stringent response has previously been implicated as a pathway involved in the development of persistence within macrophages </w:t>
      </w:r>
      <w:r w:rsidRPr="001D36A9">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&lt;EndNote&gt;&lt;Cite&gt;&lt;Author&gt;Peyrusson&lt;/Author&gt;&lt;Year&gt;2020&lt;/Year&gt;&lt;IDText&gt;Intracellular Staphylococcus aureus persisters upon antibiotic exposure&lt;/IDText&gt;&lt;DisplayText&gt;(Peyrusson&lt;style face="italic"&gt; et al.&lt;/style&gt;, 2020)&lt;/DisplayText&gt;&lt;record&gt;&lt;dates&gt;&lt;pub-dates&gt;&lt;date&gt;May 4&lt;/date&gt;&lt;/pub-dates&gt;&lt;year&gt;2020&lt;/year&gt;&lt;/dates&gt;&lt;urls&gt;&lt;related-urls&gt;&lt;url&gt;&amp;lt;Go to ISI&amp;gt;://WOS:000533952200018&lt;/url&gt;&lt;/related-urls&gt;&lt;/urls&gt;&lt;isbn&gt;2041-1723&lt;/isbn&gt;&lt;titles&gt;&lt;title&gt;Intracellular Staphylococcus aureus persisters upon antibiotic exposure&lt;/title&gt;&lt;secondary-title&gt;Nature Communications&lt;/secondary-title&gt;&lt;/titles&gt;&lt;number&gt;1&lt;/number&gt;&lt;contributors&gt;&lt;authors&gt;&lt;author&gt;Peyrusson, Frederic&lt;/author&gt;&lt;author&gt;Varet, Hugo&lt;/author&gt;&lt;author&gt;Tiep Khac, Nguyen&lt;/author&gt;&lt;author&gt;Legendre, Rachel&lt;/author&gt;&lt;author&gt;Sismeiro, Odile&lt;/author&gt;&lt;author&gt;Coppee, Jean-Yves&lt;/author&gt;&lt;author&gt;Wolz, Christiane&lt;/author&gt;&lt;author&gt;Tenson, Tanel&lt;/author&gt;&lt;author&gt;Van Bambeke, Francoise&lt;/author&gt;&lt;/authors&gt;&lt;/contributors&gt;&lt;custom7&gt;2200&lt;/custom7&gt;&lt;added-date format="utc"&gt;1663614022&lt;/added-date&gt;&lt;ref-type name="Journal Article"&gt;17&lt;/ref-type&gt;&lt;rec-number&gt;80&lt;/rec-number&gt;&lt;last-updated-date format="utc"&gt;1663624413&lt;/last-updated-date&gt;&lt;accession-num&gt;WOS:000533952200018&lt;/accession-num&gt;&lt;electronic-resource-num&gt;10.1038/s41467-020-15966-7&lt;/electronic-resource-num&gt;&lt;volume&gt;11&lt;/volume&gt;&lt;/record&gt;&lt;/Cite&gt;&lt;/EndNote&gt;</w:instrText>
      </w:r>
      <w:r w:rsidRPr="001D36A9">
        <w:rPr>
          <w:rFonts w:ascii="Times New Roman" w:hAnsi="Times New Roman" w:cs="Times New Roman"/>
          <w:b/>
          <w:bCs/>
        </w:rPr>
        <w:fldChar w:fldCharType="separate"/>
      </w:r>
      <w:r>
        <w:rPr>
          <w:rFonts w:ascii="Times New Roman" w:hAnsi="Times New Roman" w:cs="Times New Roman"/>
          <w:b/>
          <w:bCs/>
          <w:noProof/>
        </w:rPr>
        <w:t>(Peyrusson</w:t>
      </w:r>
      <w:r w:rsidRPr="00F95468">
        <w:rPr>
          <w:rFonts w:ascii="Times New Roman" w:hAnsi="Times New Roman" w:cs="Times New Roman"/>
          <w:b/>
          <w:bCs/>
          <w:i/>
          <w:noProof/>
        </w:rPr>
        <w:t xml:space="preserve"> et al.</w:t>
      </w:r>
      <w:r>
        <w:rPr>
          <w:rFonts w:ascii="Times New Roman" w:hAnsi="Times New Roman" w:cs="Times New Roman"/>
          <w:b/>
          <w:bCs/>
          <w:noProof/>
        </w:rPr>
        <w:t>, 2020)</w:t>
      </w:r>
      <w:r w:rsidRPr="001D36A9">
        <w:rPr>
          <w:rFonts w:ascii="Times New Roman" w:hAnsi="Times New Roman" w:cs="Times New Roman"/>
          <w:b/>
          <w:bCs/>
        </w:rPr>
        <w:fldChar w:fldCharType="end"/>
      </w:r>
      <w:r w:rsidRPr="001D36A9">
        <w:rPr>
          <w:rFonts w:ascii="Times New Roman" w:hAnsi="Times New Roman" w:cs="Times New Roman"/>
        </w:rPr>
        <w:t>, a difference in killing of the (p)ppGpp</w:t>
      </w:r>
      <w:r w:rsidRPr="001D36A9">
        <w:rPr>
          <w:rFonts w:ascii="Times New Roman" w:hAnsi="Times New Roman" w:cs="Times New Roman"/>
          <w:vertAlign w:val="superscript"/>
        </w:rPr>
        <w:t>0</w:t>
      </w:r>
      <w:r w:rsidRPr="001D36A9">
        <w:rPr>
          <w:rFonts w:ascii="Times New Roman" w:hAnsi="Times New Roman" w:cs="Times New Roman"/>
        </w:rPr>
        <w:t xml:space="preserve"> mutant in comparison to WT was expected, however this study did not yield this result demonstrated by equivalent rates of killing by both strains </w:t>
      </w:r>
      <w:r w:rsidRPr="001D36A9">
        <w:rPr>
          <w:rFonts w:ascii="Times New Roman" w:hAnsi="Times New Roman" w:cs="Times New Roman"/>
          <w:b/>
          <w:bCs/>
        </w:rPr>
        <w:t xml:space="preserve">(Fig. </w:t>
      </w:r>
      <w:r>
        <w:rPr>
          <w:rFonts w:ascii="Times New Roman" w:hAnsi="Times New Roman" w:cs="Times New Roman"/>
          <w:b/>
          <w:bCs/>
        </w:rPr>
        <w:t>5</w:t>
      </w:r>
      <w:r w:rsidRPr="001D36A9">
        <w:rPr>
          <w:rFonts w:ascii="Times New Roman" w:hAnsi="Times New Roman" w:cs="Times New Roman"/>
          <w:b/>
          <w:bCs/>
        </w:rPr>
        <w:t>.2.3c)</w:t>
      </w:r>
      <w:r w:rsidRPr="001D36A9">
        <w:rPr>
          <w:rFonts w:ascii="Times New Roman" w:hAnsi="Times New Roman" w:cs="Times New Roman"/>
        </w:rPr>
        <w:t xml:space="preserve">. </w:t>
      </w:r>
    </w:p>
    <w:p w14:paraId="00C1C0CB" w14:textId="1C9C7CDC" w:rsidR="00187693" w:rsidRPr="001D36A9" w:rsidRDefault="00187693" w:rsidP="00187693">
      <w:pPr>
        <w:spacing w:line="360" w:lineRule="auto"/>
        <w:ind w:firstLine="720"/>
        <w:jc w:val="both"/>
        <w:rPr>
          <w:rFonts w:ascii="Times New Roman" w:hAnsi="Times New Roman" w:cs="Times New Roman"/>
        </w:rPr>
      </w:pPr>
      <w:r w:rsidRPr="001D36A9">
        <w:rPr>
          <w:rFonts w:ascii="Times New Roman" w:hAnsi="Times New Roman" w:cs="Times New Roman"/>
        </w:rPr>
        <w:t xml:space="preserve">For this assay, FBS was used to increase the number of bacteria taken up by the RAW 264.7 macrophages by opsonisation, </w:t>
      </w:r>
      <w:r w:rsidR="00152C9A" w:rsidRPr="001D36A9">
        <w:rPr>
          <w:rFonts w:ascii="Times New Roman" w:hAnsi="Times New Roman" w:cs="Times New Roman"/>
        </w:rPr>
        <w:t xml:space="preserve">however </w:t>
      </w:r>
      <w:r w:rsidR="00152C9A">
        <w:rPr>
          <w:rFonts w:ascii="Times New Roman" w:hAnsi="Times New Roman" w:cs="Times New Roman"/>
        </w:rPr>
        <w:t xml:space="preserve">as FBS is heat-inactivated and so complement proteins and antibodies will no longer be functional, </w:t>
      </w:r>
      <w:r w:rsidRPr="001D36A9">
        <w:rPr>
          <w:rFonts w:ascii="Times New Roman" w:hAnsi="Times New Roman" w:cs="Times New Roman"/>
        </w:rPr>
        <w:t>it may have been beneficial to also stimulate the macrophages prior to infection. Common stimulators include LPS and IFN-γ, and RAW 264.7 macrophages are known to produce NO in response to activat</w:t>
      </w:r>
      <w:r w:rsidR="00086AFF">
        <w:rPr>
          <w:rFonts w:ascii="Times New Roman" w:hAnsi="Times New Roman" w:cs="Times New Roman"/>
        </w:rPr>
        <w:t>ion</w:t>
      </w:r>
      <w:r w:rsidRPr="001D36A9">
        <w:rPr>
          <w:rFonts w:ascii="Times New Roman" w:hAnsi="Times New Roman" w:cs="Times New Roman"/>
        </w:rPr>
        <w:t xml:space="preserve"> by LPS </w:t>
      </w:r>
      <w:r w:rsidRPr="001D36A9">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&lt;EndNote&gt;&lt;Cite&gt;&lt;Author&gt;Taciak&lt;/Author&gt;&lt;Year&gt;2018&lt;/Year&gt;&lt;IDText&gt;Evaluation of phenotypic and functional stability of RAW 264.7 cell line through serial passages&lt;/IDText&gt;&lt;DisplayText&gt;(Taciak&lt;style face="italic"&gt; et al.&lt;/style&gt;, 2018)&lt;/DisplayText&gt;&lt;record&gt;&lt;dates&gt;&lt;pub-dates&gt;&lt;date&gt;Jun 11&lt;/date&gt;&lt;/pub-dates&gt;&lt;year&gt;2018&lt;/year&gt;&lt;/dates&gt;&lt;urls&gt;&lt;related-urls&gt;&lt;url&gt;&amp;lt;Go to ISI&amp;gt;://WOS:000434786600065&lt;/url&gt;&lt;/related-urls&gt;&lt;/urls&gt;&lt;isbn&gt;1932-6203&lt;/isbn&gt;&lt;work-type&gt;Article&lt;/work-type&gt;&lt;titles&gt;&lt;title&gt;Evaluation of phenotypic and functional stability of RAW 264.7 cell line through serial passages&lt;/title&gt;&lt;secondary-title&gt;Plos One&lt;/secondary-title&gt;&lt;/titles&gt;&lt;number&gt;6&lt;/number&gt;&lt;contributors&gt;&lt;authors&gt;&lt;author&gt;Taciak, Bartlomiej&lt;/author&gt;&lt;author&gt;Bialasek, Maciej&lt;/author&gt;&lt;author&gt;Braniewska, Agata&lt;/author&gt;&lt;author&gt;Sas, Zuzanna&lt;/author&gt;&lt;author&gt;Sawicka, Paulina&lt;/author&gt;&lt;author&gt;Kiraga, Lukasz&lt;/author&gt;&lt;author&gt;Rygiel, Tomasz&lt;/author&gt;&lt;author&gt;Krol, Magdalena&lt;/author&gt;&lt;/authors&gt;&lt;/contributors&gt;&lt;custom7&gt;E0198943&lt;/custom7&gt;&lt;added-date format="utc"&gt;1674603755&lt;/added-date&gt;&lt;ref-type name="Journal Article"&gt;17&lt;/ref-type&gt;&lt;rec-number&gt;255&lt;/rec-number&gt;&lt;last-updated-date format="utc"&gt;1674603755&lt;/last-updated-date&gt;&lt;accession-num&gt;WOS:000434786600065&lt;/accession-num&gt;&lt;electronic-resource-num&gt;10.1371/journal.pone.0198943&lt;/electronic-resource-num&gt;&lt;volume&gt;13&lt;/volume&gt;&lt;/record&gt;&lt;/Cite&gt;&lt;/EndNote&gt;</w:instrText>
      </w:r>
      <w:r w:rsidRPr="001D36A9">
        <w:rPr>
          <w:rFonts w:ascii="Times New Roman" w:hAnsi="Times New Roman" w:cs="Times New Roman"/>
          <w:b/>
          <w:bCs/>
        </w:rPr>
        <w:fldChar w:fldCharType="separate"/>
      </w:r>
      <w:r>
        <w:rPr>
          <w:rFonts w:ascii="Times New Roman" w:hAnsi="Times New Roman" w:cs="Times New Roman"/>
          <w:b/>
          <w:bCs/>
          <w:noProof/>
        </w:rPr>
        <w:t>(Taciak</w:t>
      </w:r>
      <w:r w:rsidRPr="00F95468">
        <w:rPr>
          <w:rFonts w:ascii="Times New Roman" w:hAnsi="Times New Roman" w:cs="Times New Roman"/>
          <w:b/>
          <w:bCs/>
          <w:i/>
          <w:noProof/>
        </w:rPr>
        <w:t xml:space="preserve"> et al.</w:t>
      </w:r>
      <w:r>
        <w:rPr>
          <w:rFonts w:ascii="Times New Roman" w:hAnsi="Times New Roman" w:cs="Times New Roman"/>
          <w:b/>
          <w:bCs/>
          <w:noProof/>
        </w:rPr>
        <w:t>, 2018)</w:t>
      </w:r>
      <w:r w:rsidRPr="001D36A9">
        <w:rPr>
          <w:rFonts w:ascii="Times New Roman" w:hAnsi="Times New Roman" w:cs="Times New Roman"/>
          <w:b/>
          <w:bCs/>
        </w:rPr>
        <w:fldChar w:fldCharType="end"/>
      </w:r>
      <w:r w:rsidRPr="001D36A9">
        <w:rPr>
          <w:rFonts w:ascii="Times New Roman" w:hAnsi="Times New Roman" w:cs="Times New Roman"/>
        </w:rPr>
        <w:t>. LPS-mediated stimulation results in an increase in the amount of Fcγ receptor-mediat</w:t>
      </w:r>
      <w:r w:rsidR="00DF2044">
        <w:rPr>
          <w:rFonts w:ascii="Times New Roman" w:hAnsi="Times New Roman" w:cs="Times New Roman"/>
        </w:rPr>
        <w:t>ed</w:t>
      </w:r>
      <w:r w:rsidRPr="001D36A9">
        <w:rPr>
          <w:rFonts w:ascii="Times New Roman" w:hAnsi="Times New Roman" w:cs="Times New Roman"/>
        </w:rPr>
        <w:t xml:space="preserve"> killing by macrophages, and therefore a lack of stimulation may decrease the phagocytic ability of macrophages </w:t>
      </w:r>
      <w:r w:rsidRPr="001D36A9">
        <w:rPr>
          <w:rFonts w:ascii="Times New Roman" w:hAnsi="Times New Roman" w:cs="Times New Roman"/>
          <w:b/>
          <w:bCs/>
        </w:rPr>
        <w:fldChar w:fldCharType="begin">
          <w:fldData xml:space="preserve">PEVuZE5vdGU+PENpdGU+PEF1dGhvcj5QYWxlcm1vPC9BdXRob3I+PFllYXI+MTk5NzwvWWVhcj48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=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PEVuZE5vdGU+PENpdGU+PEF1dGhvcj5QYWxlcm1vPC9BdXRob3I+PFllYXI+MTk5NzwvWWVhcj48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=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1D36A9">
        <w:rPr>
          <w:rFonts w:ascii="Times New Roman" w:hAnsi="Times New Roman" w:cs="Times New Roman"/>
          <w:b/>
          <w:bCs/>
        </w:rPr>
      </w:r>
      <w:r w:rsidRPr="001D36A9">
        <w:rPr>
          <w:rFonts w:ascii="Times New Roman" w:hAnsi="Times New Roman" w:cs="Times New Roman"/>
          <w:b/>
          <w:bCs/>
        </w:rPr>
        <w:fldChar w:fldCharType="separate"/>
      </w:r>
      <w:r>
        <w:rPr>
          <w:rFonts w:ascii="Times New Roman" w:hAnsi="Times New Roman" w:cs="Times New Roman"/>
          <w:b/>
          <w:bCs/>
          <w:noProof/>
        </w:rPr>
        <w:t>(Palermo</w:t>
      </w:r>
      <w:r w:rsidRPr="00F95468">
        <w:rPr>
          <w:rFonts w:ascii="Times New Roman" w:hAnsi="Times New Roman" w:cs="Times New Roman"/>
          <w:b/>
          <w:bCs/>
          <w:i/>
          <w:noProof/>
        </w:rPr>
        <w:t xml:space="preserve"> et al.</w:t>
      </w:r>
      <w:r>
        <w:rPr>
          <w:rFonts w:ascii="Times New Roman" w:hAnsi="Times New Roman" w:cs="Times New Roman"/>
          <w:b/>
          <w:bCs/>
          <w:noProof/>
        </w:rPr>
        <w:t>, 1997; Rubel</w:t>
      </w:r>
      <w:r w:rsidRPr="00F95468">
        <w:rPr>
          <w:rFonts w:ascii="Times New Roman" w:hAnsi="Times New Roman" w:cs="Times New Roman"/>
          <w:b/>
          <w:bCs/>
          <w:i/>
          <w:noProof/>
        </w:rPr>
        <w:t xml:space="preserve"> et al.</w:t>
      </w:r>
      <w:r>
        <w:rPr>
          <w:rFonts w:ascii="Times New Roman" w:hAnsi="Times New Roman" w:cs="Times New Roman"/>
          <w:b/>
          <w:bCs/>
          <w:noProof/>
        </w:rPr>
        <w:t>, 1999)</w:t>
      </w:r>
      <w:r w:rsidRPr="001D36A9">
        <w:rPr>
          <w:rFonts w:ascii="Times New Roman" w:hAnsi="Times New Roman" w:cs="Times New Roman"/>
          <w:b/>
          <w:bCs/>
        </w:rPr>
        <w:fldChar w:fldCharType="end"/>
      </w:r>
      <w:r w:rsidRPr="001D36A9">
        <w:rPr>
          <w:rFonts w:ascii="Times New Roman" w:hAnsi="Times New Roman" w:cs="Times New Roman"/>
        </w:rPr>
        <w:t xml:space="preserve">. Macrophages activated due to LPS stimulation should phagocytose more bacteria and this may aid in distinguishing whether the stringent response is necessary for survival as higher intracellular CFU/ml may </w:t>
      </w:r>
      <w:r>
        <w:rPr>
          <w:rFonts w:ascii="Times New Roman" w:hAnsi="Times New Roman" w:cs="Times New Roman"/>
        </w:rPr>
        <w:t>give</w:t>
      </w:r>
      <w:r w:rsidRPr="001D36A9">
        <w:rPr>
          <w:rFonts w:ascii="Times New Roman" w:hAnsi="Times New Roman" w:cs="Times New Roman"/>
        </w:rPr>
        <w:t xml:space="preserve"> more reliable</w:t>
      </w:r>
      <w:r>
        <w:rPr>
          <w:rFonts w:ascii="Times New Roman" w:hAnsi="Times New Roman" w:cs="Times New Roman"/>
        </w:rPr>
        <w:t xml:space="preserve"> results</w:t>
      </w:r>
      <w:r w:rsidRPr="001D36A9">
        <w:rPr>
          <w:rFonts w:ascii="Times New Roman" w:hAnsi="Times New Roman" w:cs="Times New Roman"/>
        </w:rPr>
        <w:t xml:space="preserve">. Furthermore, stimulating the macrophages will allow for an infection model that is more similar to </w:t>
      </w:r>
      <w:r w:rsidRPr="001D36A9">
        <w:rPr>
          <w:rFonts w:ascii="Times New Roman" w:hAnsi="Times New Roman" w:cs="Times New Roman"/>
          <w:i/>
          <w:iCs/>
        </w:rPr>
        <w:t xml:space="preserve">in vivo </w:t>
      </w:r>
      <w:r w:rsidRPr="001D36A9">
        <w:rPr>
          <w:rFonts w:ascii="Times New Roman" w:hAnsi="Times New Roman" w:cs="Times New Roman"/>
        </w:rPr>
        <w:t xml:space="preserve">conditions. Additionally, initial uptake of </w:t>
      </w:r>
      <w:r w:rsidRPr="001D36A9">
        <w:rPr>
          <w:rFonts w:ascii="Times New Roman" w:hAnsi="Times New Roman" w:cs="Times New Roman"/>
          <w:i/>
          <w:iCs/>
        </w:rPr>
        <w:t>S. aureus</w:t>
      </w:r>
      <w:r w:rsidRPr="001D36A9">
        <w:rPr>
          <w:rFonts w:ascii="Times New Roman" w:hAnsi="Times New Roman" w:cs="Times New Roman"/>
        </w:rPr>
        <w:t xml:space="preserve"> could have been improved by trialling higher MOIs.</w:t>
      </w:r>
    </w:p>
    <w:p w14:paraId="240DCDB1" w14:textId="2DE5951D" w:rsidR="00187693" w:rsidRDefault="00187693" w:rsidP="00187693">
      <w:pPr>
        <w:spacing w:line="360" w:lineRule="auto"/>
        <w:jc w:val="both"/>
        <w:rPr>
          <w:rFonts w:ascii="Times New Roman" w:hAnsi="Times New Roman" w:cs="Times New Roman"/>
        </w:rPr>
      </w:pPr>
      <w:r w:rsidRPr="001D36A9">
        <w:rPr>
          <w:rFonts w:ascii="Times New Roman" w:hAnsi="Times New Roman" w:cs="Times New Roman"/>
        </w:rPr>
        <w:tab/>
      </w:r>
      <w:r w:rsidR="00152C9A">
        <w:rPr>
          <w:rFonts w:ascii="Times New Roman" w:hAnsi="Times New Roman" w:cs="Times New Roman"/>
        </w:rPr>
        <w:t>F</w:t>
      </w:r>
      <w:r w:rsidRPr="00152C9A">
        <w:rPr>
          <w:rFonts w:ascii="Times New Roman" w:hAnsi="Times New Roman" w:cs="Times New Roman"/>
        </w:rPr>
        <w:t>or future experiments, it may be interesting to trial other cell lines such as J774A.1 or human cell lines such as THP-1.</w:t>
      </w:r>
      <w:r w:rsidRPr="001D36A9">
        <w:rPr>
          <w:rFonts w:ascii="Times New Roman" w:hAnsi="Times New Roman" w:cs="Times New Roman"/>
        </w:rPr>
        <w:t xml:space="preserve"> While an established cell line can be more reliable, it may be more useful to trial </w:t>
      </w:r>
      <w:r>
        <w:rPr>
          <w:rFonts w:ascii="Times New Roman" w:hAnsi="Times New Roman" w:cs="Times New Roman"/>
        </w:rPr>
        <w:t xml:space="preserve">MDMs </w:t>
      </w:r>
      <w:r w:rsidRPr="001D36A9">
        <w:rPr>
          <w:rFonts w:ascii="Times New Roman" w:hAnsi="Times New Roman" w:cs="Times New Roman"/>
        </w:rPr>
        <w:t>isolated from human peripheral blood as results from these experiments may be more representative of what actually occurs during infection</w:t>
      </w:r>
      <w:r w:rsidR="00E84A59">
        <w:rPr>
          <w:rFonts w:ascii="Times New Roman" w:hAnsi="Times New Roman" w:cs="Times New Roman"/>
        </w:rPr>
        <w:t>, despite the caveat of increased variability as previously mentioned</w:t>
      </w:r>
      <w:r w:rsidRPr="001D36A9">
        <w:rPr>
          <w:rFonts w:ascii="Times New Roman" w:hAnsi="Times New Roman" w:cs="Times New Roman"/>
        </w:rPr>
        <w:t>. Furthermore, immortalised cell lines are more likely to acquire changes</w:t>
      </w:r>
      <w:r w:rsidR="00E84A59">
        <w:rPr>
          <w:rFonts w:ascii="Times New Roman" w:hAnsi="Times New Roman" w:cs="Times New Roman"/>
        </w:rPr>
        <w:t xml:space="preserve"> to</w:t>
      </w:r>
      <w:r w:rsidRPr="001D36A9">
        <w:rPr>
          <w:rFonts w:ascii="Times New Roman" w:hAnsi="Times New Roman" w:cs="Times New Roman"/>
        </w:rPr>
        <w:t xml:space="preserve"> their genotype/phenotype as a result of multiple passages </w:t>
      </w:r>
      <w:r w:rsidRPr="001D36A9">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&lt;EndNote&gt;&lt;Cite&gt;&lt;Author&gt;Geraghty&lt;/Author&gt;&lt;Year&gt;2014&lt;/Year&gt;&lt;IDText&gt;Guidelines for the use of cell lines in biomedical research&lt;/IDText&gt;&lt;DisplayText&gt;(Geraghty&lt;style face="italic"&gt; et al.&lt;/style&gt;, 2014)&lt;/DisplayText&gt;&lt;record&gt;&lt;dates&gt;&lt;pub-dates&gt;&lt;date&gt;Sep 9&lt;/date&gt;&lt;/pub-dates&gt;&lt;year&gt;2014&lt;/year&gt;&lt;/dates&gt;&lt;urls&gt;&lt;related-urls&gt;&lt;url&gt;&amp;lt;Go to ISI&amp;gt;://WOS:000341910900001&lt;/url&gt;&lt;/related-urls&gt;&lt;/urls&gt;&lt;isbn&gt;0007-0920&lt;/isbn&gt;&lt;work-type&gt;Article&lt;/work-type&gt;&lt;titles&gt;&lt;title&gt;Guidelines for the use of cell lines in biomedical research&lt;/title&gt;&lt;secondary-title&gt;British Journal of Cancer&lt;/secondary-title&gt;&lt;/titles&gt;&lt;pages&gt;1021-1046&lt;/pages&gt;&lt;number&gt;6&lt;/number&gt;&lt;contributors&gt;&lt;authors&gt;&lt;author&gt;Geraghty, R. J.&lt;/author&gt;&lt;author&gt;Capes-Davis, A.&lt;/author&gt;&lt;author&gt;Davis, J. M.&lt;/author&gt;&lt;author&gt;Downward, J.&lt;/author&gt;&lt;author&gt;Freshney, R. I.&lt;/author&gt;&lt;author&gt;Knezevic, I.&lt;/author&gt;&lt;author&gt;Lovell-Badge, R.&lt;/author&gt;&lt;author&gt;Masters, J. R. W.&lt;/author&gt;&lt;author&gt;Meredith, J.&lt;/author&gt;&lt;author&gt;Stacey, G. N.&lt;/author&gt;&lt;author&gt;Thraves, P.&lt;/author&gt;&lt;author&gt;Vias, M.&lt;/author&gt;&lt;/authors&gt;&lt;/contributors&gt;&lt;added-date format="utc"&gt;1674657767&lt;/added-date&gt;&lt;ref-type name="Journal Article"&gt;17&lt;/ref-type&gt;&lt;rec-number&gt;258&lt;/rec-number&gt;&lt;last-updated-date format="utc"&gt;1674657767&lt;/last-updated-date&gt;&lt;accession-num&gt;WOS:000341910900001&lt;/accession-num&gt;&lt;electronic-resource-num&gt;10.1038/bjc.2014.166&lt;/electronic-resource-num&gt;&lt;volume&gt;111&lt;/volume&gt;&lt;/record&gt;&lt;/Cite&gt;&lt;/EndNote&gt;</w:instrText>
      </w:r>
      <w:r w:rsidRPr="001D36A9">
        <w:rPr>
          <w:rFonts w:ascii="Times New Roman" w:hAnsi="Times New Roman" w:cs="Times New Roman"/>
          <w:b/>
          <w:bCs/>
        </w:rPr>
        <w:fldChar w:fldCharType="separate"/>
      </w:r>
      <w:r>
        <w:rPr>
          <w:rFonts w:ascii="Times New Roman" w:hAnsi="Times New Roman" w:cs="Times New Roman"/>
          <w:b/>
          <w:bCs/>
          <w:noProof/>
        </w:rPr>
        <w:t>(Geraghty</w:t>
      </w:r>
      <w:r w:rsidRPr="00F95468">
        <w:rPr>
          <w:rFonts w:ascii="Times New Roman" w:hAnsi="Times New Roman" w:cs="Times New Roman"/>
          <w:b/>
          <w:bCs/>
          <w:i/>
          <w:noProof/>
        </w:rPr>
        <w:t xml:space="preserve"> et al.</w:t>
      </w:r>
      <w:r>
        <w:rPr>
          <w:rFonts w:ascii="Times New Roman" w:hAnsi="Times New Roman" w:cs="Times New Roman"/>
          <w:b/>
          <w:bCs/>
          <w:noProof/>
        </w:rPr>
        <w:t>, 2014)</w:t>
      </w:r>
      <w:r w:rsidRPr="001D36A9">
        <w:rPr>
          <w:rFonts w:ascii="Times New Roman" w:hAnsi="Times New Roman" w:cs="Times New Roman"/>
          <w:b/>
          <w:bCs/>
        </w:rPr>
        <w:fldChar w:fldCharType="end"/>
      </w:r>
      <w:r w:rsidRPr="001D36A9">
        <w:rPr>
          <w:rFonts w:ascii="Times New Roman" w:hAnsi="Times New Roman" w:cs="Times New Roman"/>
        </w:rPr>
        <w:t>. In this study, RAW 264.7 macrophages were used at passage numbers up to 18, which is a suitable</w:t>
      </w:r>
      <w:r>
        <w:rPr>
          <w:rFonts w:ascii="Times New Roman" w:hAnsi="Times New Roman" w:cs="Times New Roman"/>
        </w:rPr>
        <w:t xml:space="preserve"> passage number </w:t>
      </w:r>
      <w:r w:rsidRPr="001D36A9">
        <w:rPr>
          <w:rFonts w:ascii="Times New Roman" w:hAnsi="Times New Roman" w:cs="Times New Roman"/>
        </w:rPr>
        <w:t xml:space="preserve">as the maximum has been reported as between 18 and 30 </w:t>
      </w:r>
      <w:r w:rsidRPr="001D36A9">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&lt;EndNote&gt;&lt;Cite&gt;&lt;Author&gt;Taciak&lt;/Author&gt;&lt;Year&gt;2018&lt;/Year&gt;&lt;IDText&gt;Evaluation of phenotypic and functional stability of RAW 264.7 cell line through serial passages&lt;/IDText&gt;&lt;DisplayText&gt;(Taciak&lt;style face="italic"&gt; et al.&lt;/style&gt;, 2018)&lt;/DisplayText&gt;&lt;record&gt;&lt;dates&gt;&lt;pub-dates&gt;&lt;date&gt;Jun 11&lt;/date&gt;&lt;/pub-dates&gt;&lt;year&gt;2018&lt;/year&gt;&lt;/dates&gt;&lt;urls&gt;&lt;related-urls&gt;&lt;url&gt;&amp;lt;Go to ISI&amp;gt;://WOS:000434786600065&lt;/url&gt;&lt;/related-urls&gt;&lt;/urls&gt;&lt;isbn&gt;1932-6203&lt;/isbn&gt;&lt;work-type&gt;Article&lt;/work-type&gt;&lt;titles&gt;&lt;title&gt;Evaluation of phenotypic and functional stability of RAW 264.7 cell line through serial passages&lt;/title&gt;&lt;secondary-title&gt;Plos One&lt;/secondary-title&gt;&lt;/titles&gt;&lt;number&gt;6&lt;/number&gt;&lt;contributors&gt;&lt;authors&gt;&lt;author&gt;Taciak, Bartlomiej&lt;/author&gt;&lt;author&gt;Bialasek, Maciej&lt;/author&gt;&lt;author&gt;Braniewska, Agata&lt;/author&gt;&lt;author&gt;Sas, Zuzanna&lt;/author&gt;&lt;author&gt;Sawicka, Paulina&lt;/author&gt;&lt;author&gt;Kiraga, Lukasz&lt;/author&gt;&lt;author&gt;Rygiel, Tomasz&lt;/author&gt;&lt;author&gt;Krol, Magdalena&lt;/author&gt;&lt;/authors&gt;&lt;/contributors&gt;&lt;custom7&gt;E0198943&lt;/custom7&gt;&lt;added-date format="utc"&gt;1674603755&lt;/added-date&gt;&lt;ref-type name="Journal Article"&gt;17&lt;/ref-type&gt;&lt;rec-number&gt;255&lt;/rec-number&gt;&lt;last-updated-date format="utc"&gt;1674603755&lt;/last-updated-date&gt;&lt;accession-num&gt;WOS:000434786600065&lt;/accession-num&gt;&lt;electronic-resource-num&gt;10.1371/journal.pone.0198943&lt;/electronic-resource-num&gt;&lt;volume&gt;13&lt;/volume&gt;&lt;/record&gt;&lt;/Cite&gt;&lt;/EndNote&gt;</w:instrText>
      </w:r>
      <w:r w:rsidRPr="001D36A9">
        <w:rPr>
          <w:rFonts w:ascii="Times New Roman" w:hAnsi="Times New Roman" w:cs="Times New Roman"/>
          <w:b/>
          <w:bCs/>
        </w:rPr>
        <w:fldChar w:fldCharType="separate"/>
      </w:r>
      <w:r>
        <w:rPr>
          <w:rFonts w:ascii="Times New Roman" w:hAnsi="Times New Roman" w:cs="Times New Roman"/>
          <w:b/>
          <w:bCs/>
          <w:noProof/>
        </w:rPr>
        <w:t>(Taciak</w:t>
      </w:r>
      <w:r w:rsidRPr="00F95468">
        <w:rPr>
          <w:rFonts w:ascii="Times New Roman" w:hAnsi="Times New Roman" w:cs="Times New Roman"/>
          <w:b/>
          <w:bCs/>
          <w:i/>
          <w:noProof/>
        </w:rPr>
        <w:t xml:space="preserve"> et al.</w:t>
      </w:r>
      <w:r>
        <w:rPr>
          <w:rFonts w:ascii="Times New Roman" w:hAnsi="Times New Roman" w:cs="Times New Roman"/>
          <w:b/>
          <w:bCs/>
          <w:noProof/>
        </w:rPr>
        <w:t>, 2018)</w:t>
      </w:r>
      <w:r w:rsidRPr="001D36A9">
        <w:rPr>
          <w:rFonts w:ascii="Times New Roman" w:hAnsi="Times New Roman" w:cs="Times New Roman"/>
          <w:b/>
          <w:bCs/>
        </w:rPr>
        <w:fldChar w:fldCharType="end"/>
      </w:r>
      <w:r w:rsidRPr="001D36A9">
        <w:rPr>
          <w:rFonts w:ascii="Times New Roman" w:hAnsi="Times New Roman" w:cs="Times New Roman"/>
        </w:rPr>
        <w:t xml:space="preserve">. </w:t>
      </w:r>
      <w:r>
        <w:rPr>
          <w:rFonts w:ascii="Times New Roman" w:hAnsi="Times New Roman" w:cs="Times New Roman"/>
        </w:rPr>
        <w:t xml:space="preserve">Macrophages used at higher passage numbers are subject to changes in growth and morphology, amongst other characteristics, and this therefore may introduce variability </w:t>
      </w:r>
      <w:r w:rsidRPr="00B9369C">
        <w:rPr>
          <w:rFonts w:ascii="Times New Roman" w:hAnsi="Times New Roman" w:cs="Times New Roman"/>
          <w:b/>
          <w:bCs/>
        </w:rPr>
        <w:fldChar w:fldCharType="begin"/>
      </w:r>
      <w:r w:rsidRPr="00B9369C">
        <w:rPr>
          <w:rFonts w:ascii="Times New Roman" w:hAnsi="Times New Roman" w:cs="Times New Roman"/>
          <w:b/>
          <w:bCs/>
        </w:rPr>
        <w:instrText xml:space="preserve"> ADDIN EN.CITE &lt;EndNote&gt;&lt;Cite&gt;&lt;Author&gt;Taciak&lt;/Author&gt;&lt;Year&gt;2018&lt;/Year&gt;&lt;IDText&gt;Evaluation of phenotypic and functional stability of RAW 264.7 cell line through serial passages&lt;/IDText&gt;&lt;DisplayText&gt;(Taciak&lt;style face="italic"&gt; et al.&lt;/style&gt;, 2018)&lt;/DisplayText&gt;&lt;record&gt;&lt;dates&gt;&lt;pub-dates&gt;&lt;date&gt;Jun 11&lt;/date&gt;&lt;/pub-dates&gt;&lt;year&gt;2018&lt;/year&gt;&lt;/dates&gt;&lt;urls&gt;&lt;related-urls&gt;&lt;url&gt;&amp;lt;Go to ISI&amp;gt;://WOS:000434786600065&lt;/url&gt;&lt;/related-urls&gt;&lt;/urls&gt;&lt;isbn&gt;1932-6203&lt;/isbn&gt;&lt;work-type&gt;Article&lt;/work-type&gt;&lt;titles&gt;&lt;title&gt;Evaluation of phenotypic and functional stability of RAW 264.7 cell line through serial passages&lt;/title&gt;&lt;secondary-title&gt;Plos One&lt;/secondary-title&gt;&lt;/titles&gt;&lt;number&gt;6&lt;/number&gt;&lt;contributors&gt;&lt;authors&gt;&lt;author&gt;Taciak, Bartlomiej&lt;/author&gt;&lt;author&gt;Bialasek, Maciej&lt;/author&gt;&lt;author&gt;Braniewska, Agata&lt;/author&gt;&lt;author&gt;Sas, Zuzanna&lt;/author&gt;&lt;author&gt;Sawicka, Paulina&lt;/author&gt;&lt;author&gt;Kiraga, Lukasz&lt;/author&gt;&lt;author&gt;Rygiel, Tomasz&lt;/author&gt;&lt;author&gt;Krol, Magdalena&lt;/author&gt;&lt;/authors&gt;&lt;/contributors&gt;&lt;custom7&gt;E0198943&lt;/custom7&gt;&lt;added-date format="utc"&gt;1674603755&lt;/added-date&gt;&lt;ref-type name="Journal Article"&gt;17&lt;/ref-type&gt;&lt;rec-number&gt;255&lt;/rec-number&gt;&lt;last-updated-date format="utc"&gt;1678058042&lt;/last-updated-date&gt;&lt;accession-num&gt;WOS:000434786600065&lt;/accession-num&gt;&lt;electronic-resource-num&gt;10.1371/journal.pone.0198943&lt;/electronic-resource-num&gt;&lt;volume&gt;13&lt;/volume&gt;&lt;/record&gt;&lt;/Cite&gt;&lt;/EndNote&gt;</w:instrText>
      </w:r>
      <w:r w:rsidRPr="00B9369C">
        <w:rPr>
          <w:rFonts w:ascii="Times New Roman" w:hAnsi="Times New Roman" w:cs="Times New Roman"/>
          <w:b/>
          <w:bCs/>
        </w:rPr>
        <w:fldChar w:fldCharType="separate"/>
      </w:r>
      <w:r w:rsidRPr="00B9369C">
        <w:rPr>
          <w:rFonts w:ascii="Times New Roman" w:hAnsi="Times New Roman" w:cs="Times New Roman"/>
          <w:b/>
          <w:bCs/>
          <w:noProof/>
        </w:rPr>
        <w:t>(Taciak</w:t>
      </w:r>
      <w:r w:rsidRPr="00B9369C">
        <w:rPr>
          <w:rFonts w:ascii="Times New Roman" w:hAnsi="Times New Roman" w:cs="Times New Roman"/>
          <w:b/>
          <w:bCs/>
          <w:i/>
          <w:noProof/>
        </w:rPr>
        <w:t xml:space="preserve"> et al.</w:t>
      </w:r>
      <w:r w:rsidRPr="00B9369C">
        <w:rPr>
          <w:rFonts w:ascii="Times New Roman" w:hAnsi="Times New Roman" w:cs="Times New Roman"/>
          <w:b/>
          <w:bCs/>
          <w:noProof/>
        </w:rPr>
        <w:t>, 2018)</w:t>
      </w:r>
      <w:r w:rsidRPr="00B9369C">
        <w:rPr>
          <w:rFonts w:ascii="Times New Roman" w:hAnsi="Times New Roman" w:cs="Times New Roman"/>
          <w:b/>
          <w:bCs/>
        </w:rPr>
        <w:fldChar w:fldCharType="end"/>
      </w:r>
      <w:r>
        <w:rPr>
          <w:rFonts w:ascii="Times New Roman" w:hAnsi="Times New Roman" w:cs="Times New Roman"/>
        </w:rPr>
        <w:t>. A</w:t>
      </w:r>
      <w:r w:rsidRPr="001D36A9">
        <w:rPr>
          <w:rFonts w:ascii="Times New Roman" w:hAnsi="Times New Roman" w:cs="Times New Roman"/>
        </w:rPr>
        <w:t>s different experiments were conducted using cells that had been passaged a different number of times, this may increase the likelihood of variability</w:t>
      </w:r>
      <w:r w:rsidRPr="00D25374">
        <w:rPr>
          <w:rFonts w:ascii="Times New Roman" w:hAnsi="Times New Roman" w:cs="Times New Roman"/>
        </w:rPr>
        <w:t>. Since these experiments</w:t>
      </w:r>
      <w:r>
        <w:rPr>
          <w:rFonts w:ascii="Times New Roman" w:hAnsi="Times New Roman" w:cs="Times New Roman"/>
        </w:rPr>
        <w:t xml:space="preserve"> were performed</w:t>
      </w:r>
      <w:r w:rsidRPr="00D25374">
        <w:rPr>
          <w:rFonts w:ascii="Times New Roman" w:hAnsi="Times New Roman" w:cs="Times New Roman"/>
        </w:rPr>
        <w:t xml:space="preserve">, killing assays </w:t>
      </w:r>
      <w:r>
        <w:rPr>
          <w:rFonts w:ascii="Times New Roman" w:hAnsi="Times New Roman" w:cs="Times New Roman"/>
        </w:rPr>
        <w:t>using</w:t>
      </w:r>
      <w:r w:rsidRPr="00D25374">
        <w:rPr>
          <w:rFonts w:ascii="Times New Roman" w:hAnsi="Times New Roman" w:cs="Times New Roman"/>
        </w:rPr>
        <w:t xml:space="preserve"> </w:t>
      </w:r>
      <w:r>
        <w:rPr>
          <w:rFonts w:ascii="Times New Roman" w:hAnsi="Times New Roman" w:cs="Times New Roman"/>
        </w:rPr>
        <w:t>MDMs</w:t>
      </w:r>
      <w:r w:rsidRPr="00D25374">
        <w:rPr>
          <w:rFonts w:ascii="Times New Roman" w:hAnsi="Times New Roman" w:cs="Times New Roman"/>
        </w:rPr>
        <w:t xml:space="preserve"> isolated from human blood have been conducted by Dr Lucy Urwin</w:t>
      </w:r>
      <w:r>
        <w:rPr>
          <w:rFonts w:ascii="Times New Roman" w:hAnsi="Times New Roman" w:cs="Times New Roman"/>
        </w:rPr>
        <w:t xml:space="preserve"> from our laboratory group</w:t>
      </w:r>
      <w:r w:rsidRPr="00D25374">
        <w:rPr>
          <w:rFonts w:ascii="Times New Roman" w:hAnsi="Times New Roman" w:cs="Times New Roman"/>
        </w:rPr>
        <w:t>. These results show that the (p)ppGpp</w:t>
      </w:r>
      <w:r w:rsidRPr="00D25374">
        <w:rPr>
          <w:rFonts w:ascii="Times New Roman" w:hAnsi="Times New Roman" w:cs="Times New Roman"/>
          <w:vertAlign w:val="superscript"/>
        </w:rPr>
        <w:t>0</w:t>
      </w:r>
      <w:r w:rsidRPr="00D25374">
        <w:rPr>
          <w:rFonts w:ascii="Times New Roman" w:hAnsi="Times New Roman" w:cs="Times New Roman"/>
        </w:rPr>
        <w:t xml:space="preserve"> mutant is killed </w:t>
      </w:r>
      <w:r>
        <w:rPr>
          <w:rFonts w:ascii="Times New Roman" w:hAnsi="Times New Roman" w:cs="Times New Roman"/>
        </w:rPr>
        <w:t>at a significantly higher rate</w:t>
      </w:r>
      <w:r w:rsidRPr="00D25374">
        <w:rPr>
          <w:rFonts w:ascii="Times New Roman" w:hAnsi="Times New Roman" w:cs="Times New Roman"/>
        </w:rPr>
        <w:t xml:space="preserve"> tha</w:t>
      </w:r>
      <w:r>
        <w:rPr>
          <w:rFonts w:ascii="Times New Roman" w:hAnsi="Times New Roman" w:cs="Times New Roman"/>
        </w:rPr>
        <w:t>n</w:t>
      </w:r>
      <w:r w:rsidRPr="00D25374">
        <w:rPr>
          <w:rFonts w:ascii="Times New Roman" w:hAnsi="Times New Roman" w:cs="Times New Roman"/>
        </w:rPr>
        <w:t xml:space="preserve"> WT</w:t>
      </w:r>
      <w:r>
        <w:rPr>
          <w:rFonts w:ascii="Times New Roman" w:hAnsi="Times New Roman" w:cs="Times New Roman"/>
        </w:rPr>
        <w:t>, reiterating that the use of primary cells is more appropriate to elucidate the role of the stringent response during infection.</w:t>
      </w:r>
    </w:p>
    <w:p w14:paraId="4098BDA5" w14:textId="77777777" w:rsidR="00187693" w:rsidRDefault="00187693" w:rsidP="00187693">
      <w:pPr>
        <w:spacing w:line="360" w:lineRule="auto"/>
        <w:ind w:firstLine="720"/>
        <w:jc w:val="both"/>
        <w:rPr>
          <w:rFonts w:ascii="Times New Roman" w:hAnsi="Times New Roman" w:cs="Times New Roman"/>
        </w:rPr>
      </w:pPr>
      <w:r w:rsidRPr="00266D36">
        <w:rPr>
          <w:rFonts w:ascii="Times New Roman" w:hAnsi="Times New Roman" w:cs="Times New Roman"/>
        </w:rPr>
        <w:t>Flow cytometric and microscopic analyses of the synthetase-GFP fusions revealed that the Rel, RelP and RelQ synthetase fusions do not fluoresce either after incubation with a stress after 2 hours or during infection at 6 hpi</w:t>
      </w:r>
      <w:r>
        <w:rPr>
          <w:rFonts w:ascii="Times New Roman" w:hAnsi="Times New Roman" w:cs="Times New Roman"/>
        </w:rPr>
        <w:t xml:space="preserve">, as demonstrated by microscopy </w:t>
      </w:r>
      <w:r>
        <w:rPr>
          <w:rFonts w:ascii="Times New Roman" w:hAnsi="Times New Roman" w:cs="Times New Roman"/>
          <w:b/>
          <w:bCs/>
        </w:rPr>
        <w:t>(Fig. 5.3.1g)</w:t>
      </w:r>
      <w:r w:rsidRPr="00266D36">
        <w:rPr>
          <w:rFonts w:ascii="Times New Roman" w:hAnsi="Times New Roman" w:cs="Times New Roman"/>
        </w:rPr>
        <w:t xml:space="preserve">. As it is well known that the synthetases are induced upon different stresses, it may just be that induction is not enough to produce an adequate level of fluorescence. It may be that the construct itself could be improved. For example, other fluorophores could be trialled such as superfolder-GFP or enhanced-GFP which are engineered to fluoresce brighter than traditional GFP due to specific mutations </w:t>
      </w:r>
      <w:r w:rsidRPr="00266D36">
        <w:rPr>
          <w:rFonts w:ascii="Times New Roman" w:hAnsi="Times New Roman" w:cs="Times New Roman"/>
          <w:b/>
          <w:bCs/>
        </w:rPr>
        <w:fldChar w:fldCharType="begin"/>
      </w:r>
      <w:r w:rsidRPr="00266D36">
        <w:rPr>
          <w:rFonts w:ascii="Times New Roman" w:hAnsi="Times New Roman" w:cs="Times New Roman"/>
          <w:b/>
          <w:bCs/>
        </w:rPr>
        <w:instrText xml:space="preserve"> ADDIN EN.CITE &lt;EndNote&gt;&lt;Cite&gt;&lt;Author&gt;Shaner&lt;/Author&gt;&lt;Year&gt;2011&lt;/Year&gt;&lt;IDText&gt;Advances in fluorescent protein technology (vol 120, pg 4247, 2007)&lt;/IDText&gt;&lt;DisplayText&gt;(Shaner, Patterson and Davidson, 2011)&lt;/DisplayText&gt;&lt;record&gt;&lt;dates&gt;&lt;pub-dates&gt;&lt;date&gt;Jul 1&lt;/date&gt;&lt;/pub-dates&gt;&lt;year&gt;2011&lt;/year&gt;&lt;/dates&gt;&lt;urls&gt;&lt;related-urls&gt;&lt;url&gt;&amp;lt;Go to ISI&amp;gt;://WOS:000291537200021&lt;/url&gt;&lt;/related-urls&gt;&lt;/urls&gt;&lt;isbn&gt;0021-9533&lt;/isbn&gt;&lt;work-type&gt;Correction&lt;/work-type&gt;&lt;titles&gt;&lt;title&gt;Advances in fluorescent protein technology (vol 120, pg 4247, 2007)&lt;/title&gt;&lt;secondary-title&gt;Journal of Cell Science&lt;/secondary-title&gt;&lt;/titles&gt;&lt;pages&gt;2321-2321&lt;/pages&gt;&lt;number&gt;13&lt;/number&gt;&lt;contributors&gt;&lt;authors&gt;&lt;author&gt;Shaner, Nathan C.&lt;/author&gt;&lt;author&gt;Patterson, George H.&lt;/author&gt;&lt;author&gt;Davidson, Michael W.&lt;/author&gt;&lt;/authors&gt;&lt;/contributors&gt;&lt;added-date format="utc"&gt;1675902883&lt;/added-date&gt;&lt;ref-type name="Journal Article"&gt;17&lt;/ref-type&gt;&lt;rec-number&gt;309&lt;/rec-number&gt;&lt;last-updated-date format="utc"&gt;1675902883&lt;/last-updated-date&gt;&lt;accession-num&gt;WOS:000291537200021&lt;/accession-num&gt;&lt;electronic-resource-num&gt;10.1242/jcs.094722&lt;/electronic-resource-num&gt;&lt;volume&gt;124&lt;/volume&gt;&lt;/record&gt;&lt;/Cite&gt;&lt;/EndNote&gt;</w:instrText>
      </w:r>
      <w:r w:rsidRPr="00266D36">
        <w:rPr>
          <w:rFonts w:ascii="Times New Roman" w:hAnsi="Times New Roman" w:cs="Times New Roman"/>
          <w:b/>
          <w:bCs/>
        </w:rPr>
        <w:fldChar w:fldCharType="separate"/>
      </w:r>
      <w:r w:rsidRPr="00266D36">
        <w:rPr>
          <w:rFonts w:ascii="Times New Roman" w:hAnsi="Times New Roman" w:cs="Times New Roman"/>
          <w:b/>
          <w:bCs/>
          <w:noProof/>
        </w:rPr>
        <w:t>(Shaner, Patterson and Davidson, 2011)</w:t>
      </w:r>
      <w:r w:rsidRPr="00266D36">
        <w:rPr>
          <w:rFonts w:ascii="Times New Roman" w:hAnsi="Times New Roman" w:cs="Times New Roman"/>
          <w:b/>
          <w:bCs/>
        </w:rPr>
        <w:fldChar w:fldCharType="end"/>
      </w:r>
      <w:r w:rsidRPr="00266D36">
        <w:rPr>
          <w:rFonts w:ascii="Times New Roman" w:hAnsi="Times New Roman" w:cs="Times New Roman"/>
        </w:rPr>
        <w:t>. Moreover, the issues regarding visualising fluorescence may also be due to the sequence of the</w:t>
      </w:r>
      <w:r>
        <w:rPr>
          <w:rFonts w:ascii="Times New Roman" w:hAnsi="Times New Roman" w:cs="Times New Roman"/>
        </w:rPr>
        <w:t xml:space="preserve"> native</w:t>
      </w:r>
      <w:r w:rsidRPr="00266D36">
        <w:rPr>
          <w:rFonts w:ascii="Times New Roman" w:hAnsi="Times New Roman" w:cs="Times New Roman"/>
        </w:rPr>
        <w:t xml:space="preserve"> promoter and coding sequence used. Promoter regions vary in size, and it may be that an insufficient amount of the promoter region was utilised for the construct. Furthermore, </w:t>
      </w:r>
      <w:r>
        <w:rPr>
          <w:rFonts w:ascii="Times New Roman" w:hAnsi="Times New Roman" w:cs="Times New Roman"/>
        </w:rPr>
        <w:t>a</w:t>
      </w:r>
      <w:r w:rsidRPr="00266D36">
        <w:rPr>
          <w:rFonts w:ascii="Times New Roman" w:hAnsi="Times New Roman" w:cs="Times New Roman"/>
        </w:rPr>
        <w:t xml:space="preserve">utofluorescence </w:t>
      </w:r>
      <w:r>
        <w:rPr>
          <w:rFonts w:ascii="Times New Roman" w:hAnsi="Times New Roman" w:cs="Times New Roman"/>
        </w:rPr>
        <w:t>was</w:t>
      </w:r>
      <w:r w:rsidRPr="00266D36">
        <w:rPr>
          <w:rFonts w:ascii="Times New Roman" w:hAnsi="Times New Roman" w:cs="Times New Roman"/>
        </w:rPr>
        <w:t xml:space="preserve"> detected during microscopy</w:t>
      </w:r>
      <w:r>
        <w:rPr>
          <w:rFonts w:ascii="Times New Roman" w:hAnsi="Times New Roman" w:cs="Times New Roman"/>
        </w:rPr>
        <w:t xml:space="preserve"> </w:t>
      </w:r>
      <w:r w:rsidRPr="007D5F29">
        <w:rPr>
          <w:rFonts w:ascii="Times New Roman" w:hAnsi="Times New Roman" w:cs="Times New Roman"/>
        </w:rPr>
        <w:t xml:space="preserve">and autofluorescence of mammalian cells is an issue that is frequently encountered </w:t>
      </w:r>
      <w:r w:rsidRPr="007D5F29">
        <w:rPr>
          <w:rFonts w:ascii="Times New Roman" w:hAnsi="Times New Roman" w:cs="Times New Roman"/>
          <w:b/>
          <w:bCs/>
        </w:rPr>
        <w:fldChar w:fldCharType="begin">
          <w:fldData xml:space="preserve">PEVuZE5vdGU+PENpdGU+PEF1dGhvcj5BdWJpbjwvQXV0aG9yPjxZZWFyPjE5Nzk8L1llYXI+PElE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</w:fldData>
        </w:fldChar>
      </w:r>
      <w:r w:rsidRPr="007D5F29">
        <w:rPr>
          <w:rFonts w:ascii="Times New Roman" w:hAnsi="Times New Roman" w:cs="Times New Roman"/>
          <w:b/>
          <w:bCs/>
        </w:rPr>
        <w:instrText xml:space="preserve"> ADDIN EN.CITE </w:instrText>
      </w:r>
      <w:r w:rsidRPr="007D5F29">
        <w:rPr>
          <w:rFonts w:ascii="Times New Roman" w:hAnsi="Times New Roman" w:cs="Times New Roman"/>
          <w:b/>
          <w:bCs/>
        </w:rPr>
        <w:fldChar w:fldCharType="begin">
          <w:fldData xml:space="preserve">PEVuZE5vdGU+PENpdGU+PEF1dGhvcj5BdWJpbjwvQXV0aG9yPjxZZWFyPjE5Nzk8L1llYXI+PElE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</w:fldData>
        </w:fldChar>
      </w:r>
      <w:r w:rsidRPr="007D5F29">
        <w:rPr>
          <w:rFonts w:ascii="Times New Roman" w:hAnsi="Times New Roman" w:cs="Times New Roman"/>
          <w:b/>
          <w:bCs/>
        </w:rPr>
        <w:instrText xml:space="preserve"> ADDIN EN.CITE.DATA </w:instrText>
      </w:r>
      <w:r w:rsidRPr="007D5F29">
        <w:rPr>
          <w:rFonts w:ascii="Times New Roman" w:hAnsi="Times New Roman" w:cs="Times New Roman"/>
          <w:b/>
          <w:bCs/>
        </w:rPr>
      </w:r>
      <w:r w:rsidRPr="007D5F29">
        <w:rPr>
          <w:rFonts w:ascii="Times New Roman" w:hAnsi="Times New Roman" w:cs="Times New Roman"/>
          <w:b/>
          <w:bCs/>
        </w:rPr>
        <w:fldChar w:fldCharType="end"/>
      </w:r>
      <w:r w:rsidRPr="007D5F29">
        <w:rPr>
          <w:rFonts w:ascii="Times New Roman" w:hAnsi="Times New Roman" w:cs="Times New Roman"/>
          <w:b/>
          <w:bCs/>
        </w:rPr>
      </w:r>
      <w:r w:rsidRPr="007D5F29">
        <w:rPr>
          <w:rFonts w:ascii="Times New Roman" w:hAnsi="Times New Roman" w:cs="Times New Roman"/>
          <w:b/>
          <w:bCs/>
        </w:rPr>
        <w:fldChar w:fldCharType="separate"/>
      </w:r>
      <w:r w:rsidRPr="007D5F29">
        <w:rPr>
          <w:rFonts w:ascii="Times New Roman" w:hAnsi="Times New Roman" w:cs="Times New Roman"/>
          <w:b/>
          <w:bCs/>
          <w:noProof/>
        </w:rPr>
        <w:t>(Aubin, 1979; Surre</w:t>
      </w:r>
      <w:r w:rsidRPr="007D5F29">
        <w:rPr>
          <w:rFonts w:ascii="Times New Roman" w:hAnsi="Times New Roman" w:cs="Times New Roman"/>
          <w:b/>
          <w:bCs/>
          <w:i/>
          <w:noProof/>
        </w:rPr>
        <w:t xml:space="preserve"> et al.</w:t>
      </w:r>
      <w:r w:rsidRPr="007D5F29">
        <w:rPr>
          <w:rFonts w:ascii="Times New Roman" w:hAnsi="Times New Roman" w:cs="Times New Roman"/>
          <w:b/>
          <w:bCs/>
          <w:noProof/>
        </w:rPr>
        <w:t>, 2018; Kozlova</w:t>
      </w:r>
      <w:r w:rsidRPr="007D5F29">
        <w:rPr>
          <w:rFonts w:ascii="Times New Roman" w:hAnsi="Times New Roman" w:cs="Times New Roman"/>
          <w:b/>
          <w:bCs/>
          <w:i/>
          <w:noProof/>
        </w:rPr>
        <w:t xml:space="preserve"> et al.</w:t>
      </w:r>
      <w:r w:rsidRPr="007D5F29">
        <w:rPr>
          <w:rFonts w:ascii="Times New Roman" w:hAnsi="Times New Roman" w:cs="Times New Roman"/>
          <w:b/>
          <w:bCs/>
          <w:noProof/>
        </w:rPr>
        <w:t>, 2020)</w:t>
      </w:r>
      <w:r w:rsidRPr="007D5F29">
        <w:rPr>
          <w:rFonts w:ascii="Times New Roman" w:hAnsi="Times New Roman" w:cs="Times New Roman"/>
          <w:b/>
          <w:bCs/>
        </w:rPr>
        <w:fldChar w:fldCharType="end"/>
      </w:r>
      <w:r>
        <w:rPr>
          <w:rFonts w:ascii="Times New Roman" w:hAnsi="Times New Roman" w:cs="Times New Roman"/>
        </w:rPr>
        <w:t>. It is possible that</w:t>
      </w:r>
      <w:r w:rsidRPr="00266D36">
        <w:rPr>
          <w:rFonts w:ascii="Times New Roman" w:hAnsi="Times New Roman" w:cs="Times New Roman"/>
        </w:rPr>
        <w:t xml:space="preserve"> the synthetase-GFP fusions were unable to fluoresce at a higher level than autofluorescence</w:t>
      </w:r>
      <w:r>
        <w:rPr>
          <w:rFonts w:ascii="Times New Roman" w:hAnsi="Times New Roman" w:cs="Times New Roman"/>
        </w:rPr>
        <w:t xml:space="preserve"> and so</w:t>
      </w:r>
      <w:r w:rsidRPr="00266D36">
        <w:rPr>
          <w:rFonts w:ascii="Times New Roman" w:hAnsi="Times New Roman" w:cs="Times New Roman"/>
        </w:rPr>
        <w:t xml:space="preserve"> steps could be taken to reduce this. For example, using specific media such as a non-phenol red-containing RPMI that may reduce background fluorescence.</w:t>
      </w:r>
      <w:r>
        <w:rPr>
          <w:rFonts w:ascii="Times New Roman" w:hAnsi="Times New Roman" w:cs="Times New Roman"/>
        </w:rPr>
        <w:t xml:space="preserve"> </w:t>
      </w:r>
    </w:p>
    <w:p w14:paraId="3EB026B7" w14:textId="510C951C" w:rsidR="00187693" w:rsidRDefault="00187693" w:rsidP="00187693">
      <w:pPr>
        <w:spacing w:line="360" w:lineRule="auto"/>
        <w:ind w:firstLine="720"/>
        <w:jc w:val="both"/>
        <w:rPr>
          <w:rFonts w:ascii="Times New Roman" w:hAnsi="Times New Roman" w:cs="Times New Roman"/>
        </w:rPr>
      </w:pPr>
      <w:r w:rsidRPr="00E62CFD">
        <w:rPr>
          <w:rFonts w:ascii="Times New Roman" w:hAnsi="Times New Roman" w:cs="Times New Roman"/>
        </w:rPr>
        <w:t>As experiments on human neutrophils were not possible due to the COVID-19 pandemic, a</w:t>
      </w:r>
      <w:r>
        <w:rPr>
          <w:rFonts w:ascii="Times New Roman" w:hAnsi="Times New Roman" w:cs="Times New Roman"/>
        </w:rPr>
        <w:t xml:space="preserve"> </w:t>
      </w:r>
      <w:r w:rsidRPr="00E62CFD">
        <w:rPr>
          <w:rFonts w:ascii="Times New Roman" w:hAnsi="Times New Roman" w:cs="Times New Roman"/>
        </w:rPr>
        <w:t xml:space="preserve">HTE cell line was utilised </w:t>
      </w:r>
      <w:r w:rsidR="00B97718">
        <w:rPr>
          <w:rFonts w:ascii="Times New Roman" w:hAnsi="Times New Roman" w:cs="Times New Roman"/>
        </w:rPr>
        <w:t xml:space="preserve">as </w:t>
      </w:r>
      <w:r w:rsidR="00B97718">
        <w:rPr>
          <w:rFonts w:ascii="Times New Roman" w:hAnsi="Times New Roman" w:cs="Times New Roman"/>
          <w:i/>
          <w:iCs/>
        </w:rPr>
        <w:t>S. aureus</w:t>
      </w:r>
      <w:r w:rsidR="00B97718">
        <w:rPr>
          <w:rFonts w:ascii="Times New Roman" w:hAnsi="Times New Roman" w:cs="Times New Roman"/>
        </w:rPr>
        <w:t xml:space="preserve"> can invade non-professional phagocytes such as these</w:t>
      </w:r>
      <w:r w:rsidRPr="00E62CFD">
        <w:rPr>
          <w:rFonts w:ascii="Times New Roman" w:hAnsi="Times New Roman" w:cs="Times New Roman"/>
        </w:rPr>
        <w:t>,</w:t>
      </w:r>
      <w:r w:rsidR="00B97718">
        <w:rPr>
          <w:rFonts w:ascii="Times New Roman" w:hAnsi="Times New Roman" w:cs="Times New Roman"/>
        </w:rPr>
        <w:t xml:space="preserve"> which</w:t>
      </w:r>
      <w:r w:rsidRPr="00E62CFD">
        <w:rPr>
          <w:rFonts w:ascii="Times New Roman" w:hAnsi="Times New Roman" w:cs="Times New Roman"/>
        </w:rPr>
        <w:t xml:space="preserve"> also enabled the study of how the stringent response is important for recurrent tonsilitis. HTE cells represent a physical barrier, a first line of defence for the tonsillar lymphoid tissue</w:t>
      </w:r>
      <w:r w:rsidRPr="00E62CFD">
        <w:rPr>
          <w:rFonts w:ascii="Times New Roman" w:hAnsi="Times New Roman" w:cs="Times New Roman"/>
          <w:b/>
          <w:bCs/>
        </w:rPr>
        <w:t xml:space="preserve"> </w:t>
      </w:r>
      <w:r w:rsidRPr="00E62CFD">
        <w:rPr>
          <w:rFonts w:ascii="Times New Roman" w:hAnsi="Times New Roman" w:cs="Times New Roman"/>
          <w:b/>
          <w:bCs/>
        </w:rPr>
        <w:fldChar w:fldCharType="begin"/>
      </w:r>
      <w:r w:rsidRPr="00E62CFD">
        <w:rPr>
          <w:rFonts w:ascii="Times New Roman" w:hAnsi="Times New Roman" w:cs="Times New Roman"/>
          <w:b/>
          <w:bCs/>
        </w:rPr>
        <w:instrText xml:space="preserve"> ADDIN EN.CITE &lt;EndNote&gt;&lt;Cite&gt;&lt;Author&gt;Guenther&lt;/Author&gt;&lt;Year&gt;2018&lt;/Year&gt;&lt;IDText&gt;The first line of defence: insights into mechanisms and relevance of phagocytosis in epithelial cells&lt;/IDText&gt;&lt;DisplayText&gt;(Guenther and Seyfert, 2018)&lt;/DisplayText&gt;&lt;record&gt;&lt;dates&gt;&lt;pub-dates&gt;&lt;date&gt;Nov&lt;/date&gt;&lt;/pub-dates&gt;&lt;year&gt;2018&lt;/year&gt;&lt;/dates&gt;&lt;urls&gt;&lt;related-urls&gt;&lt;url&gt;&amp;lt;Go to ISI&amp;gt;://WOS:000449004600005&lt;/url&gt;&lt;/related-urls&gt;&lt;/urls&gt;&lt;isbn&gt;1863-2297&lt;/isbn&gt;&lt;work-type&gt;Review&lt;/work-type&gt;&lt;titles&gt;&lt;title&gt;The first line of defence: insights into mechanisms and relevance of phagocytosis in epithelial cells&lt;/title&gt;&lt;secondary-title&gt;Seminars in Immunopathology&lt;/secondary-title&gt;&lt;/titles&gt;&lt;pages&gt;555-565&lt;/pages&gt;&lt;number&gt;6&lt;/number&gt;&lt;contributors&gt;&lt;authors&gt;&lt;author&gt;Guenther, Juliane&lt;/author&gt;&lt;author&gt;Seyfert, Hans-Martin&lt;/author&gt;&lt;/authors&gt;&lt;/contributors&gt;&lt;added-date format="utc"&gt;1674673671&lt;/added-date&gt;&lt;ref-type name="Journal Article"&gt;17&lt;/ref-type&gt;&lt;rec-number&gt;261&lt;/rec-number&gt;&lt;last-updated-date format="utc"&gt;1674673671&lt;/last-updated-date&gt;&lt;accession-num&gt;WOS:000449004600005&lt;/accession-num&gt;&lt;electronic-resource-num&gt;10.1007/s00281-018-0701-1&lt;/electronic-resource-num&gt;&lt;volume&gt;40&lt;/volume&gt;&lt;/record&gt;&lt;/Cite&gt;&lt;/EndNote&gt;</w:instrText>
      </w:r>
      <w:r w:rsidRPr="00E62CFD">
        <w:rPr>
          <w:rFonts w:ascii="Times New Roman" w:hAnsi="Times New Roman" w:cs="Times New Roman"/>
          <w:b/>
          <w:bCs/>
        </w:rPr>
        <w:fldChar w:fldCharType="separate"/>
      </w:r>
      <w:r w:rsidRPr="00E62CFD">
        <w:rPr>
          <w:rFonts w:ascii="Times New Roman" w:hAnsi="Times New Roman" w:cs="Times New Roman"/>
          <w:b/>
          <w:bCs/>
          <w:noProof/>
        </w:rPr>
        <w:t>(Guenther and Seyfert, 2018)</w:t>
      </w:r>
      <w:r w:rsidRPr="00E62CFD">
        <w:rPr>
          <w:rFonts w:ascii="Times New Roman" w:hAnsi="Times New Roman" w:cs="Times New Roman"/>
          <w:b/>
          <w:bCs/>
        </w:rPr>
        <w:fldChar w:fldCharType="end"/>
      </w:r>
      <w:r w:rsidRPr="00E62CFD">
        <w:rPr>
          <w:rFonts w:ascii="Times New Roman" w:hAnsi="Times New Roman" w:cs="Times New Roman"/>
          <w:b/>
          <w:bCs/>
        </w:rPr>
        <w:t xml:space="preserve">. </w:t>
      </w:r>
      <w:r w:rsidRPr="00E62CFD">
        <w:rPr>
          <w:rFonts w:ascii="Times New Roman" w:hAnsi="Times New Roman" w:cs="Times New Roman"/>
        </w:rPr>
        <w:t xml:space="preserve">Thus, epithelial cells are able to kill bacteria similarly to professional phagocytes as they also </w:t>
      </w:r>
      <w:r>
        <w:rPr>
          <w:rFonts w:ascii="Times New Roman" w:hAnsi="Times New Roman" w:cs="Times New Roman"/>
        </w:rPr>
        <w:t>form</w:t>
      </w:r>
      <w:r w:rsidRPr="00E62CFD">
        <w:rPr>
          <w:rFonts w:ascii="Times New Roman" w:hAnsi="Times New Roman" w:cs="Times New Roman"/>
        </w:rPr>
        <w:t xml:space="preserve"> phagosomal compartments </w:t>
      </w:r>
      <w:r w:rsidRPr="00E62CFD">
        <w:rPr>
          <w:rFonts w:ascii="Times New Roman" w:hAnsi="Times New Roman" w:cs="Times New Roman"/>
          <w:b/>
          <w:bCs/>
        </w:rPr>
        <w:fldChar w:fldCharType="begin"/>
      </w:r>
      <w:r w:rsidRPr="00E62CFD">
        <w:rPr>
          <w:rFonts w:ascii="Times New Roman" w:hAnsi="Times New Roman" w:cs="Times New Roman"/>
          <w:b/>
          <w:bCs/>
        </w:rPr>
        <w:instrText xml:space="preserve"> ADDIN EN.CITE &lt;EndNote&gt;&lt;Cite&gt;&lt;Author&gt;Lam&lt;/Author&gt;&lt;Year&gt;2010&lt;/Year&gt;&lt;IDText&gt;Phagolysosomal Integrity Is Generally Maintained after Staphylococcus aureus Invasion of Nonprofessional Phagocytes but Is Modulated by Strain 6850&lt;/IDText&gt;&lt;DisplayText&gt;(Lam&lt;style face="italic"&gt; et al.&lt;/style&gt;, 2010)&lt;/DisplayText&gt;&lt;record&gt;&lt;dates&gt;&lt;pub-dates&gt;&lt;date&gt;Aug&lt;/date&gt;&lt;/pub-dates&gt;&lt;year&gt;2010&lt;/year&gt;&lt;/dates&gt;&lt;urls&gt;&lt;related-urls&gt;&lt;url&gt;&amp;lt;Go to ISI&amp;gt;://WOS:000279990400008&lt;/url&gt;&lt;/related-urls&gt;&lt;/urls&gt;&lt;isbn&gt;0019-9567&lt;/isbn&gt;&lt;work-type&gt;Article&lt;/work-type&gt;&lt;titles&gt;&lt;title&gt;Phagolysosomal Integrity Is Generally Maintained after Staphylococcus aureus Invasion of Nonprofessional Phagocytes but Is Modulated by Strain 6850&lt;/title&gt;&lt;secondary-title&gt;Infection and Immunity&lt;/secondary-title&gt;&lt;/titles&gt;&lt;pages&gt;3392-3403&lt;/pages&gt;&lt;number&gt;8&lt;/number&gt;&lt;contributors&gt;&lt;authors&gt;&lt;author&gt;Lam, Thien-Tri&lt;/author&gt;&lt;author&gt;Giese, Bernd&lt;/author&gt;&lt;author&gt;Chikkaballi, Deepak&lt;/author&gt;&lt;author&gt;Kuehn, Anika&lt;/author&gt;&lt;author&gt;Wolber, Wanja&lt;/author&gt;&lt;author&gt;Pane-Farre, Jan&lt;/author&gt;&lt;author&gt;Schaefer, Daniel&lt;/author&gt;&lt;author&gt;Engelmann, Susanne&lt;/author&gt;&lt;author&gt;Fraunholz, Martin&lt;/author&gt;&lt;author&gt;Sinha, Bhanu&lt;/author&gt;&lt;/authors&gt;&lt;/contributors&gt;&lt;added-date format="utc"&gt;1674671595&lt;/added-date&gt;&lt;ref-type name="Journal Article"&gt;17&lt;/ref-type&gt;&lt;rec-number&gt;260&lt;/rec-number&gt;&lt;last-updated-date format="utc"&gt;1674671595&lt;/last-updated-date&gt;&lt;accession-num&gt;WOS:000279990400008&lt;/accession-num&gt;&lt;electronic-resource-num&gt;10.1128/iai.00012-10&lt;/electronic-resource-num&gt;&lt;volume&gt;78&lt;/volume&gt;&lt;/record&gt;&lt;/Cite&gt;&lt;/EndNote&gt;</w:instrText>
      </w:r>
      <w:r w:rsidRPr="00E62CFD">
        <w:rPr>
          <w:rFonts w:ascii="Times New Roman" w:hAnsi="Times New Roman" w:cs="Times New Roman"/>
          <w:b/>
          <w:bCs/>
        </w:rPr>
        <w:fldChar w:fldCharType="separate"/>
      </w:r>
      <w:r w:rsidRPr="00E62CFD">
        <w:rPr>
          <w:rFonts w:ascii="Times New Roman" w:hAnsi="Times New Roman" w:cs="Times New Roman"/>
          <w:b/>
          <w:bCs/>
          <w:noProof/>
        </w:rPr>
        <w:t>(Lam</w:t>
      </w:r>
      <w:r w:rsidRPr="00E62CFD">
        <w:rPr>
          <w:rFonts w:ascii="Times New Roman" w:hAnsi="Times New Roman" w:cs="Times New Roman"/>
          <w:b/>
          <w:bCs/>
          <w:i/>
          <w:noProof/>
        </w:rPr>
        <w:t xml:space="preserve"> et al.</w:t>
      </w:r>
      <w:r w:rsidRPr="00E62CFD">
        <w:rPr>
          <w:rFonts w:ascii="Times New Roman" w:hAnsi="Times New Roman" w:cs="Times New Roman"/>
          <w:b/>
          <w:bCs/>
          <w:noProof/>
        </w:rPr>
        <w:t>, 2010)</w:t>
      </w:r>
      <w:r w:rsidRPr="00E62CFD">
        <w:rPr>
          <w:rFonts w:ascii="Times New Roman" w:hAnsi="Times New Roman" w:cs="Times New Roman"/>
          <w:b/>
          <w:bCs/>
        </w:rPr>
        <w:fldChar w:fldCharType="end"/>
      </w:r>
      <w:r w:rsidRPr="00E62CFD">
        <w:rPr>
          <w:rFonts w:ascii="Times New Roman" w:hAnsi="Times New Roman" w:cs="Times New Roman"/>
        </w:rPr>
        <w:t>.</w:t>
      </w:r>
      <w:r>
        <w:rPr>
          <w:rFonts w:ascii="Times New Roman" w:hAnsi="Times New Roman" w:cs="Times New Roman"/>
          <w:b/>
          <w:bCs/>
        </w:rPr>
        <w:t xml:space="preserve"> </w:t>
      </w:r>
      <w:r w:rsidRPr="00E62CFD">
        <w:rPr>
          <w:rFonts w:ascii="Times New Roman" w:hAnsi="Times New Roman" w:cs="Times New Roman"/>
        </w:rPr>
        <w:t>By infecting these cells with both stationary and exponential phase bacteria, the (p)ppGpp</w:t>
      </w:r>
      <w:r w:rsidRPr="00E62CFD">
        <w:rPr>
          <w:rFonts w:ascii="Times New Roman" w:hAnsi="Times New Roman" w:cs="Times New Roman"/>
          <w:vertAlign w:val="superscript"/>
        </w:rPr>
        <w:t>0</w:t>
      </w:r>
      <w:r w:rsidRPr="00E62CFD">
        <w:rPr>
          <w:rFonts w:ascii="Times New Roman" w:hAnsi="Times New Roman" w:cs="Times New Roman"/>
        </w:rPr>
        <w:t xml:space="preserve"> mutant was observed to survive less well after invasion than WT, particularly at 8 hpi. This could mean that the (p)ppGpp</w:t>
      </w:r>
      <w:r w:rsidRPr="00E62CFD">
        <w:rPr>
          <w:rFonts w:ascii="Times New Roman" w:hAnsi="Times New Roman" w:cs="Times New Roman"/>
          <w:vertAlign w:val="superscript"/>
        </w:rPr>
        <w:t>0</w:t>
      </w:r>
      <w:r w:rsidRPr="00E62CFD">
        <w:rPr>
          <w:rFonts w:ascii="Times New Roman" w:hAnsi="Times New Roman" w:cs="Times New Roman"/>
        </w:rPr>
        <w:t xml:space="preserve"> mutant is unable to replicate as well or is more susceptible to intracellular killing. Exponential phase cells were able to invade at and grow to higher CFU/ml than stationary phase cells for both WT and the (p)ppGpp</w:t>
      </w:r>
      <w:r w:rsidRPr="00E62CFD">
        <w:rPr>
          <w:rFonts w:ascii="Times New Roman" w:hAnsi="Times New Roman" w:cs="Times New Roman"/>
          <w:vertAlign w:val="superscript"/>
        </w:rPr>
        <w:t>0</w:t>
      </w:r>
      <w:r w:rsidRPr="00E62CFD">
        <w:rPr>
          <w:rFonts w:ascii="Times New Roman" w:hAnsi="Times New Roman" w:cs="Times New Roman"/>
        </w:rPr>
        <w:t xml:space="preserve"> mutant </w:t>
      </w:r>
      <w:r w:rsidRPr="00E62CFD">
        <w:rPr>
          <w:rFonts w:ascii="Times New Roman" w:hAnsi="Times New Roman" w:cs="Times New Roman"/>
          <w:b/>
          <w:bCs/>
        </w:rPr>
        <w:t xml:space="preserve">(Fig. </w:t>
      </w:r>
      <w:r>
        <w:rPr>
          <w:rFonts w:ascii="Times New Roman" w:hAnsi="Times New Roman" w:cs="Times New Roman"/>
          <w:b/>
          <w:bCs/>
        </w:rPr>
        <w:t>5</w:t>
      </w:r>
      <w:r w:rsidRPr="00E62CFD">
        <w:rPr>
          <w:rFonts w:ascii="Times New Roman" w:hAnsi="Times New Roman" w:cs="Times New Roman"/>
          <w:b/>
          <w:bCs/>
        </w:rPr>
        <w:t>.</w:t>
      </w:r>
      <w:r>
        <w:rPr>
          <w:rFonts w:ascii="Times New Roman" w:hAnsi="Times New Roman" w:cs="Times New Roman"/>
          <w:b/>
          <w:bCs/>
        </w:rPr>
        <w:t>4</w:t>
      </w:r>
      <w:r w:rsidRPr="00E62CFD">
        <w:rPr>
          <w:rFonts w:ascii="Times New Roman" w:hAnsi="Times New Roman" w:cs="Times New Roman"/>
          <w:b/>
          <w:bCs/>
        </w:rPr>
        <w:t>.1</w:t>
      </w:r>
      <w:r>
        <w:rPr>
          <w:rFonts w:ascii="Times New Roman" w:hAnsi="Times New Roman" w:cs="Times New Roman"/>
          <w:b/>
          <w:bCs/>
        </w:rPr>
        <w:t>d-f</w:t>
      </w:r>
      <w:r w:rsidRPr="00E62CFD">
        <w:rPr>
          <w:rFonts w:ascii="Times New Roman" w:hAnsi="Times New Roman" w:cs="Times New Roman"/>
          <w:b/>
          <w:bCs/>
        </w:rPr>
        <w:t>)</w:t>
      </w:r>
      <w:r w:rsidRPr="00E62CFD">
        <w:rPr>
          <w:rFonts w:ascii="Times New Roman" w:hAnsi="Times New Roman" w:cs="Times New Roman"/>
        </w:rPr>
        <w:t xml:space="preserve"> emphasising the importance of growth phase for infection. This coincides with previous research where </w:t>
      </w:r>
      <w:r w:rsidRPr="00E62CFD">
        <w:rPr>
          <w:rFonts w:ascii="Times New Roman" w:hAnsi="Times New Roman" w:cs="Times New Roman"/>
          <w:i/>
          <w:iCs/>
        </w:rPr>
        <w:t xml:space="preserve">S. aureus </w:t>
      </w:r>
      <w:r w:rsidRPr="00E62CFD">
        <w:rPr>
          <w:rFonts w:ascii="Times New Roman" w:hAnsi="Times New Roman" w:cs="Times New Roman"/>
        </w:rPr>
        <w:t xml:space="preserve">in the exponential growth phase had an enhanced invading capacity in comparison to stationary phase </w:t>
      </w:r>
      <w:r w:rsidRPr="00E62CFD">
        <w:rPr>
          <w:rFonts w:ascii="Times New Roman" w:hAnsi="Times New Roman" w:cs="Times New Roman"/>
          <w:i/>
          <w:iCs/>
        </w:rPr>
        <w:t xml:space="preserve">S. aureus </w:t>
      </w:r>
      <w:r w:rsidRPr="00E62CFD">
        <w:rPr>
          <w:rFonts w:ascii="Times New Roman" w:hAnsi="Times New Roman" w:cs="Times New Roman"/>
          <w:b/>
          <w:bCs/>
        </w:rPr>
        <w:fldChar w:fldCharType="begin"/>
      </w:r>
      <w:r w:rsidRPr="00E62CFD">
        <w:rPr>
          <w:rFonts w:ascii="Times New Roman" w:hAnsi="Times New Roman" w:cs="Times New Roman"/>
          <w:b/>
          <w:bCs/>
        </w:rPr>
        <w:instrText xml:space="preserve"> ADDIN EN.CITE &lt;EndNote&gt;&lt;Cite&gt;&lt;Author&gt;Ji&lt;/Author&gt;&lt;Year&gt;2020&lt;/Year&gt;&lt;IDText&gt;Determining Impact of Growth Phases on Capacity of Staphylococcus aureus to Adhere to and Invade Host Cells&lt;/IDText&gt;&lt;DisplayText&gt;(Ji, Yang and Ji, 2020)&lt;/DisplayText&gt;&lt;record&gt;&lt;urls&gt;&lt;related-urls&gt;&lt;url&gt;&amp;lt;Go to ISI&amp;gt;://WOS:000894136200015&lt;/url&gt;&lt;/related-urls&gt;&lt;/urls&gt;&lt;isbn&gt;978-1-4939-9849-4; 978-1-4939-9848-7&lt;/isbn&gt;&lt;titles&gt;&lt;title&gt;Determining Impact of Growth Phases on Capacity of Staphylococcus aureus to Adhere to and Invade Host Cells&lt;/title&gt;&lt;secondary-title&gt;Methicillin-Resistant Staphylococcus Aureus&lt;/secondary-title&gt;&lt;tertiary-title&gt;Methods in Molecular Biology&lt;/tertiary-title&gt;&lt;/titles&gt;&lt;pages&gt;187-195&lt;/pages&gt;&lt;contributors&gt;&lt;authors&gt;&lt;author&gt;Ji, Nansea&lt;/author&gt;&lt;author&gt;Yang, Junshu&lt;/author&gt;&lt;author&gt;Ji, Yinduo&lt;/author&gt;&lt;/authors&gt;&lt;/contributors&gt;&lt;added-date format="utc"&gt;1674676462&lt;/added-date&gt;&lt;ref-type name="Book Section"&gt;5&lt;/ref-type&gt;&lt;dates&gt;&lt;year&gt;2020&lt;/year&gt;&lt;/dates&gt;&lt;rec-number&gt;263&lt;/rec-number&gt;&lt;last-updated-date format="utc"&gt;1674676462&lt;/last-updated-date&gt;&lt;accession-num&gt;WOS:000894136200015&lt;/accession-num&gt;&lt;contributors&gt;&lt;secondary-authors&gt;&lt;author&gt;Ji, Y.&lt;/author&gt;&lt;/secondary-authors&gt;&lt;/contributors&gt;&lt;electronic-resource-num&gt;10.1007/978-1-4939-9849-4_14&lt;/electronic-resource-num&gt;&lt;volume&gt;2069&lt;/volume&gt;&lt;/record&gt;&lt;/Cite&gt;&lt;/EndNote&gt;</w:instrText>
      </w:r>
      <w:r w:rsidRPr="00E62CFD">
        <w:rPr>
          <w:rFonts w:ascii="Times New Roman" w:hAnsi="Times New Roman" w:cs="Times New Roman"/>
          <w:b/>
          <w:bCs/>
        </w:rPr>
        <w:fldChar w:fldCharType="separate"/>
      </w:r>
      <w:r w:rsidRPr="00E62CFD">
        <w:rPr>
          <w:rFonts w:ascii="Times New Roman" w:hAnsi="Times New Roman" w:cs="Times New Roman"/>
          <w:b/>
          <w:bCs/>
          <w:noProof/>
        </w:rPr>
        <w:t>(Ji, Yang and Ji, 2020)</w:t>
      </w:r>
      <w:r w:rsidRPr="00E62CFD">
        <w:rPr>
          <w:rFonts w:ascii="Times New Roman" w:hAnsi="Times New Roman" w:cs="Times New Roman"/>
          <w:b/>
          <w:bCs/>
        </w:rPr>
        <w:fldChar w:fldCharType="end"/>
      </w:r>
      <w:r w:rsidRPr="00E62CFD">
        <w:rPr>
          <w:rFonts w:ascii="Times New Roman" w:hAnsi="Times New Roman" w:cs="Times New Roman"/>
          <w:i/>
          <w:iCs/>
        </w:rPr>
        <w:t>.</w:t>
      </w:r>
      <w:r w:rsidRPr="00E62CFD">
        <w:rPr>
          <w:rFonts w:ascii="Times New Roman" w:hAnsi="Times New Roman" w:cs="Times New Roman"/>
        </w:rPr>
        <w:t xml:space="preserve"> </w:t>
      </w:r>
    </w:p>
    <w:p w14:paraId="06CA0C75" w14:textId="1C9ACED6" w:rsidR="00187693"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In the absence of (p)ppGpp, bacteria are unable to mount a stringent response in response to stresses such as nutrient limitation. Many studies have reported that </w:t>
      </w:r>
      <w:r>
        <w:rPr>
          <w:rFonts w:ascii="Times New Roman" w:hAnsi="Times New Roman" w:cs="Times New Roman"/>
          <w:i/>
          <w:iCs/>
        </w:rPr>
        <w:t>rel/relA</w:t>
      </w:r>
      <w:r>
        <w:rPr>
          <w:rFonts w:ascii="Times New Roman" w:hAnsi="Times New Roman" w:cs="Times New Roman"/>
        </w:rPr>
        <w:t xml:space="preserve"> or </w:t>
      </w:r>
      <w:r w:rsidRPr="00EE397A">
        <w:rPr>
          <w:rFonts w:ascii="Times New Roman" w:hAnsi="Times New Roman" w:cs="Times New Roman"/>
        </w:rPr>
        <w:t>(p)ppGpp</w:t>
      </w:r>
      <w:r w:rsidRPr="00EE397A">
        <w:rPr>
          <w:rFonts w:ascii="Times New Roman" w:hAnsi="Times New Roman" w:cs="Times New Roman"/>
          <w:vertAlign w:val="superscript"/>
        </w:rPr>
        <w:t>0</w:t>
      </w:r>
      <w:r w:rsidRPr="00EE397A">
        <w:rPr>
          <w:rFonts w:ascii="Times New Roman" w:hAnsi="Times New Roman" w:cs="Times New Roman"/>
        </w:rPr>
        <w:t xml:space="preserve"> mutant</w:t>
      </w:r>
      <w:r>
        <w:rPr>
          <w:rFonts w:ascii="Times New Roman" w:hAnsi="Times New Roman" w:cs="Times New Roman"/>
        </w:rPr>
        <w:t xml:space="preserve">s demonstrate a decrease in virulence and pathogenesis </w:t>
      </w:r>
      <w:r>
        <w:rPr>
          <w:rFonts w:ascii="Times New Roman" w:hAnsi="Times New Roman" w:cs="Times New Roman"/>
          <w:i/>
          <w:iCs/>
        </w:rPr>
        <w:t>in vivo</w:t>
      </w:r>
      <w:r>
        <w:rPr>
          <w:rFonts w:ascii="Times New Roman" w:hAnsi="Times New Roman" w:cs="Times New Roman"/>
        </w:rPr>
        <w:t xml:space="preserve">, implicating the stringent response in the establishment of infection </w:t>
      </w:r>
      <w:r w:rsidRPr="004531DD">
        <w:rPr>
          <w:rFonts w:ascii="Times New Roman" w:hAnsi="Times New Roman" w:cs="Times New Roman"/>
          <w:b/>
          <w:bCs/>
        </w:rPr>
        <w:fldChar w:fldCharType="begin">
          <w:fldData xml:space="preserve">PEVuZE5vdGU+PENpdGU+PEF1dGhvcj5OYWthbmlzaGk8L0F1dGhvcj48WWVhcj4yMDA2PC9ZZWFy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</w:fldData>
        </w:fldChar>
      </w:r>
      <w:r w:rsidRPr="004531DD">
        <w:rPr>
          <w:rFonts w:ascii="Times New Roman" w:hAnsi="Times New Roman" w:cs="Times New Roman"/>
          <w:b/>
          <w:bCs/>
        </w:rPr>
        <w:instrText xml:space="preserve"> ADDIN EN.CITE </w:instrText>
      </w:r>
      <w:r w:rsidRPr="004531DD">
        <w:rPr>
          <w:rFonts w:ascii="Times New Roman" w:hAnsi="Times New Roman" w:cs="Times New Roman"/>
          <w:b/>
          <w:bCs/>
        </w:rPr>
        <w:fldChar w:fldCharType="begin">
          <w:fldData xml:space="preserve">PEVuZE5vdGU+PENpdGU+PEF1dGhvcj5OYWthbmlzaGk8L0F1dGhvcj48WWVhcj4yMDA2PC9ZZWFy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</w:fldData>
        </w:fldChar>
      </w:r>
      <w:r w:rsidRPr="004531DD">
        <w:rPr>
          <w:rFonts w:ascii="Times New Roman" w:hAnsi="Times New Roman" w:cs="Times New Roman"/>
          <w:b/>
          <w:bCs/>
        </w:rPr>
        <w:instrText xml:space="preserve"> ADDIN EN.CITE.DATA </w:instrText>
      </w:r>
      <w:r w:rsidRPr="004531DD">
        <w:rPr>
          <w:rFonts w:ascii="Times New Roman" w:hAnsi="Times New Roman" w:cs="Times New Roman"/>
          <w:b/>
          <w:bCs/>
        </w:rPr>
      </w:r>
      <w:r w:rsidRPr="004531DD">
        <w:rPr>
          <w:rFonts w:ascii="Times New Roman" w:hAnsi="Times New Roman" w:cs="Times New Roman"/>
          <w:b/>
          <w:bCs/>
        </w:rPr>
        <w:fldChar w:fldCharType="end"/>
      </w:r>
      <w:r w:rsidRPr="004531DD">
        <w:rPr>
          <w:rFonts w:ascii="Times New Roman" w:hAnsi="Times New Roman" w:cs="Times New Roman"/>
          <w:b/>
          <w:bCs/>
        </w:rPr>
      </w:r>
      <w:r w:rsidRPr="004531DD">
        <w:rPr>
          <w:rFonts w:ascii="Times New Roman" w:hAnsi="Times New Roman" w:cs="Times New Roman"/>
          <w:b/>
          <w:bCs/>
        </w:rPr>
        <w:fldChar w:fldCharType="separate"/>
      </w:r>
      <w:r w:rsidRPr="004531DD">
        <w:rPr>
          <w:rFonts w:ascii="Times New Roman" w:hAnsi="Times New Roman" w:cs="Times New Roman"/>
          <w:b/>
          <w:bCs/>
          <w:noProof/>
        </w:rPr>
        <w:t>(Nakanishi</w:t>
      </w:r>
      <w:r w:rsidRPr="004531DD">
        <w:rPr>
          <w:rFonts w:ascii="Times New Roman" w:hAnsi="Times New Roman" w:cs="Times New Roman"/>
          <w:b/>
          <w:bCs/>
          <w:i/>
          <w:noProof/>
        </w:rPr>
        <w:t xml:space="preserve"> et al.</w:t>
      </w:r>
      <w:r w:rsidRPr="004531DD">
        <w:rPr>
          <w:rFonts w:ascii="Times New Roman" w:hAnsi="Times New Roman" w:cs="Times New Roman"/>
          <w:b/>
          <w:bCs/>
          <w:noProof/>
        </w:rPr>
        <w:t>, 2006; Taylor</w:t>
      </w:r>
      <w:r w:rsidRPr="004531DD">
        <w:rPr>
          <w:rFonts w:ascii="Times New Roman" w:hAnsi="Times New Roman" w:cs="Times New Roman"/>
          <w:b/>
          <w:bCs/>
          <w:i/>
          <w:noProof/>
        </w:rPr>
        <w:t xml:space="preserve"> et al.</w:t>
      </w:r>
      <w:r w:rsidRPr="004531DD">
        <w:rPr>
          <w:rFonts w:ascii="Times New Roman" w:hAnsi="Times New Roman" w:cs="Times New Roman"/>
          <w:b/>
          <w:bCs/>
          <w:noProof/>
        </w:rPr>
        <w:t>, 2002; Pizarro-Cerdá  and Tedin, 2004; Geiger</w:t>
      </w:r>
      <w:r w:rsidRPr="004531DD">
        <w:rPr>
          <w:rFonts w:ascii="Times New Roman" w:hAnsi="Times New Roman" w:cs="Times New Roman"/>
          <w:b/>
          <w:bCs/>
          <w:i/>
          <w:noProof/>
        </w:rPr>
        <w:t xml:space="preserve"> et al.</w:t>
      </w:r>
      <w:r w:rsidRPr="004531DD">
        <w:rPr>
          <w:rFonts w:ascii="Times New Roman" w:hAnsi="Times New Roman" w:cs="Times New Roman"/>
          <w:b/>
          <w:bCs/>
          <w:noProof/>
        </w:rPr>
        <w:t>, 2010)</w:t>
      </w:r>
      <w:r w:rsidRPr="004531DD">
        <w:rPr>
          <w:rFonts w:ascii="Times New Roman" w:hAnsi="Times New Roman" w:cs="Times New Roman"/>
          <w:b/>
          <w:bCs/>
        </w:rPr>
        <w:fldChar w:fldCharType="end"/>
      </w:r>
      <w:r>
        <w:rPr>
          <w:rFonts w:ascii="Times New Roman" w:hAnsi="Times New Roman" w:cs="Times New Roman"/>
        </w:rPr>
        <w:t xml:space="preserve">. Similarly, this study reveals that (p)ppGpp is required during systemic infection of zebrafish embryos and this was demonstrated by attenuation of virulence </w:t>
      </w:r>
      <w:r>
        <w:rPr>
          <w:rFonts w:ascii="Times New Roman" w:hAnsi="Times New Roman" w:cs="Times New Roman"/>
          <w:b/>
          <w:bCs/>
        </w:rPr>
        <w:t>(Fig. 5.5.2)</w:t>
      </w:r>
      <w:r>
        <w:rPr>
          <w:rFonts w:ascii="Times New Roman" w:hAnsi="Times New Roman" w:cs="Times New Roman"/>
        </w:rPr>
        <w:t xml:space="preserve">. Long-term examination of </w:t>
      </w:r>
      <w:r>
        <w:rPr>
          <w:rFonts w:ascii="Times New Roman" w:hAnsi="Times New Roman" w:cs="Times New Roman"/>
          <w:i/>
          <w:iCs/>
        </w:rPr>
        <w:t>S. aureus</w:t>
      </w:r>
      <w:r>
        <w:rPr>
          <w:rFonts w:ascii="Times New Roman" w:hAnsi="Times New Roman" w:cs="Times New Roman"/>
        </w:rPr>
        <w:t xml:space="preserve"> survival within zebrafish embryos e.g.</w:t>
      </w:r>
      <w:r w:rsidR="008D73F7">
        <w:rPr>
          <w:rFonts w:ascii="Times New Roman" w:hAnsi="Times New Roman" w:cs="Times New Roman"/>
        </w:rPr>
        <w:t>,</w:t>
      </w:r>
      <w:r>
        <w:rPr>
          <w:rFonts w:ascii="Times New Roman" w:hAnsi="Times New Roman" w:cs="Times New Roman"/>
        </w:rPr>
        <w:t xml:space="preserve"> measuring embryo survival at timepoints beyond 5.2 dpf, may help to determine whether WT </w:t>
      </w:r>
      <w:r>
        <w:rPr>
          <w:rFonts w:ascii="Times New Roman" w:hAnsi="Times New Roman" w:cs="Times New Roman"/>
          <w:i/>
          <w:iCs/>
        </w:rPr>
        <w:t xml:space="preserve">S. aureus </w:t>
      </w:r>
      <w:r>
        <w:rPr>
          <w:rFonts w:ascii="Times New Roman" w:hAnsi="Times New Roman" w:cs="Times New Roman"/>
        </w:rPr>
        <w:t xml:space="preserve">are able to persist in comparison to the </w:t>
      </w:r>
      <w:r w:rsidRPr="00EE397A">
        <w:rPr>
          <w:rFonts w:ascii="Times New Roman" w:hAnsi="Times New Roman" w:cs="Times New Roman"/>
        </w:rPr>
        <w:t>(p)ppGpp</w:t>
      </w:r>
      <w:r w:rsidRPr="00EE397A">
        <w:rPr>
          <w:rFonts w:ascii="Times New Roman" w:hAnsi="Times New Roman" w:cs="Times New Roman"/>
          <w:vertAlign w:val="superscript"/>
        </w:rPr>
        <w:t>0</w:t>
      </w:r>
      <w:r w:rsidRPr="00EE397A">
        <w:rPr>
          <w:rFonts w:ascii="Times New Roman" w:hAnsi="Times New Roman" w:cs="Times New Roman"/>
        </w:rPr>
        <w:t xml:space="preserve"> mutant</w:t>
      </w:r>
      <w:r>
        <w:rPr>
          <w:rFonts w:ascii="Times New Roman" w:hAnsi="Times New Roman" w:cs="Times New Roman"/>
        </w:rPr>
        <w:t xml:space="preserve">, and the basis behind this phenomenon. </w:t>
      </w:r>
    </w:p>
    <w:p w14:paraId="104C8D0B" w14:textId="23C2A6C3" w:rsidR="00187693" w:rsidRPr="00BD6718"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In this study, a difference in virulence between JE2 and LAC* USA300 strains was observed, which could be due to the lack of p01 and p03 plasmids in JE2. This suggests that these plasmids may encode virulence factors that significantly impact the ability of </w:t>
      </w:r>
      <w:r>
        <w:rPr>
          <w:rFonts w:ascii="Times New Roman" w:hAnsi="Times New Roman" w:cs="Times New Roman"/>
          <w:i/>
          <w:iCs/>
        </w:rPr>
        <w:t xml:space="preserve">S. aureus </w:t>
      </w:r>
      <w:r>
        <w:rPr>
          <w:rFonts w:ascii="Times New Roman" w:hAnsi="Times New Roman" w:cs="Times New Roman"/>
        </w:rPr>
        <w:t xml:space="preserve">LAC* to kill zebrafish embryos and this should be further studied to examine whether this is the case. This dose of LAC* (1500 CFU) was also higher than what was reported in preliminary experiments (550 CFU). Though the dose of JE2 had to be increased to 3000 CFU in order to reach 50% killing of zebrafish embryos, other studies have achieved approximately 70% killing with a lower dose of 1500 CFU and this same dose was also required for SH1000 which is MSSA in comparison to MRSA </w:t>
      </w:r>
      <w:r w:rsidRPr="002E0699">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&lt;EndNote&gt;&lt;Cite&gt;&lt;Author&gt;Connolly&lt;/Author&gt;&lt;Year&gt;2017&lt;/Year&gt;&lt;IDText&gt;Identification of Staphylococcus aureus Factors Required for Pathogenicity and Growth in Human Blood&lt;/IDText&gt;&lt;DisplayText&gt;(Connolly&lt;style face="italic"&gt; et al.&lt;/style&gt;, 2017)&lt;/DisplayText&gt;&lt;record&gt;&lt;dates&gt;&lt;pub-dates&gt;&lt;date&gt;Nov&lt;/date&gt;&lt;/pub-dates&gt;&lt;year&gt;2017&lt;/year&gt;&lt;/dates&gt;&lt;urls&gt;&lt;related-urls&gt;&lt;url&gt;&amp;lt;Go to ISI&amp;gt;://WOS:000415686700005&lt;/url&gt;&lt;/related-urls&gt;&lt;/urls&gt;&lt;isbn&gt;0019-9567&lt;/isbn&gt;&lt;titles&gt;&lt;title&gt;Identification of Staphylococcus aureus Factors Required for Pathogenicity and Growth in Human Blood&lt;/title&gt;&lt;secondary-title&gt;Infection and Immunity&lt;/secondary-title&gt;&lt;/titles&gt;&lt;number&gt;11&lt;/number&gt;&lt;contributors&gt;&lt;authors&gt;&lt;author&gt;Connolly, J.&lt;/author&gt;&lt;author&gt;Boldock, E.&lt;/author&gt;&lt;author&gt;Prince, L. R.&lt;/author&gt;&lt;author&gt;Renshaw, S. A.&lt;/author&gt;&lt;author&gt;Whyte, M. K.&lt;/author&gt;&lt;author&gt;Foster, S. J.&lt;/author&gt;&lt;/authors&gt;&lt;/contributors&gt;&lt;custom7&gt;e00337-17&lt;/custom7&gt;&lt;added-date format="utc"&gt;1675186276&lt;/added-date&gt;&lt;ref-type name="Journal Article"&gt;17&lt;/ref-type&gt;&lt;rec-number&gt;299&lt;/rec-number&gt;&lt;last-updated-date format="utc"&gt;1675186276&lt;/last-updated-date&gt;&lt;accession-num&gt;WOS:000415686700005&lt;/accession-num&gt;&lt;electronic-resource-num&gt;10.1128/iai.00337-17&lt;/electronic-resource-num&gt;&lt;volume&gt;85&lt;/volume&gt;&lt;/record&gt;&lt;/Cite&gt;&lt;/EndNote&gt;</w:instrText>
      </w:r>
      <w:r w:rsidRPr="002E0699">
        <w:rPr>
          <w:rFonts w:ascii="Times New Roman" w:hAnsi="Times New Roman" w:cs="Times New Roman"/>
          <w:b/>
          <w:bCs/>
        </w:rPr>
        <w:fldChar w:fldCharType="separate"/>
      </w:r>
      <w:r>
        <w:rPr>
          <w:rFonts w:ascii="Times New Roman" w:hAnsi="Times New Roman" w:cs="Times New Roman"/>
          <w:b/>
          <w:bCs/>
          <w:noProof/>
        </w:rPr>
        <w:t>(Connolly</w:t>
      </w:r>
      <w:r w:rsidRPr="00F95468">
        <w:rPr>
          <w:rFonts w:ascii="Times New Roman" w:hAnsi="Times New Roman" w:cs="Times New Roman"/>
          <w:b/>
          <w:bCs/>
          <w:i/>
          <w:noProof/>
        </w:rPr>
        <w:t xml:space="preserve"> et al.</w:t>
      </w:r>
      <w:r>
        <w:rPr>
          <w:rFonts w:ascii="Times New Roman" w:hAnsi="Times New Roman" w:cs="Times New Roman"/>
          <w:b/>
          <w:bCs/>
          <w:noProof/>
        </w:rPr>
        <w:t>, 2017)</w:t>
      </w:r>
      <w:r w:rsidRPr="002E0699">
        <w:rPr>
          <w:rFonts w:ascii="Times New Roman" w:hAnsi="Times New Roman" w:cs="Times New Roman"/>
          <w:b/>
          <w:bCs/>
        </w:rPr>
        <w:fldChar w:fldCharType="end"/>
      </w:r>
      <w:r>
        <w:rPr>
          <w:rFonts w:ascii="Times New Roman" w:hAnsi="Times New Roman" w:cs="Times New Roman"/>
        </w:rPr>
        <w:t>. These data indicate differences between laboratory strains which may require alteration of doses in order to achieve 50% killing.</w:t>
      </w:r>
    </w:p>
    <w:p w14:paraId="63CB9CBC" w14:textId="7827A2B2"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Bacterial burden experiments demonstrated that the </w:t>
      </w:r>
      <w:r w:rsidRPr="00EE397A">
        <w:rPr>
          <w:rFonts w:ascii="Times New Roman" w:hAnsi="Times New Roman" w:cs="Times New Roman"/>
        </w:rPr>
        <w:t>(p)ppGpp</w:t>
      </w:r>
      <w:r w:rsidRPr="00EE397A">
        <w:rPr>
          <w:rFonts w:ascii="Times New Roman" w:hAnsi="Times New Roman" w:cs="Times New Roman"/>
          <w:vertAlign w:val="superscript"/>
        </w:rPr>
        <w:t>0</w:t>
      </w:r>
      <w:r w:rsidRPr="00EE397A">
        <w:rPr>
          <w:rFonts w:ascii="Times New Roman" w:hAnsi="Times New Roman" w:cs="Times New Roman"/>
        </w:rPr>
        <w:t xml:space="preserve"> mutant</w:t>
      </w:r>
      <w:r>
        <w:rPr>
          <w:rFonts w:ascii="Times New Roman" w:hAnsi="Times New Roman" w:cs="Times New Roman"/>
        </w:rPr>
        <w:t xml:space="preserve"> was able to grow as well as WT within zebrafish embryos despite demonstrating attenuated virulence by survival curve analysis </w:t>
      </w:r>
      <w:r>
        <w:rPr>
          <w:rFonts w:ascii="Times New Roman" w:hAnsi="Times New Roman" w:cs="Times New Roman"/>
          <w:b/>
          <w:bCs/>
        </w:rPr>
        <w:t>(Fig. 5.5.3)</w:t>
      </w:r>
      <w:r>
        <w:rPr>
          <w:rFonts w:ascii="Times New Roman" w:hAnsi="Times New Roman" w:cs="Times New Roman"/>
        </w:rPr>
        <w:t xml:space="preserve">. Similar results have been shown previously also, where abscess formation by an </w:t>
      </w:r>
      <w:r>
        <w:rPr>
          <w:rFonts w:ascii="Times New Roman" w:hAnsi="Times New Roman" w:cs="Times New Roman"/>
          <w:i/>
          <w:iCs/>
        </w:rPr>
        <w:t>S. aureus</w:t>
      </w:r>
      <w:r>
        <w:rPr>
          <w:rFonts w:ascii="Times New Roman" w:hAnsi="Times New Roman" w:cs="Times New Roman"/>
        </w:rPr>
        <w:t xml:space="preserve"> </w:t>
      </w:r>
      <w:r>
        <w:rPr>
          <w:rFonts w:ascii="Times New Roman" w:hAnsi="Times New Roman" w:cs="Times New Roman"/>
          <w:i/>
          <w:iCs/>
        </w:rPr>
        <w:t xml:space="preserve">rel </w:t>
      </w:r>
      <w:r w:rsidRPr="00EE397A">
        <w:rPr>
          <w:rFonts w:ascii="Times New Roman" w:hAnsi="Times New Roman" w:cs="Times New Roman"/>
        </w:rPr>
        <w:t>mutant</w:t>
      </w:r>
      <w:r>
        <w:rPr>
          <w:rFonts w:ascii="Times New Roman" w:hAnsi="Times New Roman" w:cs="Times New Roman"/>
        </w:rPr>
        <w:t xml:space="preserve"> was diminished,  but the CFU/abscess was similar to WT </w:t>
      </w:r>
      <w:r w:rsidRPr="00090721">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&lt;EndNote&gt;&lt;Cite&gt;&lt;Author&gt;Mansour&lt;/Author&gt;&lt;Year&gt;2016&lt;/Year&gt;&lt;IDText&gt;Bacterial Abscess Formation Is Controlled by the Stringent Stress Response and Can Be Targeted Therapeutically&lt;/IDText&gt;&lt;DisplayText&gt;(Mansour&lt;style face="italic"&gt; et al.&lt;/style&gt;, 2016)&lt;/DisplayText&gt;&lt;record&gt;&lt;dates&gt;&lt;pub-dates&gt;&lt;date&gt;Oct&lt;/date&gt;&lt;/pub-dates&gt;&lt;year&gt;2016&lt;/year&gt;&lt;/dates&gt;&lt;urls&gt;&lt;related-urls&gt;&lt;url&gt;&amp;lt;Go to ISI&amp;gt;://WOS:000386878500038&lt;/url&gt;&lt;/related-urls&gt;&lt;/urls&gt;&lt;isbn&gt;2352-3964&lt;/isbn&gt;&lt;titles&gt;&lt;title&gt;Bacterial Abscess Formation Is Controlled by the Stringent Stress Response and Can Be Targeted Therapeutically&lt;/title&gt;&lt;secondary-title&gt;Ebiomedicine&lt;/secondary-title&gt;&lt;/titles&gt;&lt;pages&gt;219-226&lt;/pages&gt;&lt;contributors&gt;&lt;authors&gt;&lt;author&gt;Mansour, S. C.&lt;/author&gt;&lt;author&gt;Pletzer, D.&lt;/author&gt;&lt;author&gt;de la Fuente-Nunez, C.&lt;/author&gt;&lt;author&gt;Kim, P.&lt;/author&gt;&lt;author&gt;Cheung, G. Y. C.&lt;/author&gt;&lt;author&gt;Joo, H. S.&lt;/author&gt;&lt;author&gt;Otto, M.&lt;/author&gt;&lt;author&gt;Hancock, R. E. W.&lt;/author&gt;&lt;/authors&gt;&lt;/contributors&gt;&lt;added-date format="utc"&gt;1674945879&lt;/added-date&gt;&lt;ref-type name="Journal Article"&gt;17&lt;/ref-type&gt;&lt;rec-number&gt;286&lt;/rec-number&gt;&lt;last-updated-date format="utc"&gt;1675008997&lt;/last-updated-date&gt;&lt;accession-num&gt;WOS:000386878500038&lt;/accession-num&gt;&lt;electronic-resource-num&gt;10.1016/j.ebiom.2016.09.015&lt;/electronic-resource-num&gt;&lt;volume&gt;12&lt;/volume&gt;&lt;/record&gt;&lt;/Cite&gt;&lt;/EndNote&gt;</w:instrText>
      </w:r>
      <w:r w:rsidRPr="00090721">
        <w:rPr>
          <w:rFonts w:ascii="Times New Roman" w:hAnsi="Times New Roman" w:cs="Times New Roman"/>
          <w:b/>
          <w:bCs/>
        </w:rPr>
        <w:fldChar w:fldCharType="separate"/>
      </w:r>
      <w:r>
        <w:rPr>
          <w:rFonts w:ascii="Times New Roman" w:hAnsi="Times New Roman" w:cs="Times New Roman"/>
          <w:b/>
          <w:bCs/>
          <w:noProof/>
        </w:rPr>
        <w:t>(Mansour</w:t>
      </w:r>
      <w:r w:rsidRPr="00F95468">
        <w:rPr>
          <w:rFonts w:ascii="Times New Roman" w:hAnsi="Times New Roman" w:cs="Times New Roman"/>
          <w:b/>
          <w:bCs/>
          <w:i/>
          <w:noProof/>
        </w:rPr>
        <w:t xml:space="preserve"> et al.</w:t>
      </w:r>
      <w:r>
        <w:rPr>
          <w:rFonts w:ascii="Times New Roman" w:hAnsi="Times New Roman" w:cs="Times New Roman"/>
          <w:b/>
          <w:bCs/>
          <w:noProof/>
        </w:rPr>
        <w:t>, 2016)</w:t>
      </w:r>
      <w:r w:rsidRPr="00090721">
        <w:rPr>
          <w:rFonts w:ascii="Times New Roman" w:hAnsi="Times New Roman" w:cs="Times New Roman"/>
          <w:b/>
          <w:bCs/>
        </w:rPr>
        <w:fldChar w:fldCharType="end"/>
      </w:r>
      <w:r>
        <w:rPr>
          <w:rFonts w:ascii="Times New Roman" w:hAnsi="Times New Roman" w:cs="Times New Roman"/>
        </w:rPr>
        <w:t xml:space="preserve">. Furthermore, an </w:t>
      </w:r>
      <w:r>
        <w:rPr>
          <w:rFonts w:ascii="Times New Roman" w:hAnsi="Times New Roman" w:cs="Times New Roman"/>
          <w:i/>
          <w:iCs/>
        </w:rPr>
        <w:t>M. tuberculosis rel</w:t>
      </w:r>
      <w:r>
        <w:rPr>
          <w:rFonts w:ascii="Times New Roman" w:hAnsi="Times New Roman" w:cs="Times New Roman"/>
        </w:rPr>
        <w:t xml:space="preserve"> mutant was able to grow as well as WT in a mouse model while being less able to form granulomas, and it was only after five weeks of infection that a difference in CFU was detected </w:t>
      </w:r>
      <w:r w:rsidRPr="0054370E">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&lt;EndNote&gt;&lt;Cite&gt;&lt;Author&gt;Dahl&lt;/Author&gt;&lt;Year&gt;2003&lt;/Year&gt;&lt;IDText&gt;The role of Rel(Mtb)-mediated adaptation to stationary phase in long-term persistence of Mycobacterium tuberculosis in mice&lt;/IDText&gt;&lt;DisplayText&gt;(Dahl&lt;style face="italic"&gt; et al.&lt;/style&gt;, 2003)&lt;/DisplayText&gt;&lt;record&gt;&lt;dates&gt;&lt;pub-dates&gt;&lt;date&gt;Aug&lt;/date&gt;&lt;/pub-dates&gt;&lt;year&gt;2003&lt;/year&gt;&lt;/dates&gt;&lt;urls&gt;&lt;related-urls&gt;&lt;url&gt;&amp;lt;Go to ISI&amp;gt;://WOS:000184926000073&lt;/url&gt;&lt;/related-urls&gt;&lt;/urls&gt;&lt;isbn&gt;0027-8424&lt;/isbn&gt;&lt;titles&gt;&lt;title&gt;The role of Rel(Mtb)-mediated adaptation to stationary phase in long-term persistence of Mycobacterium tuberculosis in mice&lt;/title&gt;&lt;secondary-title&gt;Proceedings of the National Academy of Sciences of the United States of America&lt;/secondary-title&gt;&lt;/titles&gt;&lt;pages&gt;10026-10031&lt;/pages&gt;&lt;number&gt;17&lt;/number&gt;&lt;contributors&gt;&lt;authors&gt;&lt;author&gt;Dahl, J. L.&lt;/author&gt;&lt;author&gt;Kraus, C. N.&lt;/author&gt;&lt;author&gt;Boshoff, H. I. M.&lt;/author&gt;&lt;author&gt;Doan, B.&lt;/author&gt;&lt;author&gt;Foley, K.&lt;/author&gt;&lt;author&gt;Avarbock, D.&lt;/author&gt;&lt;author&gt;Kaplan, G.&lt;/author&gt;&lt;author&gt;Mizrahi, V.&lt;/author&gt;&lt;author&gt;Rubin, H.&lt;/author&gt;&lt;author&gt;Barry, C. E.&lt;/author&gt;&lt;/authors&gt;&lt;/contributors&gt;&lt;added-date format="utc"&gt;1675008188&lt;/added-date&gt;&lt;ref-type name="Journal Article"&gt;17&lt;/ref-type&gt;&lt;rec-number&gt;287&lt;/rec-number&gt;&lt;last-updated-date format="utc"&gt;1675008997&lt;/last-updated-date&gt;&lt;accession-num&gt;WOS:000184926000073&lt;/accession-num&gt;&lt;electronic-resource-num&gt;10.1073/pnas.1631248100&lt;/electronic-resource-num&gt;&lt;volume&gt;100&lt;/volume&gt;&lt;/record&gt;&lt;/Cite&gt;&lt;/EndNote&gt;</w:instrText>
      </w:r>
      <w:r w:rsidRPr="0054370E">
        <w:rPr>
          <w:rFonts w:ascii="Times New Roman" w:hAnsi="Times New Roman" w:cs="Times New Roman"/>
          <w:b/>
          <w:bCs/>
        </w:rPr>
        <w:fldChar w:fldCharType="separate"/>
      </w:r>
      <w:r>
        <w:rPr>
          <w:rFonts w:ascii="Times New Roman" w:hAnsi="Times New Roman" w:cs="Times New Roman"/>
          <w:b/>
          <w:bCs/>
          <w:noProof/>
        </w:rPr>
        <w:t>(Dahl</w:t>
      </w:r>
      <w:r w:rsidRPr="00F95468">
        <w:rPr>
          <w:rFonts w:ascii="Times New Roman" w:hAnsi="Times New Roman" w:cs="Times New Roman"/>
          <w:b/>
          <w:bCs/>
          <w:i/>
          <w:noProof/>
        </w:rPr>
        <w:t xml:space="preserve"> et al.</w:t>
      </w:r>
      <w:r>
        <w:rPr>
          <w:rFonts w:ascii="Times New Roman" w:hAnsi="Times New Roman" w:cs="Times New Roman"/>
          <w:b/>
          <w:bCs/>
          <w:noProof/>
        </w:rPr>
        <w:t>, 2003)</w:t>
      </w:r>
      <w:r w:rsidRPr="0054370E">
        <w:rPr>
          <w:rFonts w:ascii="Times New Roman" w:hAnsi="Times New Roman" w:cs="Times New Roman"/>
          <w:b/>
          <w:bCs/>
        </w:rPr>
        <w:fldChar w:fldCharType="end"/>
      </w:r>
      <w:r>
        <w:rPr>
          <w:rFonts w:ascii="Times New Roman" w:hAnsi="Times New Roman" w:cs="Times New Roman"/>
        </w:rPr>
        <w:t xml:space="preserve">. However, fewer colonies of an MSSA </w:t>
      </w:r>
      <w:r>
        <w:rPr>
          <w:rFonts w:ascii="Times New Roman" w:hAnsi="Times New Roman" w:cs="Times New Roman"/>
          <w:i/>
          <w:iCs/>
        </w:rPr>
        <w:t>rel</w:t>
      </w:r>
      <w:r>
        <w:rPr>
          <w:rFonts w:ascii="Times New Roman" w:hAnsi="Times New Roman" w:cs="Times New Roman"/>
          <w:vertAlign w:val="subscript"/>
        </w:rPr>
        <w:t>syn</w:t>
      </w:r>
      <w:r>
        <w:rPr>
          <w:rFonts w:ascii="Times New Roman" w:hAnsi="Times New Roman" w:cs="Times New Roman"/>
        </w:rPr>
        <w:t xml:space="preserve"> mutant was recovered from murine kidneys in comparison to WT and was also associated with reduced formation of abscesses </w:t>
      </w:r>
      <w:r w:rsidRPr="00382F6D">
        <w:rPr>
          <w:rFonts w:ascii="Times New Roman" w:hAnsi="Times New Roman" w:cs="Times New Roman"/>
          <w:b/>
          <w:bCs/>
        </w:rPr>
        <w:fldChar w:fldCharType="begin"/>
      </w:r>
      <w:r w:rsidRPr="00382F6D">
        <w:rPr>
          <w:rFonts w:ascii="Times New Roman" w:hAnsi="Times New Roman" w:cs="Times New Roman"/>
          <w:b/>
          <w:bCs/>
        </w:rPr>
        <w:instrText xml:space="preserve"> ADDIN EN.CITE &lt;EndNote&gt;&lt;Cite&gt;&lt;Author&gt;Geiger&lt;/Author&gt;&lt;Year&gt;2010&lt;/Year&gt;&lt;IDText&gt;Role of the (p)ppGpp Synthase RSH, a RelA/SpoT Homolog, in Stringent Response and Virulence of Staphylococcus aureus&lt;/IDText&gt;&lt;DisplayText&gt;(Geiger&lt;style face="italic"&gt; et al.&lt;/style&gt;, 2010)&lt;/DisplayText&gt;&lt;record&gt;&lt;dates&gt;&lt;pub-dates&gt;&lt;date&gt;May&lt;/date&gt;&lt;/pub-dates&gt;&lt;year&gt;2010&lt;/year&gt;&lt;/dates&gt;&lt;urls&gt;&lt;related-urls&gt;&lt;/related-urls&gt;&lt;/urls&gt;&lt;isbn&gt;0019-9567&lt;/isbn&gt;&lt;titles&gt;&lt;title&gt;&lt;style font="default" size="100%"&gt;Role of the (p)ppGpp Synthase RSH, a RelA/SpoT Homolog, in Stringent Response and Virulence of &lt;/style&gt;&lt;style face="italic" font="default" size="100%"&gt;Staphylococcus aureus&lt;/style&gt;&lt;/title&gt;&lt;secondary-title&gt;Infection and Immunity&lt;/secondary-title&gt;&lt;/titles&gt;&lt;pages&gt;1873-1883&lt;/pages&gt;&lt;number&gt;5&lt;/number&gt;&lt;contributors&gt;&lt;authors&gt;&lt;author&gt;Geiger, Tobias&lt;/author&gt;&lt;author&gt;Goerke, Christiane&lt;/author&gt;&lt;author&gt;Fritz, Michaela&lt;/author&gt;&lt;author&gt;Schaefer, Tina&lt;/author&gt;&lt;author&gt;Ohlsen, Knut&lt;/author&gt;&lt;author&gt;Liebeke, Manuel&lt;/author&gt;&lt;author&gt;Lalk, Michael&lt;/author&gt;&lt;author&gt;Wolz, Christiane&lt;/author&gt;&lt;/authors&gt;&lt;/contributors&gt;&lt;added-date format="utc"&gt;1663612960&lt;/added-date&gt;&lt;ref-type name="Journal Article"&gt;17&lt;/ref-type&gt;&lt;rec-number&gt;70&lt;/rec-number&gt;&lt;last-updated-date format="utc"&gt;1678058042&lt;/last-updated-date&gt;&lt;accession-num&gt;WOS:000276778700008&lt;/accession-num&gt;&lt;electronic-resource-num&gt;10.1128/iai.01439-09&lt;/electronic-resource-num&gt;&lt;volume&gt;78&lt;/volume&gt;&lt;/record&gt;&lt;/Cite&gt;&lt;/EndNote&gt;</w:instrText>
      </w:r>
      <w:r w:rsidRPr="00382F6D">
        <w:rPr>
          <w:rFonts w:ascii="Times New Roman" w:hAnsi="Times New Roman" w:cs="Times New Roman"/>
          <w:b/>
          <w:bCs/>
        </w:rPr>
        <w:fldChar w:fldCharType="separate"/>
      </w:r>
      <w:r w:rsidRPr="00382F6D">
        <w:rPr>
          <w:rFonts w:ascii="Times New Roman" w:hAnsi="Times New Roman" w:cs="Times New Roman"/>
          <w:b/>
          <w:bCs/>
          <w:noProof/>
        </w:rPr>
        <w:t>(Geiger</w:t>
      </w:r>
      <w:r w:rsidRPr="00382F6D">
        <w:rPr>
          <w:rFonts w:ascii="Times New Roman" w:hAnsi="Times New Roman" w:cs="Times New Roman"/>
          <w:b/>
          <w:bCs/>
          <w:i/>
          <w:noProof/>
        </w:rPr>
        <w:t xml:space="preserve"> et al.</w:t>
      </w:r>
      <w:r w:rsidRPr="00382F6D">
        <w:rPr>
          <w:rFonts w:ascii="Times New Roman" w:hAnsi="Times New Roman" w:cs="Times New Roman"/>
          <w:b/>
          <w:bCs/>
          <w:noProof/>
        </w:rPr>
        <w:t>, 2010)</w:t>
      </w:r>
      <w:r w:rsidRPr="00382F6D">
        <w:rPr>
          <w:rFonts w:ascii="Times New Roman" w:hAnsi="Times New Roman" w:cs="Times New Roman"/>
          <w:b/>
          <w:bCs/>
        </w:rPr>
        <w:fldChar w:fldCharType="end"/>
      </w:r>
      <w:r>
        <w:rPr>
          <w:rFonts w:ascii="Times New Roman" w:hAnsi="Times New Roman" w:cs="Times New Roman"/>
        </w:rPr>
        <w:t xml:space="preserve">. This suggests that the absence of Rel affects growth </w:t>
      </w:r>
      <w:r>
        <w:rPr>
          <w:rFonts w:ascii="Times New Roman" w:hAnsi="Times New Roman" w:cs="Times New Roman"/>
          <w:i/>
          <w:iCs/>
        </w:rPr>
        <w:t>in vivo</w:t>
      </w:r>
      <w:r>
        <w:rPr>
          <w:rFonts w:ascii="Times New Roman" w:hAnsi="Times New Roman" w:cs="Times New Roman"/>
        </w:rPr>
        <w:t xml:space="preserve">, however </w:t>
      </w:r>
      <w:r w:rsidR="00E84A59">
        <w:rPr>
          <w:rFonts w:ascii="Times New Roman" w:hAnsi="Times New Roman" w:cs="Times New Roman"/>
        </w:rPr>
        <w:t>Geiger and colleagues</w:t>
      </w:r>
      <w:r>
        <w:rPr>
          <w:rFonts w:ascii="Times New Roman" w:hAnsi="Times New Roman" w:cs="Times New Roman"/>
        </w:rPr>
        <w:t xml:space="preserve"> did not evaluate the killing capacity of WT vs the </w:t>
      </w:r>
      <w:r w:rsidR="00E84A59">
        <w:rPr>
          <w:rFonts w:ascii="Times New Roman" w:hAnsi="Times New Roman" w:cs="Times New Roman"/>
          <w:i/>
          <w:iCs/>
        </w:rPr>
        <w:t>rel</w:t>
      </w:r>
      <w:r w:rsidR="00E84A59">
        <w:rPr>
          <w:rFonts w:ascii="Times New Roman" w:hAnsi="Times New Roman" w:cs="Times New Roman"/>
          <w:vertAlign w:val="subscript"/>
        </w:rPr>
        <w:t>syn</w:t>
      </w:r>
      <w:r w:rsidR="00E84A59">
        <w:rPr>
          <w:rFonts w:ascii="Times New Roman" w:hAnsi="Times New Roman" w:cs="Times New Roman"/>
        </w:rPr>
        <w:t xml:space="preserve"> </w:t>
      </w:r>
      <w:r>
        <w:rPr>
          <w:rFonts w:ascii="Times New Roman" w:hAnsi="Times New Roman" w:cs="Times New Roman"/>
        </w:rPr>
        <w:t>mutant and differences may be due to the fact that MSSA w</w:t>
      </w:r>
      <w:r w:rsidR="00E84A59">
        <w:rPr>
          <w:rFonts w:ascii="Times New Roman" w:hAnsi="Times New Roman" w:cs="Times New Roman"/>
        </w:rPr>
        <w:t>as</w:t>
      </w:r>
      <w:r>
        <w:rPr>
          <w:rFonts w:ascii="Times New Roman" w:hAnsi="Times New Roman" w:cs="Times New Roman"/>
        </w:rPr>
        <w:t xml:space="preserve"> used and not MRSA. While some experiments corroborate what was observed in zebrafish embryos and suggests that the stringent response mutants exhibit a virulence defect rather than a growth defect, this experiment presented many caveats. As five live embryos and any dead embryos were selected from the population of injected zebrafish embryos, only certain dead embryos could be isolated for homogenisation, thus introducing a potential for bias. Most dead zebrafish embryos had disintegrated substantially by the time samples were to be taken, which could give </w:t>
      </w:r>
      <w:r>
        <w:rPr>
          <w:rFonts w:ascii="Times New Roman" w:hAnsi="Times New Roman" w:cs="Times New Roman"/>
          <w:i/>
          <w:iCs/>
        </w:rPr>
        <w:t>S. aureus</w:t>
      </w:r>
      <w:r>
        <w:rPr>
          <w:rFonts w:ascii="Times New Roman" w:hAnsi="Times New Roman" w:cs="Times New Roman"/>
        </w:rPr>
        <w:t xml:space="preserve"> an opportunity to replicate within the embryo remains. Due to this, only moderately disintegrated embryos were selected for CFU determination in order to avoid unreliable CFU counts that are an overestimation of the actual number of </w:t>
      </w:r>
      <w:r>
        <w:rPr>
          <w:rFonts w:ascii="Times New Roman" w:hAnsi="Times New Roman" w:cs="Times New Roman"/>
          <w:i/>
          <w:iCs/>
        </w:rPr>
        <w:t xml:space="preserve">S. aureus </w:t>
      </w:r>
      <w:r>
        <w:rPr>
          <w:rFonts w:ascii="Times New Roman" w:hAnsi="Times New Roman" w:cs="Times New Roman"/>
        </w:rPr>
        <w:t>per embryo. In order to overcome this, it may be beneficial to take samples at earlier timepoints before 21 hpi</w:t>
      </w:r>
      <w:bookmarkStart w:id="171" w:name="_Hlk129463101"/>
      <w:r w:rsidR="003F494B">
        <w:rPr>
          <w:rFonts w:ascii="Times New Roman" w:hAnsi="Times New Roman" w:cs="Times New Roman"/>
        </w:rPr>
        <w:t>, to allow sampling of embryos closer to the time of death to minimise decomposition.</w:t>
      </w:r>
    </w:p>
    <w:p w14:paraId="1548CBEA" w14:textId="2CE1B271"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Overproduction of (p)ppGpp </w:t>
      </w:r>
      <w:r>
        <w:rPr>
          <w:rFonts w:ascii="Times New Roman" w:hAnsi="Times New Roman" w:cs="Times New Roman"/>
          <w:i/>
          <w:iCs/>
        </w:rPr>
        <w:t>in vivo</w:t>
      </w:r>
      <w:r>
        <w:rPr>
          <w:rFonts w:ascii="Times New Roman" w:hAnsi="Times New Roman" w:cs="Times New Roman"/>
        </w:rPr>
        <w:t xml:space="preserve"> did not have a protective effect on </w:t>
      </w:r>
      <w:r>
        <w:rPr>
          <w:rFonts w:ascii="Times New Roman" w:hAnsi="Times New Roman" w:cs="Times New Roman"/>
          <w:i/>
          <w:iCs/>
        </w:rPr>
        <w:t>S. aureus</w:t>
      </w:r>
      <w:r>
        <w:rPr>
          <w:rFonts w:ascii="Times New Roman" w:hAnsi="Times New Roman" w:cs="Times New Roman"/>
        </w:rPr>
        <w:t xml:space="preserve">, suggesting that the increase in (p)ppGpp levels was not concurrent with the ability of </w:t>
      </w:r>
      <w:r>
        <w:rPr>
          <w:rFonts w:ascii="Times New Roman" w:hAnsi="Times New Roman" w:cs="Times New Roman"/>
          <w:i/>
          <w:iCs/>
        </w:rPr>
        <w:t xml:space="preserve">S. aureus </w:t>
      </w:r>
      <w:r>
        <w:rPr>
          <w:rFonts w:ascii="Times New Roman" w:hAnsi="Times New Roman" w:cs="Times New Roman"/>
        </w:rPr>
        <w:t xml:space="preserve">to kill zebrafish embryos </w:t>
      </w:r>
      <w:r>
        <w:rPr>
          <w:rFonts w:ascii="Times New Roman" w:hAnsi="Times New Roman" w:cs="Times New Roman"/>
          <w:b/>
          <w:bCs/>
        </w:rPr>
        <w:t>(Fig. 5.7.1)</w:t>
      </w:r>
      <w:r>
        <w:rPr>
          <w:rFonts w:ascii="Times New Roman" w:hAnsi="Times New Roman" w:cs="Times New Roman"/>
        </w:rPr>
        <w:t>.</w:t>
      </w:r>
      <w:bookmarkEnd w:id="171"/>
      <w:r>
        <w:rPr>
          <w:rFonts w:ascii="Times New Roman" w:hAnsi="Times New Roman" w:cs="Times New Roman"/>
        </w:rPr>
        <w:t xml:space="preserve"> As mentioned, (p)ppGpp overproduction has naturally occurred in a clinical isolate and when the resulting HD domain mutation was introduced into a laboratory strain, virulence was attenuated in a </w:t>
      </w:r>
      <w:r>
        <w:rPr>
          <w:rFonts w:ascii="Times New Roman" w:hAnsi="Times New Roman" w:cs="Times New Roman"/>
          <w:i/>
          <w:iCs/>
        </w:rPr>
        <w:t>G</w:t>
      </w:r>
      <w:r w:rsidR="0054173E">
        <w:rPr>
          <w:rFonts w:ascii="Times New Roman" w:hAnsi="Times New Roman" w:cs="Times New Roman"/>
          <w:i/>
          <w:iCs/>
        </w:rPr>
        <w:t>.</w:t>
      </w:r>
      <w:r>
        <w:rPr>
          <w:rFonts w:ascii="Times New Roman" w:hAnsi="Times New Roman" w:cs="Times New Roman"/>
          <w:i/>
          <w:iCs/>
        </w:rPr>
        <w:t xml:space="preserve"> mellonella </w:t>
      </w:r>
      <w:r>
        <w:rPr>
          <w:rFonts w:ascii="Times New Roman" w:hAnsi="Times New Roman" w:cs="Times New Roman"/>
        </w:rPr>
        <w:t xml:space="preserve">model </w:t>
      </w:r>
      <w:r w:rsidRPr="00A5217C">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2010)&lt;/DisplayText&gt;&lt;record&gt;&lt;dates&gt;&lt;pub-dates&gt;&lt;date&gt;Jun&lt;/date&gt;&lt;/pub-dates&gt;&lt;year&gt;2010&lt;/year&gt;&lt;/dates&gt;&lt;urls&gt;&lt;related-urls&gt;&lt;url&gt;&amp;lt;Go to ISI&amp;gt;://WOS:000279806300018&lt;/url&gt;&lt;/related-urls&gt;&lt;/urls&gt;&lt;isbn&gt;1553-7366&lt;/isbn&gt;&lt;titles&gt;&lt;title&gt;Two Novel Point Mutations in Clinical Staphylococcus aureus Reduce Linezolid Susceptibility and Switch on the Stringent Response to Promote Persistent Infection&lt;/title&gt;&lt;secondary-title&gt;Plos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format="utc"&gt;1663624413&lt;/last-updated-date&gt;&lt;accession-num&gt;WOS:000279806300018&lt;/accession-num&gt;&lt;electronic-resource-num&gt;10.1371/journal.ppat.1000944&lt;/electronic-resource-num&gt;&lt;volume&gt;6&lt;/volume&gt;&lt;/record&gt;&lt;/Cite&gt;&lt;/EndNote&gt;</w:instrText>
      </w:r>
      <w:r w:rsidRPr="00A5217C">
        <w:rPr>
          <w:rFonts w:ascii="Times New Roman" w:hAnsi="Times New Roman" w:cs="Times New Roman"/>
          <w:b/>
          <w:bCs/>
        </w:rPr>
        <w:fldChar w:fldCharType="separate"/>
      </w:r>
      <w:r>
        <w:rPr>
          <w:rFonts w:ascii="Times New Roman" w:hAnsi="Times New Roman" w:cs="Times New Roman"/>
          <w:b/>
          <w:bCs/>
          <w:noProof/>
        </w:rPr>
        <w:t>(Gao</w:t>
      </w:r>
      <w:r w:rsidRPr="00F95468">
        <w:rPr>
          <w:rFonts w:ascii="Times New Roman" w:hAnsi="Times New Roman" w:cs="Times New Roman"/>
          <w:b/>
          <w:bCs/>
          <w:i/>
          <w:noProof/>
        </w:rPr>
        <w:t xml:space="preserve"> et al.</w:t>
      </w:r>
      <w:r>
        <w:rPr>
          <w:rFonts w:ascii="Times New Roman" w:hAnsi="Times New Roman" w:cs="Times New Roman"/>
          <w:b/>
          <w:bCs/>
          <w:noProof/>
        </w:rPr>
        <w:t>, 2010)</w:t>
      </w:r>
      <w:r w:rsidRPr="00A5217C">
        <w:rPr>
          <w:rFonts w:ascii="Times New Roman" w:hAnsi="Times New Roman" w:cs="Times New Roman"/>
          <w:b/>
          <w:bCs/>
        </w:rPr>
        <w:fldChar w:fldCharType="end"/>
      </w:r>
      <w:r>
        <w:rPr>
          <w:rFonts w:ascii="Times New Roman" w:hAnsi="Times New Roman" w:cs="Times New Roman"/>
        </w:rPr>
        <w:t xml:space="preserve">, similar to what was seen here using the zebrafish embryo systemic infection model. This brings to light the importance of maintaining optimum levels of (p)ppGpp within a cell as overproduction of (p)ppGpp can lead to toxic accumulation, possibly impacting growth. The reduced growth that (p)ppGpp-overproducing bacteria may experience can have beneficial effects in the long-run. The (p)ppGpp overproduction strains in this study were unable to kill zebrafish embryos as well as WT, so long-term infection may lead to persistence as demonstrated in other reports </w:t>
      </w:r>
      <w:r w:rsidRPr="00757D51">
        <w:rPr>
          <w:rFonts w:ascii="Times New Roman" w:hAnsi="Times New Roman" w:cs="Times New Roman"/>
          <w:b/>
          <w:bCs/>
        </w:rPr>
        <w:fldChar w:fldCharType="begin">
          <w:fldData xml:space="preserve">PEVuZE5vdGU+PENpdGU+PEF1dGhvcj5QZXlydXNzb248L0F1dGhvcj48WWVhcj4yMDIwPC9ZZWFy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PEVuZE5vdGU+PENpdGU+PEF1dGhvcj5QZXlydXNzb248L0F1dGhvcj48WWVhcj4yMDIwPC9ZZWFy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757D51">
        <w:rPr>
          <w:rFonts w:ascii="Times New Roman" w:hAnsi="Times New Roman" w:cs="Times New Roman"/>
          <w:b/>
          <w:bCs/>
        </w:rPr>
      </w:r>
      <w:r w:rsidRPr="00757D51">
        <w:rPr>
          <w:rFonts w:ascii="Times New Roman" w:hAnsi="Times New Roman" w:cs="Times New Roman"/>
          <w:b/>
          <w:bCs/>
        </w:rPr>
        <w:fldChar w:fldCharType="separate"/>
      </w:r>
      <w:r>
        <w:rPr>
          <w:rFonts w:ascii="Times New Roman" w:hAnsi="Times New Roman" w:cs="Times New Roman"/>
          <w:b/>
          <w:bCs/>
          <w:noProof/>
        </w:rPr>
        <w:t>(Peyrusson</w:t>
      </w:r>
      <w:r w:rsidRPr="00F95468">
        <w:rPr>
          <w:rFonts w:ascii="Times New Roman" w:hAnsi="Times New Roman" w:cs="Times New Roman"/>
          <w:b/>
          <w:bCs/>
          <w:i/>
          <w:noProof/>
        </w:rPr>
        <w:t xml:space="preserve"> et al.</w:t>
      </w:r>
      <w:r>
        <w:rPr>
          <w:rFonts w:ascii="Times New Roman" w:hAnsi="Times New Roman" w:cs="Times New Roman"/>
          <w:b/>
          <w:bCs/>
          <w:noProof/>
        </w:rPr>
        <w:t>, 2020; Li</w:t>
      </w:r>
      <w:r w:rsidRPr="00F95468">
        <w:rPr>
          <w:rFonts w:ascii="Times New Roman" w:hAnsi="Times New Roman" w:cs="Times New Roman"/>
          <w:b/>
          <w:bCs/>
          <w:i/>
          <w:noProof/>
        </w:rPr>
        <w:t xml:space="preserve"> et al.</w:t>
      </w:r>
      <w:r>
        <w:rPr>
          <w:rFonts w:ascii="Times New Roman" w:hAnsi="Times New Roman" w:cs="Times New Roman"/>
          <w:b/>
          <w:bCs/>
          <w:noProof/>
        </w:rPr>
        <w:t>, 2020)</w:t>
      </w:r>
      <w:r w:rsidRPr="00757D51">
        <w:rPr>
          <w:rFonts w:ascii="Times New Roman" w:hAnsi="Times New Roman" w:cs="Times New Roman"/>
          <w:b/>
          <w:bCs/>
        </w:rPr>
        <w:fldChar w:fldCharType="end"/>
      </w:r>
      <w:r w:rsidRPr="00757D51">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The ability to persist could allow </w:t>
      </w:r>
      <w:r>
        <w:rPr>
          <w:rFonts w:ascii="Times New Roman" w:hAnsi="Times New Roman" w:cs="Times New Roman"/>
          <w:i/>
          <w:iCs/>
        </w:rPr>
        <w:t xml:space="preserve">S. aureus </w:t>
      </w:r>
      <w:r>
        <w:rPr>
          <w:rFonts w:ascii="Times New Roman" w:hAnsi="Times New Roman" w:cs="Times New Roman"/>
        </w:rPr>
        <w:t xml:space="preserve">to survive under harsh conditions and possibly disseminate, leading to the worsening of infection. </w:t>
      </w:r>
    </w:p>
    <w:p w14:paraId="24C38DE7" w14:textId="77777777" w:rsidR="00187693" w:rsidRDefault="00187693" w:rsidP="00187693">
      <w:pPr>
        <w:spacing w:line="360" w:lineRule="auto"/>
        <w:ind w:firstLine="720"/>
        <w:jc w:val="both"/>
        <w:rPr>
          <w:rFonts w:ascii="Times New Roman" w:hAnsi="Times New Roman" w:cs="Times New Roman"/>
        </w:rPr>
      </w:pPr>
      <w:r>
        <w:rPr>
          <w:rFonts w:ascii="Times New Roman" w:hAnsi="Times New Roman" w:cs="Times New Roman"/>
        </w:rPr>
        <w:t xml:space="preserve">The long, bifunctional RSH Rel has been deemed an important synthetase in many different organisms and </w:t>
      </w:r>
      <w:r>
        <w:rPr>
          <w:rFonts w:ascii="Times New Roman" w:hAnsi="Times New Roman" w:cs="Times New Roman"/>
          <w:i/>
          <w:iCs/>
        </w:rPr>
        <w:t xml:space="preserve">in vivo </w:t>
      </w:r>
      <w:r>
        <w:rPr>
          <w:rFonts w:ascii="Times New Roman" w:hAnsi="Times New Roman" w:cs="Times New Roman"/>
        </w:rPr>
        <w:t xml:space="preserve">models </w:t>
      </w:r>
      <w:r w:rsidRPr="00552357">
        <w:rPr>
          <w:rFonts w:ascii="Times New Roman" w:hAnsi="Times New Roman" w:cs="Times New Roman"/>
          <w:b/>
          <w:bCs/>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PiBldCBhbC48L3N0eWxlPiwgMjAxMDsgTWFuc291cjxzdHlsZSBmYWNlPSJpdGFsaWMiPiBldCBh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PiBldCBhbC48L3N0eWxlPiwgMjAxMDsgTWFuc291cjxzdHlsZSBmYWNlPSJpdGFsaWMiPiBldCBh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552357">
        <w:rPr>
          <w:rFonts w:ascii="Times New Roman" w:hAnsi="Times New Roman" w:cs="Times New Roman"/>
          <w:b/>
          <w:bCs/>
        </w:rPr>
      </w:r>
      <w:r w:rsidRPr="00552357">
        <w:rPr>
          <w:rFonts w:ascii="Times New Roman" w:hAnsi="Times New Roman" w:cs="Times New Roman"/>
          <w:b/>
          <w:bCs/>
        </w:rPr>
        <w:fldChar w:fldCharType="separate"/>
      </w:r>
      <w:r>
        <w:rPr>
          <w:rFonts w:ascii="Times New Roman" w:hAnsi="Times New Roman" w:cs="Times New Roman"/>
          <w:b/>
          <w:bCs/>
          <w:noProof/>
        </w:rPr>
        <w:t>(Geiger</w:t>
      </w:r>
      <w:r w:rsidRPr="00F95468">
        <w:rPr>
          <w:rFonts w:ascii="Times New Roman" w:hAnsi="Times New Roman" w:cs="Times New Roman"/>
          <w:b/>
          <w:bCs/>
          <w:i/>
          <w:noProof/>
        </w:rPr>
        <w:t xml:space="preserve"> et al.</w:t>
      </w:r>
      <w:r>
        <w:rPr>
          <w:rFonts w:ascii="Times New Roman" w:hAnsi="Times New Roman" w:cs="Times New Roman"/>
          <w:b/>
          <w:bCs/>
          <w:noProof/>
        </w:rPr>
        <w:t>, 2010; Mansour</w:t>
      </w:r>
      <w:r w:rsidRPr="00F95468">
        <w:rPr>
          <w:rFonts w:ascii="Times New Roman" w:hAnsi="Times New Roman" w:cs="Times New Roman"/>
          <w:b/>
          <w:bCs/>
          <w:i/>
          <w:noProof/>
        </w:rPr>
        <w:t xml:space="preserve"> et al.</w:t>
      </w:r>
      <w:r>
        <w:rPr>
          <w:rFonts w:ascii="Times New Roman" w:hAnsi="Times New Roman" w:cs="Times New Roman"/>
          <w:b/>
          <w:bCs/>
          <w:noProof/>
        </w:rPr>
        <w:t>, 2016; Pizarro-Cerdá  and Tedin, 2004; Dahl</w:t>
      </w:r>
      <w:r w:rsidRPr="00F95468">
        <w:rPr>
          <w:rFonts w:ascii="Times New Roman" w:hAnsi="Times New Roman" w:cs="Times New Roman"/>
          <w:b/>
          <w:bCs/>
          <w:i/>
          <w:noProof/>
        </w:rPr>
        <w:t xml:space="preserve"> et al.</w:t>
      </w:r>
      <w:r>
        <w:rPr>
          <w:rFonts w:ascii="Times New Roman" w:hAnsi="Times New Roman" w:cs="Times New Roman"/>
          <w:b/>
          <w:bCs/>
          <w:noProof/>
        </w:rPr>
        <w:t>, 2003)</w:t>
      </w:r>
      <w:r w:rsidRPr="00552357">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and therefore its importance was investigated in this study. However, in these reports, bacterial burden from organs/abscesses were measured and were used to make conclusions on bacterial virulence. In comparison, this study directly demonstrated animal (zebrafish) survival as a result of infection, and not just bacterial burden. This is important to note, as how a pathogen grows is not always indicative of its pathogenic ability, as demonstrated in </w:t>
      </w:r>
      <w:r>
        <w:rPr>
          <w:rFonts w:ascii="Times New Roman" w:hAnsi="Times New Roman" w:cs="Times New Roman"/>
          <w:b/>
          <w:bCs/>
        </w:rPr>
        <w:t>Figure 5.5.4</w:t>
      </w:r>
      <w:r>
        <w:rPr>
          <w:rFonts w:ascii="Times New Roman" w:hAnsi="Times New Roman" w:cs="Times New Roman"/>
        </w:rPr>
        <w:t xml:space="preserve">. Infecting zebrafish embryos with the </w:t>
      </w:r>
      <w:r w:rsidRPr="00EE397A">
        <w:rPr>
          <w:rFonts w:ascii="Times New Roman" w:hAnsi="Times New Roman" w:cs="Times New Roman"/>
        </w:rPr>
        <w:t>∆</w:t>
      </w:r>
      <w:r w:rsidRPr="00EE397A">
        <w:rPr>
          <w:rFonts w:ascii="Times New Roman" w:hAnsi="Times New Roman" w:cs="Times New Roman"/>
          <w:i/>
          <w:iCs/>
        </w:rPr>
        <w:t>relQP</w:t>
      </w:r>
      <w:r>
        <w:rPr>
          <w:rFonts w:ascii="Times New Roman" w:hAnsi="Times New Roman" w:cs="Times New Roman"/>
          <w:i/>
          <w:iCs/>
        </w:rPr>
        <w:t xml:space="preserve"> </w:t>
      </w:r>
      <w:r>
        <w:rPr>
          <w:rFonts w:ascii="Times New Roman" w:hAnsi="Times New Roman" w:cs="Times New Roman"/>
        </w:rPr>
        <w:t xml:space="preserve">mutant revealed that killing by this strain is similar to WT </w:t>
      </w:r>
      <w:r>
        <w:rPr>
          <w:rFonts w:ascii="Times New Roman" w:hAnsi="Times New Roman" w:cs="Times New Roman"/>
          <w:b/>
          <w:bCs/>
        </w:rPr>
        <w:t>(Fig. 5.8.1a)</w:t>
      </w:r>
      <w:r>
        <w:rPr>
          <w:rFonts w:ascii="Times New Roman" w:hAnsi="Times New Roman" w:cs="Times New Roman"/>
        </w:rPr>
        <w:t xml:space="preserve">, suggesting that Rel is the only synthetase required for virulence. However, injection of </w:t>
      </w:r>
      <w:r w:rsidRPr="00C718B7">
        <w:rPr>
          <w:rFonts w:ascii="Times New Roman" w:hAnsi="Times New Roman" w:cs="Times New Roman"/>
        </w:rPr>
        <w:t xml:space="preserve">LAC* </w:t>
      </w:r>
      <w:r w:rsidRPr="00C718B7">
        <w:rPr>
          <w:rFonts w:ascii="Times New Roman" w:hAnsi="Times New Roman" w:cs="Times New Roman"/>
          <w:i/>
          <w:iCs/>
        </w:rPr>
        <w:t>rel</w:t>
      </w:r>
      <w:r w:rsidRPr="00C718B7">
        <w:rPr>
          <w:rFonts w:ascii="Times New Roman" w:hAnsi="Times New Roman" w:cs="Times New Roman"/>
          <w:i/>
          <w:iCs/>
          <w:vertAlign w:val="subscript"/>
        </w:rPr>
        <w:t>syn</w:t>
      </w:r>
      <w:r>
        <w:rPr>
          <w:rFonts w:ascii="Times New Roman" w:hAnsi="Times New Roman" w:cs="Times New Roman"/>
          <w:i/>
          <w:iCs/>
          <w:vertAlign w:val="subscript"/>
        </w:rPr>
        <w:t xml:space="preserve"> </w:t>
      </w:r>
      <w:r>
        <w:rPr>
          <w:rFonts w:ascii="Times New Roman" w:hAnsi="Times New Roman" w:cs="Times New Roman"/>
        </w:rPr>
        <w:t xml:space="preserve">resulted in killing similar to WT </w:t>
      </w:r>
      <w:r>
        <w:rPr>
          <w:rFonts w:ascii="Times New Roman" w:hAnsi="Times New Roman" w:cs="Times New Roman"/>
          <w:b/>
          <w:bCs/>
        </w:rPr>
        <w:t>(Fig. 5.8.1b)</w:t>
      </w:r>
      <w:r>
        <w:rPr>
          <w:rFonts w:ascii="Times New Roman" w:hAnsi="Times New Roman" w:cs="Times New Roman"/>
        </w:rPr>
        <w:t xml:space="preserve">, despite not containing a functional copy of </w:t>
      </w:r>
      <w:r>
        <w:rPr>
          <w:rFonts w:ascii="Times New Roman" w:hAnsi="Times New Roman" w:cs="Times New Roman"/>
          <w:i/>
          <w:iCs/>
        </w:rPr>
        <w:t xml:space="preserve">rel. </w:t>
      </w:r>
      <w:r>
        <w:rPr>
          <w:rFonts w:ascii="Times New Roman" w:hAnsi="Times New Roman" w:cs="Times New Roman"/>
        </w:rPr>
        <w:t xml:space="preserve">This implies that RelP and RelQ could be compensating for the absence of Rel, and that it is not the synthetase that is important </w:t>
      </w:r>
      <w:r>
        <w:rPr>
          <w:rFonts w:ascii="Times New Roman" w:hAnsi="Times New Roman" w:cs="Times New Roman"/>
          <w:i/>
          <w:iCs/>
        </w:rPr>
        <w:t>in vivo</w:t>
      </w:r>
      <w:r>
        <w:rPr>
          <w:rFonts w:ascii="Times New Roman" w:hAnsi="Times New Roman" w:cs="Times New Roman"/>
        </w:rPr>
        <w:t xml:space="preserve">, but the (p)ppGpp that is produced. When </w:t>
      </w:r>
      <w:r>
        <w:rPr>
          <w:rFonts w:ascii="Times New Roman" w:hAnsi="Times New Roman" w:cs="Times New Roman"/>
          <w:i/>
          <w:iCs/>
        </w:rPr>
        <w:t xml:space="preserve">rel, </w:t>
      </w:r>
      <w:r>
        <w:rPr>
          <w:rFonts w:ascii="Times New Roman" w:hAnsi="Times New Roman" w:cs="Times New Roman"/>
        </w:rPr>
        <w:t xml:space="preserve">but not </w:t>
      </w:r>
      <w:r>
        <w:rPr>
          <w:rFonts w:ascii="Times New Roman" w:hAnsi="Times New Roman" w:cs="Times New Roman"/>
          <w:i/>
          <w:iCs/>
        </w:rPr>
        <w:t xml:space="preserve">relP </w:t>
      </w:r>
      <w:r>
        <w:rPr>
          <w:rFonts w:ascii="Times New Roman" w:hAnsi="Times New Roman" w:cs="Times New Roman"/>
        </w:rPr>
        <w:t xml:space="preserve">was complemented in a </w:t>
      </w:r>
      <w:r w:rsidRPr="00EE397A">
        <w:rPr>
          <w:rFonts w:ascii="Times New Roman" w:hAnsi="Times New Roman" w:cs="Times New Roman"/>
        </w:rPr>
        <w:t>(p)ppGpp</w:t>
      </w:r>
      <w:r w:rsidRPr="00EE397A">
        <w:rPr>
          <w:rFonts w:ascii="Times New Roman" w:hAnsi="Times New Roman" w:cs="Times New Roman"/>
          <w:vertAlign w:val="superscript"/>
        </w:rPr>
        <w:t>0</w:t>
      </w:r>
      <w:r>
        <w:rPr>
          <w:rFonts w:ascii="Times New Roman" w:hAnsi="Times New Roman" w:cs="Times New Roman"/>
        </w:rPr>
        <w:t xml:space="preserve"> background, virulence was restored, adding further evidence to support the sufficiency of Rel </w:t>
      </w:r>
      <w:r>
        <w:rPr>
          <w:rFonts w:ascii="Times New Roman" w:hAnsi="Times New Roman" w:cs="Times New Roman"/>
          <w:b/>
          <w:bCs/>
        </w:rPr>
        <w:t>(Fig. 5.8.1c and d)</w:t>
      </w:r>
      <w:r>
        <w:rPr>
          <w:rFonts w:ascii="Times New Roman" w:hAnsi="Times New Roman" w:cs="Times New Roman"/>
        </w:rPr>
        <w:t xml:space="preserve">. In order for this to be confirmed, complement experiments need to be conducted </w:t>
      </w:r>
      <w:r>
        <w:rPr>
          <w:rFonts w:ascii="Times New Roman" w:hAnsi="Times New Roman" w:cs="Times New Roman"/>
          <w:i/>
          <w:iCs/>
        </w:rPr>
        <w:t>in vivo</w:t>
      </w:r>
      <w:r>
        <w:rPr>
          <w:rFonts w:ascii="Times New Roman" w:hAnsi="Times New Roman" w:cs="Times New Roman"/>
        </w:rPr>
        <w:t xml:space="preserve"> using RelQ to determine whether or not this synthetase can restore virulence. As </w:t>
      </w:r>
      <w:r>
        <w:rPr>
          <w:rFonts w:ascii="Times New Roman" w:hAnsi="Times New Roman" w:cs="Times New Roman"/>
          <w:i/>
          <w:iCs/>
        </w:rPr>
        <w:t xml:space="preserve">relP </w:t>
      </w:r>
      <w:r>
        <w:rPr>
          <w:rFonts w:ascii="Times New Roman" w:hAnsi="Times New Roman" w:cs="Times New Roman"/>
        </w:rPr>
        <w:t xml:space="preserve">cannot complement </w:t>
      </w:r>
      <w:r>
        <w:rPr>
          <w:rFonts w:ascii="Times New Roman" w:hAnsi="Times New Roman" w:cs="Times New Roman"/>
          <w:i/>
          <w:iCs/>
        </w:rPr>
        <w:t xml:space="preserve">in vivo, </w:t>
      </w:r>
      <w:r>
        <w:rPr>
          <w:rFonts w:ascii="Times New Roman" w:hAnsi="Times New Roman" w:cs="Times New Roman"/>
        </w:rPr>
        <w:t xml:space="preserve">it must not produce enough (p)ppGpp alone. Therefore, it is necessary to determine whether </w:t>
      </w:r>
      <w:r>
        <w:rPr>
          <w:rFonts w:ascii="Times New Roman" w:hAnsi="Times New Roman" w:cs="Times New Roman"/>
          <w:i/>
          <w:iCs/>
        </w:rPr>
        <w:t xml:space="preserve">relQ </w:t>
      </w:r>
      <w:r>
        <w:rPr>
          <w:rFonts w:ascii="Times New Roman" w:hAnsi="Times New Roman" w:cs="Times New Roman"/>
        </w:rPr>
        <w:t xml:space="preserve">can as this can shed light as to why there was no difference in killing between LAC* WT and </w:t>
      </w:r>
      <w:r w:rsidRPr="00C718B7">
        <w:rPr>
          <w:rFonts w:ascii="Times New Roman" w:hAnsi="Times New Roman" w:cs="Times New Roman"/>
        </w:rPr>
        <w:t xml:space="preserve">LAC* </w:t>
      </w:r>
      <w:r w:rsidRPr="00C718B7">
        <w:rPr>
          <w:rFonts w:ascii="Times New Roman" w:hAnsi="Times New Roman" w:cs="Times New Roman"/>
          <w:i/>
          <w:iCs/>
        </w:rPr>
        <w:t>rel</w:t>
      </w:r>
      <w:r w:rsidRPr="00C718B7">
        <w:rPr>
          <w:rFonts w:ascii="Times New Roman" w:hAnsi="Times New Roman" w:cs="Times New Roman"/>
          <w:i/>
          <w:iCs/>
          <w:vertAlign w:val="subscript"/>
        </w:rPr>
        <w:t>syn</w:t>
      </w:r>
      <w:r>
        <w:rPr>
          <w:rFonts w:ascii="Times New Roman" w:hAnsi="Times New Roman" w:cs="Times New Roman"/>
        </w:rPr>
        <w:t xml:space="preserve">. It may be that RelQ can produce enough (p)ppGpp to make up for the absence of Rel in </w:t>
      </w:r>
      <w:r w:rsidRPr="00C718B7">
        <w:rPr>
          <w:rFonts w:ascii="Times New Roman" w:hAnsi="Times New Roman" w:cs="Times New Roman"/>
        </w:rPr>
        <w:t xml:space="preserve">LAC* </w:t>
      </w:r>
      <w:r w:rsidRPr="00C718B7">
        <w:rPr>
          <w:rFonts w:ascii="Times New Roman" w:hAnsi="Times New Roman" w:cs="Times New Roman"/>
          <w:i/>
          <w:iCs/>
        </w:rPr>
        <w:t>rel</w:t>
      </w:r>
      <w:r w:rsidRPr="00C718B7">
        <w:rPr>
          <w:rFonts w:ascii="Times New Roman" w:hAnsi="Times New Roman" w:cs="Times New Roman"/>
          <w:i/>
          <w:iCs/>
          <w:vertAlign w:val="subscript"/>
        </w:rPr>
        <w:t>syn</w:t>
      </w:r>
      <w:r w:rsidRPr="00FA4053">
        <w:rPr>
          <w:rFonts w:ascii="Times New Roman" w:hAnsi="Times New Roman" w:cs="Times New Roman"/>
        </w:rPr>
        <w:t xml:space="preserve"> </w:t>
      </w:r>
      <w:r>
        <w:rPr>
          <w:rFonts w:ascii="Times New Roman" w:hAnsi="Times New Roman" w:cs="Times New Roman"/>
        </w:rPr>
        <w:t>but this is speculation. A caveat to complementing the synthetases on an inducible plasmid is that the amount of synthetase expressed is likely not physiological as induction occurs artificially. Complementing the synthetases on a vector whilst using the native promoter may be a superior method of assessing the importance of each synthetase as the amount produced will be more representative of what might occur during infection.</w:t>
      </w:r>
    </w:p>
    <w:p w14:paraId="7D278BBD" w14:textId="4347253B" w:rsidR="00187693" w:rsidRDefault="00187693" w:rsidP="00187693">
      <w:pPr>
        <w:shd w:val="clear" w:color="auto" w:fill="FFFFFF"/>
        <w:spacing w:line="360" w:lineRule="auto"/>
        <w:ind w:firstLine="720"/>
        <w:jc w:val="both"/>
        <w:rPr>
          <w:rFonts w:ascii="Times New Roman" w:hAnsi="Times New Roman" w:cs="Times New Roman"/>
        </w:rPr>
      </w:pPr>
      <w:bookmarkStart w:id="172" w:name="_Hlk129466418"/>
      <w:r>
        <w:rPr>
          <w:rFonts w:ascii="Times New Roman" w:hAnsi="Times New Roman" w:cs="Times New Roman"/>
        </w:rPr>
        <w:t xml:space="preserve">Infection of zebrafish embryos with the </w:t>
      </w:r>
      <w:r w:rsidRPr="003E4EEC">
        <w:rPr>
          <w:rFonts w:ascii="Times New Roman" w:hAnsi="Times New Roman" w:cs="Times New Roman"/>
        </w:rPr>
        <w:t xml:space="preserve">JE2 </w:t>
      </w:r>
      <w:r w:rsidR="004600C2" w:rsidRPr="000B3602">
        <w:rPr>
          <w:rFonts w:ascii="Times New Roman" w:hAnsi="Times New Roman" w:cs="Times New Roman"/>
          <w:i/>
          <w:iCs/>
        </w:rPr>
        <w:t>codY</w:t>
      </w:r>
      <w:r w:rsidR="004600C2" w:rsidRPr="000B3602">
        <w:rPr>
          <w:rFonts w:ascii="Times New Roman" w:hAnsi="Times New Roman" w:cs="Times New Roman"/>
        </w:rPr>
        <w:t>::Tn</w:t>
      </w:r>
      <w:r w:rsidR="004600C2" w:rsidRPr="000B3602">
        <w:rPr>
          <w:rFonts w:ascii="Times New Roman" w:hAnsi="Times New Roman" w:cs="Times New Roman"/>
          <w:i/>
          <w:iCs/>
        </w:rPr>
        <w:t xml:space="preserve"> </w:t>
      </w:r>
      <w:r>
        <w:rPr>
          <w:rFonts w:ascii="Times New Roman" w:hAnsi="Times New Roman" w:cs="Times New Roman"/>
        </w:rPr>
        <w:t>and</w:t>
      </w:r>
      <w:r w:rsidRPr="003E4EEC">
        <w:rPr>
          <w:rFonts w:ascii="Times New Roman" w:hAnsi="Times New Roman" w:cs="Times New Roman"/>
        </w:rPr>
        <w:t xml:space="preserve"> (p)ppGpp</w:t>
      </w:r>
      <w:r w:rsidRPr="003E4EEC">
        <w:rPr>
          <w:rFonts w:ascii="Times New Roman" w:hAnsi="Times New Roman" w:cs="Times New Roman"/>
          <w:vertAlign w:val="superscript"/>
        </w:rPr>
        <w:t>0</w:t>
      </w:r>
      <w:r w:rsidRPr="003E4EEC">
        <w:rPr>
          <w:rFonts w:ascii="Times New Roman" w:hAnsi="Times New Roman" w:cs="Times New Roman"/>
        </w:rPr>
        <w:t xml:space="preserve"> </w:t>
      </w:r>
      <w:r w:rsidR="004600C2" w:rsidRPr="000B3602">
        <w:rPr>
          <w:rFonts w:ascii="Times New Roman" w:hAnsi="Times New Roman" w:cs="Times New Roman"/>
          <w:i/>
          <w:iCs/>
        </w:rPr>
        <w:t>codY</w:t>
      </w:r>
      <w:r w:rsidR="004600C2" w:rsidRPr="000B3602">
        <w:rPr>
          <w:rFonts w:ascii="Times New Roman" w:hAnsi="Times New Roman" w:cs="Times New Roman"/>
        </w:rPr>
        <w:t>::Tn</w:t>
      </w:r>
      <w:r w:rsidR="004600C2" w:rsidRPr="000B3602">
        <w:rPr>
          <w:rFonts w:ascii="Times New Roman" w:hAnsi="Times New Roman" w:cs="Times New Roman"/>
          <w:i/>
          <w:iCs/>
        </w:rPr>
        <w:t xml:space="preserve"> </w:t>
      </w:r>
      <w:r>
        <w:rPr>
          <w:rFonts w:ascii="Times New Roman" w:hAnsi="Times New Roman" w:cs="Times New Roman"/>
        </w:rPr>
        <w:t xml:space="preserve">led to similar killing as embryos infected with the respective controls. </w:t>
      </w:r>
      <w:bookmarkEnd w:id="172"/>
      <w:r>
        <w:rPr>
          <w:rFonts w:ascii="Times New Roman" w:hAnsi="Times New Roman" w:cs="Times New Roman"/>
        </w:rPr>
        <w:t xml:space="preserve">This was surprising considering Montgomery and colleagues showed that a USA300 strain lacking CodY exacerbated infection in both murine pneumonia and skin infection, leading to an increase in percent mortality </w:t>
      </w:r>
      <w:r w:rsidRPr="00B85221">
        <w:rPr>
          <w:rFonts w:ascii="Times New Roman" w:hAnsi="Times New Roman" w:cs="Times New Roman"/>
          <w:b/>
          <w:bCs/>
        </w:rPr>
        <w:fldChar w:fldCharType="begin"/>
      </w:r>
      <w:r w:rsidRPr="00B85221">
        <w:rPr>
          <w:rFonts w:ascii="Times New Roman" w:hAnsi="Times New Roman" w:cs="Times New Roman"/>
          <w:b/>
          <w:bCs/>
        </w:rPr>
        <w:instrText xml:space="preserve"> ADDIN EN.CITE &lt;EndNote&gt;&lt;Cite&gt;&lt;Author&gt;Montgomery&lt;/Author&gt;&lt;Year&gt;2012&lt;/Year&gt;&lt;IDText&gt;CodY Deletion Enhances In Vivo Virulence of Community-Associated Methicillin-Resistant Staphylococcus aureus Clone USA300&lt;/IDText&gt;&lt;DisplayText&gt;(Montgomery&lt;style face="italic"&gt; et al.&lt;/style&gt;, 2012)&lt;/DisplayText&gt;&lt;record&gt;&lt;dates&gt;&lt;pub-dates&gt;&lt;date&gt;Jul&lt;/date&gt;&lt;/pub-dates&gt;&lt;year&gt;2012&lt;/year&gt;&lt;/dates&gt;&lt;urls&gt;&lt;related-urls&gt;&lt;url&gt;&amp;lt;Go to ISI&amp;gt;://WOS:000305599400014&lt;/url&gt;&lt;/related-urls&gt;&lt;/urls&gt;&lt;isbn&gt;0019-9567&lt;/isbn&gt;&lt;titles&gt;&lt;title&gt;CodY Deletion Enhances In Vivo Virulence of Community-Associated Methicillin-Resistant Staphylococcus aureus Clone USA300&lt;/title&gt;&lt;secondary-title&gt;Infection and Immunity&lt;/secondary-title&gt;&lt;/titles&gt;&lt;pages&gt;2382-2389&lt;/pages&gt;&lt;number&gt;7&lt;/number&gt;&lt;contributors&gt;&lt;authors&gt;&lt;author&gt;Montgomery, C. P.&lt;/author&gt;&lt;author&gt;Boyle-Vavra, S.&lt;/author&gt;&lt;author&gt;Roux, A.&lt;/author&gt;&lt;author&gt;Ebine, K.&lt;/author&gt;&lt;author&gt;Sonenshein, A. L.&lt;/author&gt;&lt;author&gt;Daum, R. S.&lt;/author&gt;&lt;/authors&gt;&lt;/contributors&gt;&lt;added-date format="utc"&gt;1675045932&lt;/added-date&gt;&lt;ref-type name="Journal Article"&gt;17&lt;/ref-type&gt;&lt;rec-number&gt;294&lt;/rec-number&gt;&lt;last-updated-date format="utc"&gt;1678058042&lt;/last-updated-date&gt;&lt;accession-num&gt;WOS:000305599400014&lt;/accession-num&gt;&lt;electronic-resource-num&gt;10.1128/iai.06172-11&lt;/electronic-resource-num&gt;&lt;volume&gt;80&lt;/volume&gt;&lt;/record&gt;&lt;/Cite&gt;&lt;/EndNote&gt;</w:instrText>
      </w:r>
      <w:r w:rsidRPr="00B85221">
        <w:rPr>
          <w:rFonts w:ascii="Times New Roman" w:hAnsi="Times New Roman" w:cs="Times New Roman"/>
          <w:b/>
          <w:bCs/>
        </w:rPr>
        <w:fldChar w:fldCharType="separate"/>
      </w:r>
      <w:r w:rsidRPr="00B85221">
        <w:rPr>
          <w:rFonts w:ascii="Times New Roman" w:hAnsi="Times New Roman" w:cs="Times New Roman"/>
          <w:b/>
          <w:bCs/>
          <w:noProof/>
        </w:rPr>
        <w:t>(Montgomery</w:t>
      </w:r>
      <w:r w:rsidRPr="00B85221">
        <w:rPr>
          <w:rFonts w:ascii="Times New Roman" w:hAnsi="Times New Roman" w:cs="Times New Roman"/>
          <w:b/>
          <w:bCs/>
          <w:i/>
          <w:noProof/>
        </w:rPr>
        <w:t xml:space="preserve"> et al.</w:t>
      </w:r>
      <w:r w:rsidRPr="00B85221">
        <w:rPr>
          <w:rFonts w:ascii="Times New Roman" w:hAnsi="Times New Roman" w:cs="Times New Roman"/>
          <w:b/>
          <w:bCs/>
          <w:noProof/>
        </w:rPr>
        <w:t>, 2012)</w:t>
      </w:r>
      <w:r w:rsidRPr="00B85221">
        <w:rPr>
          <w:rFonts w:ascii="Times New Roman" w:hAnsi="Times New Roman" w:cs="Times New Roman"/>
          <w:b/>
          <w:bCs/>
        </w:rPr>
        <w:fldChar w:fldCharType="end"/>
      </w:r>
      <w:r>
        <w:rPr>
          <w:rFonts w:ascii="Times New Roman" w:hAnsi="Times New Roman" w:cs="Times New Roman"/>
        </w:rPr>
        <w:t xml:space="preserve">. Accordingly, they also showed that virulence-associated genes directly/indirectly regulated by CodY were upregulated in the </w:t>
      </w:r>
      <w:r w:rsidRPr="003E4EEC">
        <w:rPr>
          <w:rFonts w:ascii="Times New Roman" w:hAnsi="Times New Roman" w:cs="Times New Roman"/>
        </w:rPr>
        <w:t>∆</w:t>
      </w:r>
      <w:r w:rsidRPr="003E4EEC">
        <w:rPr>
          <w:rFonts w:ascii="Times New Roman" w:hAnsi="Times New Roman" w:cs="Times New Roman"/>
          <w:i/>
          <w:iCs/>
        </w:rPr>
        <w:t xml:space="preserve">codY </w:t>
      </w:r>
      <w:r w:rsidRPr="003E4EEC">
        <w:rPr>
          <w:rFonts w:ascii="Times New Roman" w:hAnsi="Times New Roman" w:cs="Times New Roman"/>
        </w:rPr>
        <w:t>mutan</w:t>
      </w:r>
      <w:r>
        <w:rPr>
          <w:rFonts w:ascii="Times New Roman" w:hAnsi="Times New Roman" w:cs="Times New Roman"/>
        </w:rPr>
        <w:t xml:space="preserve">t, such as </w:t>
      </w:r>
      <w:r>
        <w:rPr>
          <w:rFonts w:ascii="Times New Roman" w:hAnsi="Times New Roman" w:cs="Times New Roman"/>
          <w:i/>
          <w:iCs/>
        </w:rPr>
        <w:t xml:space="preserve">saeR </w:t>
      </w:r>
      <w:r>
        <w:rPr>
          <w:rFonts w:ascii="Times New Roman" w:hAnsi="Times New Roman" w:cs="Times New Roman"/>
        </w:rPr>
        <w:t>and</w:t>
      </w:r>
      <w:r>
        <w:rPr>
          <w:rFonts w:ascii="Times New Roman" w:hAnsi="Times New Roman" w:cs="Times New Roman"/>
          <w:i/>
          <w:iCs/>
        </w:rPr>
        <w:t xml:space="preserve"> RNAIII </w:t>
      </w:r>
      <w:r w:rsidRPr="00AE38A1">
        <w:rPr>
          <w:rFonts w:ascii="Times New Roman" w:hAnsi="Times New Roman" w:cs="Times New Roman"/>
        </w:rPr>
        <w:t>and</w:t>
      </w:r>
      <w:r>
        <w:rPr>
          <w:rFonts w:ascii="Times New Roman" w:hAnsi="Times New Roman" w:cs="Times New Roman"/>
          <w:i/>
          <w:iCs/>
        </w:rPr>
        <w:t xml:space="preserve"> </w:t>
      </w:r>
      <w:r>
        <w:rPr>
          <w:rFonts w:ascii="Times New Roman" w:hAnsi="Times New Roman" w:cs="Times New Roman"/>
        </w:rPr>
        <w:t>the toxins</w:t>
      </w:r>
      <w:r>
        <w:rPr>
          <w:rFonts w:ascii="Times New Roman" w:hAnsi="Times New Roman" w:cs="Times New Roman"/>
          <w:i/>
          <w:iCs/>
        </w:rPr>
        <w:t xml:space="preserve"> hla </w:t>
      </w:r>
      <w:r>
        <w:rPr>
          <w:rFonts w:ascii="Times New Roman" w:hAnsi="Times New Roman" w:cs="Times New Roman"/>
        </w:rPr>
        <w:t xml:space="preserve">and </w:t>
      </w:r>
      <w:r>
        <w:rPr>
          <w:rFonts w:ascii="Times New Roman" w:hAnsi="Times New Roman" w:cs="Times New Roman"/>
          <w:i/>
          <w:iCs/>
        </w:rPr>
        <w:t xml:space="preserve">lukF-PV </w:t>
      </w:r>
      <w:r>
        <w:rPr>
          <w:rFonts w:ascii="Times New Roman" w:hAnsi="Times New Roman" w:cs="Times New Roman"/>
        </w:rPr>
        <w:t xml:space="preserve">suggesting that these are upregulated </w:t>
      </w:r>
      <w:r>
        <w:rPr>
          <w:rFonts w:ascii="Times New Roman" w:hAnsi="Times New Roman" w:cs="Times New Roman"/>
          <w:i/>
          <w:iCs/>
        </w:rPr>
        <w:t>in vivo</w:t>
      </w:r>
      <w:r>
        <w:rPr>
          <w:rFonts w:ascii="Times New Roman" w:hAnsi="Times New Roman" w:cs="Times New Roman"/>
        </w:rPr>
        <w:t xml:space="preserve"> and may be responsible for the observed hypervirulence </w:t>
      </w:r>
      <w:r w:rsidRPr="00517181">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&lt;EndNote&gt;&lt;Cite&gt;&lt;Author&gt;Montgomery&lt;/Author&gt;&lt;Year&gt;2012&lt;/Year&gt;&lt;IDText&gt;CodY Deletion Enhances In Vivo Virulence of Community-Associated Methicillin-Resistant Staphylococcus aureus Clone USA300&lt;/IDText&gt;&lt;DisplayText&gt;(Montgomery&lt;style face="italic"&gt; et al.&lt;/style&gt;, 2012)&lt;/DisplayText&gt;&lt;record&gt;&lt;dates&gt;&lt;pub-dates&gt;&lt;date&gt;Jul&lt;/date&gt;&lt;/pub-dates&gt;&lt;year&gt;2012&lt;/year&gt;&lt;/dates&gt;&lt;urls&gt;&lt;related-urls&gt;&lt;url&gt;&amp;lt;Go to ISI&amp;gt;://WOS:000305599400014&lt;/url&gt;&lt;/related-urls&gt;&lt;/urls&gt;&lt;isbn&gt;0019-9567&lt;/isbn&gt;&lt;titles&gt;&lt;title&gt;CodY Deletion Enhances In Vivo Virulence of Community-Associated Methicillin-Resistant Staphylococcus aureus Clone USA300&lt;/title&gt;&lt;secondary-title&gt;Infection and Immunity&lt;/secondary-title&gt;&lt;/titles&gt;&lt;pages&gt;2382-2389&lt;/pages&gt;&lt;number&gt;7&lt;/number&gt;&lt;contributors&gt;&lt;authors&gt;&lt;author&gt;Montgomery, C. P.&lt;/author&gt;&lt;author&gt;Boyle-Vavra, S.&lt;/author&gt;&lt;author&gt;Roux, A.&lt;/author&gt;&lt;author&gt;Ebine, K.&lt;/author&gt;&lt;author&gt;Sonenshein, A. L.&lt;/author&gt;&lt;author&gt;Daum, R. S.&lt;/author&gt;&lt;/authors&gt;&lt;/contributors&gt;&lt;added-date format="utc"&gt;1675045932&lt;/added-date&gt;&lt;ref-type name="Journal Article"&gt;17&lt;/ref-type&gt;&lt;rec-number&gt;294&lt;/rec-number&gt;&lt;last-updated-date format="utc"&gt;1675045932&lt;/last-updated-date&gt;&lt;accession-num&gt;WOS:000305599400014&lt;/accession-num&gt;&lt;electronic-resource-num&gt;10.1128/iai.06172-11&lt;/electronic-resource-num&gt;&lt;volume&gt;80&lt;/volume&gt;&lt;/record&gt;&lt;/Cite&gt;&lt;/EndNote&gt;</w:instrText>
      </w:r>
      <w:r w:rsidRPr="00517181">
        <w:rPr>
          <w:rFonts w:ascii="Times New Roman" w:hAnsi="Times New Roman" w:cs="Times New Roman"/>
          <w:b/>
          <w:bCs/>
        </w:rPr>
        <w:fldChar w:fldCharType="separate"/>
      </w:r>
      <w:r>
        <w:rPr>
          <w:rFonts w:ascii="Times New Roman" w:hAnsi="Times New Roman" w:cs="Times New Roman"/>
          <w:b/>
          <w:bCs/>
          <w:noProof/>
        </w:rPr>
        <w:t>(Montgomery</w:t>
      </w:r>
      <w:r w:rsidRPr="00F95468">
        <w:rPr>
          <w:rFonts w:ascii="Times New Roman" w:hAnsi="Times New Roman" w:cs="Times New Roman"/>
          <w:b/>
          <w:bCs/>
          <w:i/>
          <w:noProof/>
        </w:rPr>
        <w:t xml:space="preserve"> et al.</w:t>
      </w:r>
      <w:r>
        <w:rPr>
          <w:rFonts w:ascii="Times New Roman" w:hAnsi="Times New Roman" w:cs="Times New Roman"/>
          <w:b/>
          <w:bCs/>
          <w:noProof/>
        </w:rPr>
        <w:t>, 2012)</w:t>
      </w:r>
      <w:r w:rsidRPr="00517181">
        <w:rPr>
          <w:rFonts w:ascii="Times New Roman" w:hAnsi="Times New Roman" w:cs="Times New Roman"/>
          <w:b/>
          <w:bCs/>
        </w:rPr>
        <w:fldChar w:fldCharType="end"/>
      </w:r>
      <w:r>
        <w:rPr>
          <w:rFonts w:ascii="Times New Roman" w:hAnsi="Times New Roman" w:cs="Times New Roman"/>
        </w:rPr>
        <w:t xml:space="preserve">. In contrast, an MSSA </w:t>
      </w:r>
      <w:r w:rsidRPr="003E4EEC">
        <w:rPr>
          <w:rFonts w:ascii="Times New Roman" w:hAnsi="Times New Roman" w:cs="Times New Roman"/>
        </w:rPr>
        <w:t>∆</w:t>
      </w:r>
      <w:r w:rsidRPr="003E4EEC">
        <w:rPr>
          <w:rFonts w:ascii="Times New Roman" w:hAnsi="Times New Roman" w:cs="Times New Roman"/>
          <w:i/>
          <w:iCs/>
        </w:rPr>
        <w:t>codY</w:t>
      </w:r>
      <w:r>
        <w:rPr>
          <w:rFonts w:ascii="Times New Roman" w:hAnsi="Times New Roman" w:cs="Times New Roman"/>
          <w:i/>
          <w:iCs/>
        </w:rPr>
        <w:t xml:space="preserve"> </w:t>
      </w:r>
      <w:r>
        <w:rPr>
          <w:rFonts w:ascii="Times New Roman" w:hAnsi="Times New Roman" w:cs="Times New Roman"/>
        </w:rPr>
        <w:t>mutant did not exhi</w:t>
      </w:r>
      <w:r w:rsidRPr="006F525A">
        <w:rPr>
          <w:rFonts w:ascii="Times New Roman" w:hAnsi="Times New Roman" w:cs="Times New Roman"/>
        </w:rPr>
        <w:t xml:space="preserve">bit hypervirulence in a haematogenous kidney abscess model and was indistinguishable from WT with regards to virulence </w:t>
      </w:r>
      <w:r w:rsidRPr="006F525A">
        <w:rPr>
          <w:rFonts w:ascii="Times New Roman" w:hAnsi="Times New Roman" w:cs="Times New Roman"/>
          <w:b/>
          <w:bCs/>
        </w:rPr>
        <w:fldChar w:fldCharType="begin"/>
      </w:r>
      <w:r w:rsidRPr="006F525A">
        <w:rPr>
          <w:rFonts w:ascii="Times New Roman" w:hAnsi="Times New Roman" w:cs="Times New Roman"/>
          <w:b/>
          <w:bCs/>
        </w:rPr>
        <w:instrText xml:space="preserve"> ADDIN EN.CITE &lt;EndNote&gt;&lt;Cite&gt;&lt;Author&gt;Geiger&lt;/Author&gt;&lt;Year&gt;2010&lt;/Year&gt;&lt;IDText&gt;Role of the (p)ppGpp Synthase RSH, a RelA/SpoT Homolog, in Stringent Response and Virulence of Staphylococcus aureus&lt;/IDText&gt;&lt;DisplayText&gt;(Geiger&lt;style face="italic"&gt; et al.&lt;/style&gt;, 2010)&lt;/DisplayText&gt;&lt;record&gt;&lt;dates&gt;&lt;pub-dates&gt;&lt;date&gt;May&lt;/date&gt;&lt;/pub-dates&gt;&lt;year&gt;2010&lt;/year&gt;&lt;/dates&gt;&lt;urls&gt;&lt;related-urls&gt;&lt;url&gt;&amp;lt;Go to ISI&amp;gt;://WOS:000276778700008&lt;/url&gt;&lt;/related-urls&gt;&lt;/urls&gt;&lt;isbn&gt;0019-9567&lt;/isbn&gt;&lt;titles&gt;&lt;title&gt;Role of the (p)ppGpp Synthase RSH, a RelA/SpoT Homolog, in Stringent Response and Virulence of Staphylococcus aureus&lt;/title&gt;&lt;secondary-title&gt;Infection and Immunity&lt;/secondary-title&gt;&lt;/titles&gt;&lt;pages&gt;1873-1883&lt;/pages&gt;&lt;number&gt;5&lt;/number&gt;&lt;contributors&gt;&lt;authors&gt;&lt;author&gt;Geiger, Tobias&lt;/author&gt;&lt;author&gt;Goerke, Christiane&lt;/author&gt;&lt;author&gt;Fritz, Michaela&lt;/author&gt;&lt;author&gt;Schaefer, Tina&lt;/author&gt;&lt;author&gt;Ohlsen, Knut&lt;/author&gt;&lt;author&gt;Liebeke, Manuel&lt;/author&gt;&lt;author&gt;Lalk, Michael&lt;/author&gt;&lt;author&gt;Wolz, Christiane&lt;/author&gt;&lt;/authors&gt;&lt;/contributors&gt;&lt;added-date format="utc"&gt;1663612960&lt;/added-date&gt;&lt;ref-type name="Journal Article"&gt;17&lt;/ref-type&gt;&lt;rec-number&gt;70&lt;/rec-number&gt;&lt;last-updated-date format="utc"&gt;1663624413&lt;/last-updated-date&gt;&lt;accession-num&gt;WOS:000276778700008&lt;/accession-num&gt;&lt;electronic-resource-num&gt;10.1128/iai.01439-09&lt;/electronic-resource-num&gt;&lt;volume&gt;78&lt;/volume&gt;&lt;/record&gt;&lt;/Cite&gt;&lt;/EndNote&gt;</w:instrText>
      </w:r>
      <w:r w:rsidRPr="006F525A">
        <w:rPr>
          <w:rFonts w:ascii="Times New Roman" w:hAnsi="Times New Roman" w:cs="Times New Roman"/>
          <w:b/>
          <w:bCs/>
        </w:rPr>
        <w:fldChar w:fldCharType="separate"/>
      </w:r>
      <w:r w:rsidRPr="006F525A">
        <w:rPr>
          <w:rFonts w:ascii="Times New Roman" w:hAnsi="Times New Roman" w:cs="Times New Roman"/>
          <w:b/>
          <w:bCs/>
          <w:noProof/>
        </w:rPr>
        <w:t>(Geiger</w:t>
      </w:r>
      <w:r w:rsidRPr="006F525A">
        <w:rPr>
          <w:rFonts w:ascii="Times New Roman" w:hAnsi="Times New Roman" w:cs="Times New Roman"/>
          <w:b/>
          <w:bCs/>
          <w:i/>
          <w:noProof/>
        </w:rPr>
        <w:t xml:space="preserve"> et al.</w:t>
      </w:r>
      <w:r w:rsidRPr="006F525A">
        <w:rPr>
          <w:rFonts w:ascii="Times New Roman" w:hAnsi="Times New Roman" w:cs="Times New Roman"/>
          <w:b/>
          <w:bCs/>
          <w:noProof/>
        </w:rPr>
        <w:t>, 2010)</w:t>
      </w:r>
      <w:r w:rsidRPr="006F525A">
        <w:rPr>
          <w:rFonts w:ascii="Times New Roman" w:hAnsi="Times New Roman" w:cs="Times New Roman"/>
          <w:b/>
          <w:bCs/>
        </w:rPr>
        <w:fldChar w:fldCharType="end"/>
      </w:r>
      <w:r w:rsidRPr="006F525A">
        <w:rPr>
          <w:rFonts w:ascii="Times New Roman" w:hAnsi="Times New Roman" w:cs="Times New Roman"/>
        </w:rPr>
        <w:t xml:space="preserve">, similar to what was seen here in a systemic zebrafish embryo infection model. </w:t>
      </w:r>
      <w:r>
        <w:rPr>
          <w:rFonts w:ascii="Times New Roman" w:hAnsi="Times New Roman" w:cs="Times New Roman"/>
        </w:rPr>
        <w:t>Taken together, CodY appears to have different functions upon induction of the stringent response depending on the organism which may be due to variation in the CodY regulon across species. However, it is also important to note that the stringent response affects metabolism and virulence independent of CodY.</w:t>
      </w:r>
    </w:p>
    <w:p w14:paraId="7128D408" w14:textId="431FEE16" w:rsidR="00187693" w:rsidRDefault="00187693" w:rsidP="00187693">
      <w:pPr>
        <w:shd w:val="clear" w:color="auto" w:fill="FFFFFF"/>
        <w:spacing w:line="360" w:lineRule="auto"/>
        <w:ind w:firstLine="720"/>
        <w:jc w:val="both"/>
        <w:rPr>
          <w:rFonts w:ascii="Times New Roman" w:hAnsi="Times New Roman" w:cs="Times New Roman"/>
        </w:rPr>
      </w:pPr>
      <w:r>
        <w:rPr>
          <w:rFonts w:ascii="Times New Roman" w:hAnsi="Times New Roman" w:cs="Times New Roman"/>
        </w:rPr>
        <w:t xml:space="preserve">In order to study the importance of CodY and its role during the stringent response, a </w:t>
      </w:r>
      <w:r w:rsidR="001108C9" w:rsidRPr="000B3602">
        <w:rPr>
          <w:rFonts w:ascii="Times New Roman" w:hAnsi="Times New Roman" w:cs="Times New Roman"/>
          <w:i/>
          <w:iCs/>
        </w:rPr>
        <w:t>codY</w:t>
      </w:r>
      <w:r w:rsidR="001108C9" w:rsidRPr="000B3602">
        <w:rPr>
          <w:rFonts w:ascii="Times New Roman" w:hAnsi="Times New Roman" w:cs="Times New Roman"/>
        </w:rPr>
        <w:t>::Tn</w:t>
      </w:r>
      <w:r w:rsidR="001108C9" w:rsidRPr="000B3602">
        <w:rPr>
          <w:rFonts w:ascii="Times New Roman" w:hAnsi="Times New Roman" w:cs="Times New Roman"/>
          <w:i/>
          <w:iCs/>
        </w:rPr>
        <w:t xml:space="preserve"> </w:t>
      </w:r>
      <w:r>
        <w:rPr>
          <w:rFonts w:ascii="Times New Roman" w:hAnsi="Times New Roman" w:cs="Times New Roman"/>
        </w:rPr>
        <w:t>mutant was used</w:t>
      </w:r>
      <w:r w:rsidR="001108C9">
        <w:rPr>
          <w:rFonts w:ascii="Times New Roman" w:hAnsi="Times New Roman" w:cs="Times New Roman"/>
        </w:rPr>
        <w:t xml:space="preserve"> in this study</w:t>
      </w:r>
      <w:r w:rsidR="00390C47">
        <w:rPr>
          <w:rFonts w:ascii="Times New Roman" w:hAnsi="Times New Roman" w:cs="Times New Roman"/>
        </w:rPr>
        <w:t xml:space="preserve"> </w:t>
      </w:r>
      <w:r>
        <w:rPr>
          <w:rFonts w:ascii="Times New Roman" w:hAnsi="Times New Roman" w:cs="Times New Roman"/>
        </w:rPr>
        <w:t xml:space="preserve">to observe the phenotype in its absence. However, the constitutive derepression of CodY that is achieved by artificial </w:t>
      </w:r>
      <w:r w:rsidRPr="003E4EEC">
        <w:rPr>
          <w:rFonts w:ascii="Times New Roman" w:hAnsi="Times New Roman" w:cs="Times New Roman"/>
        </w:rPr>
        <w:t>∆</w:t>
      </w:r>
      <w:r w:rsidRPr="003E4EEC">
        <w:rPr>
          <w:rFonts w:ascii="Times New Roman" w:hAnsi="Times New Roman" w:cs="Times New Roman"/>
          <w:i/>
          <w:iCs/>
        </w:rPr>
        <w:t>codY</w:t>
      </w:r>
      <w:r>
        <w:rPr>
          <w:rFonts w:ascii="Times New Roman" w:hAnsi="Times New Roman" w:cs="Times New Roman"/>
        </w:rPr>
        <w:t xml:space="preserve"> mutants is not representative of a natural infection and therefore, having these previously repressed genes constantly expressed may not be beneficial. For example, the genes repressed by CodY are derepressed in a temporal manner. During nutrient limitation, genes related to overcoming this limitation will be expressed first e.g., BCAA synthetic genes, while virulence genes such as toxins, are expressed last </w:t>
      </w:r>
      <w:r w:rsidRPr="00A42D75">
        <w:rPr>
          <w:rFonts w:ascii="Times New Roman" w:hAnsi="Times New Roman" w:cs="Times New Roman"/>
          <w:b/>
          <w:bCs/>
        </w:rPr>
        <w:fldChar w:fldCharType="begin">
          <w:fldData xml:space="preserve">PEVuZE5vdGU+PENpdGU+PEF1dGhvcj5XYXRlcnM8L0F1dGhvcj48WWVhcj4yMDE2PC9ZZWFyPjxJ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PEVuZE5vdGU+PENpdGU+PEF1dGhvcj5XYXRlcnM8L0F1dGhvcj48WWVhcj4yMDE2PC9ZZWFyPjxJ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A42D75">
        <w:rPr>
          <w:rFonts w:ascii="Times New Roman" w:hAnsi="Times New Roman" w:cs="Times New Roman"/>
          <w:b/>
          <w:bCs/>
        </w:rPr>
      </w:r>
      <w:r w:rsidRPr="00A42D75">
        <w:rPr>
          <w:rFonts w:ascii="Times New Roman" w:hAnsi="Times New Roman" w:cs="Times New Roman"/>
          <w:b/>
          <w:bCs/>
        </w:rPr>
        <w:fldChar w:fldCharType="separate"/>
      </w:r>
      <w:r>
        <w:rPr>
          <w:rFonts w:ascii="Times New Roman" w:hAnsi="Times New Roman" w:cs="Times New Roman"/>
          <w:b/>
          <w:bCs/>
          <w:noProof/>
        </w:rPr>
        <w:t>(Waters</w:t>
      </w:r>
      <w:r w:rsidRPr="00F95468">
        <w:rPr>
          <w:rFonts w:ascii="Times New Roman" w:hAnsi="Times New Roman" w:cs="Times New Roman"/>
          <w:b/>
          <w:bCs/>
          <w:i/>
          <w:noProof/>
        </w:rPr>
        <w:t xml:space="preserve"> et al.</w:t>
      </w:r>
      <w:r>
        <w:rPr>
          <w:rFonts w:ascii="Times New Roman" w:hAnsi="Times New Roman" w:cs="Times New Roman"/>
          <w:b/>
          <w:bCs/>
          <w:noProof/>
        </w:rPr>
        <w:t>, 2016; Brinsmade, 2017)</w:t>
      </w:r>
      <w:r w:rsidRPr="00A42D75">
        <w:rPr>
          <w:rFonts w:ascii="Times New Roman" w:hAnsi="Times New Roman" w:cs="Times New Roman"/>
          <w:b/>
          <w:bCs/>
        </w:rPr>
        <w:fldChar w:fldCharType="end"/>
      </w:r>
      <w:r>
        <w:rPr>
          <w:rFonts w:ascii="Times New Roman" w:hAnsi="Times New Roman" w:cs="Times New Roman"/>
        </w:rPr>
        <w:t>. As the stringent response may be transient (depending on nutrient availability), and therefore (p)ppGpp-</w:t>
      </w:r>
      <w:r w:rsidR="003F494B">
        <w:rPr>
          <w:rFonts w:ascii="Times New Roman" w:hAnsi="Times New Roman" w:cs="Times New Roman"/>
        </w:rPr>
        <w:t>mediated</w:t>
      </w:r>
      <w:r>
        <w:rPr>
          <w:rFonts w:ascii="Times New Roman" w:hAnsi="Times New Roman" w:cs="Times New Roman"/>
        </w:rPr>
        <w:t xml:space="preserve"> CodY derepression could also be transient, it could be that at different points during infection, CodY derepression may not be necessary. This demonstrates the link between nutrient availability and virulence and could indicate that constant derepression of CodY may not be beneficial </w:t>
      </w:r>
      <w:r>
        <w:rPr>
          <w:rFonts w:ascii="Times New Roman" w:hAnsi="Times New Roman" w:cs="Times New Roman"/>
          <w:i/>
          <w:iCs/>
        </w:rPr>
        <w:t>in vivo</w:t>
      </w:r>
      <w:r>
        <w:rPr>
          <w:rFonts w:ascii="Times New Roman" w:hAnsi="Times New Roman" w:cs="Times New Roman"/>
        </w:rPr>
        <w:t xml:space="preserve">. Furthermore, another caveat to using a </w:t>
      </w:r>
      <w:r w:rsidR="001108C9" w:rsidRPr="000B3602">
        <w:rPr>
          <w:rFonts w:ascii="Times New Roman" w:hAnsi="Times New Roman" w:cs="Times New Roman"/>
          <w:i/>
          <w:iCs/>
        </w:rPr>
        <w:t>codY</w:t>
      </w:r>
      <w:r w:rsidR="001108C9" w:rsidRPr="000B3602">
        <w:rPr>
          <w:rFonts w:ascii="Times New Roman" w:hAnsi="Times New Roman" w:cs="Times New Roman"/>
        </w:rPr>
        <w:t>::Tn</w:t>
      </w:r>
      <w:r w:rsidR="008D73F7">
        <w:rPr>
          <w:rFonts w:ascii="Times New Roman" w:hAnsi="Times New Roman" w:cs="Times New Roman"/>
        </w:rPr>
        <w:t xml:space="preserve"> </w:t>
      </w:r>
      <w:r>
        <w:rPr>
          <w:rFonts w:ascii="Times New Roman" w:hAnsi="Times New Roman" w:cs="Times New Roman"/>
        </w:rPr>
        <w:t xml:space="preserve">mutant is that during infection, </w:t>
      </w:r>
      <w:r w:rsidR="003F494B">
        <w:rPr>
          <w:rFonts w:ascii="Times New Roman" w:hAnsi="Times New Roman" w:cs="Times New Roman"/>
        </w:rPr>
        <w:t xml:space="preserve">the WT strain </w:t>
      </w:r>
      <w:r>
        <w:rPr>
          <w:rFonts w:ascii="Times New Roman" w:hAnsi="Times New Roman" w:cs="Times New Roman"/>
        </w:rPr>
        <w:t xml:space="preserve">may also derepress CodY and if this is the case, then both WT and the </w:t>
      </w:r>
      <w:r w:rsidR="001108C9" w:rsidRPr="000B3602">
        <w:rPr>
          <w:rFonts w:ascii="Times New Roman" w:hAnsi="Times New Roman" w:cs="Times New Roman"/>
          <w:i/>
          <w:iCs/>
        </w:rPr>
        <w:t>codY</w:t>
      </w:r>
      <w:r w:rsidR="001108C9" w:rsidRPr="000B3602">
        <w:rPr>
          <w:rFonts w:ascii="Times New Roman" w:hAnsi="Times New Roman" w:cs="Times New Roman"/>
        </w:rPr>
        <w:t>::Tn</w:t>
      </w:r>
      <w:r>
        <w:rPr>
          <w:rFonts w:ascii="Times New Roman" w:hAnsi="Times New Roman" w:cs="Times New Roman"/>
        </w:rPr>
        <w:t xml:space="preserve"> mutant may be expressing genes of the CodY regulon which would mean that survival of embryos infected with both strains may be indistinguishable.</w:t>
      </w:r>
    </w:p>
    <w:p w14:paraId="465B3935" w14:textId="008C8763" w:rsidR="00187693" w:rsidRPr="0027373F" w:rsidRDefault="00187693" w:rsidP="00187693">
      <w:pPr>
        <w:shd w:val="clear" w:color="auto" w:fill="FFFFFF"/>
        <w:spacing w:line="360" w:lineRule="auto"/>
        <w:jc w:val="both"/>
        <w:rPr>
          <w:rFonts w:ascii="Times New Roman" w:hAnsi="Times New Roman" w:cs="Times New Roman"/>
        </w:rPr>
      </w:pPr>
      <w:r>
        <w:rPr>
          <w:rFonts w:ascii="Times New Roman" w:hAnsi="Times New Roman" w:cs="Times New Roman"/>
        </w:rPr>
        <w:tab/>
      </w:r>
      <w:r w:rsidRPr="00DF4FF3">
        <w:rPr>
          <w:rFonts w:ascii="Times New Roman" w:hAnsi="Times New Roman" w:cs="Times New Roman"/>
        </w:rPr>
        <w:t>As mentioned</w:t>
      </w:r>
      <w:r w:rsidR="003F494B">
        <w:rPr>
          <w:rFonts w:ascii="Times New Roman" w:hAnsi="Times New Roman" w:cs="Times New Roman"/>
        </w:rPr>
        <w:t xml:space="preserve"> in chapter four</w:t>
      </w:r>
      <w:r w:rsidRPr="00DF4FF3">
        <w:rPr>
          <w:rFonts w:ascii="Times New Roman" w:hAnsi="Times New Roman" w:cs="Times New Roman"/>
        </w:rPr>
        <w:t xml:space="preserve">, the tolerance of both JE2 </w:t>
      </w:r>
      <w:r w:rsidR="001108C9" w:rsidRPr="000B3602">
        <w:rPr>
          <w:rFonts w:ascii="Times New Roman" w:hAnsi="Times New Roman" w:cs="Times New Roman"/>
          <w:i/>
          <w:iCs/>
        </w:rPr>
        <w:t>codY</w:t>
      </w:r>
      <w:r w:rsidR="001108C9" w:rsidRPr="000B3602">
        <w:rPr>
          <w:rFonts w:ascii="Times New Roman" w:hAnsi="Times New Roman" w:cs="Times New Roman"/>
        </w:rPr>
        <w:t>::Tn</w:t>
      </w:r>
      <w:r w:rsidR="008D73F7">
        <w:rPr>
          <w:rFonts w:ascii="Times New Roman" w:hAnsi="Times New Roman" w:cs="Times New Roman"/>
        </w:rPr>
        <w:t xml:space="preserve"> </w:t>
      </w:r>
      <w:r w:rsidRPr="00DF4FF3">
        <w:rPr>
          <w:rFonts w:ascii="Times New Roman" w:hAnsi="Times New Roman" w:cs="Times New Roman"/>
        </w:rPr>
        <w:t>and (p)ppGpp</w:t>
      </w:r>
      <w:r w:rsidRPr="00DF4FF3">
        <w:rPr>
          <w:rFonts w:ascii="Times New Roman" w:hAnsi="Times New Roman" w:cs="Times New Roman"/>
          <w:vertAlign w:val="superscript"/>
        </w:rPr>
        <w:t>0</w:t>
      </w:r>
      <w:r w:rsidRPr="00DF4FF3">
        <w:rPr>
          <w:rFonts w:ascii="Times New Roman" w:hAnsi="Times New Roman" w:cs="Times New Roman"/>
        </w:rPr>
        <w:t xml:space="preserve"> </w:t>
      </w:r>
      <w:r w:rsidR="001108C9" w:rsidRPr="000B3602">
        <w:rPr>
          <w:rFonts w:ascii="Times New Roman" w:hAnsi="Times New Roman" w:cs="Times New Roman"/>
          <w:i/>
          <w:iCs/>
        </w:rPr>
        <w:t>codY</w:t>
      </w:r>
      <w:r w:rsidR="001108C9" w:rsidRPr="000B3602">
        <w:rPr>
          <w:rFonts w:ascii="Times New Roman" w:hAnsi="Times New Roman" w:cs="Times New Roman"/>
        </w:rPr>
        <w:t>::Tn</w:t>
      </w:r>
      <w:r w:rsidR="008D73F7">
        <w:rPr>
          <w:rFonts w:ascii="Times New Roman" w:hAnsi="Times New Roman" w:cs="Times New Roman"/>
        </w:rPr>
        <w:t xml:space="preserve"> </w:t>
      </w:r>
      <w:r w:rsidRPr="00DF4FF3">
        <w:rPr>
          <w:rFonts w:ascii="Times New Roman" w:hAnsi="Times New Roman" w:cs="Times New Roman"/>
        </w:rPr>
        <w:t xml:space="preserve">mutants </w:t>
      </w:r>
      <w:r w:rsidR="00B97718">
        <w:rPr>
          <w:rFonts w:ascii="Times New Roman" w:hAnsi="Times New Roman" w:cs="Times New Roman"/>
        </w:rPr>
        <w:t xml:space="preserve">to </w:t>
      </w:r>
      <w:r w:rsidR="00B97718" w:rsidRPr="00B97718">
        <w:rPr>
          <w:rFonts w:ascii="Times New Roman" w:hAnsi="Times New Roman" w:cs="Times New Roman"/>
        </w:rPr>
        <w:t>H</w:t>
      </w:r>
      <w:r w:rsidR="00B97718">
        <w:rPr>
          <w:rFonts w:ascii="Times New Roman" w:hAnsi="Times New Roman" w:cs="Times New Roman"/>
          <w:vertAlign w:val="subscript"/>
        </w:rPr>
        <w:t>2</w:t>
      </w:r>
      <w:r w:rsidR="00B97718">
        <w:rPr>
          <w:rFonts w:ascii="Times New Roman" w:hAnsi="Times New Roman" w:cs="Times New Roman"/>
        </w:rPr>
        <w:t>O</w:t>
      </w:r>
      <w:r w:rsidR="00B97718">
        <w:rPr>
          <w:rFonts w:ascii="Times New Roman" w:hAnsi="Times New Roman" w:cs="Times New Roman"/>
          <w:vertAlign w:val="subscript"/>
        </w:rPr>
        <w:t>2</w:t>
      </w:r>
      <w:r w:rsidR="00B97718">
        <w:rPr>
          <w:rFonts w:ascii="Times New Roman" w:hAnsi="Times New Roman" w:cs="Times New Roman"/>
        </w:rPr>
        <w:t xml:space="preserve"> and itaconic acid </w:t>
      </w:r>
      <w:r w:rsidRPr="00B97718">
        <w:rPr>
          <w:rFonts w:ascii="Times New Roman" w:hAnsi="Times New Roman" w:cs="Times New Roman"/>
        </w:rPr>
        <w:t>w</w:t>
      </w:r>
      <w:r w:rsidR="00B97718">
        <w:rPr>
          <w:rFonts w:ascii="Times New Roman" w:hAnsi="Times New Roman" w:cs="Times New Roman"/>
        </w:rPr>
        <w:t>as</w:t>
      </w:r>
      <w:r w:rsidRPr="00DF4FF3">
        <w:rPr>
          <w:rFonts w:ascii="Times New Roman" w:hAnsi="Times New Roman" w:cs="Times New Roman"/>
        </w:rPr>
        <w:t xml:space="preserve"> increased in comparison to their controls</w:t>
      </w:r>
      <w:r w:rsidR="00B97718">
        <w:rPr>
          <w:rFonts w:ascii="Times New Roman" w:hAnsi="Times New Roman" w:cs="Times New Roman"/>
        </w:rPr>
        <w:t>,</w:t>
      </w:r>
      <w:r w:rsidRPr="00DF4FF3">
        <w:rPr>
          <w:rFonts w:ascii="Times New Roman" w:hAnsi="Times New Roman" w:cs="Times New Roman"/>
        </w:rPr>
        <w:t xml:space="preserve"> but this was not observed </w:t>
      </w:r>
      <w:r w:rsidRPr="00DF4FF3">
        <w:rPr>
          <w:rFonts w:ascii="Times New Roman" w:hAnsi="Times New Roman" w:cs="Times New Roman"/>
          <w:i/>
          <w:iCs/>
        </w:rPr>
        <w:t>in vivo</w:t>
      </w:r>
      <w:r w:rsidRPr="00DF4FF3">
        <w:rPr>
          <w:rFonts w:ascii="Times New Roman" w:hAnsi="Times New Roman" w:cs="Times New Roman"/>
        </w:rPr>
        <w:t xml:space="preserve">. The </w:t>
      </w:r>
      <w:r w:rsidRPr="00DF4FF3">
        <w:rPr>
          <w:rFonts w:ascii="Times New Roman" w:hAnsi="Times New Roman" w:cs="Times New Roman"/>
          <w:i/>
          <w:iCs/>
        </w:rPr>
        <w:t>in vitro</w:t>
      </w:r>
      <w:r w:rsidRPr="00DF4FF3">
        <w:rPr>
          <w:rFonts w:ascii="Times New Roman" w:hAnsi="Times New Roman" w:cs="Times New Roman"/>
        </w:rPr>
        <w:t xml:space="preserve"> </w:t>
      </w:r>
      <w:r>
        <w:rPr>
          <w:rFonts w:ascii="Times New Roman" w:hAnsi="Times New Roman" w:cs="Times New Roman"/>
        </w:rPr>
        <w:t>tolerance assays</w:t>
      </w:r>
      <w:r w:rsidRPr="00DF4FF3">
        <w:rPr>
          <w:rFonts w:ascii="Times New Roman" w:hAnsi="Times New Roman" w:cs="Times New Roman"/>
        </w:rPr>
        <w:t xml:space="preserve"> spanned only 30 minutes while in the presence of high and physiologically irrelevant concentrations of each stressor. In contrast, zebrafish infection was monitored up to 93 hpi and the environment that </w:t>
      </w:r>
      <w:r w:rsidRPr="00DF4FF3">
        <w:rPr>
          <w:rFonts w:ascii="Times New Roman" w:hAnsi="Times New Roman" w:cs="Times New Roman"/>
          <w:i/>
          <w:iCs/>
        </w:rPr>
        <w:t xml:space="preserve">S. aureus </w:t>
      </w:r>
      <w:r w:rsidRPr="00DF4FF3">
        <w:rPr>
          <w:rFonts w:ascii="Times New Roman" w:hAnsi="Times New Roman" w:cs="Times New Roman"/>
        </w:rPr>
        <w:t xml:space="preserve">encounters is much more complex. This may justify </w:t>
      </w:r>
      <w:r w:rsidR="003F494B">
        <w:rPr>
          <w:rFonts w:ascii="Times New Roman" w:hAnsi="Times New Roman" w:cs="Times New Roman"/>
        </w:rPr>
        <w:t xml:space="preserve">why </w:t>
      </w:r>
      <w:r w:rsidRPr="00DF4FF3">
        <w:rPr>
          <w:rFonts w:ascii="Times New Roman" w:hAnsi="Times New Roman" w:cs="Times New Roman"/>
        </w:rPr>
        <w:t>these results were inconsistent with the survival curves.</w:t>
      </w:r>
      <w:r>
        <w:rPr>
          <w:rFonts w:ascii="Times New Roman" w:hAnsi="Times New Roman" w:cs="Times New Roman"/>
          <w:color w:val="FF0000"/>
        </w:rPr>
        <w:t xml:space="preserve"> </w:t>
      </w:r>
      <w:r>
        <w:rPr>
          <w:rFonts w:ascii="Times New Roman" w:hAnsi="Times New Roman" w:cs="Times New Roman"/>
        </w:rPr>
        <w:t xml:space="preserve">Furthermore, the effect of </w:t>
      </w:r>
      <w:r>
        <w:rPr>
          <w:rFonts w:ascii="Times New Roman" w:hAnsi="Times New Roman" w:cs="Times New Roman"/>
          <w:i/>
          <w:iCs/>
        </w:rPr>
        <w:t xml:space="preserve">S. aureus </w:t>
      </w:r>
      <w:r>
        <w:rPr>
          <w:rFonts w:ascii="Times New Roman" w:hAnsi="Times New Roman" w:cs="Times New Roman"/>
        </w:rPr>
        <w:t xml:space="preserve">on zebrafish embryo survival was only measured up to 5.2 dpf, the point at which the embryos become protected by law. While both JE2 </w:t>
      </w:r>
      <w:r w:rsidR="001108C9" w:rsidRPr="000B3602">
        <w:rPr>
          <w:rFonts w:ascii="Times New Roman" w:hAnsi="Times New Roman" w:cs="Times New Roman"/>
          <w:i/>
          <w:iCs/>
        </w:rPr>
        <w:t>codY</w:t>
      </w:r>
      <w:r w:rsidR="001108C9" w:rsidRPr="000B3602">
        <w:rPr>
          <w:rFonts w:ascii="Times New Roman" w:hAnsi="Times New Roman" w:cs="Times New Roman"/>
        </w:rPr>
        <w:t>::Tn</w:t>
      </w:r>
      <w:r>
        <w:rPr>
          <w:rFonts w:ascii="Times New Roman" w:hAnsi="Times New Roman" w:cs="Times New Roman"/>
        </w:rPr>
        <w:t xml:space="preserve"> and </w:t>
      </w:r>
      <w:r w:rsidRPr="003E4EEC">
        <w:rPr>
          <w:rFonts w:ascii="Times New Roman" w:hAnsi="Times New Roman" w:cs="Times New Roman"/>
        </w:rPr>
        <w:t>(p)ppGpp</w:t>
      </w:r>
      <w:r w:rsidRPr="003E4EEC">
        <w:rPr>
          <w:rFonts w:ascii="Times New Roman" w:hAnsi="Times New Roman" w:cs="Times New Roman"/>
          <w:vertAlign w:val="superscript"/>
        </w:rPr>
        <w:t>0</w:t>
      </w:r>
      <w:r w:rsidRPr="003E4EEC">
        <w:rPr>
          <w:rFonts w:ascii="Times New Roman" w:hAnsi="Times New Roman" w:cs="Times New Roman"/>
        </w:rPr>
        <w:t xml:space="preserve"> </w:t>
      </w:r>
      <w:r w:rsidR="001108C9" w:rsidRPr="000B3602">
        <w:rPr>
          <w:rFonts w:ascii="Times New Roman" w:hAnsi="Times New Roman" w:cs="Times New Roman"/>
          <w:i/>
          <w:iCs/>
        </w:rPr>
        <w:t>codY</w:t>
      </w:r>
      <w:r w:rsidR="001108C9" w:rsidRPr="000B3602">
        <w:rPr>
          <w:rFonts w:ascii="Times New Roman" w:hAnsi="Times New Roman" w:cs="Times New Roman"/>
        </w:rPr>
        <w:t>::Tn</w:t>
      </w:r>
      <w:r w:rsidR="001108C9" w:rsidRPr="003E4EEC" w:rsidDel="001108C9">
        <w:rPr>
          <w:rFonts w:ascii="Times New Roman" w:hAnsi="Times New Roman" w:cs="Times New Roman"/>
        </w:rPr>
        <w:t xml:space="preserve"> </w:t>
      </w:r>
      <w:r>
        <w:rPr>
          <w:rFonts w:ascii="Times New Roman" w:hAnsi="Times New Roman" w:cs="Times New Roman"/>
        </w:rPr>
        <w:t xml:space="preserve">were not more virulent than WT and </w:t>
      </w:r>
      <w:r w:rsidRPr="003E4EEC">
        <w:rPr>
          <w:rFonts w:ascii="Times New Roman" w:hAnsi="Times New Roman" w:cs="Times New Roman"/>
        </w:rPr>
        <w:t>(p)ppGpp</w:t>
      </w:r>
      <w:r w:rsidRPr="003E4EEC">
        <w:rPr>
          <w:rFonts w:ascii="Times New Roman" w:hAnsi="Times New Roman" w:cs="Times New Roman"/>
          <w:vertAlign w:val="superscript"/>
        </w:rPr>
        <w:t>0</w:t>
      </w:r>
      <w:r>
        <w:rPr>
          <w:rFonts w:ascii="Times New Roman" w:hAnsi="Times New Roman" w:cs="Times New Roman"/>
        </w:rPr>
        <w:t>, it may be interesting to investigate the long-term host-pathogen interactions with these strains as it may be that the absence of CodY favours survival rather than virulence and so long-term investigations may elucidate this.</w:t>
      </w:r>
    </w:p>
    <w:p w14:paraId="64A547B2" w14:textId="59EC967D" w:rsidR="003F494B" w:rsidRDefault="00187693" w:rsidP="00187693">
      <w:pPr>
        <w:spacing w:before="240" w:line="360" w:lineRule="auto"/>
        <w:jc w:val="both"/>
        <w:rPr>
          <w:rFonts w:ascii="Times New Roman" w:hAnsi="Times New Roman" w:cs="Times New Roman"/>
        </w:rPr>
      </w:pPr>
      <w:r>
        <w:rPr>
          <w:rFonts w:ascii="Times New Roman" w:hAnsi="Times New Roman" w:cs="Times New Roman"/>
        </w:rPr>
        <w:t xml:space="preserve">In summary, </w:t>
      </w:r>
      <w:r w:rsidRPr="0012654B">
        <w:rPr>
          <w:rFonts w:ascii="Times New Roman" w:hAnsi="Times New Roman" w:cs="Times New Roman"/>
        </w:rPr>
        <w:t>the (p)ppGpp</w:t>
      </w:r>
      <w:r w:rsidRPr="0012654B">
        <w:rPr>
          <w:rFonts w:ascii="Times New Roman" w:hAnsi="Times New Roman" w:cs="Times New Roman"/>
          <w:vertAlign w:val="superscript"/>
        </w:rPr>
        <w:t>0</w:t>
      </w:r>
      <w:r w:rsidRPr="0012654B">
        <w:rPr>
          <w:rFonts w:ascii="Times New Roman" w:hAnsi="Times New Roman" w:cs="Times New Roman"/>
        </w:rPr>
        <w:t xml:space="preserve"> mutant was inhibited in a HTE cell culture model, demonstrating the importance of the </w:t>
      </w:r>
      <w:r>
        <w:rPr>
          <w:rFonts w:ascii="Times New Roman" w:hAnsi="Times New Roman" w:cs="Times New Roman"/>
        </w:rPr>
        <w:t>stringent response</w:t>
      </w:r>
      <w:r w:rsidRPr="0012654B">
        <w:rPr>
          <w:rFonts w:ascii="Times New Roman" w:hAnsi="Times New Roman" w:cs="Times New Roman"/>
        </w:rPr>
        <w:t xml:space="preserve"> within non-professional phagocytes. While a difference between WT and the (p)ppGpp</w:t>
      </w:r>
      <w:r w:rsidRPr="0012654B">
        <w:rPr>
          <w:rFonts w:ascii="Times New Roman" w:hAnsi="Times New Roman" w:cs="Times New Roman"/>
          <w:vertAlign w:val="superscript"/>
        </w:rPr>
        <w:t>0</w:t>
      </w:r>
      <w:r w:rsidRPr="0012654B">
        <w:rPr>
          <w:rFonts w:ascii="Times New Roman" w:hAnsi="Times New Roman" w:cs="Times New Roman"/>
        </w:rPr>
        <w:t xml:space="preserve"> mutant was not observed in RAW 264.7 macrophages,</w:t>
      </w:r>
      <w:r>
        <w:rPr>
          <w:rFonts w:ascii="Times New Roman" w:hAnsi="Times New Roman" w:cs="Times New Roman"/>
        </w:rPr>
        <w:t xml:space="preserve"> preliminary data by others in the laboratory using MDMs has shown that </w:t>
      </w:r>
      <w:r w:rsidRPr="0012654B">
        <w:rPr>
          <w:rFonts w:ascii="Times New Roman" w:hAnsi="Times New Roman" w:cs="Times New Roman"/>
        </w:rPr>
        <w:t>the (p)ppGpp</w:t>
      </w:r>
      <w:r w:rsidRPr="0012654B">
        <w:rPr>
          <w:rFonts w:ascii="Times New Roman" w:hAnsi="Times New Roman" w:cs="Times New Roman"/>
          <w:vertAlign w:val="superscript"/>
        </w:rPr>
        <w:t>0</w:t>
      </w:r>
      <w:r w:rsidRPr="0012654B">
        <w:rPr>
          <w:rFonts w:ascii="Times New Roman" w:hAnsi="Times New Roman" w:cs="Times New Roman"/>
        </w:rPr>
        <w:t xml:space="preserve"> mutant</w:t>
      </w:r>
      <w:r>
        <w:rPr>
          <w:rFonts w:ascii="Times New Roman" w:hAnsi="Times New Roman" w:cs="Times New Roman"/>
        </w:rPr>
        <w:t xml:space="preserve"> can be killed more easily. This indicates that the cell types used during experiments is an important consideration and that some cell types may be more suitable than others. The synthetase-GFP fusions were unable to shed light on the expression of each synthetase during infection, which demonstrates the further work that is necessary to elucidate this, for example </w:t>
      </w:r>
      <w:r w:rsidR="006D7DB6">
        <w:rPr>
          <w:rFonts w:ascii="Times New Roman" w:hAnsi="Times New Roman" w:cs="Times New Roman"/>
        </w:rPr>
        <w:t xml:space="preserve">the </w:t>
      </w:r>
      <w:r>
        <w:rPr>
          <w:rFonts w:ascii="Times New Roman" w:hAnsi="Times New Roman" w:cs="Times New Roman"/>
        </w:rPr>
        <w:t>redesigning</w:t>
      </w:r>
      <w:r w:rsidR="006D7DB6">
        <w:rPr>
          <w:rFonts w:ascii="Times New Roman" w:hAnsi="Times New Roman" w:cs="Times New Roman"/>
        </w:rPr>
        <w:t xml:space="preserve"> of</w:t>
      </w:r>
      <w:r>
        <w:rPr>
          <w:rFonts w:ascii="Times New Roman" w:hAnsi="Times New Roman" w:cs="Times New Roman"/>
        </w:rPr>
        <w:t xml:space="preserve"> the construct. For the first time, the contribution of the stringent response</w:t>
      </w:r>
      <w:r>
        <w:rPr>
          <w:rFonts w:ascii="Times New Roman" w:hAnsi="Times New Roman" w:cs="Times New Roman"/>
          <w:i/>
          <w:iCs/>
        </w:rPr>
        <w:t xml:space="preserve"> </w:t>
      </w:r>
      <w:r>
        <w:rPr>
          <w:rFonts w:ascii="Times New Roman" w:hAnsi="Times New Roman" w:cs="Times New Roman"/>
        </w:rPr>
        <w:t xml:space="preserve">for </w:t>
      </w:r>
      <w:r>
        <w:rPr>
          <w:rFonts w:ascii="Times New Roman" w:hAnsi="Times New Roman" w:cs="Times New Roman"/>
          <w:i/>
          <w:iCs/>
        </w:rPr>
        <w:t xml:space="preserve">S. aureus </w:t>
      </w:r>
      <w:r>
        <w:rPr>
          <w:rFonts w:ascii="Times New Roman" w:hAnsi="Times New Roman" w:cs="Times New Roman"/>
        </w:rPr>
        <w:t xml:space="preserve">virulence has been demonstrated in a zebrafish embryo systemic infection model. Both the absence and overproduction of (p)ppGpp results in a virulence defect, which stresses the importance of maintaining optimal levels of cellular (p)ppGpp for survival. However, overproduction of (p)ppGpp can also be beneficial with regards to long-term survival of </w:t>
      </w:r>
      <w:r>
        <w:rPr>
          <w:rFonts w:ascii="Times New Roman" w:hAnsi="Times New Roman" w:cs="Times New Roman"/>
          <w:i/>
          <w:iCs/>
        </w:rPr>
        <w:t>S. aureus</w:t>
      </w:r>
      <w:r>
        <w:rPr>
          <w:rFonts w:ascii="Times New Roman" w:hAnsi="Times New Roman" w:cs="Times New Roman"/>
        </w:rPr>
        <w:t xml:space="preserve"> </w:t>
      </w:r>
      <w:r>
        <w:rPr>
          <w:rFonts w:ascii="Times New Roman" w:hAnsi="Times New Roman" w:cs="Times New Roman"/>
          <w:i/>
          <w:iCs/>
        </w:rPr>
        <w:t>in vivo</w:t>
      </w:r>
      <w:r>
        <w:rPr>
          <w:rFonts w:ascii="Times New Roman" w:hAnsi="Times New Roman" w:cs="Times New Roman"/>
        </w:rPr>
        <w:t xml:space="preserve">. Furthermore, the role of Rel and RelP has been revealed, with Rel considered to be the key synthetase for </w:t>
      </w:r>
      <w:r>
        <w:rPr>
          <w:rFonts w:ascii="Times New Roman" w:hAnsi="Times New Roman" w:cs="Times New Roman"/>
          <w:i/>
          <w:iCs/>
        </w:rPr>
        <w:t>S. aureus</w:t>
      </w:r>
      <w:r>
        <w:rPr>
          <w:rFonts w:ascii="Times New Roman" w:hAnsi="Times New Roman" w:cs="Times New Roman"/>
        </w:rPr>
        <w:t xml:space="preserve"> virulence. Lastly, while the role of CodY during infection is not entirely clear based on previous studies, here, the absence of CodY is not advantageous for </w:t>
      </w:r>
      <w:r>
        <w:rPr>
          <w:rFonts w:ascii="Times New Roman" w:hAnsi="Times New Roman" w:cs="Times New Roman"/>
          <w:i/>
          <w:iCs/>
        </w:rPr>
        <w:t>S. aureus in vivo</w:t>
      </w:r>
      <w:r>
        <w:rPr>
          <w:rFonts w:ascii="Times New Roman" w:hAnsi="Times New Roman" w:cs="Times New Roman"/>
        </w:rPr>
        <w:t xml:space="preserve"> and does not upregulate virulence. It is important to study these aspects of the stringent response during infection in order to gain a better understanding of the mechanisms by which (p)ppGpp impacts both survival and virulence during nutrient limitation.</w:t>
      </w:r>
    </w:p>
    <w:p w14:paraId="26A9C90A" w14:textId="77777777" w:rsidR="00626313" w:rsidRDefault="00626313" w:rsidP="00187693">
      <w:pPr>
        <w:spacing w:before="240" w:line="360" w:lineRule="auto"/>
        <w:jc w:val="both"/>
        <w:rPr>
          <w:rFonts w:ascii="Times New Roman" w:hAnsi="Times New Roman" w:cs="Times New Roman"/>
        </w:rPr>
      </w:pPr>
    </w:p>
    <w:p w14:paraId="463001AC" w14:textId="77777777" w:rsidR="00626313" w:rsidRDefault="00626313" w:rsidP="00187693">
      <w:pPr>
        <w:spacing w:before="240" w:line="360" w:lineRule="auto"/>
        <w:jc w:val="both"/>
        <w:rPr>
          <w:rFonts w:ascii="Times New Roman" w:hAnsi="Times New Roman" w:cs="Times New Roman"/>
        </w:rPr>
      </w:pPr>
    </w:p>
    <w:p w14:paraId="0128363D" w14:textId="77777777" w:rsidR="007512DB" w:rsidRDefault="007512DB" w:rsidP="00187693">
      <w:pPr>
        <w:spacing w:before="240" w:line="360" w:lineRule="auto"/>
        <w:jc w:val="both"/>
        <w:rPr>
          <w:rFonts w:ascii="Times New Roman" w:hAnsi="Times New Roman" w:cs="Times New Roman"/>
        </w:rPr>
      </w:pPr>
    </w:p>
    <w:p w14:paraId="12D35B5D" w14:textId="77777777" w:rsidR="007512DB" w:rsidRDefault="007512DB" w:rsidP="00187693">
      <w:pPr>
        <w:spacing w:before="240" w:line="360" w:lineRule="auto"/>
        <w:jc w:val="both"/>
        <w:rPr>
          <w:rFonts w:ascii="Times New Roman" w:hAnsi="Times New Roman" w:cs="Times New Roman"/>
        </w:rPr>
      </w:pPr>
    </w:p>
    <w:p w14:paraId="2AB74610" w14:textId="77777777" w:rsidR="007512DB" w:rsidRDefault="007512DB" w:rsidP="00187693">
      <w:pPr>
        <w:spacing w:before="240" w:line="360" w:lineRule="auto"/>
        <w:jc w:val="both"/>
        <w:rPr>
          <w:rFonts w:ascii="Times New Roman" w:hAnsi="Times New Roman" w:cs="Times New Roman"/>
        </w:rPr>
      </w:pPr>
    </w:p>
    <w:p w14:paraId="047EDC6E" w14:textId="3B96C4BF" w:rsidR="00187693" w:rsidRDefault="00187693" w:rsidP="00187693">
      <w:pPr>
        <w:pStyle w:val="Heading1"/>
      </w:pPr>
      <w:bookmarkStart w:id="173" w:name="_Toc142043663"/>
      <w:r w:rsidRPr="008D708F">
        <w:t xml:space="preserve">Chapter </w:t>
      </w:r>
      <w:r>
        <w:t>6: Discussion</w:t>
      </w:r>
      <w:bookmarkEnd w:id="173"/>
    </w:p>
    <w:p w14:paraId="11DB167F" w14:textId="77777777" w:rsidR="00187693" w:rsidRDefault="00187693" w:rsidP="00187693">
      <w:pPr>
        <w:spacing w:line="360" w:lineRule="auto"/>
        <w:jc w:val="both"/>
        <w:rPr>
          <w:rFonts w:ascii="Times New Roman" w:hAnsi="Times New Roman" w:cs="Times New Roman"/>
        </w:rPr>
      </w:pPr>
    </w:p>
    <w:p w14:paraId="1CFAB1E6" w14:textId="50C3F9DC" w:rsidR="00187693" w:rsidRDefault="00187693" w:rsidP="00187693">
      <w:pPr>
        <w:spacing w:line="360" w:lineRule="auto"/>
        <w:jc w:val="both"/>
        <w:rPr>
          <w:rFonts w:ascii="Times New Roman" w:hAnsi="Times New Roman" w:cs="Times New Roman"/>
        </w:rPr>
      </w:pPr>
      <w:r>
        <w:rPr>
          <w:rFonts w:ascii="Times New Roman" w:hAnsi="Times New Roman" w:cs="Times New Roman"/>
        </w:rPr>
        <w:t xml:space="preserve">The stringent response is a conserved bacterial reaction to nutrient limitation that aids adaptation to stress. Environmental conditions can become adverse upon host colonisation and thus, the stringent response, mediated by the signalling molecule (p)ppGpp, acts to modify the transcriptome and proteome in order to maximise the chances of bacterial survival </w:t>
      </w:r>
      <w:r w:rsidRPr="00B43D5F">
        <w:rPr>
          <w:rFonts w:ascii="Times New Roman" w:hAnsi="Times New Roman" w:cs="Times New Roman"/>
          <w:b/>
          <w:bCs/>
        </w:rPr>
        <w:fldChar w:fldCharType="begin"/>
      </w:r>
      <w:r w:rsidRPr="00B43D5F">
        <w:rPr>
          <w:rFonts w:ascii="Times New Roman" w:hAnsi="Times New Roman" w:cs="Times New Roman"/>
          <w:b/>
          <w:bCs/>
        </w:rPr>
        <w:instrText xml:space="preserve"> ADDIN EN.CITE &lt;EndNote&gt;&lt;Cite&gt;&lt;Author&gt;Sanchez-Vazquez&lt;/Author&gt;&lt;Year&gt;2019&lt;/Year&gt;&lt;IDText&gt;Genome-wide effects on Escherichia coli transcription from ppGpp binding to its two sites on RNA polymerase&lt;/IDText&gt;&lt;DisplayText&gt;(Sanchez-Vazquez&lt;style face="italic"&gt; et al.&lt;/style&gt;, 2019)&lt;/DisplayText&gt;&lt;record&gt;&lt;dates&gt;&lt;pub-dates&gt;&lt;date&gt;Apr 23&lt;/date&gt;&lt;/pub-dates&gt;&lt;year&gt;2019&lt;/year&gt;&lt;/dates&gt;&lt;urls&gt;&lt;related-urls&gt;&lt;url&gt;&amp;lt;Go to ISI&amp;gt;://WOS:000465363700040&lt;/url&gt;&lt;/related-urls&gt;&lt;/urls&gt;&lt;isbn&gt;0027-8424&lt;/isbn&gt;&lt;work-type&gt;Article&lt;/work-type&gt;&lt;titles&gt;&lt;title&gt;Genome-wide effects on Escherichia coli transcription from ppGpp binding to its two sites on RNA polymerase&lt;/title&gt;&lt;secondary-title&gt;Proceedings of the National Academy of Sciences of the United States of America&lt;/secondary-title&gt;&lt;/titles&gt;&lt;pages&gt;8310-8319&lt;/pages&gt;&lt;number&gt;17&lt;/number&gt;&lt;contributors&gt;&lt;authors&gt;&lt;author&gt;Sanchez-Vazquez, Patricia&lt;/author&gt;&lt;author&gt;Dewey, Colin N.&lt;/author&gt;&lt;author&gt;Kitten, Nicole&lt;/author&gt;&lt;author&gt;Ross, Wilma&lt;/author&gt;&lt;author&gt;Gourse, Richard L.&lt;/author&gt;&lt;/authors&gt;&lt;/contributors&gt;&lt;added-date format="utc"&gt;1677894353&lt;/added-date&gt;&lt;ref-type name="Journal Article"&gt;17&lt;/ref-type&gt;&lt;rec-number&gt;697&lt;/rec-number&gt;&lt;last-updated-date format="utc"&gt;1678058042&lt;/last-updated-date&gt;&lt;accession-num&gt;WOS:000465363700040&lt;/accession-num&gt;&lt;electronic-resource-num&gt;10.1073/pnas.1819682116&lt;/electronic-resource-num&gt;&lt;volume&gt;116&lt;/volume&gt;&lt;/record&gt;&lt;/Cite&gt;&lt;/EndNote&gt;</w:instrText>
      </w:r>
      <w:r w:rsidRPr="00B43D5F">
        <w:rPr>
          <w:rFonts w:ascii="Times New Roman" w:hAnsi="Times New Roman" w:cs="Times New Roman"/>
          <w:b/>
          <w:bCs/>
        </w:rPr>
        <w:fldChar w:fldCharType="separate"/>
      </w:r>
      <w:r w:rsidRPr="00B43D5F">
        <w:rPr>
          <w:rFonts w:ascii="Times New Roman" w:hAnsi="Times New Roman" w:cs="Times New Roman"/>
          <w:b/>
          <w:bCs/>
          <w:noProof/>
        </w:rPr>
        <w:t>(Sanchez-Vazquez</w:t>
      </w:r>
      <w:r w:rsidRPr="00B43D5F">
        <w:rPr>
          <w:rFonts w:ascii="Times New Roman" w:hAnsi="Times New Roman" w:cs="Times New Roman"/>
          <w:b/>
          <w:bCs/>
          <w:i/>
          <w:noProof/>
        </w:rPr>
        <w:t xml:space="preserve"> et al.</w:t>
      </w:r>
      <w:r w:rsidRPr="00B43D5F">
        <w:rPr>
          <w:rFonts w:ascii="Times New Roman" w:hAnsi="Times New Roman" w:cs="Times New Roman"/>
          <w:b/>
          <w:bCs/>
          <w:noProof/>
        </w:rPr>
        <w:t>, 2019)</w:t>
      </w:r>
      <w:r w:rsidRPr="00B43D5F">
        <w:rPr>
          <w:rFonts w:ascii="Times New Roman" w:hAnsi="Times New Roman" w:cs="Times New Roman"/>
          <w:b/>
          <w:bCs/>
        </w:rPr>
        <w:fldChar w:fldCharType="end"/>
      </w:r>
      <w:r>
        <w:rPr>
          <w:rFonts w:ascii="Times New Roman" w:hAnsi="Times New Roman" w:cs="Times New Roman"/>
        </w:rPr>
        <w:t xml:space="preserve">. This is often associated with a concurrent increase in virulence that favours survival </w:t>
      </w:r>
      <w:r w:rsidRPr="00B43D5F">
        <w:rPr>
          <w:rFonts w:ascii="Times New Roman" w:hAnsi="Times New Roman" w:cs="Times New Roman"/>
          <w:b/>
          <w:bCs/>
        </w:rPr>
        <w:fldChar w:fldCharType="begin"/>
      </w:r>
      <w:r w:rsidRPr="00B43D5F">
        <w:rPr>
          <w:rFonts w:ascii="Times New Roman" w:hAnsi="Times New Roman" w:cs="Times New Roman"/>
          <w:b/>
          <w:bCs/>
        </w:rPr>
        <w:instrText xml:space="preserve"> ADDIN EN.CITE &lt;EndNote&gt;&lt;Cite&gt;&lt;Author&gt;Dalebroux&lt;/Author&gt;&lt;Year&gt;2010&lt;/Year&gt;&lt;IDText&gt;ppGpp Conjures Bacterial Virulence&lt;/IDText&gt;&lt;DisplayText&gt;(Dalebroux&lt;style face="italic"&gt; et al.&lt;/style&gt;, 2010)&lt;/DisplayText&gt;&lt;record&gt;&lt;isbn&gt;1092-2172&lt;/isbn&gt;&lt;titles&gt;&lt;title&gt;ppGpp Conjures Bacterial Virulence&lt;/title&gt;&lt;secondary-title&gt;Microbiology and Molecular Biology Reviews&lt;/secondary-title&gt;&lt;/titles&gt;&lt;pages&gt;171--199&lt;/pages&gt;&lt;number&gt;2&lt;/number&gt;&lt;contributors&gt;&lt;authors&gt;&lt;author&gt;Dalebroux, Z. D.&lt;/author&gt;&lt;author&gt;Svensson, S. L.&lt;/author&gt;&lt;author&gt;Gaynor, E. C.&lt;/author&gt;&lt;author&gt;Swanson, M. S.&lt;/author&gt;&lt;/authors&gt;&lt;/contributors&gt;&lt;added-date format="utc"&gt;1584368906&lt;/added-date&gt;&lt;ref-type name="Journal Article"&gt;17&lt;/ref-type&gt;&lt;dates&gt;&lt;year&gt;2010&lt;/year&gt;&lt;/dates&gt;&lt;rec-number&gt;11&lt;/rec-number&gt;&lt;last-updated-date format="utc"&gt;1678058042&lt;/last-updated-date&gt;&lt;accession-num&gt;Dalebroux2010&lt;/accession-num&gt;&lt;electronic-resource-num&gt;10.1128/mmbr.00046-09&lt;/electronic-resource-num&gt;&lt;volume&gt;74&lt;/volume&gt;&lt;/record&gt;&lt;/Cite&gt;&lt;/EndNote&gt;</w:instrText>
      </w:r>
      <w:r w:rsidRPr="00B43D5F">
        <w:rPr>
          <w:rFonts w:ascii="Times New Roman" w:hAnsi="Times New Roman" w:cs="Times New Roman"/>
          <w:b/>
          <w:bCs/>
        </w:rPr>
        <w:fldChar w:fldCharType="separate"/>
      </w:r>
      <w:r w:rsidRPr="00B43D5F">
        <w:rPr>
          <w:rFonts w:ascii="Times New Roman" w:hAnsi="Times New Roman" w:cs="Times New Roman"/>
          <w:b/>
          <w:bCs/>
          <w:noProof/>
        </w:rPr>
        <w:t>(Dalebroux</w:t>
      </w:r>
      <w:r w:rsidRPr="00B43D5F">
        <w:rPr>
          <w:rFonts w:ascii="Times New Roman" w:hAnsi="Times New Roman" w:cs="Times New Roman"/>
          <w:b/>
          <w:bCs/>
          <w:i/>
          <w:noProof/>
        </w:rPr>
        <w:t xml:space="preserve"> et al.</w:t>
      </w:r>
      <w:r w:rsidRPr="00B43D5F">
        <w:rPr>
          <w:rFonts w:ascii="Times New Roman" w:hAnsi="Times New Roman" w:cs="Times New Roman"/>
          <w:b/>
          <w:bCs/>
          <w:noProof/>
        </w:rPr>
        <w:t>, 2010)</w:t>
      </w:r>
      <w:r w:rsidRPr="00B43D5F">
        <w:rPr>
          <w:rFonts w:ascii="Times New Roman" w:hAnsi="Times New Roman" w:cs="Times New Roman"/>
          <w:b/>
          <w:bCs/>
        </w:rPr>
        <w:fldChar w:fldCharType="end"/>
      </w:r>
      <w:r>
        <w:rPr>
          <w:rFonts w:ascii="Times New Roman" w:hAnsi="Times New Roman" w:cs="Times New Roman"/>
        </w:rPr>
        <w:t xml:space="preserve">. </w:t>
      </w:r>
      <w:r w:rsidR="0039225C">
        <w:rPr>
          <w:rFonts w:ascii="Times New Roman" w:hAnsi="Times New Roman" w:cs="Times New Roman"/>
        </w:rPr>
        <w:t>T</w:t>
      </w:r>
      <w:r>
        <w:rPr>
          <w:rFonts w:ascii="Times New Roman" w:hAnsi="Times New Roman" w:cs="Times New Roman"/>
        </w:rPr>
        <w:t xml:space="preserve">he involvement of </w:t>
      </w:r>
      <w:r w:rsidR="003F494B">
        <w:rPr>
          <w:rFonts w:ascii="Times New Roman" w:hAnsi="Times New Roman" w:cs="Times New Roman"/>
        </w:rPr>
        <w:t>the</w:t>
      </w:r>
      <w:r>
        <w:rPr>
          <w:rFonts w:ascii="Times New Roman" w:hAnsi="Times New Roman" w:cs="Times New Roman"/>
        </w:rPr>
        <w:t xml:space="preserve"> stringent response in biofilm formation </w:t>
      </w:r>
      <w:r w:rsidRPr="00F121F8">
        <w:rPr>
          <w:rFonts w:ascii="Times New Roman" w:hAnsi="Times New Roman" w:cs="Times New Roman"/>
          <w:b/>
          <w:bCs/>
        </w:rPr>
        <w:fldChar w:fldCharType="begin">
          <w:fldData xml:space="preserve">PEVuZE5vdGU+PENpdGU+PEF1dGhvcj5TdWdpc2FraTwvQXV0aG9yPjxZZWFyPjIwMTM8L1llYXI+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</w:fldData>
        </w:fldChar>
      </w:r>
      <w:r w:rsidRPr="00F121F8">
        <w:rPr>
          <w:rFonts w:ascii="Times New Roman" w:hAnsi="Times New Roman" w:cs="Times New Roman"/>
          <w:b/>
          <w:bCs/>
        </w:rPr>
        <w:instrText xml:space="preserve"> ADDIN EN.CITE </w:instrText>
      </w:r>
      <w:r w:rsidRPr="00F121F8">
        <w:rPr>
          <w:rFonts w:ascii="Times New Roman" w:hAnsi="Times New Roman" w:cs="Times New Roman"/>
          <w:b/>
          <w:bCs/>
        </w:rPr>
        <w:fldChar w:fldCharType="begin">
          <w:fldData xml:space="preserve">PEVuZE5vdGU+PENpdGU+PEF1dGhvcj5TdWdpc2FraTwvQXV0aG9yPjxZZWFyPjIwMTM8L1llYXI+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</w:fldData>
        </w:fldChar>
      </w:r>
      <w:r w:rsidRPr="00F121F8">
        <w:rPr>
          <w:rFonts w:ascii="Times New Roman" w:hAnsi="Times New Roman" w:cs="Times New Roman"/>
          <w:b/>
          <w:bCs/>
        </w:rPr>
        <w:instrText xml:space="preserve"> ADDIN EN.CITE.DATA </w:instrText>
      </w:r>
      <w:r w:rsidRPr="00F121F8">
        <w:rPr>
          <w:rFonts w:ascii="Times New Roman" w:hAnsi="Times New Roman" w:cs="Times New Roman"/>
          <w:b/>
          <w:bCs/>
        </w:rPr>
      </w:r>
      <w:r w:rsidRPr="00F121F8">
        <w:rPr>
          <w:rFonts w:ascii="Times New Roman" w:hAnsi="Times New Roman" w:cs="Times New Roman"/>
          <w:b/>
          <w:bCs/>
        </w:rPr>
        <w:fldChar w:fldCharType="end"/>
      </w:r>
      <w:r w:rsidRPr="00F121F8">
        <w:rPr>
          <w:rFonts w:ascii="Times New Roman" w:hAnsi="Times New Roman" w:cs="Times New Roman"/>
          <w:b/>
          <w:bCs/>
        </w:rPr>
      </w:r>
      <w:r w:rsidRPr="00F121F8">
        <w:rPr>
          <w:rFonts w:ascii="Times New Roman" w:hAnsi="Times New Roman" w:cs="Times New Roman"/>
          <w:b/>
          <w:bCs/>
        </w:rPr>
        <w:fldChar w:fldCharType="separate"/>
      </w:r>
      <w:r w:rsidRPr="00F121F8">
        <w:rPr>
          <w:rFonts w:ascii="Times New Roman" w:hAnsi="Times New Roman" w:cs="Times New Roman"/>
          <w:b/>
          <w:bCs/>
          <w:noProof/>
        </w:rPr>
        <w:t>(Sugisaki</w:t>
      </w:r>
      <w:r w:rsidRPr="00F121F8">
        <w:rPr>
          <w:rFonts w:ascii="Times New Roman" w:hAnsi="Times New Roman" w:cs="Times New Roman"/>
          <w:b/>
          <w:bCs/>
          <w:i/>
          <w:noProof/>
        </w:rPr>
        <w:t xml:space="preserve"> et al.</w:t>
      </w:r>
      <w:r w:rsidRPr="00F121F8">
        <w:rPr>
          <w:rFonts w:ascii="Times New Roman" w:hAnsi="Times New Roman" w:cs="Times New Roman"/>
          <w:b/>
          <w:bCs/>
          <w:noProof/>
        </w:rPr>
        <w:t>, 2013; Salzer</w:t>
      </w:r>
      <w:r w:rsidRPr="00F121F8">
        <w:rPr>
          <w:rFonts w:ascii="Times New Roman" w:hAnsi="Times New Roman" w:cs="Times New Roman"/>
          <w:b/>
          <w:bCs/>
          <w:i/>
          <w:noProof/>
        </w:rPr>
        <w:t xml:space="preserve"> et al.</w:t>
      </w:r>
      <w:r w:rsidRPr="00F121F8">
        <w:rPr>
          <w:rFonts w:ascii="Times New Roman" w:hAnsi="Times New Roman" w:cs="Times New Roman"/>
          <w:b/>
          <w:bCs/>
          <w:noProof/>
        </w:rPr>
        <w:t>, 2020)</w:t>
      </w:r>
      <w:r w:rsidRPr="00F121F8">
        <w:rPr>
          <w:rFonts w:ascii="Times New Roman" w:hAnsi="Times New Roman" w:cs="Times New Roman"/>
          <w:b/>
          <w:bCs/>
        </w:rPr>
        <w:fldChar w:fldCharType="end"/>
      </w:r>
      <w:r w:rsidRPr="0094793A">
        <w:rPr>
          <w:rFonts w:ascii="Times New Roman" w:hAnsi="Times New Roman" w:cs="Times New Roman"/>
        </w:rPr>
        <w:t xml:space="preserve">, </w:t>
      </w:r>
      <w:r>
        <w:rPr>
          <w:rFonts w:ascii="Times New Roman" w:hAnsi="Times New Roman" w:cs="Times New Roman"/>
        </w:rPr>
        <w:t xml:space="preserve">antibiotic tolerance </w:t>
      </w:r>
      <w:r w:rsidRPr="00D10069">
        <w:rPr>
          <w:rFonts w:ascii="Times New Roman" w:hAnsi="Times New Roman" w:cs="Times New Roman"/>
          <w:b/>
          <w:bCs/>
        </w:rPr>
        <w:fldChar w:fldCharType="begin">
          <w:fldData xml:space="preserve">PEVuZE5vdGU+PENpdGU+PEF1dGhvcj5GdW5nPC9BdXRob3I+PFllYXI+MjAxMDwvWWVhcj48SURU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</w:fldData>
        </w:fldChar>
      </w:r>
      <w:r w:rsidRPr="00D10069">
        <w:rPr>
          <w:rFonts w:ascii="Times New Roman" w:hAnsi="Times New Roman" w:cs="Times New Roman"/>
          <w:b/>
          <w:bCs/>
        </w:rPr>
        <w:instrText xml:space="preserve"> ADDIN EN.CITE </w:instrText>
      </w:r>
      <w:r w:rsidRPr="00D10069">
        <w:rPr>
          <w:rFonts w:ascii="Times New Roman" w:hAnsi="Times New Roman" w:cs="Times New Roman"/>
          <w:b/>
          <w:bCs/>
        </w:rPr>
        <w:fldChar w:fldCharType="begin">
          <w:fldData xml:space="preserve">PEVuZE5vdGU+PENpdGU+PEF1dGhvcj5GdW5nPC9BdXRob3I+PFllYXI+MjAxMDwvWWVhcj48SURU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</w:fldData>
        </w:fldChar>
      </w:r>
      <w:r w:rsidRPr="00D10069">
        <w:rPr>
          <w:rFonts w:ascii="Times New Roman" w:hAnsi="Times New Roman" w:cs="Times New Roman"/>
          <w:b/>
          <w:bCs/>
        </w:rPr>
        <w:instrText xml:space="preserve"> ADDIN EN.CITE.DATA </w:instrText>
      </w:r>
      <w:r w:rsidRPr="00D10069">
        <w:rPr>
          <w:rFonts w:ascii="Times New Roman" w:hAnsi="Times New Roman" w:cs="Times New Roman"/>
          <w:b/>
          <w:bCs/>
        </w:rPr>
      </w:r>
      <w:r w:rsidRPr="00D10069">
        <w:rPr>
          <w:rFonts w:ascii="Times New Roman" w:hAnsi="Times New Roman" w:cs="Times New Roman"/>
          <w:b/>
          <w:bCs/>
        </w:rPr>
        <w:fldChar w:fldCharType="end"/>
      </w:r>
      <w:r w:rsidRPr="00D10069">
        <w:rPr>
          <w:rFonts w:ascii="Times New Roman" w:hAnsi="Times New Roman" w:cs="Times New Roman"/>
          <w:b/>
          <w:bCs/>
        </w:rPr>
      </w:r>
      <w:r w:rsidRPr="00D10069">
        <w:rPr>
          <w:rFonts w:ascii="Times New Roman" w:hAnsi="Times New Roman" w:cs="Times New Roman"/>
          <w:b/>
          <w:bCs/>
        </w:rPr>
        <w:fldChar w:fldCharType="separate"/>
      </w:r>
      <w:r w:rsidRPr="00D10069">
        <w:rPr>
          <w:rFonts w:ascii="Times New Roman" w:hAnsi="Times New Roman" w:cs="Times New Roman"/>
          <w:b/>
          <w:bCs/>
          <w:noProof/>
        </w:rPr>
        <w:t>(Fung</w:t>
      </w:r>
      <w:r w:rsidRPr="00D10069">
        <w:rPr>
          <w:rFonts w:ascii="Times New Roman" w:hAnsi="Times New Roman" w:cs="Times New Roman"/>
          <w:b/>
          <w:bCs/>
          <w:i/>
          <w:noProof/>
        </w:rPr>
        <w:t xml:space="preserve"> et al.</w:t>
      </w:r>
      <w:r w:rsidRPr="00D10069">
        <w:rPr>
          <w:rFonts w:ascii="Times New Roman" w:hAnsi="Times New Roman" w:cs="Times New Roman"/>
          <w:b/>
          <w:bCs/>
          <w:noProof/>
        </w:rPr>
        <w:t>, 2010; Abranches</w:t>
      </w:r>
      <w:r w:rsidRPr="00D10069">
        <w:rPr>
          <w:rFonts w:ascii="Times New Roman" w:hAnsi="Times New Roman" w:cs="Times New Roman"/>
          <w:b/>
          <w:bCs/>
          <w:i/>
          <w:noProof/>
        </w:rPr>
        <w:t xml:space="preserve"> et al.</w:t>
      </w:r>
      <w:r w:rsidRPr="00D10069">
        <w:rPr>
          <w:rFonts w:ascii="Times New Roman" w:hAnsi="Times New Roman" w:cs="Times New Roman"/>
          <w:b/>
          <w:bCs/>
          <w:noProof/>
        </w:rPr>
        <w:t>, 2009; Geiger</w:t>
      </w:r>
      <w:r w:rsidRPr="00D10069">
        <w:rPr>
          <w:rFonts w:ascii="Times New Roman" w:hAnsi="Times New Roman" w:cs="Times New Roman"/>
          <w:b/>
          <w:bCs/>
          <w:i/>
          <w:noProof/>
        </w:rPr>
        <w:t xml:space="preserve"> et al.</w:t>
      </w:r>
      <w:r w:rsidRPr="00D10069">
        <w:rPr>
          <w:rFonts w:ascii="Times New Roman" w:hAnsi="Times New Roman" w:cs="Times New Roman"/>
          <w:b/>
          <w:bCs/>
          <w:noProof/>
        </w:rPr>
        <w:t>, 2014)</w:t>
      </w:r>
      <w:r w:rsidRPr="00D10069">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and persistence </w:t>
      </w:r>
      <w:r w:rsidRPr="00091BA4">
        <w:rPr>
          <w:rFonts w:ascii="Times New Roman" w:hAnsi="Times New Roman" w:cs="Times New Roman"/>
          <w:b/>
          <w:bCs/>
        </w:rPr>
        <w:fldChar w:fldCharType="begin">
          <w:fldData xml:space="preserve">PEVuZE5vdGU+PENpdGU+PEF1dGhvcj5BbWF0bzwvQXV0aG9yPjxZZWFyPjIwMTU8L1llYXI+PElE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</w:fldData>
        </w:fldChar>
      </w:r>
      <w:r w:rsidRPr="00091BA4">
        <w:rPr>
          <w:rFonts w:ascii="Times New Roman" w:hAnsi="Times New Roman" w:cs="Times New Roman"/>
          <w:b/>
          <w:bCs/>
        </w:rPr>
        <w:instrText xml:space="preserve"> ADDIN EN.CITE </w:instrText>
      </w:r>
      <w:r w:rsidRPr="00091BA4">
        <w:rPr>
          <w:rFonts w:ascii="Times New Roman" w:hAnsi="Times New Roman" w:cs="Times New Roman"/>
          <w:b/>
          <w:bCs/>
        </w:rPr>
        <w:fldChar w:fldCharType="begin">
          <w:fldData xml:space="preserve">PEVuZE5vdGU+PENpdGU+PEF1dGhvcj5BbWF0bzwvQXV0aG9yPjxZZWFyPjIwMTU8L1llYXI+PElE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</w:fldData>
        </w:fldChar>
      </w:r>
      <w:r w:rsidRPr="00091BA4">
        <w:rPr>
          <w:rFonts w:ascii="Times New Roman" w:hAnsi="Times New Roman" w:cs="Times New Roman"/>
          <w:b/>
          <w:bCs/>
        </w:rPr>
        <w:instrText xml:space="preserve"> ADDIN EN.CITE.DATA </w:instrText>
      </w:r>
      <w:r w:rsidRPr="00091BA4">
        <w:rPr>
          <w:rFonts w:ascii="Times New Roman" w:hAnsi="Times New Roman" w:cs="Times New Roman"/>
          <w:b/>
          <w:bCs/>
        </w:rPr>
      </w:r>
      <w:r w:rsidRPr="00091BA4">
        <w:rPr>
          <w:rFonts w:ascii="Times New Roman" w:hAnsi="Times New Roman" w:cs="Times New Roman"/>
          <w:b/>
          <w:bCs/>
        </w:rPr>
        <w:fldChar w:fldCharType="end"/>
      </w:r>
      <w:r w:rsidRPr="00091BA4">
        <w:rPr>
          <w:rFonts w:ascii="Times New Roman" w:hAnsi="Times New Roman" w:cs="Times New Roman"/>
          <w:b/>
          <w:bCs/>
        </w:rPr>
      </w:r>
      <w:r w:rsidRPr="00091BA4">
        <w:rPr>
          <w:rFonts w:ascii="Times New Roman" w:hAnsi="Times New Roman" w:cs="Times New Roman"/>
          <w:b/>
          <w:bCs/>
        </w:rPr>
        <w:fldChar w:fldCharType="separate"/>
      </w:r>
      <w:r w:rsidRPr="00091BA4">
        <w:rPr>
          <w:rFonts w:ascii="Times New Roman" w:hAnsi="Times New Roman" w:cs="Times New Roman"/>
          <w:b/>
          <w:bCs/>
          <w:noProof/>
        </w:rPr>
        <w:t>(Amato and Brynildsen, 2015; Schumacher</w:t>
      </w:r>
      <w:r w:rsidRPr="00091BA4">
        <w:rPr>
          <w:rFonts w:ascii="Times New Roman" w:hAnsi="Times New Roman" w:cs="Times New Roman"/>
          <w:b/>
          <w:bCs/>
          <w:i/>
          <w:noProof/>
        </w:rPr>
        <w:t xml:space="preserve"> et al.</w:t>
      </w:r>
      <w:r w:rsidRPr="00091BA4">
        <w:rPr>
          <w:rFonts w:ascii="Times New Roman" w:hAnsi="Times New Roman" w:cs="Times New Roman"/>
          <w:b/>
          <w:bCs/>
          <w:noProof/>
        </w:rPr>
        <w:t>, 2015; Dahl</w:t>
      </w:r>
      <w:r w:rsidRPr="00091BA4">
        <w:rPr>
          <w:rFonts w:ascii="Times New Roman" w:hAnsi="Times New Roman" w:cs="Times New Roman"/>
          <w:b/>
          <w:bCs/>
          <w:i/>
          <w:noProof/>
        </w:rPr>
        <w:t xml:space="preserve"> et al.</w:t>
      </w:r>
      <w:r w:rsidRPr="00091BA4">
        <w:rPr>
          <w:rFonts w:ascii="Times New Roman" w:hAnsi="Times New Roman" w:cs="Times New Roman"/>
          <w:b/>
          <w:bCs/>
          <w:noProof/>
        </w:rPr>
        <w:t>, 2003)</w:t>
      </w:r>
      <w:r w:rsidRPr="00091BA4">
        <w:rPr>
          <w:rFonts w:ascii="Times New Roman" w:hAnsi="Times New Roman" w:cs="Times New Roman"/>
          <w:b/>
          <w:bCs/>
        </w:rPr>
        <w:fldChar w:fldCharType="end"/>
      </w:r>
      <w:r>
        <w:rPr>
          <w:rFonts w:ascii="Times New Roman" w:hAnsi="Times New Roman" w:cs="Times New Roman"/>
        </w:rPr>
        <w:t xml:space="preserve"> has</w:t>
      </w:r>
      <w:r w:rsidR="0039225C">
        <w:rPr>
          <w:rFonts w:ascii="Times New Roman" w:hAnsi="Times New Roman" w:cs="Times New Roman"/>
        </w:rPr>
        <w:t xml:space="preserve"> also</w:t>
      </w:r>
      <w:r>
        <w:rPr>
          <w:rFonts w:ascii="Times New Roman" w:hAnsi="Times New Roman" w:cs="Times New Roman"/>
        </w:rPr>
        <w:t xml:space="preserve"> been demonstrated. Previous reports have implicated the stringent response in the pathogenicity of </w:t>
      </w:r>
      <w:r>
        <w:rPr>
          <w:rFonts w:ascii="Times New Roman" w:hAnsi="Times New Roman" w:cs="Times New Roman"/>
          <w:i/>
          <w:iCs/>
        </w:rPr>
        <w:t xml:space="preserve">S. aureus </w:t>
      </w:r>
      <w:r w:rsidRPr="00334056">
        <w:rPr>
          <w:rFonts w:ascii="Times New Roman" w:hAnsi="Times New Roman" w:cs="Times New Roman"/>
          <w:b/>
          <w:bCs/>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PiBldCBhbC48L3N0eWxlPiwgMjAxMDsgR2VpZ2VyPHN0eWxlIGZhY2U9Iml0YWxpYyI+IGV0IGFs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PEVuZE5vdGU+PENpdGU+PEF1dGhvcj5HZWlnZXI8L0F1dGhvcj48WWVhcj4yMDEwPC9ZZWFyPjxJ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334056">
        <w:rPr>
          <w:rFonts w:ascii="Times New Roman" w:hAnsi="Times New Roman" w:cs="Times New Roman"/>
          <w:b/>
          <w:bCs/>
        </w:rPr>
      </w:r>
      <w:r w:rsidRPr="00334056">
        <w:rPr>
          <w:rFonts w:ascii="Times New Roman" w:hAnsi="Times New Roman" w:cs="Times New Roman"/>
          <w:b/>
          <w:bCs/>
        </w:rPr>
        <w:fldChar w:fldCharType="separate"/>
      </w:r>
      <w:r>
        <w:rPr>
          <w:rFonts w:ascii="Times New Roman" w:hAnsi="Times New Roman" w:cs="Times New Roman"/>
          <w:b/>
          <w:bCs/>
          <w:noProof/>
        </w:rPr>
        <w:t>(Geiger</w:t>
      </w:r>
      <w:r w:rsidRPr="00334056">
        <w:rPr>
          <w:rFonts w:ascii="Times New Roman" w:hAnsi="Times New Roman" w:cs="Times New Roman"/>
          <w:b/>
          <w:bCs/>
          <w:i/>
          <w:noProof/>
        </w:rPr>
        <w:t xml:space="preserve"> et al.</w:t>
      </w:r>
      <w:r>
        <w:rPr>
          <w:rFonts w:ascii="Times New Roman" w:hAnsi="Times New Roman" w:cs="Times New Roman"/>
          <w:b/>
          <w:bCs/>
          <w:noProof/>
        </w:rPr>
        <w:t>, 2010; Geiger</w:t>
      </w:r>
      <w:r w:rsidRPr="00334056">
        <w:rPr>
          <w:rFonts w:ascii="Times New Roman" w:hAnsi="Times New Roman" w:cs="Times New Roman"/>
          <w:b/>
          <w:bCs/>
          <w:i/>
          <w:noProof/>
        </w:rPr>
        <w:t xml:space="preserve"> et al.</w:t>
      </w:r>
      <w:r>
        <w:rPr>
          <w:rFonts w:ascii="Times New Roman" w:hAnsi="Times New Roman" w:cs="Times New Roman"/>
          <w:b/>
          <w:bCs/>
          <w:noProof/>
        </w:rPr>
        <w:t>, 2012; Geiger</w:t>
      </w:r>
      <w:r w:rsidRPr="00334056">
        <w:rPr>
          <w:rFonts w:ascii="Times New Roman" w:hAnsi="Times New Roman" w:cs="Times New Roman"/>
          <w:b/>
          <w:bCs/>
          <w:i/>
          <w:noProof/>
        </w:rPr>
        <w:t xml:space="preserve"> et al.</w:t>
      </w:r>
      <w:r>
        <w:rPr>
          <w:rFonts w:ascii="Times New Roman" w:hAnsi="Times New Roman" w:cs="Times New Roman"/>
          <w:b/>
          <w:bCs/>
          <w:noProof/>
        </w:rPr>
        <w:t>, 2014; Peyrusson</w:t>
      </w:r>
      <w:r w:rsidRPr="00334056">
        <w:rPr>
          <w:rFonts w:ascii="Times New Roman" w:hAnsi="Times New Roman" w:cs="Times New Roman"/>
          <w:b/>
          <w:bCs/>
          <w:i/>
          <w:noProof/>
        </w:rPr>
        <w:t xml:space="preserve"> et al.</w:t>
      </w:r>
      <w:r>
        <w:rPr>
          <w:rFonts w:ascii="Times New Roman" w:hAnsi="Times New Roman" w:cs="Times New Roman"/>
          <w:b/>
          <w:bCs/>
          <w:noProof/>
        </w:rPr>
        <w:t>, 2020; Li</w:t>
      </w:r>
      <w:r w:rsidRPr="00334056">
        <w:rPr>
          <w:rFonts w:ascii="Times New Roman" w:hAnsi="Times New Roman" w:cs="Times New Roman"/>
          <w:b/>
          <w:bCs/>
          <w:i/>
          <w:noProof/>
        </w:rPr>
        <w:t xml:space="preserve"> et al.</w:t>
      </w:r>
      <w:r>
        <w:rPr>
          <w:rFonts w:ascii="Times New Roman" w:hAnsi="Times New Roman" w:cs="Times New Roman"/>
          <w:b/>
          <w:bCs/>
          <w:noProof/>
        </w:rPr>
        <w:t>, 2020; Salzer</w:t>
      </w:r>
      <w:r w:rsidRPr="00334056">
        <w:rPr>
          <w:rFonts w:ascii="Times New Roman" w:hAnsi="Times New Roman" w:cs="Times New Roman"/>
          <w:b/>
          <w:bCs/>
          <w:i/>
          <w:noProof/>
        </w:rPr>
        <w:t xml:space="preserve"> et al.</w:t>
      </w:r>
      <w:r>
        <w:rPr>
          <w:rFonts w:ascii="Times New Roman" w:hAnsi="Times New Roman" w:cs="Times New Roman"/>
          <w:b/>
          <w:bCs/>
          <w:noProof/>
        </w:rPr>
        <w:t>, 2020; Gao</w:t>
      </w:r>
      <w:r w:rsidRPr="00334056">
        <w:rPr>
          <w:rFonts w:ascii="Times New Roman" w:hAnsi="Times New Roman" w:cs="Times New Roman"/>
          <w:b/>
          <w:bCs/>
          <w:i/>
          <w:noProof/>
        </w:rPr>
        <w:t xml:space="preserve"> et al.</w:t>
      </w:r>
      <w:r>
        <w:rPr>
          <w:rFonts w:ascii="Times New Roman" w:hAnsi="Times New Roman" w:cs="Times New Roman"/>
          <w:b/>
          <w:bCs/>
          <w:noProof/>
        </w:rPr>
        <w:t>, 2010; Mwangi</w:t>
      </w:r>
      <w:r w:rsidRPr="00334056">
        <w:rPr>
          <w:rFonts w:ascii="Times New Roman" w:hAnsi="Times New Roman" w:cs="Times New Roman"/>
          <w:b/>
          <w:bCs/>
          <w:i/>
          <w:noProof/>
        </w:rPr>
        <w:t xml:space="preserve"> et al.</w:t>
      </w:r>
      <w:r>
        <w:rPr>
          <w:rFonts w:ascii="Times New Roman" w:hAnsi="Times New Roman" w:cs="Times New Roman"/>
          <w:b/>
          <w:bCs/>
          <w:noProof/>
        </w:rPr>
        <w:t>, 2013)</w:t>
      </w:r>
      <w:r w:rsidRPr="00334056">
        <w:rPr>
          <w:rFonts w:ascii="Times New Roman" w:hAnsi="Times New Roman" w:cs="Times New Roman"/>
          <w:b/>
          <w:bCs/>
        </w:rPr>
        <w:fldChar w:fldCharType="end"/>
      </w:r>
      <w:r>
        <w:rPr>
          <w:rFonts w:ascii="Times New Roman" w:hAnsi="Times New Roman" w:cs="Times New Roman"/>
          <w:b/>
          <w:bCs/>
        </w:rPr>
        <w:t xml:space="preserve"> </w:t>
      </w:r>
      <w:r>
        <w:rPr>
          <w:rFonts w:ascii="Times New Roman" w:hAnsi="Times New Roman" w:cs="Times New Roman"/>
        </w:rPr>
        <w:t xml:space="preserve">and thus, the aim of this study was to comprehensively understand why the stringent response is important for </w:t>
      </w:r>
      <w:r>
        <w:rPr>
          <w:rFonts w:ascii="Times New Roman" w:hAnsi="Times New Roman" w:cs="Times New Roman"/>
          <w:i/>
          <w:iCs/>
        </w:rPr>
        <w:t xml:space="preserve">S. aureus </w:t>
      </w:r>
      <w:r>
        <w:rPr>
          <w:rFonts w:ascii="Times New Roman" w:hAnsi="Times New Roman" w:cs="Times New Roman"/>
        </w:rPr>
        <w:t xml:space="preserve">pathogenicity and virulence. This was to be achieved by constructing and characterising strains that would allow the investigation of the absence of (p)ppGpp, the overproduction of (p)ppGpp, as well as how (p)ppGpp levels change during infection with the use of (p)ppGpp probes in </w:t>
      </w:r>
      <w:r>
        <w:rPr>
          <w:rFonts w:ascii="Times New Roman" w:hAnsi="Times New Roman" w:cs="Times New Roman"/>
          <w:i/>
          <w:iCs/>
        </w:rPr>
        <w:t>S. aureus</w:t>
      </w:r>
      <w:r>
        <w:rPr>
          <w:rFonts w:ascii="Times New Roman" w:hAnsi="Times New Roman" w:cs="Times New Roman"/>
        </w:rPr>
        <w:t xml:space="preserve">. Infection of RAW 264.7 macrophages and HTE cells with </w:t>
      </w:r>
      <w:r>
        <w:rPr>
          <w:rFonts w:ascii="Times New Roman" w:hAnsi="Times New Roman" w:cs="Times New Roman"/>
          <w:i/>
          <w:iCs/>
        </w:rPr>
        <w:t xml:space="preserve">S. aureus </w:t>
      </w:r>
      <w:r>
        <w:rPr>
          <w:rFonts w:ascii="Times New Roman" w:hAnsi="Times New Roman" w:cs="Times New Roman"/>
        </w:rPr>
        <w:t xml:space="preserve">and exposing </w:t>
      </w:r>
      <w:r>
        <w:rPr>
          <w:rFonts w:ascii="Times New Roman" w:hAnsi="Times New Roman" w:cs="Times New Roman"/>
          <w:i/>
          <w:iCs/>
        </w:rPr>
        <w:t>S. aureus</w:t>
      </w:r>
      <w:r>
        <w:rPr>
          <w:rFonts w:ascii="Times New Roman" w:hAnsi="Times New Roman" w:cs="Times New Roman"/>
        </w:rPr>
        <w:t xml:space="preserve"> to phagolysosomal stresses would further the current understanding of how the stringent response aids intracellular survival. Finally, the use of zebrafish embryos to model </w:t>
      </w:r>
      <w:r>
        <w:rPr>
          <w:rFonts w:ascii="Times New Roman" w:hAnsi="Times New Roman" w:cs="Times New Roman"/>
          <w:i/>
          <w:iCs/>
        </w:rPr>
        <w:t xml:space="preserve">S. aureus </w:t>
      </w:r>
      <w:r>
        <w:rPr>
          <w:rFonts w:ascii="Times New Roman" w:hAnsi="Times New Roman" w:cs="Times New Roman"/>
        </w:rPr>
        <w:t xml:space="preserve">systemic infection would allow investigation of the role of the stringent response </w:t>
      </w:r>
      <w:r>
        <w:rPr>
          <w:rFonts w:ascii="Times New Roman" w:hAnsi="Times New Roman" w:cs="Times New Roman"/>
          <w:i/>
          <w:iCs/>
        </w:rPr>
        <w:t>in vivo</w:t>
      </w:r>
      <w:r>
        <w:rPr>
          <w:rFonts w:ascii="Times New Roman" w:hAnsi="Times New Roman" w:cs="Times New Roman"/>
        </w:rPr>
        <w:t>. This is important to study as MRSA bacteraemia is</w:t>
      </w:r>
      <w:r w:rsidR="0039225C">
        <w:rPr>
          <w:rFonts w:ascii="Times New Roman" w:hAnsi="Times New Roman" w:cs="Times New Roman"/>
        </w:rPr>
        <w:t xml:space="preserve"> a</w:t>
      </w:r>
      <w:r>
        <w:rPr>
          <w:rFonts w:ascii="Times New Roman" w:hAnsi="Times New Roman" w:cs="Times New Roman"/>
        </w:rPr>
        <w:t xml:space="preserve"> major concern </w:t>
      </w:r>
      <w:r w:rsidRPr="00314ACB">
        <w:rPr>
          <w:rFonts w:ascii="Times New Roman" w:hAnsi="Times New Roman" w:cs="Times New Roman"/>
          <w:b/>
          <w:bCs/>
        </w:rPr>
        <w:fldChar w:fldCharType="begin"/>
      </w:r>
      <w:r w:rsidRPr="00314ACB">
        <w:rPr>
          <w:rFonts w:ascii="Times New Roman" w:hAnsi="Times New Roman" w:cs="Times New Roman"/>
          <w:b/>
          <w:bCs/>
        </w:rPr>
        <w:instrText xml:space="preserve"> ADDIN EN.CITE &lt;EndNote&gt;&lt;Cite&gt;&lt;Author&gt;Turner&lt;/Author&gt;&lt;Year&gt;2019&lt;/Year&gt;&lt;IDText&gt;Methicillin-resistant Staphylococcus aureus: an overview of basic and clinical research&lt;/IDText&gt;&lt;DisplayText&gt;(Turner&lt;style face="italic"&gt; et al.&lt;/style&gt;, 2019)&lt;/DisplayText&gt;&lt;record&gt;&lt;dates&gt;&lt;pub-dates&gt;&lt;date&gt;Apr&lt;/date&gt;&lt;/pub-dates&gt;&lt;year&gt;2019&lt;/year&gt;&lt;/dates&gt;&lt;urls&gt;&lt;related-urls&gt;&lt;url&gt;&amp;lt;Go to ISI&amp;gt;://WOS:000461170200006&lt;/url&gt;&lt;/related-urls&gt;&lt;/urls&gt;&lt;isbn&gt;1740-1526&lt;/isbn&gt;&lt;work-type&gt;Review&lt;/work-type&gt;&lt;titles&gt;&lt;title&gt;&lt;style font="default" size="100%"&gt;Methicillin-resistant &lt;/style&gt;&lt;style face="italic" font="default" size="100%"&gt;Staphylococcus aureus&lt;/style&gt;&lt;style font="default" size="100%"&gt;: an overview of basic and clinical research&lt;/style&gt;&lt;/title&gt;&lt;secondary-title&gt;Nature Reviews Microbiology&lt;/secondary-title&gt;&lt;/titles&gt;&lt;pages&gt;203-218&lt;/pages&gt;&lt;number&gt;4&lt;/number&gt;&lt;contributors&gt;&lt;authors&gt;&lt;author&gt;Turner, Nicholas A.&lt;/author&gt;&lt;author&gt;Sharma-Kuinkel, Batu K.&lt;/author&gt;&lt;author&gt;Maskarinec, Stacey A.&lt;/author&gt;&lt;author&gt;Eichenberger, Emily M.&lt;/author&gt;&lt;author&gt;Shah, Pratik P.&lt;/author&gt;&lt;author&gt;Carugati, Manuela&lt;/author&gt;&lt;author&gt;Holland, Thomas L.&lt;/author&gt;&lt;author&gt;Fowler, Vance G., Jr.&lt;/author&gt;&lt;/authors&gt;&lt;/contributors&gt;&lt;added-date format="utc"&gt;1676573008&lt;/added-date&gt;&lt;ref-type name="Journal Article"&gt;17&lt;/ref-type&gt;&lt;rec-number&gt;322&lt;/rec-number&gt;&lt;last-updated-date format="utc"&gt;1678058042&lt;/last-updated-date&gt;&lt;accession-num&gt;WOS:000461170200006&lt;/accession-num&gt;&lt;electronic-resource-num&gt;10.1038/s41579-018-0147-4&lt;/electronic-resource-num&gt;&lt;volume&gt;17&lt;/volume&gt;&lt;/record&gt;&lt;/Cite&gt;&lt;/EndNote&gt;</w:instrText>
      </w:r>
      <w:r w:rsidRPr="00314ACB">
        <w:rPr>
          <w:rFonts w:ascii="Times New Roman" w:hAnsi="Times New Roman" w:cs="Times New Roman"/>
          <w:b/>
          <w:bCs/>
        </w:rPr>
        <w:fldChar w:fldCharType="separate"/>
      </w:r>
      <w:r w:rsidRPr="00314ACB">
        <w:rPr>
          <w:rFonts w:ascii="Times New Roman" w:hAnsi="Times New Roman" w:cs="Times New Roman"/>
          <w:b/>
          <w:bCs/>
          <w:noProof/>
        </w:rPr>
        <w:t>(Turner</w:t>
      </w:r>
      <w:r w:rsidRPr="00314ACB">
        <w:rPr>
          <w:rFonts w:ascii="Times New Roman" w:hAnsi="Times New Roman" w:cs="Times New Roman"/>
          <w:b/>
          <w:bCs/>
          <w:i/>
          <w:noProof/>
        </w:rPr>
        <w:t xml:space="preserve"> et al.</w:t>
      </w:r>
      <w:r w:rsidRPr="00314ACB">
        <w:rPr>
          <w:rFonts w:ascii="Times New Roman" w:hAnsi="Times New Roman" w:cs="Times New Roman"/>
          <w:b/>
          <w:bCs/>
          <w:noProof/>
        </w:rPr>
        <w:t>, 2019)</w:t>
      </w:r>
      <w:r w:rsidRPr="00314ACB">
        <w:rPr>
          <w:rFonts w:ascii="Times New Roman" w:hAnsi="Times New Roman" w:cs="Times New Roman"/>
          <w:b/>
          <w:bCs/>
        </w:rPr>
        <w:fldChar w:fldCharType="end"/>
      </w:r>
      <w:r>
        <w:rPr>
          <w:rFonts w:ascii="Times New Roman" w:hAnsi="Times New Roman" w:cs="Times New Roman"/>
        </w:rPr>
        <w:t xml:space="preserve"> and the stringent response has been implicated in its persistence </w:t>
      </w:r>
      <w:r w:rsidRPr="00225507">
        <w:rPr>
          <w:rFonts w:ascii="Times New Roman" w:hAnsi="Times New Roman" w:cs="Times New Roman"/>
          <w:b/>
          <w:bCs/>
        </w:rPr>
        <w:fldChar w:fldCharType="begin"/>
      </w:r>
      <w:r w:rsidRPr="00225507">
        <w:rPr>
          <w:rFonts w:ascii="Times New Roman" w:hAnsi="Times New Roman" w:cs="Times New Roman"/>
          <w:b/>
          <w:bCs/>
        </w:rPr>
        <w:instrText xml:space="preserve"> ADDIN EN.CITE &lt;EndNote&gt;&lt;Cite&gt;&lt;Author&gt;Li&lt;/Author&gt;&lt;Year&gt;2020&lt;/Year&gt;&lt;IDText&gt;The Stringent Response Contributes to Persistent Methicillin-Resistant Staphylococcus aureus Endovascular Infection Through the Purine Biosynthetic Pathway&lt;/IDText&gt;&lt;DisplayText&gt;(Li&lt;style face="italic"&gt; et al.&lt;/style&gt;, 2020)&lt;/DisplayText&gt;&lt;record&gt;&lt;dates&gt;&lt;pub-dates&gt;&lt;date&gt;Oct 1&lt;/date&gt;&lt;/pub-dates&gt;&lt;year&gt;2020&lt;/year&gt;&lt;/dates&gt;&lt;urls&gt;&lt;related-urls&gt;&lt;url&gt;&amp;lt;Go to ISI&amp;gt;://WOS:000577175500019&lt;/url&gt;&lt;/related-urls&gt;&lt;/urls&gt;&lt;isbn&gt;0022-1899&lt;/isbn&gt;&lt;titles&gt;&lt;title&gt;The Stringent Response Contributes to Persistent Methicillin-Resistant Staphylococcus aureus Endovascular Infection Through the Purine Biosynthetic Pathway&lt;/title&gt;&lt;secondary-title&gt;Journal of Infectious Diseases&lt;/secondary-title&gt;&lt;/titles&gt;&lt;pages&gt;1188-1198&lt;/pages&gt;&lt;number&gt;7&lt;/number&gt;&lt;contributors&gt;&lt;authors&gt;&lt;author&gt;Li, Liang&lt;/author&gt;&lt;author&gt;Bayer, Arnold S.&lt;/author&gt;&lt;author&gt;Cheung, Ambrose&lt;/author&gt;&lt;author&gt;Lu, Lou&lt;/author&gt;&lt;author&gt;Abdelhady, Wessam&lt;/author&gt;&lt;author&gt;Donegan, Niles P.&lt;/author&gt;&lt;author&gt;Hong, Jong-In&lt;/author&gt;&lt;author&gt;Yeaman, Michael R.&lt;/author&gt;&lt;author&gt;Xiong, Yan Q.&lt;/author&gt;&lt;/authors&gt;&lt;/contributors&gt;&lt;added-date format="utc"&gt;1668280828&lt;/added-date&gt;&lt;ref-type name="Journal Article"&gt;17&lt;/ref-type&gt;&lt;rec-number&gt;175&lt;/rec-number&gt;&lt;last-updated-date format="utc"&gt;1678058042&lt;/last-updated-date&gt;&lt;accession-num&gt;WOS:000577175500019&lt;/accession-num&gt;&lt;electronic-resource-num&gt;10.1093/infdis/jiaa202&lt;/electronic-resource-num&gt;&lt;volume&gt;222&lt;/volume&gt;&lt;/record&gt;&lt;/Cite&gt;&lt;/EndNote&gt;</w:instrText>
      </w:r>
      <w:r w:rsidRPr="00225507">
        <w:rPr>
          <w:rFonts w:ascii="Times New Roman" w:hAnsi="Times New Roman" w:cs="Times New Roman"/>
          <w:b/>
          <w:bCs/>
        </w:rPr>
        <w:fldChar w:fldCharType="separate"/>
      </w:r>
      <w:r w:rsidRPr="00225507">
        <w:rPr>
          <w:rFonts w:ascii="Times New Roman" w:hAnsi="Times New Roman" w:cs="Times New Roman"/>
          <w:b/>
          <w:bCs/>
          <w:noProof/>
        </w:rPr>
        <w:t>(Li</w:t>
      </w:r>
      <w:r w:rsidRPr="00225507">
        <w:rPr>
          <w:rFonts w:ascii="Times New Roman" w:hAnsi="Times New Roman" w:cs="Times New Roman"/>
          <w:b/>
          <w:bCs/>
          <w:i/>
          <w:noProof/>
        </w:rPr>
        <w:t xml:space="preserve"> et al.</w:t>
      </w:r>
      <w:r w:rsidRPr="00225507">
        <w:rPr>
          <w:rFonts w:ascii="Times New Roman" w:hAnsi="Times New Roman" w:cs="Times New Roman"/>
          <w:b/>
          <w:bCs/>
          <w:noProof/>
        </w:rPr>
        <w:t>, 2020)</w:t>
      </w:r>
      <w:r w:rsidRPr="00225507">
        <w:rPr>
          <w:rFonts w:ascii="Times New Roman" w:hAnsi="Times New Roman" w:cs="Times New Roman"/>
          <w:b/>
          <w:bCs/>
        </w:rPr>
        <w:fldChar w:fldCharType="end"/>
      </w:r>
      <w:r w:rsidRPr="00225507">
        <w:rPr>
          <w:rFonts w:ascii="Times New Roman" w:hAnsi="Times New Roman" w:cs="Times New Roman"/>
          <w:b/>
          <w:bCs/>
        </w:rPr>
        <w:t xml:space="preserve"> </w:t>
      </w:r>
      <w:r>
        <w:rPr>
          <w:rFonts w:ascii="Times New Roman" w:hAnsi="Times New Roman" w:cs="Times New Roman"/>
        </w:rPr>
        <w:t xml:space="preserve">and contributed to difficulties with patient treatment </w:t>
      </w:r>
      <w:r w:rsidRPr="00225507">
        <w:rPr>
          <w:rFonts w:ascii="Times New Roman" w:hAnsi="Times New Roman" w:cs="Times New Roman"/>
          <w:b/>
          <w:bCs/>
        </w:rPr>
        <w:fldChar w:fldCharType="begin"/>
      </w:r>
      <w:r w:rsidRPr="00225507">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related-urls&gt;&lt;/urls&gt;&lt;isbn&gt;1553-7366&lt;/isbn&gt;&lt;titles&gt;&lt;title&gt;&lt;style font="default" size="100%"&gt;Two Novel Point Mutations in Clinical &lt;/style&gt;&lt;style face="italic" font="default" size="100%"&gt;Staphylococcus aureus&lt;/style&gt;&lt;style font="default" size="100%"&gt; Reduce Linezolid Susceptibility and Switch on the Stringent Response to Promote Persistent Infection&lt;/style&gt;&lt;/title&gt;&lt;secondary-title&gt;Plos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format="utc"&gt;1678058042&lt;/last-updated-date&gt;&lt;accession-num&gt;WOS:000279806300018&lt;/accession-num&gt;&lt;electronic-resource-num&gt;10.1371/journal.ppat.1000944&lt;/electronic-resource-num&gt;&lt;volume&gt;6&lt;/volume&gt;&lt;/record&gt;&lt;/Cite&gt;&lt;/EndNote&gt;</w:instrText>
      </w:r>
      <w:r w:rsidRPr="00225507">
        <w:rPr>
          <w:rFonts w:ascii="Times New Roman" w:hAnsi="Times New Roman" w:cs="Times New Roman"/>
          <w:b/>
          <w:bCs/>
        </w:rPr>
        <w:fldChar w:fldCharType="separate"/>
      </w:r>
      <w:r w:rsidRPr="00225507">
        <w:rPr>
          <w:rFonts w:ascii="Times New Roman" w:hAnsi="Times New Roman" w:cs="Times New Roman"/>
          <w:b/>
          <w:bCs/>
          <w:noProof/>
        </w:rPr>
        <w:t>(Gao</w:t>
      </w:r>
      <w:r w:rsidRPr="00225507">
        <w:rPr>
          <w:rFonts w:ascii="Times New Roman" w:hAnsi="Times New Roman" w:cs="Times New Roman"/>
          <w:b/>
          <w:bCs/>
          <w:i/>
          <w:noProof/>
        </w:rPr>
        <w:t xml:space="preserve"> et al.</w:t>
      </w:r>
      <w:r w:rsidRPr="00225507">
        <w:rPr>
          <w:rFonts w:ascii="Times New Roman" w:hAnsi="Times New Roman" w:cs="Times New Roman"/>
          <w:b/>
          <w:bCs/>
          <w:noProof/>
        </w:rPr>
        <w:t>, 2010)</w:t>
      </w:r>
      <w:r w:rsidRPr="00225507">
        <w:rPr>
          <w:rFonts w:ascii="Times New Roman" w:hAnsi="Times New Roman" w:cs="Times New Roman"/>
          <w:b/>
          <w:bCs/>
        </w:rPr>
        <w:fldChar w:fldCharType="end"/>
      </w:r>
      <w:r>
        <w:rPr>
          <w:rFonts w:ascii="Times New Roman" w:hAnsi="Times New Roman" w:cs="Times New Roman"/>
        </w:rPr>
        <w:t>.</w:t>
      </w:r>
    </w:p>
    <w:p w14:paraId="58877B07" w14:textId="77777777" w:rsidR="00187693" w:rsidRDefault="00187693" w:rsidP="00187693">
      <w:p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Chapter 3 details the construction and characterisation of tools to allow the investigation of the stringent response </w:t>
      </w:r>
      <w:r>
        <w:rPr>
          <w:rFonts w:ascii="Times New Roman" w:hAnsi="Times New Roman" w:cs="Times New Roman"/>
          <w:i/>
          <w:iCs/>
        </w:rPr>
        <w:t xml:space="preserve">in vitro </w:t>
      </w:r>
      <w:r>
        <w:rPr>
          <w:rFonts w:ascii="Times New Roman" w:hAnsi="Times New Roman" w:cs="Times New Roman"/>
        </w:rPr>
        <w:t xml:space="preserve">and </w:t>
      </w:r>
      <w:r>
        <w:rPr>
          <w:rFonts w:ascii="Times New Roman" w:hAnsi="Times New Roman" w:cs="Times New Roman"/>
          <w:i/>
          <w:iCs/>
        </w:rPr>
        <w:t>in vivo</w:t>
      </w:r>
      <w:r>
        <w:rPr>
          <w:rFonts w:ascii="Times New Roman" w:hAnsi="Times New Roman" w:cs="Times New Roman"/>
        </w:rPr>
        <w:t xml:space="preserve">. A panel of (p)ppGpp synthetase-deletion mutants provided by Dr Ian Monk were characterised and by sequencing it was revealed that the Rel, RelP and RelQ in the double and triple (p)ppGpp synthetase mutants were inactivated by silent in-frame deletions </w:t>
      </w:r>
      <w:r>
        <w:rPr>
          <w:rFonts w:ascii="Times New Roman" w:hAnsi="Times New Roman" w:cs="Times New Roman"/>
          <w:b/>
          <w:bCs/>
        </w:rPr>
        <w:t>(Fig. 3.2.2)</w:t>
      </w:r>
      <w:r>
        <w:rPr>
          <w:rFonts w:ascii="Times New Roman" w:hAnsi="Times New Roman" w:cs="Times New Roman"/>
        </w:rPr>
        <w:t xml:space="preserve">. These mutants were used in chapters 4 and 5 to examine how the absence of (p)ppGpp affects survival and virulence of </w:t>
      </w:r>
      <w:r>
        <w:rPr>
          <w:rFonts w:ascii="Times New Roman" w:hAnsi="Times New Roman" w:cs="Times New Roman"/>
          <w:i/>
          <w:iCs/>
        </w:rPr>
        <w:t xml:space="preserve">S. aureus. </w:t>
      </w:r>
      <w:r>
        <w:rPr>
          <w:rFonts w:ascii="Times New Roman" w:hAnsi="Times New Roman" w:cs="Times New Roman"/>
        </w:rPr>
        <w:t xml:space="preserve">Furthermore, as (p)ppGpp overproduction in a clinical isolate resulted in antibiotic resistance due to a HD domain mutation (uncontrolled (p)ppGpp production) </w:t>
      </w:r>
      <w:r w:rsidRPr="00931603">
        <w:rPr>
          <w:rFonts w:ascii="Times New Roman" w:hAnsi="Times New Roman" w:cs="Times New Roman"/>
          <w:b/>
          <w:bCs/>
        </w:rPr>
        <w:fldChar w:fldCharType="begin"/>
      </w:r>
      <w:r w:rsidRPr="00931603">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related-urls&gt;&lt;/urls&gt;&lt;isbn&gt;1553-7366&lt;/isbn&gt;&lt;titles&gt;&lt;title&gt;&lt;style font="default" size="100%"&gt;Two Novel Point Mutations in Clinical &lt;/style&gt;&lt;style face="italic" font="default" size="100%"&gt;Staphylococcus aureus&lt;/style&gt;&lt;style font="default" size="100%"&gt; Reduce Linezolid Susceptibility and Switch on the Stringent Response to Promote Persistent Infection&lt;/style&gt;&lt;/title&gt;&lt;secondary-title&gt;Plos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format="utc"&gt;1678058042&lt;/last-updated-date&gt;&lt;accession-num&gt;WOS:000279806300018&lt;/accession-num&gt;&lt;electronic-resource-num&gt;10.1371/journal.ppat.1000944&lt;/electronic-resource-num&gt;&lt;volume&gt;6&lt;/volume&gt;&lt;/record&gt;&lt;/Cite&gt;&lt;/EndNote&gt;</w:instrText>
      </w:r>
      <w:r w:rsidRPr="00931603">
        <w:rPr>
          <w:rFonts w:ascii="Times New Roman" w:hAnsi="Times New Roman" w:cs="Times New Roman"/>
          <w:b/>
          <w:bCs/>
        </w:rPr>
        <w:fldChar w:fldCharType="separate"/>
      </w:r>
      <w:r w:rsidRPr="00931603">
        <w:rPr>
          <w:rFonts w:ascii="Times New Roman" w:hAnsi="Times New Roman" w:cs="Times New Roman"/>
          <w:b/>
          <w:bCs/>
          <w:noProof/>
        </w:rPr>
        <w:t>(Gao</w:t>
      </w:r>
      <w:r w:rsidRPr="00931603">
        <w:rPr>
          <w:rFonts w:ascii="Times New Roman" w:hAnsi="Times New Roman" w:cs="Times New Roman"/>
          <w:b/>
          <w:bCs/>
          <w:i/>
          <w:noProof/>
        </w:rPr>
        <w:t xml:space="preserve"> et al.</w:t>
      </w:r>
      <w:r w:rsidRPr="00931603">
        <w:rPr>
          <w:rFonts w:ascii="Times New Roman" w:hAnsi="Times New Roman" w:cs="Times New Roman"/>
          <w:b/>
          <w:bCs/>
          <w:noProof/>
        </w:rPr>
        <w:t>, 2010)</w:t>
      </w:r>
      <w:r w:rsidRPr="00931603">
        <w:rPr>
          <w:rFonts w:ascii="Times New Roman" w:hAnsi="Times New Roman" w:cs="Times New Roman"/>
          <w:b/>
          <w:bCs/>
        </w:rPr>
        <w:fldChar w:fldCharType="end"/>
      </w:r>
      <w:r>
        <w:rPr>
          <w:rFonts w:ascii="Times New Roman" w:hAnsi="Times New Roman" w:cs="Times New Roman"/>
        </w:rPr>
        <w:t>, the construction of an overproduction strain was attempted. This strain was based on work by Gratani and colleagues and encoded for the Rel (p)ppGpp synthetase lacking the CTD and with a HD domain mutation on an integrative plasmid (pCL55-iTET</w:t>
      </w:r>
      <w:r>
        <w:rPr>
          <w:rFonts w:ascii="Times New Roman" w:hAnsi="Times New Roman" w:cs="Times New Roman"/>
          <w:vertAlign w:val="subscript"/>
        </w:rPr>
        <w:t>r862</w:t>
      </w:r>
      <w:r>
        <w:rPr>
          <w:rFonts w:ascii="Times New Roman" w:hAnsi="Times New Roman" w:cs="Times New Roman"/>
        </w:rPr>
        <w:t xml:space="preserve">) where expression can be controlled using the inducer Atc </w:t>
      </w:r>
      <w:r>
        <w:rPr>
          <w:rFonts w:ascii="Times New Roman" w:hAnsi="Times New Roman" w:cs="Times New Roman"/>
          <w:b/>
          <w:bCs/>
        </w:rPr>
        <w:t>(Fig 3.3.1)</w:t>
      </w:r>
      <w:r>
        <w:rPr>
          <w:rFonts w:ascii="Times New Roman" w:hAnsi="Times New Roman" w:cs="Times New Roman"/>
        </w:rPr>
        <w:t>. However, this strain, whilst displaying a growth defect in the presence of Atc, (</w:t>
      </w:r>
      <w:r>
        <w:rPr>
          <w:rFonts w:ascii="Times New Roman" w:hAnsi="Times New Roman" w:cs="Times New Roman"/>
          <w:b/>
          <w:bCs/>
        </w:rPr>
        <w:t xml:space="preserve">Fig. 3.3.3a, b and d) </w:t>
      </w:r>
      <w:r>
        <w:rPr>
          <w:rFonts w:ascii="Times New Roman" w:hAnsi="Times New Roman" w:cs="Times New Roman"/>
        </w:rPr>
        <w:t xml:space="preserve">was shown not to produce any more (p)ppGpp than the controls when analysed by TLC </w:t>
      </w:r>
      <w:r>
        <w:rPr>
          <w:rFonts w:ascii="Times New Roman" w:hAnsi="Times New Roman" w:cs="Times New Roman"/>
          <w:b/>
          <w:bCs/>
        </w:rPr>
        <w:t>(Fig. 3.3.3g)</w:t>
      </w:r>
      <w:r>
        <w:rPr>
          <w:rFonts w:ascii="Times New Roman" w:hAnsi="Times New Roman" w:cs="Times New Roman"/>
        </w:rPr>
        <w:t>. Therefore, alternative (p)ppGpp overproduction strains were constructed on both integrative (pCL55-iTET</w:t>
      </w:r>
      <w:r>
        <w:rPr>
          <w:rFonts w:ascii="Times New Roman" w:hAnsi="Times New Roman" w:cs="Times New Roman"/>
          <w:vertAlign w:val="subscript"/>
        </w:rPr>
        <w:t>r862</w:t>
      </w:r>
      <w:r>
        <w:rPr>
          <w:rFonts w:ascii="Times New Roman" w:hAnsi="Times New Roman" w:cs="Times New Roman"/>
        </w:rPr>
        <w:t xml:space="preserve">) and multicopy (pALC2073) vectors for </w:t>
      </w:r>
      <w:r>
        <w:rPr>
          <w:rFonts w:ascii="Times New Roman" w:hAnsi="Times New Roman" w:cs="Times New Roman"/>
          <w:i/>
          <w:iCs/>
        </w:rPr>
        <w:t>in vivo</w:t>
      </w:r>
      <w:r>
        <w:rPr>
          <w:rFonts w:ascii="Times New Roman" w:hAnsi="Times New Roman" w:cs="Times New Roman"/>
        </w:rPr>
        <w:t xml:space="preserve"> and </w:t>
      </w:r>
      <w:r>
        <w:rPr>
          <w:rFonts w:ascii="Times New Roman" w:hAnsi="Times New Roman" w:cs="Times New Roman"/>
          <w:i/>
          <w:iCs/>
        </w:rPr>
        <w:t xml:space="preserve">in vitro </w:t>
      </w:r>
      <w:r>
        <w:rPr>
          <w:rFonts w:ascii="Times New Roman" w:hAnsi="Times New Roman" w:cs="Times New Roman"/>
        </w:rPr>
        <w:t xml:space="preserve">use respectively. Here, additional copies of the (p)ppGpp synthetases were introduced into JE2 WT and expression was also controlled via Atc </w:t>
      </w:r>
      <w:r>
        <w:rPr>
          <w:rFonts w:ascii="Times New Roman" w:hAnsi="Times New Roman" w:cs="Times New Roman"/>
          <w:b/>
          <w:bCs/>
        </w:rPr>
        <w:t>(Fig. 3.3.4)</w:t>
      </w:r>
      <w:r>
        <w:rPr>
          <w:rFonts w:ascii="Times New Roman" w:hAnsi="Times New Roman" w:cs="Times New Roman"/>
        </w:rPr>
        <w:t>.</w:t>
      </w:r>
    </w:p>
    <w:p w14:paraId="60879767" w14:textId="77777777" w:rsidR="00187693"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The construction of (p)ppGpp probes to report on (p)ppGpp levels both directly and indirectly, was largely unsuccessful. Riboswitch-based molecular biosensors fused to RNA-aptamers, such as Broccoli and Spinach, have previously been utilised to report on cellular nucleotide levels </w:t>
      </w:r>
      <w:r w:rsidRPr="007F53D7">
        <w:rPr>
          <w:rFonts w:ascii="Times New Roman" w:hAnsi="Times New Roman" w:cs="Times New Roman"/>
          <w:b/>
          <w:bCs/>
        </w:rPr>
        <w:fldChar w:fldCharType="begin">
          <w:fldData xml:space="preserve">PEVuZE5vdGU+PENpdGU+PEF1dGhvcj5LZWxsZW5iZXJnZXI8L0F1dGhvcj48WWVhcj4yMDE1PC9Z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</w:fldData>
        </w:fldChar>
      </w:r>
      <w:r w:rsidRPr="007F53D7">
        <w:rPr>
          <w:rFonts w:ascii="Times New Roman" w:hAnsi="Times New Roman" w:cs="Times New Roman"/>
          <w:b/>
          <w:bCs/>
        </w:rPr>
        <w:instrText xml:space="preserve"> ADDIN EN.CITE </w:instrText>
      </w:r>
      <w:r w:rsidRPr="007F53D7">
        <w:rPr>
          <w:rFonts w:ascii="Times New Roman" w:hAnsi="Times New Roman" w:cs="Times New Roman"/>
          <w:b/>
          <w:bCs/>
        </w:rPr>
        <w:fldChar w:fldCharType="begin">
          <w:fldData xml:space="preserve">PEVuZE5vdGU+PENpdGU+PEF1dGhvcj5LZWxsZW5iZXJnZXI8L0F1dGhvcj48WWVhcj4yMDE1PC9Z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</w:fldData>
        </w:fldChar>
      </w:r>
      <w:r w:rsidRPr="007F53D7">
        <w:rPr>
          <w:rFonts w:ascii="Times New Roman" w:hAnsi="Times New Roman" w:cs="Times New Roman"/>
          <w:b/>
          <w:bCs/>
        </w:rPr>
        <w:instrText xml:space="preserve"> ADDIN EN.CITE.DATA </w:instrText>
      </w:r>
      <w:r w:rsidRPr="007F53D7">
        <w:rPr>
          <w:rFonts w:ascii="Times New Roman" w:hAnsi="Times New Roman" w:cs="Times New Roman"/>
          <w:b/>
          <w:bCs/>
        </w:rPr>
      </w:r>
      <w:r w:rsidRPr="007F53D7">
        <w:rPr>
          <w:rFonts w:ascii="Times New Roman" w:hAnsi="Times New Roman" w:cs="Times New Roman"/>
          <w:b/>
          <w:bCs/>
        </w:rPr>
        <w:fldChar w:fldCharType="end"/>
      </w:r>
      <w:r w:rsidRPr="007F53D7">
        <w:rPr>
          <w:rFonts w:ascii="Times New Roman" w:hAnsi="Times New Roman" w:cs="Times New Roman"/>
          <w:b/>
          <w:bCs/>
        </w:rPr>
      </w:r>
      <w:r w:rsidRPr="007F53D7">
        <w:rPr>
          <w:rFonts w:ascii="Times New Roman" w:hAnsi="Times New Roman" w:cs="Times New Roman"/>
          <w:b/>
          <w:bCs/>
        </w:rPr>
        <w:fldChar w:fldCharType="separate"/>
      </w:r>
      <w:r w:rsidRPr="007F53D7">
        <w:rPr>
          <w:rFonts w:ascii="Times New Roman" w:hAnsi="Times New Roman" w:cs="Times New Roman"/>
          <w:b/>
          <w:bCs/>
          <w:noProof/>
        </w:rPr>
        <w:t>(Kellenberger</w:t>
      </w:r>
      <w:r w:rsidRPr="007F53D7">
        <w:rPr>
          <w:rFonts w:ascii="Times New Roman" w:hAnsi="Times New Roman" w:cs="Times New Roman"/>
          <w:b/>
          <w:bCs/>
          <w:i/>
          <w:noProof/>
        </w:rPr>
        <w:t xml:space="preserve"> et al.</w:t>
      </w:r>
      <w:r w:rsidRPr="007F53D7">
        <w:rPr>
          <w:rFonts w:ascii="Times New Roman" w:hAnsi="Times New Roman" w:cs="Times New Roman"/>
          <w:b/>
          <w:bCs/>
          <w:noProof/>
        </w:rPr>
        <w:t>, 2015; Sherlock, Sudarsan and Breaker, 2018; Sun</w:t>
      </w:r>
      <w:r w:rsidRPr="007F53D7">
        <w:rPr>
          <w:rFonts w:ascii="Times New Roman" w:hAnsi="Times New Roman" w:cs="Times New Roman"/>
          <w:b/>
          <w:bCs/>
          <w:i/>
          <w:noProof/>
        </w:rPr>
        <w:t xml:space="preserve"> et al.</w:t>
      </w:r>
      <w:r w:rsidRPr="007F53D7">
        <w:rPr>
          <w:rFonts w:ascii="Times New Roman" w:hAnsi="Times New Roman" w:cs="Times New Roman"/>
          <w:b/>
          <w:bCs/>
          <w:noProof/>
        </w:rPr>
        <w:t>, 2021)</w:t>
      </w:r>
      <w:r w:rsidRPr="007F53D7">
        <w:rPr>
          <w:rFonts w:ascii="Times New Roman" w:hAnsi="Times New Roman" w:cs="Times New Roman"/>
          <w:b/>
          <w:bCs/>
        </w:rPr>
        <w:fldChar w:fldCharType="end"/>
      </w:r>
      <w:r>
        <w:rPr>
          <w:rFonts w:ascii="Times New Roman" w:hAnsi="Times New Roman" w:cs="Times New Roman"/>
        </w:rPr>
        <w:t xml:space="preserve">. As these biosensors have been employed in </w:t>
      </w:r>
      <w:r>
        <w:rPr>
          <w:rFonts w:ascii="Times New Roman" w:hAnsi="Times New Roman" w:cs="Times New Roman"/>
          <w:i/>
          <w:iCs/>
        </w:rPr>
        <w:t>S. aureus</w:t>
      </w:r>
      <w:r>
        <w:rPr>
          <w:rFonts w:ascii="Times New Roman" w:hAnsi="Times New Roman" w:cs="Times New Roman"/>
        </w:rPr>
        <w:t xml:space="preserve"> to measure c-di-AMP levels</w:t>
      </w:r>
      <w:r>
        <w:rPr>
          <w:rFonts w:ascii="Times New Roman" w:hAnsi="Times New Roman" w:cs="Times New Roman"/>
          <w:i/>
          <w:iCs/>
        </w:rPr>
        <w:t xml:space="preserve"> </w:t>
      </w:r>
      <w:r w:rsidRPr="0055412D">
        <w:rPr>
          <w:rFonts w:ascii="Times New Roman" w:hAnsi="Times New Roman" w:cs="Times New Roman"/>
          <w:b/>
          <w:bCs/>
        </w:rPr>
        <w:fldChar w:fldCharType="begin"/>
      </w:r>
      <w:r w:rsidRPr="0055412D">
        <w:rPr>
          <w:rFonts w:ascii="Times New Roman" w:hAnsi="Times New Roman" w:cs="Times New Roman"/>
          <w:b/>
          <w:bCs/>
        </w:rPr>
        <w:instrText xml:space="preserve"> ADDIN EN.CITE &lt;EndNote&gt;&lt;Cite&gt;&lt;Author&gt;Syed&lt;/Author&gt;&lt;Year&gt;2020&lt;/Year&gt;&lt;IDText&gt;Biofilm Formation by Staphylococcus aureus is Triggered by a Drop in the Levels of the Second Messenger cyclic-di-AMP&lt;/IDText&gt;&lt;DisplayText&gt;(Syed&lt;style face="italic"&gt; et al.&lt;/style&gt;, 2020)&lt;/DisplayText&gt;&lt;record&gt;&lt;titles&gt;&lt;title&gt;&lt;style font="default" size="100%"&gt;Biofilm Formation by &lt;/style&gt;&lt;style face="italic" font="default" size="100%"&gt;Staphylococcus aureus&lt;/style&gt;&lt;style font="default" size="100%"&gt; is Triggered by a Drop in the Levels of the Second Messenger cyclic-di-AMP&lt;/style&gt;&lt;/title&gt;&lt;secondary-title&gt;bioRxiv&lt;/secondary-title&gt;&lt;/titles&gt;&lt;contributors&gt;&lt;authors&gt;&lt;author&gt;Syed,  Adnan K&lt;/author&gt;&lt;author&gt;Vickery   , Christopher R&lt;/author&gt;&lt;author&gt;Lenhart   , Teliesin&lt;/author&gt;&lt;author&gt;Llewellyn   , Eliza   View ORCID Profile&lt;/author&gt;&lt;author&gt;Walker  , Suzanne&lt;/author&gt;&lt;author&gt;View ORCID Profile  Losick, Richard&lt;/author&gt;&lt;/authors&gt;&lt;/contributors&gt;&lt;added-date format="utc"&gt;1676070492&lt;/added-date&gt;&lt;ref-type name="Journal Article"&gt;17&lt;/ref-type&gt;&lt;dates&gt;&lt;year&gt;2020&lt;/year&gt;&lt;/dates&gt;&lt;rec-number&gt;313&lt;/rec-number&gt;&lt;last-updated-date format="utc"&gt;1678666370&lt;/last-updated-date&gt;&lt;/record&gt;&lt;/Cite&gt;&lt;/EndNote&gt;</w:instrText>
      </w:r>
      <w:r w:rsidRPr="0055412D">
        <w:rPr>
          <w:rFonts w:ascii="Times New Roman" w:hAnsi="Times New Roman" w:cs="Times New Roman"/>
          <w:b/>
          <w:bCs/>
        </w:rPr>
        <w:fldChar w:fldCharType="separate"/>
      </w:r>
      <w:r w:rsidRPr="0055412D">
        <w:rPr>
          <w:rFonts w:ascii="Times New Roman" w:hAnsi="Times New Roman" w:cs="Times New Roman"/>
          <w:b/>
          <w:bCs/>
          <w:noProof/>
        </w:rPr>
        <w:t>(Syed et al., 2020)</w:t>
      </w:r>
      <w:r w:rsidRPr="0055412D">
        <w:rPr>
          <w:rFonts w:ascii="Times New Roman" w:hAnsi="Times New Roman" w:cs="Times New Roman"/>
          <w:b/>
          <w:bCs/>
        </w:rPr>
        <w:fldChar w:fldCharType="end"/>
      </w:r>
      <w:r>
        <w:rPr>
          <w:rFonts w:ascii="Times New Roman" w:hAnsi="Times New Roman" w:cs="Times New Roman"/>
        </w:rPr>
        <w:t xml:space="preserve">, it was also attempted in this study. Using the construct described by Sun and colleagues, constructs were designed and characterised </w:t>
      </w:r>
      <w:r w:rsidRPr="000E3E02">
        <w:rPr>
          <w:rFonts w:ascii="Times New Roman" w:hAnsi="Times New Roman" w:cs="Times New Roman"/>
          <w:b/>
          <w:bCs/>
        </w:rPr>
        <w:fldChar w:fldCharType="begin"/>
      </w:r>
      <w:r w:rsidRPr="000E3E02">
        <w:rPr>
          <w:rFonts w:ascii="Times New Roman" w:hAnsi="Times New Roman" w:cs="Times New Roman"/>
          <w:b/>
          <w:bCs/>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format="utc"&gt;1678058042&lt;/last-updated-date&gt;&lt;accession-num&gt;WOS:000703547600001&lt;/accession-num&gt;&lt;electronic-resource-num&gt;10.1002/anie.202111170&lt;/electronic-resource-num&gt;&lt;volume&gt;60&lt;/volume&gt;&lt;/record&gt;&lt;/Cite&gt;&lt;/EndNote&gt;</w:instrText>
      </w:r>
      <w:r w:rsidRPr="000E3E02">
        <w:rPr>
          <w:rFonts w:ascii="Times New Roman" w:hAnsi="Times New Roman" w:cs="Times New Roman"/>
          <w:b/>
          <w:bCs/>
        </w:rPr>
        <w:fldChar w:fldCharType="separate"/>
      </w:r>
      <w:r w:rsidRPr="000E3E02">
        <w:rPr>
          <w:rFonts w:ascii="Times New Roman" w:hAnsi="Times New Roman" w:cs="Times New Roman"/>
          <w:b/>
          <w:bCs/>
          <w:noProof/>
        </w:rPr>
        <w:t>(Sun</w:t>
      </w:r>
      <w:r w:rsidRPr="000E3E02">
        <w:rPr>
          <w:rFonts w:ascii="Times New Roman" w:hAnsi="Times New Roman" w:cs="Times New Roman"/>
          <w:b/>
          <w:bCs/>
          <w:i/>
          <w:noProof/>
        </w:rPr>
        <w:t xml:space="preserve"> et al.</w:t>
      </w:r>
      <w:r w:rsidRPr="000E3E02">
        <w:rPr>
          <w:rFonts w:ascii="Times New Roman" w:hAnsi="Times New Roman" w:cs="Times New Roman"/>
          <w:b/>
          <w:bCs/>
          <w:noProof/>
        </w:rPr>
        <w:t>, 2021)</w:t>
      </w:r>
      <w:r w:rsidRPr="000E3E02">
        <w:rPr>
          <w:rFonts w:ascii="Times New Roman" w:hAnsi="Times New Roman" w:cs="Times New Roman"/>
          <w:b/>
          <w:bCs/>
        </w:rPr>
        <w:fldChar w:fldCharType="end"/>
      </w:r>
      <w:r w:rsidRPr="000E3E02">
        <w:rPr>
          <w:rFonts w:ascii="Times New Roman" w:hAnsi="Times New Roman" w:cs="Times New Roman"/>
        </w:rPr>
        <w:t>.</w:t>
      </w:r>
      <w:r>
        <w:rPr>
          <w:rFonts w:ascii="Times New Roman" w:hAnsi="Times New Roman" w:cs="Times New Roman"/>
        </w:rPr>
        <w:t xml:space="preserve"> Sun and colleagues designed a biosensor consisting of the </w:t>
      </w:r>
      <w:r>
        <w:rPr>
          <w:rFonts w:ascii="Times New Roman" w:hAnsi="Times New Roman" w:cs="Times New Roman"/>
          <w:i/>
          <w:iCs/>
        </w:rPr>
        <w:t xml:space="preserve">ykkc </w:t>
      </w:r>
      <w:r>
        <w:rPr>
          <w:rFonts w:ascii="Times New Roman" w:hAnsi="Times New Roman" w:cs="Times New Roman"/>
        </w:rPr>
        <w:t xml:space="preserve">riboswitch fused to the RNA aptamer, Broccoli. Here, the researchers used fluorescence microscopy to observe fluorescence generated by this biosensor (an indicator of (p)ppGpp production) within live </w:t>
      </w:r>
      <w:r>
        <w:rPr>
          <w:rFonts w:ascii="Times New Roman" w:hAnsi="Times New Roman" w:cs="Times New Roman"/>
          <w:i/>
          <w:iCs/>
        </w:rPr>
        <w:t>E. coli</w:t>
      </w:r>
      <w:r>
        <w:rPr>
          <w:rFonts w:ascii="Times New Roman" w:hAnsi="Times New Roman" w:cs="Times New Roman"/>
        </w:rPr>
        <w:t xml:space="preserve"> and in response to amino acid starvation </w:t>
      </w:r>
      <w:r w:rsidRPr="00AB5C26">
        <w:rPr>
          <w:rFonts w:ascii="Times New Roman" w:hAnsi="Times New Roman" w:cs="Times New Roman"/>
          <w:b/>
          <w:bCs/>
        </w:rPr>
        <w:fldChar w:fldCharType="begin"/>
      </w:r>
      <w:r w:rsidRPr="00AB5C26">
        <w:rPr>
          <w:rFonts w:ascii="Times New Roman" w:hAnsi="Times New Roman" w:cs="Times New Roman"/>
          <w:b/>
          <w:bCs/>
        </w:rPr>
        <w:instrText xml:space="preserve"> ADDIN EN.CITE &lt;EndNote&gt;&lt;Cite&gt;&lt;Author&gt;Sun&lt;/Author&gt;&lt;Year&gt;2021&lt;/Year&gt;&lt;IDText&gt;Live-Cell Imaging of Guanosine Tetra- and Pentaphosphate (p)ppGpp with RNA-based Fluorescent Sensors**&lt;/IDText&gt;&lt;DisplayText&gt;(Sun&lt;style face="italic"&gt; et al.&lt;/style&gt;, 2021)&lt;/DisplayText&gt;&lt;record&gt;&lt;dates&gt;&lt;pub-dates&gt;&lt;date&gt;Nov 2&lt;/date&gt;&lt;/pub-dates&gt;&lt;year&gt;2021&lt;/year&gt;&lt;/dates&gt;&lt;urls&gt;&lt;related-urls&gt;&lt;url&gt;&amp;lt;Go to ISI&amp;gt;://WOS:000703547600001&lt;/url&gt;&lt;/related-urls&gt;&lt;/urls&gt;&lt;isbn&gt;1433-7851&lt;/isbn&gt;&lt;titles&gt;&lt;title&gt;Live-Cell Imaging of Guanosine Tetra- and Pentaphosphate (p)ppGpp with RNA-based Fluorescent Sensors**&lt;/title&gt;&lt;secondary-title&gt;Angewandte Chemie-International Edition&lt;/secondary-title&gt;&lt;/titles&gt;&lt;pages&gt;24070-24074&lt;/pages&gt;&lt;number&gt;45&lt;/number&gt;&lt;contributors&gt;&lt;authors&gt;&lt;author&gt;Sun, Zhining&lt;/author&gt;&lt;author&gt;Wu, Rigumula&lt;/author&gt;&lt;author&gt;Zhao, Bin&lt;/author&gt;&lt;author&gt;Zeinert, Rilee&lt;/author&gt;&lt;author&gt;Chien, Peter&lt;/author&gt;&lt;author&gt;You, Mingxu&lt;/author&gt;&lt;/authors&gt;&lt;/contributors&gt;&lt;added-date format="utc"&gt;1663615431&lt;/added-date&gt;&lt;ref-type name="Journal Article"&gt;17&lt;/ref-type&gt;&lt;rec-number&gt;96&lt;/rec-number&gt;&lt;last-updated-date format="utc"&gt;1678058042&lt;/last-updated-date&gt;&lt;accession-num&gt;WOS:000703547600001&lt;/accession-num&gt;&lt;electronic-resource-num&gt;10.1002/anie.202111170&lt;/electronic-resource-num&gt;&lt;volume&gt;60&lt;/volume&gt;&lt;/record&gt;&lt;/Cite&gt;&lt;/EndNote&gt;</w:instrText>
      </w:r>
      <w:r w:rsidRPr="00AB5C26">
        <w:rPr>
          <w:rFonts w:ascii="Times New Roman" w:hAnsi="Times New Roman" w:cs="Times New Roman"/>
          <w:b/>
          <w:bCs/>
        </w:rPr>
        <w:fldChar w:fldCharType="separate"/>
      </w:r>
      <w:r w:rsidRPr="00AB5C26">
        <w:rPr>
          <w:rFonts w:ascii="Times New Roman" w:hAnsi="Times New Roman" w:cs="Times New Roman"/>
          <w:b/>
          <w:bCs/>
          <w:noProof/>
        </w:rPr>
        <w:t>(Sun</w:t>
      </w:r>
      <w:r w:rsidRPr="00AB5C26">
        <w:rPr>
          <w:rFonts w:ascii="Times New Roman" w:hAnsi="Times New Roman" w:cs="Times New Roman"/>
          <w:b/>
          <w:bCs/>
          <w:i/>
          <w:noProof/>
        </w:rPr>
        <w:t xml:space="preserve"> et al.</w:t>
      </w:r>
      <w:r w:rsidRPr="00AB5C26">
        <w:rPr>
          <w:rFonts w:ascii="Times New Roman" w:hAnsi="Times New Roman" w:cs="Times New Roman"/>
          <w:b/>
          <w:bCs/>
          <w:noProof/>
        </w:rPr>
        <w:t>, 2021)</w:t>
      </w:r>
      <w:r w:rsidRPr="00AB5C26">
        <w:rPr>
          <w:rFonts w:ascii="Times New Roman" w:hAnsi="Times New Roman" w:cs="Times New Roman"/>
          <w:b/>
          <w:bCs/>
        </w:rPr>
        <w:fldChar w:fldCharType="end"/>
      </w:r>
      <w:r>
        <w:rPr>
          <w:rFonts w:ascii="Times New Roman" w:hAnsi="Times New Roman" w:cs="Times New Roman"/>
        </w:rPr>
        <w:t xml:space="preserve">. Consequently, this study utilised the same biosensor construct to investigate when (p)ppGpp is produced in </w:t>
      </w:r>
      <w:r>
        <w:rPr>
          <w:rFonts w:ascii="Times New Roman" w:hAnsi="Times New Roman" w:cs="Times New Roman"/>
          <w:i/>
          <w:iCs/>
        </w:rPr>
        <w:t>S. aureus.</w:t>
      </w:r>
      <w:r>
        <w:rPr>
          <w:rFonts w:ascii="Times New Roman" w:hAnsi="Times New Roman" w:cs="Times New Roman"/>
        </w:rPr>
        <w:t xml:space="preserve"> While </w:t>
      </w:r>
      <w:r>
        <w:rPr>
          <w:rFonts w:ascii="Times New Roman" w:hAnsi="Times New Roman" w:cs="Times New Roman"/>
          <w:i/>
          <w:iCs/>
        </w:rPr>
        <w:t>in vitro</w:t>
      </w:r>
      <w:r>
        <w:rPr>
          <w:rFonts w:ascii="Times New Roman" w:hAnsi="Times New Roman" w:cs="Times New Roman"/>
        </w:rPr>
        <w:t xml:space="preserve"> transcription assays confirmed the functionality of the construct </w:t>
      </w:r>
      <w:r>
        <w:rPr>
          <w:rFonts w:ascii="Times New Roman" w:hAnsi="Times New Roman" w:cs="Times New Roman"/>
          <w:b/>
          <w:bCs/>
        </w:rPr>
        <w:t>(Fig. 3.4.3a)</w:t>
      </w:r>
      <w:r>
        <w:rPr>
          <w:rFonts w:ascii="Times New Roman" w:hAnsi="Times New Roman" w:cs="Times New Roman"/>
        </w:rPr>
        <w:t xml:space="preserve">, fluorescence measurements of constructs on both single copy integrative vectors and multicopy vectors within live </w:t>
      </w:r>
      <w:r>
        <w:rPr>
          <w:rFonts w:ascii="Times New Roman" w:hAnsi="Times New Roman" w:cs="Times New Roman"/>
          <w:i/>
          <w:iCs/>
        </w:rPr>
        <w:t>S. aureus</w:t>
      </w:r>
      <w:r>
        <w:rPr>
          <w:rFonts w:ascii="Times New Roman" w:hAnsi="Times New Roman" w:cs="Times New Roman"/>
        </w:rPr>
        <w:t xml:space="preserve"> revealed that fluorescence was not detectable using the methods employed in this study </w:t>
      </w:r>
      <w:r>
        <w:rPr>
          <w:rFonts w:ascii="Times New Roman" w:hAnsi="Times New Roman" w:cs="Times New Roman"/>
          <w:b/>
          <w:bCs/>
        </w:rPr>
        <w:t>(Fig. 3.4.3 and 3.4.5)</w:t>
      </w:r>
      <w:r>
        <w:rPr>
          <w:rFonts w:ascii="Times New Roman" w:hAnsi="Times New Roman" w:cs="Times New Roman"/>
        </w:rPr>
        <w:t xml:space="preserve">. Ultimately, the most likely explanation for this is that the </w:t>
      </w:r>
      <w:r>
        <w:rPr>
          <w:rFonts w:ascii="Times New Roman" w:hAnsi="Times New Roman" w:cs="Times New Roman"/>
          <w:i/>
          <w:iCs/>
        </w:rPr>
        <w:t xml:space="preserve">ykkc </w:t>
      </w:r>
      <w:r>
        <w:rPr>
          <w:rFonts w:ascii="Times New Roman" w:hAnsi="Times New Roman" w:cs="Times New Roman"/>
        </w:rPr>
        <w:t>riboswitch, taken from the Gram-negative</w:t>
      </w:r>
      <w:r>
        <w:rPr>
          <w:rFonts w:ascii="Times New Roman" w:hAnsi="Times New Roman" w:cs="Times New Roman"/>
          <w:i/>
          <w:iCs/>
        </w:rPr>
        <w:t xml:space="preserve"> T. oceani</w:t>
      </w:r>
      <w:r>
        <w:rPr>
          <w:rFonts w:ascii="Times New Roman" w:hAnsi="Times New Roman" w:cs="Times New Roman"/>
        </w:rPr>
        <w:t xml:space="preserve">, cannot be stably expressed in a heterologous manner within Gram-positive bacteria such as </w:t>
      </w:r>
      <w:r>
        <w:rPr>
          <w:rFonts w:ascii="Times New Roman" w:hAnsi="Times New Roman" w:cs="Times New Roman"/>
          <w:i/>
          <w:iCs/>
        </w:rPr>
        <w:t xml:space="preserve">S. aureus. </w:t>
      </w:r>
      <w:r>
        <w:rPr>
          <w:rFonts w:ascii="Times New Roman" w:hAnsi="Times New Roman" w:cs="Times New Roman"/>
        </w:rPr>
        <w:t xml:space="preserve">However, it is also possible that the methods used to detect fluorescence levels produced by the riboswitch-based molecular biosensor are not sensitive enough and thus, fluorescence microscopy may be a better alternative method. </w:t>
      </w:r>
    </w:p>
    <w:p w14:paraId="4CC83EC8" w14:textId="0C44994D" w:rsidR="00187693" w:rsidRPr="002C4090" w:rsidRDefault="00187693" w:rsidP="00187693">
      <w:pPr>
        <w:spacing w:line="360" w:lineRule="auto"/>
        <w:jc w:val="both"/>
        <w:rPr>
          <w:rFonts w:ascii="Times New Roman" w:hAnsi="Times New Roman" w:cs="Times New Roman"/>
          <w:i/>
          <w:iCs/>
        </w:rPr>
      </w:pPr>
      <w:r>
        <w:rPr>
          <w:rFonts w:ascii="Times New Roman" w:hAnsi="Times New Roman" w:cs="Times New Roman"/>
        </w:rPr>
        <w:tab/>
        <w:t>Similarly, the transcriptional dual promoter-reporter fusion w</w:t>
      </w:r>
      <w:r w:rsidR="003F494B">
        <w:rPr>
          <w:rFonts w:ascii="Times New Roman" w:hAnsi="Times New Roman" w:cs="Times New Roman"/>
        </w:rPr>
        <w:t>as</w:t>
      </w:r>
      <w:r>
        <w:rPr>
          <w:rFonts w:ascii="Times New Roman" w:hAnsi="Times New Roman" w:cs="Times New Roman"/>
        </w:rPr>
        <w:t xml:space="preserve"> unable to shed light on the transcriptional activity of promoters of genes that have been reported to be highly up- (</w:t>
      </w:r>
      <w:r>
        <w:rPr>
          <w:rFonts w:ascii="Times New Roman" w:hAnsi="Times New Roman" w:cs="Times New Roman"/>
          <w:i/>
          <w:iCs/>
        </w:rPr>
        <w:t>ilv</w:t>
      </w:r>
      <w:r w:rsidR="002C4090">
        <w:rPr>
          <w:rFonts w:ascii="Times New Roman" w:hAnsi="Times New Roman" w:cs="Times New Roman"/>
          <w:i/>
          <w:iCs/>
        </w:rPr>
        <w:t>D</w:t>
      </w:r>
      <w:r>
        <w:rPr>
          <w:rFonts w:ascii="Times New Roman" w:hAnsi="Times New Roman" w:cs="Times New Roman"/>
        </w:rPr>
        <w:t>) and downregulated (</w:t>
      </w:r>
      <w:r>
        <w:rPr>
          <w:rFonts w:ascii="Times New Roman" w:hAnsi="Times New Roman" w:cs="Times New Roman"/>
          <w:i/>
          <w:iCs/>
        </w:rPr>
        <w:t>rpsO</w:t>
      </w:r>
      <w:r>
        <w:rPr>
          <w:rFonts w:ascii="Times New Roman" w:hAnsi="Times New Roman" w:cs="Times New Roman"/>
        </w:rPr>
        <w:t xml:space="preserve">) upon induction of the stringent response </w:t>
      </w:r>
      <w:r w:rsidRPr="00977A5A">
        <w:rPr>
          <w:rFonts w:ascii="Times New Roman" w:hAnsi="Times New Roman" w:cs="Times New Roman"/>
          <w:b/>
          <w:bCs/>
        </w:rPr>
        <w:fldChar w:fldCharType="begin"/>
      </w:r>
      <w:r w:rsidRPr="00977A5A">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format="utc"&gt;1678058042&lt;/last-updated-date&gt;&lt;accession-num&gt;DRCI:DATA2013076003393588&lt;/accession-num&gt;&lt;volume&gt;1&lt;/volume&gt;&lt;/record&gt;&lt;/Cite&gt;&lt;/EndNote&gt;</w:instrText>
      </w:r>
      <w:r w:rsidRPr="00977A5A">
        <w:rPr>
          <w:rFonts w:ascii="Times New Roman" w:hAnsi="Times New Roman" w:cs="Times New Roman"/>
          <w:b/>
          <w:bCs/>
        </w:rPr>
        <w:fldChar w:fldCharType="separate"/>
      </w:r>
      <w:r w:rsidRPr="00977A5A">
        <w:rPr>
          <w:rFonts w:ascii="Times New Roman" w:hAnsi="Times New Roman" w:cs="Times New Roman"/>
          <w:b/>
          <w:bCs/>
          <w:noProof/>
        </w:rPr>
        <w:t>(Geiger</w:t>
      </w:r>
      <w:r w:rsidRPr="00977A5A">
        <w:rPr>
          <w:rFonts w:ascii="Times New Roman" w:hAnsi="Times New Roman" w:cs="Times New Roman"/>
          <w:b/>
          <w:bCs/>
          <w:i/>
          <w:noProof/>
        </w:rPr>
        <w:t xml:space="preserve"> et al.</w:t>
      </w:r>
      <w:r w:rsidRPr="00977A5A">
        <w:rPr>
          <w:rFonts w:ascii="Times New Roman" w:hAnsi="Times New Roman" w:cs="Times New Roman"/>
          <w:b/>
          <w:bCs/>
          <w:noProof/>
        </w:rPr>
        <w:t>, 2012)</w:t>
      </w:r>
      <w:r w:rsidRPr="00977A5A">
        <w:rPr>
          <w:rFonts w:ascii="Times New Roman" w:hAnsi="Times New Roman" w:cs="Times New Roman"/>
          <w:b/>
          <w:bCs/>
        </w:rPr>
        <w:fldChar w:fldCharType="end"/>
      </w:r>
      <w:r>
        <w:rPr>
          <w:rFonts w:ascii="Times New Roman" w:hAnsi="Times New Roman" w:cs="Times New Roman"/>
        </w:rPr>
        <w:t xml:space="preserve">. </w:t>
      </w:r>
      <w:r>
        <w:rPr>
          <w:rFonts w:ascii="Times New Roman" w:hAnsi="Times New Roman" w:cs="Times New Roman"/>
          <w:color w:val="000000" w:themeColor="text1"/>
        </w:rPr>
        <w:t>Promoter-reporter fusions have previously been employed to investigate different aspects of the stringent response</w:t>
      </w:r>
      <w:r w:rsidRPr="001C277A">
        <w:rPr>
          <w:rFonts w:ascii="Times New Roman" w:hAnsi="Times New Roman" w:cs="Times New Roman"/>
          <w:b/>
          <w:bCs/>
          <w:color w:val="000000" w:themeColor="text1"/>
        </w:rPr>
        <w:t xml:space="preserve"> </w:t>
      </w:r>
      <w:r w:rsidRPr="001C277A">
        <w:rPr>
          <w:rFonts w:ascii="Times New Roman" w:hAnsi="Times New Roman" w:cs="Times New Roman"/>
          <w:b/>
          <w:bCs/>
          <w:color w:val="000000" w:themeColor="text1"/>
        </w:rPr>
        <w:fldChar w:fldCharType="begin">
          <w:fldData xml:space="preserve">PEVuZE5vdGU+PENpdGU+PEF1dGhvcj5CYXJ0b2xpIDwvQXV0aG9yPjxZZWFyPjIwMjA8L1llYXI+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</w:fldData>
        </w:fldChar>
      </w:r>
      <w:r>
        <w:rPr>
          <w:rFonts w:ascii="Times New Roman" w:hAnsi="Times New Roman" w:cs="Times New Roman"/>
          <w:b/>
          <w:bCs/>
          <w:color w:val="000000" w:themeColor="text1"/>
        </w:rPr>
        <w:instrText xml:space="preserve"> ADDIN EN.CITE </w:instrText>
      </w:r>
      <w:r>
        <w:rPr>
          <w:rFonts w:ascii="Times New Roman" w:hAnsi="Times New Roman" w:cs="Times New Roman"/>
          <w:b/>
          <w:bCs/>
          <w:color w:val="000000" w:themeColor="text1"/>
        </w:rPr>
        <w:fldChar w:fldCharType="begin">
          <w:fldData xml:space="preserve">PEVuZE5vdGU+PENpdGU+PEF1dGhvcj5CYXJ0b2xpIDwvQXV0aG9yPjxZZWFyPjIwMjA8L1llYXI+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</w:fldData>
        </w:fldChar>
      </w:r>
      <w:r>
        <w:rPr>
          <w:rFonts w:ascii="Times New Roman" w:hAnsi="Times New Roman" w:cs="Times New Roman"/>
          <w:b/>
          <w:bCs/>
          <w:color w:val="000000" w:themeColor="text1"/>
        </w:rPr>
        <w:instrText xml:space="preserve"> ADDIN EN.CITE.DATA </w:instrText>
      </w:r>
      <w:r>
        <w:rPr>
          <w:rFonts w:ascii="Times New Roman" w:hAnsi="Times New Roman" w:cs="Times New Roman"/>
          <w:b/>
          <w:bCs/>
          <w:color w:val="000000" w:themeColor="text1"/>
        </w:rPr>
      </w:r>
      <w:r>
        <w:rPr>
          <w:rFonts w:ascii="Times New Roman" w:hAnsi="Times New Roman" w:cs="Times New Roman"/>
          <w:b/>
          <w:bCs/>
          <w:color w:val="000000" w:themeColor="text1"/>
        </w:rPr>
        <w:fldChar w:fldCharType="end"/>
      </w:r>
      <w:r w:rsidRPr="001C277A">
        <w:rPr>
          <w:rFonts w:ascii="Times New Roman" w:hAnsi="Times New Roman" w:cs="Times New Roman"/>
          <w:b/>
          <w:bCs/>
          <w:color w:val="000000" w:themeColor="text1"/>
        </w:rPr>
      </w:r>
      <w:r w:rsidRPr="001C277A">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 xml:space="preserve">(Bartoli </w:t>
      </w:r>
      <w:r w:rsidRPr="003C1DD1">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2020; Goormaghtigh</w:t>
      </w:r>
      <w:r w:rsidRPr="003C1DD1">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2018; Pokhilko, 2017; Pathania</w:t>
      </w:r>
      <w:r w:rsidRPr="003C1DD1">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2021)</w:t>
      </w:r>
      <w:r w:rsidRPr="001C277A">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Bartoli and colleagues demonstrated that by utilizing a transcriptional promoter-GFP fusion using the promoters of genes controlled by the SlyA virulence regulator, that SlyA is not directly affected by (p)ppGpp </w:t>
      </w:r>
      <w:r w:rsidRPr="0005464A">
        <w:rPr>
          <w:rFonts w:ascii="Times New Roman" w:hAnsi="Times New Roman" w:cs="Times New Roman"/>
          <w:b/>
          <w:bCs/>
          <w:color w:val="000000" w:themeColor="text1"/>
        </w:rPr>
        <w:fldChar w:fldCharType="begin"/>
      </w:r>
      <w:r w:rsidRPr="0005464A">
        <w:rPr>
          <w:rFonts w:ascii="Times New Roman" w:hAnsi="Times New Roman" w:cs="Times New Roman"/>
          <w:b/>
          <w:bCs/>
          <w:color w:val="000000" w:themeColor="text1"/>
        </w:rPr>
        <w:instrText xml:space="preserve"> ADDIN EN.CITE &lt;EndNote&gt;&lt;Cite&gt;&lt;Author&gt;Bartoli &lt;/Author&gt;&lt;Year&gt;2020&lt;/Year&gt;&lt;IDText&gt;SlyA Transcriptional Regulator Is Not Directly Affected by ppGpp Level.&lt;/IDText&gt;&lt;DisplayText&gt;(Bartoli &lt;style face="italic"&gt; et al.&lt;/style&gt;, 2020)&lt;/DisplayText&gt;&lt;record&gt;&lt;titles&gt;&lt;title&gt;SlyA Transcriptional Regulator Is Not Directly Affected by ppGpp Level.&lt;/title&gt;&lt;secondary-title&gt;Frontiers in Microbiology&lt;/secondary-title&gt;&lt;/titles&gt;&lt;number&gt;11&lt;/number&gt;&lt;contributors&gt;&lt;authors&gt;&lt;author&gt;Bartoli ,  Julia&lt;/author&gt;&lt;author&gt;Viala ,&lt;/author&gt;&lt;author&gt;Julie Pamela&lt;/author&gt;&lt;author&gt;Bouveret , Emmanuelle&lt;/author&gt;&lt;author&gt;&amp;lt;p class=&amp;quot;MsoListParagraph&amp;quot; style=&amp;quot;margin-left:54.0pt&lt;/author&gt;&lt;author&gt;mso-add-space:auto&lt;/author&gt;&lt;author&gt;text-indent:-18.0pt&lt;/author&gt;&lt;author&gt;mso-list:l0 level1 lfo1&lt;/author&gt;&lt;author&gt;background:white&amp;quot;&amp;gt;&lt;/author&gt;&lt;/authors&gt;&lt;/contributors&gt;&lt;added-date format="utc"&gt;1663616246&lt;/added-date&gt;&lt;ref-type name="Journal Article"&gt;17&lt;/ref-type&gt;&lt;dates&gt;&lt;year&gt;2020&lt;/year&gt;&lt;/dates&gt;&lt;rec-number&gt;102&lt;/rec-number&gt;&lt;last-updated-date format="utc"&gt;1678058042&lt;/last-updated-date&gt;&lt;volume&gt;4&lt;/volume&gt;&lt;/record&gt;&lt;/Cite&gt;&lt;/EndNote&gt;</w:instrText>
      </w:r>
      <w:r w:rsidRPr="0005464A">
        <w:rPr>
          <w:rFonts w:ascii="Times New Roman" w:hAnsi="Times New Roman" w:cs="Times New Roman"/>
          <w:b/>
          <w:bCs/>
          <w:color w:val="000000" w:themeColor="text1"/>
        </w:rPr>
        <w:fldChar w:fldCharType="separate"/>
      </w:r>
      <w:r w:rsidRPr="0005464A">
        <w:rPr>
          <w:rFonts w:ascii="Times New Roman" w:hAnsi="Times New Roman" w:cs="Times New Roman"/>
          <w:b/>
          <w:bCs/>
          <w:noProof/>
          <w:color w:val="000000" w:themeColor="text1"/>
        </w:rPr>
        <w:t xml:space="preserve">(Bartoli </w:t>
      </w:r>
      <w:r w:rsidRPr="0005464A">
        <w:rPr>
          <w:rFonts w:ascii="Times New Roman" w:hAnsi="Times New Roman" w:cs="Times New Roman"/>
          <w:b/>
          <w:bCs/>
          <w:i/>
          <w:noProof/>
          <w:color w:val="000000" w:themeColor="text1"/>
        </w:rPr>
        <w:t xml:space="preserve"> et al.</w:t>
      </w:r>
      <w:r w:rsidRPr="0005464A">
        <w:rPr>
          <w:rFonts w:ascii="Times New Roman" w:hAnsi="Times New Roman" w:cs="Times New Roman"/>
          <w:b/>
          <w:bCs/>
          <w:noProof/>
          <w:color w:val="000000" w:themeColor="text1"/>
        </w:rPr>
        <w:t>, 2020)</w:t>
      </w:r>
      <w:r w:rsidRPr="0005464A">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as previously reported </w:t>
      </w:r>
      <w:r w:rsidRPr="00B14E0D">
        <w:rPr>
          <w:rFonts w:ascii="Times New Roman" w:hAnsi="Times New Roman" w:cs="Times New Roman"/>
          <w:b/>
          <w:bCs/>
          <w:color w:val="000000" w:themeColor="text1"/>
        </w:rPr>
        <w:fldChar w:fldCharType="begin"/>
      </w:r>
      <w:r w:rsidRPr="00B14E0D">
        <w:rPr>
          <w:rFonts w:ascii="Times New Roman" w:hAnsi="Times New Roman" w:cs="Times New Roman"/>
          <w:b/>
          <w:bCs/>
          <w:color w:val="000000" w:themeColor="text1"/>
        </w:rPr>
        <w:instrText xml:space="preserve"> ADDIN EN.CITE &lt;EndNote&gt;&lt;Cite&gt;&lt;Author&gt;Zhao&lt;/Author&gt;&lt;Year&gt;2008&lt;/Year&gt;&lt;IDText&gt;A dual-signal regulatory circuit activates transcription of a set of divergent operons in Salmonella typhimurium&lt;/IDText&gt;&lt;DisplayText&gt;(Zhao&lt;style face="italic"&gt; et al.&lt;/style&gt;, 2008)&lt;/DisplayText&gt;&lt;record&gt;&lt;dates&gt;&lt;pub-dates&gt;&lt;date&gt;Dec 30&lt;/date&gt;&lt;/pub-dates&gt;&lt;year&gt;2008&lt;/year&gt;&lt;/dates&gt;&lt;urls&gt;&lt;related-urls&gt;&lt;url&gt;&amp;lt;Go to ISI&amp;gt;://WOS:000262092800064&lt;/url&gt;&lt;/related-urls&gt;&lt;/urls&gt;&lt;isbn&gt;0027-8424&lt;/isbn&gt;&lt;work-type&gt;Article&lt;/work-type&gt;&lt;titles&gt;&lt;title&gt;A dual-signal regulatory circuit activates transcription of a set of divergent operons in Salmonella typhimurium&lt;/title&gt;&lt;secondary-title&gt;Proceedings of the National Academy of Sciences of the United States of America&lt;/secondary-title&gt;&lt;/titles&gt;&lt;pages&gt;20924-20929&lt;/pages&gt;&lt;number&gt;52&lt;/number&gt;&lt;contributors&gt;&lt;authors&gt;&lt;author&gt;Zhao, Guang&lt;/author&gt;&lt;author&gt;Weatherspoon, Natasha&lt;/author&gt;&lt;author&gt;Kong, Wei&lt;/author&gt;&lt;author&gt;Curtiss, Roy, III&lt;/author&gt;&lt;author&gt;Shia, Yixin&lt;/author&gt;&lt;/authors&gt;&lt;/contributors&gt;&lt;added-date format="utc"&gt;1674343290&lt;/added-date&gt;&lt;ref-type name="Journal Article"&gt;17&lt;/ref-type&gt;&lt;rec-number&gt;235&lt;/rec-number&gt;&lt;last-updated-date format="utc"&gt;1678058042&lt;/last-updated-date&gt;&lt;accession-num&gt;WOS:000262092800064&lt;/accession-num&gt;&lt;electronic-resource-num&gt;10.1073/pnas.0807071106&lt;/electronic-resource-num&gt;&lt;volume&gt;105&lt;/volume&gt;&lt;/record&gt;&lt;/Cite&gt;&lt;/EndNote&gt;</w:instrText>
      </w:r>
      <w:r w:rsidRPr="00B14E0D">
        <w:rPr>
          <w:rFonts w:ascii="Times New Roman" w:hAnsi="Times New Roman" w:cs="Times New Roman"/>
          <w:b/>
          <w:bCs/>
          <w:color w:val="000000" w:themeColor="text1"/>
        </w:rPr>
        <w:fldChar w:fldCharType="separate"/>
      </w:r>
      <w:r w:rsidRPr="00B14E0D">
        <w:rPr>
          <w:rFonts w:ascii="Times New Roman" w:hAnsi="Times New Roman" w:cs="Times New Roman"/>
          <w:b/>
          <w:bCs/>
          <w:noProof/>
          <w:color w:val="000000" w:themeColor="text1"/>
        </w:rPr>
        <w:t>(Zhao</w:t>
      </w:r>
      <w:r w:rsidRPr="00B14E0D">
        <w:rPr>
          <w:rFonts w:ascii="Times New Roman" w:hAnsi="Times New Roman" w:cs="Times New Roman"/>
          <w:b/>
          <w:bCs/>
          <w:i/>
          <w:noProof/>
          <w:color w:val="000000" w:themeColor="text1"/>
        </w:rPr>
        <w:t xml:space="preserve"> et al.</w:t>
      </w:r>
      <w:r w:rsidRPr="00B14E0D">
        <w:rPr>
          <w:rFonts w:ascii="Times New Roman" w:hAnsi="Times New Roman" w:cs="Times New Roman"/>
          <w:b/>
          <w:bCs/>
          <w:noProof/>
          <w:color w:val="000000" w:themeColor="text1"/>
        </w:rPr>
        <w:t>, 2008)</w:t>
      </w:r>
      <w:r w:rsidRPr="00B14E0D">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Using this construct, it was shown that transcription from these promoters was detected even in the absence of (p)ppGpp, revealing that the effects of (p)ppGpp on SlyA may not be direct in </w:t>
      </w:r>
      <w:r>
        <w:rPr>
          <w:rFonts w:ascii="Times New Roman" w:hAnsi="Times New Roman" w:cs="Times New Roman"/>
          <w:i/>
          <w:iCs/>
          <w:color w:val="000000" w:themeColor="text1"/>
        </w:rPr>
        <w:t>E. coli</w:t>
      </w:r>
      <w:r>
        <w:rPr>
          <w:rFonts w:ascii="Times New Roman" w:hAnsi="Times New Roman" w:cs="Times New Roman"/>
          <w:color w:val="000000" w:themeColor="text1"/>
        </w:rPr>
        <w:t xml:space="preserve"> </w:t>
      </w:r>
      <w:r w:rsidRPr="0005464A">
        <w:rPr>
          <w:rFonts w:ascii="Times New Roman" w:hAnsi="Times New Roman" w:cs="Times New Roman"/>
          <w:b/>
          <w:bCs/>
          <w:color w:val="000000" w:themeColor="text1"/>
        </w:rPr>
        <w:fldChar w:fldCharType="begin"/>
      </w:r>
      <w:r w:rsidRPr="0005464A">
        <w:rPr>
          <w:rFonts w:ascii="Times New Roman" w:hAnsi="Times New Roman" w:cs="Times New Roman"/>
          <w:b/>
          <w:bCs/>
          <w:color w:val="000000" w:themeColor="text1"/>
        </w:rPr>
        <w:instrText xml:space="preserve"> ADDIN EN.CITE &lt;EndNote&gt;&lt;Cite&gt;&lt;Author&gt;Bartoli &lt;/Author&gt;&lt;Year&gt;2020&lt;/Year&gt;&lt;IDText&gt;SlyA Transcriptional Regulator Is Not Directly Affected by ppGpp Level.&lt;/IDText&gt;&lt;DisplayText&gt;(Bartoli &lt;style face="italic"&gt; et al.&lt;/style&gt;, 2020)&lt;/DisplayText&gt;&lt;record&gt;&lt;titles&gt;&lt;title&gt;SlyA Transcriptional Regulator Is Not Directly Affected by ppGpp Level.&lt;/title&gt;&lt;secondary-title&gt;Frontiers in Microbiology&lt;/secondary-title&gt;&lt;/titles&gt;&lt;number&gt;11&lt;/number&gt;&lt;contributors&gt;&lt;authors&gt;&lt;author&gt;Bartoli ,  Julia&lt;/author&gt;&lt;author&gt;Viala ,&lt;/author&gt;&lt;author&gt;Julie Pamela&lt;/author&gt;&lt;author&gt;Bouveret , Emmanuelle&lt;/author&gt;&lt;author&gt;&amp;lt;p class=&amp;quot;MsoListParagraph&amp;quot; style=&amp;quot;margin-left:54.0pt&lt;/author&gt;&lt;author&gt;mso-add-space:auto&lt;/author&gt;&lt;author&gt;text-indent:-18.0pt&lt;/author&gt;&lt;author&gt;mso-list:l0 level1 lfo1&lt;/author&gt;&lt;author&gt;background:white&amp;quot;&amp;gt;&lt;/author&gt;&lt;/authors&gt;&lt;/contributors&gt;&lt;added-date format="utc"&gt;1663616246&lt;/added-date&gt;&lt;ref-type name="Journal Article"&gt;17&lt;/ref-type&gt;&lt;dates&gt;&lt;year&gt;2020&lt;/year&gt;&lt;/dates&gt;&lt;rec-number&gt;102&lt;/rec-number&gt;&lt;last-updated-date format="utc"&gt;1678058042&lt;/last-updated-date&gt;&lt;volume&gt;4&lt;/volume&gt;&lt;/record&gt;&lt;/Cite&gt;&lt;/EndNote&gt;</w:instrText>
      </w:r>
      <w:r w:rsidRPr="0005464A">
        <w:rPr>
          <w:rFonts w:ascii="Times New Roman" w:hAnsi="Times New Roman" w:cs="Times New Roman"/>
          <w:b/>
          <w:bCs/>
          <w:color w:val="000000" w:themeColor="text1"/>
        </w:rPr>
        <w:fldChar w:fldCharType="separate"/>
      </w:r>
      <w:r w:rsidRPr="0005464A">
        <w:rPr>
          <w:rFonts w:ascii="Times New Roman" w:hAnsi="Times New Roman" w:cs="Times New Roman"/>
          <w:b/>
          <w:bCs/>
          <w:noProof/>
          <w:color w:val="000000" w:themeColor="text1"/>
        </w:rPr>
        <w:t xml:space="preserve">(Bartoli </w:t>
      </w:r>
      <w:r w:rsidRPr="0005464A">
        <w:rPr>
          <w:rFonts w:ascii="Times New Roman" w:hAnsi="Times New Roman" w:cs="Times New Roman"/>
          <w:b/>
          <w:bCs/>
          <w:i/>
          <w:noProof/>
          <w:color w:val="000000" w:themeColor="text1"/>
        </w:rPr>
        <w:t xml:space="preserve"> et al.</w:t>
      </w:r>
      <w:r w:rsidRPr="0005464A">
        <w:rPr>
          <w:rFonts w:ascii="Times New Roman" w:hAnsi="Times New Roman" w:cs="Times New Roman"/>
          <w:b/>
          <w:bCs/>
          <w:noProof/>
          <w:color w:val="000000" w:themeColor="text1"/>
        </w:rPr>
        <w:t>, 2020)</w:t>
      </w:r>
      <w:r w:rsidRPr="0005464A">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Furthermore, Goormaghtigh and colleagues used TA transcriptional fusions to demonstrate that </w:t>
      </w:r>
      <w:r>
        <w:rPr>
          <w:rFonts w:ascii="Times New Roman" w:hAnsi="Times New Roman" w:cs="Times New Roman"/>
          <w:i/>
          <w:iCs/>
          <w:color w:val="000000" w:themeColor="text1"/>
        </w:rPr>
        <w:t>E. coli</w:t>
      </w:r>
      <w:r>
        <w:rPr>
          <w:rFonts w:ascii="Times New Roman" w:hAnsi="Times New Roman" w:cs="Times New Roman"/>
          <w:color w:val="000000" w:themeColor="text1"/>
        </w:rPr>
        <w:t xml:space="preserve"> do</w:t>
      </w:r>
      <w:r w:rsidR="00A85DC8">
        <w:rPr>
          <w:rFonts w:ascii="Times New Roman" w:hAnsi="Times New Roman" w:cs="Times New Roman"/>
          <w:color w:val="000000" w:themeColor="text1"/>
        </w:rPr>
        <w:t>es</w:t>
      </w:r>
      <w:r>
        <w:rPr>
          <w:rFonts w:ascii="Times New Roman" w:hAnsi="Times New Roman" w:cs="Times New Roman"/>
          <w:color w:val="000000" w:themeColor="text1"/>
        </w:rPr>
        <w:t xml:space="preserve"> not utilise TA systems regulated by (p)ppGpp during the development of persistence </w:t>
      </w:r>
      <w:r w:rsidRPr="00157BF1">
        <w:rPr>
          <w:rFonts w:ascii="Times New Roman" w:hAnsi="Times New Roman" w:cs="Times New Roman"/>
          <w:b/>
          <w:bCs/>
          <w:color w:val="000000" w:themeColor="text1"/>
        </w:rPr>
        <w:fldChar w:fldCharType="begin"/>
      </w:r>
      <w:r w:rsidRPr="00157BF1">
        <w:rPr>
          <w:rFonts w:ascii="Times New Roman" w:hAnsi="Times New Roman" w:cs="Times New Roman"/>
          <w:b/>
          <w:bCs/>
          <w:color w:val="000000" w:themeColor="text1"/>
        </w:rPr>
        <w:instrText xml:space="preserve"> ADDIN EN.CITE &lt;EndNote&gt;&lt;Cite&gt;&lt;Author&gt;Goormaghtigh&lt;/Author&gt;&lt;Year&gt;2018&lt;/Year&gt;&lt;IDText&gt;Reassessing the Role of Type II Toxin-Antitoxin Systems in Formation of Escherichia coli Type II Persister Cells&lt;/IDText&gt;&lt;DisplayText&gt;(Goormaghtigh&lt;style face="italic"&gt; et al.&lt;/style&gt;, 2018)&lt;/DisplayText&gt;&lt;record&gt;&lt;dates&gt;&lt;pub-dates&gt;&lt;date&gt;May-Jun&lt;/date&gt;&lt;/pub-dates&gt;&lt;year&gt;2018&lt;/year&gt;&lt;/dates&gt;&lt;urls&gt;&lt;related-urls&gt;&lt;/related-urls&gt;&lt;/urls&gt;&lt;isbn&gt;2150-7511&lt;/isbn&gt;&lt;titles&gt;&lt;title&gt;&lt;style font="default" size="100%"&gt;Reassessing the Role of Type II Toxin-Antitoxin Systems in Formation of &lt;/style&gt;&lt;style face="italic" font="default" size="100%"&gt;Escherichia coli&lt;/style&gt;&lt;style font="default" size="100%"&gt; Type II Persister Cells&lt;/style&gt;&lt;/title&gt;&lt;secondary-title&gt;Mbio&lt;/secondary-title&gt;&lt;/titles&gt;&lt;number&gt;3&lt;/number&gt;&lt;contributors&gt;&lt;authors&gt;&lt;author&gt;Goormaghtigh, Frederic&lt;/author&gt;&lt;author&gt;Fraikin, Nathan&lt;/author&gt;&lt;author&gt;Putrins, Marta&lt;/author&gt;&lt;author&gt;Hallaert, Thibaut&lt;/author&gt;&lt;author&gt;Hauryliuk, Vasili&lt;/author&gt;&lt;author&gt;Garcia-Pino, Abel&lt;/author&gt;&lt;author&gt;Sjodin, Andreas&lt;/author&gt;&lt;author&gt;Kasvandik, Sergo&lt;/author&gt;&lt;author&gt;Udekwu, Klas&lt;/author&gt;&lt;author&gt;Tenson, Tanel&lt;/author&gt;&lt;author&gt;Kaldalu, Niilo&lt;/author&gt;&lt;author&gt;Van Melderen, Laurence&lt;/author&gt;&lt;/authors&gt;&lt;/contributors&gt;&lt;custom7&gt;e00640-18&lt;/custom7&gt;&lt;added-date format="utc"&gt;1663615206&lt;/added-date&gt;&lt;ref-type name="Journal Article"&gt;17&lt;/ref-type&gt;&lt;rec-number&gt;91&lt;/rec-number&gt;&lt;last-updated-date format="utc"&gt;1678058042&lt;/last-updated-date&gt;&lt;accession-num&gt;WOS:000454748900022&lt;/accession-num&gt;&lt;electronic-resource-num&gt;10.1128/mBio.00640-18&lt;/electronic-resource-num&gt;&lt;volume&gt;9&lt;/volume&gt;&lt;/record&gt;&lt;/Cite&gt;&lt;/EndNote&gt;</w:instrText>
      </w:r>
      <w:r w:rsidRPr="00157BF1">
        <w:rPr>
          <w:rFonts w:ascii="Times New Roman" w:hAnsi="Times New Roman" w:cs="Times New Roman"/>
          <w:b/>
          <w:bCs/>
          <w:color w:val="000000" w:themeColor="text1"/>
        </w:rPr>
        <w:fldChar w:fldCharType="separate"/>
      </w:r>
      <w:r w:rsidRPr="00157BF1">
        <w:rPr>
          <w:rFonts w:ascii="Times New Roman" w:hAnsi="Times New Roman" w:cs="Times New Roman"/>
          <w:b/>
          <w:bCs/>
          <w:noProof/>
          <w:color w:val="000000" w:themeColor="text1"/>
        </w:rPr>
        <w:t>(Goormaghtigh</w:t>
      </w:r>
      <w:r w:rsidRPr="00157BF1">
        <w:rPr>
          <w:rFonts w:ascii="Times New Roman" w:hAnsi="Times New Roman" w:cs="Times New Roman"/>
          <w:b/>
          <w:bCs/>
          <w:i/>
          <w:noProof/>
          <w:color w:val="000000" w:themeColor="text1"/>
        </w:rPr>
        <w:t xml:space="preserve"> et al.</w:t>
      </w:r>
      <w:r w:rsidRPr="00157BF1">
        <w:rPr>
          <w:rFonts w:ascii="Times New Roman" w:hAnsi="Times New Roman" w:cs="Times New Roman"/>
          <w:b/>
          <w:bCs/>
          <w:noProof/>
          <w:color w:val="000000" w:themeColor="text1"/>
        </w:rPr>
        <w:t>, 2018)</w:t>
      </w:r>
      <w:r w:rsidRPr="00157BF1">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w:t>
      </w:r>
    </w:p>
    <w:p w14:paraId="391D5BDE" w14:textId="7CE120D0" w:rsidR="00187693" w:rsidRPr="006950DC" w:rsidRDefault="00187693" w:rsidP="0018769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As in this study, the </w:t>
      </w:r>
      <w:r>
        <w:rPr>
          <w:rFonts w:ascii="Times New Roman" w:hAnsi="Times New Roman" w:cs="Times New Roman"/>
          <w:i/>
          <w:iCs/>
          <w:color w:val="000000" w:themeColor="text1"/>
        </w:rPr>
        <w:t xml:space="preserve">ilvD </w:t>
      </w:r>
      <w:r>
        <w:rPr>
          <w:rFonts w:ascii="Times New Roman" w:hAnsi="Times New Roman" w:cs="Times New Roman"/>
          <w:color w:val="000000" w:themeColor="text1"/>
        </w:rPr>
        <w:t xml:space="preserve">promoter (upregulated by (p)ppGpp) was previously used as a component of a </w:t>
      </w:r>
      <w:r w:rsidRPr="006F408B">
        <w:rPr>
          <w:rFonts w:ascii="Times New Roman" w:hAnsi="Times New Roman" w:cs="Times New Roman"/>
          <w:color w:val="000000" w:themeColor="text1"/>
        </w:rPr>
        <w:t>p</w:t>
      </w:r>
      <w:r>
        <w:rPr>
          <w:rFonts w:ascii="Times New Roman" w:hAnsi="Times New Roman" w:cs="Times New Roman"/>
          <w:i/>
          <w:iCs/>
          <w:color w:val="000000" w:themeColor="text1"/>
        </w:rPr>
        <w:t xml:space="preserve">ilvD-lacZ </w:t>
      </w:r>
      <w:r>
        <w:rPr>
          <w:rFonts w:ascii="Times New Roman" w:hAnsi="Times New Roman" w:cs="Times New Roman"/>
          <w:color w:val="000000" w:themeColor="text1"/>
        </w:rPr>
        <w:t xml:space="preserve">fusion that was used to measure its transcriptional activity </w:t>
      </w:r>
      <w:r w:rsidRPr="00F67A34">
        <w:rPr>
          <w:rFonts w:ascii="Times New Roman" w:hAnsi="Times New Roman" w:cs="Times New Roman"/>
          <w:b/>
          <w:bCs/>
          <w:color w:val="000000" w:themeColor="text1"/>
        </w:rPr>
        <w:fldChar w:fldCharType="begin"/>
      </w:r>
      <w:r w:rsidRPr="00F67A34">
        <w:rPr>
          <w:rFonts w:ascii="Times New Roman" w:hAnsi="Times New Roman" w:cs="Times New Roman"/>
          <w:b/>
          <w:bCs/>
          <w:color w:val="000000" w:themeColor="text1"/>
        </w:rPr>
        <w:instrText xml:space="preserve"> ADDIN EN.CITE &lt;EndNote&gt;&lt;Cite&gt;&lt;Author&gt;Pathania&lt;/Author&gt;&lt;Year&gt;2021&lt;/Year&gt;&lt;IDText&gt;(p)ppGpp/GTP and Malonyl-CoA Modulate Staphylococcus&lt;/IDText&gt;&lt;DisplayText&gt;(Pathania&lt;style face="italic"&gt; et al.&lt;/style&gt;, 2021)&lt;/DisplayText&gt;&lt;record&gt;&lt;titles&gt;&lt;title&gt;(p)ppGpp/GTP and Malonyl-CoA Modulate Staphylococcus&amp;#xA;aureus Adaptation to FASII Antibiotics and Provide a Basis for&amp;#xA;Synergistic Bi-Therapy&lt;/title&gt;&lt;secondary-title&gt;mBio&lt;/secondary-title&gt;&lt;/titles&gt;&lt;pages&gt;e03193-20&lt;/pages&gt;&lt;number&gt;1&lt;/number&gt;&lt;contributors&gt;&lt;authors&gt;&lt;author&gt;Pathania, Amit&lt;/author&gt;&lt;author&gt;Anba-Mondoloni, Jamila&lt;/author&gt;&lt;author&gt;Gomine, Myriam&lt;/author&gt;&lt;author&gt;Halpern, David&lt;/author&gt;&lt;author&gt;Dairou, Julien&lt;/author&gt;&lt;author&gt;Dupont, Laëtitia&lt;/author&gt;&lt;author&gt;Lamberet, Gilles&lt;/author&gt;&lt;author&gt;Trieu-Cuot, Patrick&lt;/author&gt;&lt;author&gt;Gloux, Karine&lt;/author&gt;&lt;author&gt;Gruss, Alexandra&lt;/author&gt;&lt;/authors&gt;&lt;/contributors&gt;&lt;added-date format="utc"&gt;1679491984&lt;/added-date&gt;&lt;ref-type name="Journal Article"&gt;17&lt;/ref-type&gt;&lt;dates&gt;&lt;year&gt;2021&lt;/year&gt;&lt;/dates&gt;&lt;rec-number&gt;782&lt;/rec-number&gt;&lt;last-updated-date format="utc"&gt;1679492035&lt;/last-updated-date&gt;&lt;volume&gt;12&lt;/volume&gt;&lt;/record&gt;&lt;/Cite&gt;&lt;/EndNote&gt;</w:instrText>
      </w:r>
      <w:r w:rsidRPr="00F67A34">
        <w:rPr>
          <w:rFonts w:ascii="Times New Roman" w:hAnsi="Times New Roman" w:cs="Times New Roman"/>
          <w:b/>
          <w:bCs/>
          <w:color w:val="000000" w:themeColor="text1"/>
        </w:rPr>
        <w:fldChar w:fldCharType="separate"/>
      </w:r>
      <w:r w:rsidRPr="00F67A34">
        <w:rPr>
          <w:rFonts w:ascii="Times New Roman" w:hAnsi="Times New Roman" w:cs="Times New Roman"/>
          <w:b/>
          <w:bCs/>
          <w:noProof/>
          <w:color w:val="000000" w:themeColor="text1"/>
        </w:rPr>
        <w:t>(Pathania</w:t>
      </w:r>
      <w:r w:rsidRPr="00F67A34">
        <w:rPr>
          <w:rFonts w:ascii="Times New Roman" w:hAnsi="Times New Roman" w:cs="Times New Roman"/>
          <w:b/>
          <w:bCs/>
          <w:i/>
          <w:noProof/>
          <w:color w:val="000000" w:themeColor="text1"/>
        </w:rPr>
        <w:t xml:space="preserve"> et al.</w:t>
      </w:r>
      <w:r w:rsidRPr="00F67A34">
        <w:rPr>
          <w:rFonts w:ascii="Times New Roman" w:hAnsi="Times New Roman" w:cs="Times New Roman"/>
          <w:b/>
          <w:bCs/>
          <w:noProof/>
          <w:color w:val="000000" w:themeColor="text1"/>
        </w:rPr>
        <w:t>, 2021)</w:t>
      </w:r>
      <w:r w:rsidRPr="00F67A3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Here, upon exposure to mupirocin, an increase in fluorescence was observed suggesting that </w:t>
      </w:r>
      <w:r>
        <w:rPr>
          <w:rFonts w:ascii="Times New Roman" w:hAnsi="Times New Roman" w:cs="Times New Roman"/>
          <w:i/>
          <w:iCs/>
          <w:color w:val="000000" w:themeColor="text1"/>
        </w:rPr>
        <w:t>ilvD</w:t>
      </w:r>
      <w:r>
        <w:rPr>
          <w:rFonts w:ascii="Times New Roman" w:hAnsi="Times New Roman" w:cs="Times New Roman"/>
          <w:color w:val="000000" w:themeColor="text1"/>
        </w:rPr>
        <w:t xml:space="preserve"> transcription is upregulated</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in response to the increase in (p)ppGpp. Also, higher fluorescence was observed during stationary in comparison to exponential phase </w:t>
      </w:r>
      <w:r w:rsidRPr="00F67A34">
        <w:rPr>
          <w:rFonts w:ascii="Times New Roman" w:hAnsi="Times New Roman" w:cs="Times New Roman"/>
          <w:b/>
          <w:bCs/>
          <w:color w:val="000000" w:themeColor="text1"/>
        </w:rPr>
        <w:fldChar w:fldCharType="begin"/>
      </w:r>
      <w:r w:rsidRPr="00F67A34">
        <w:rPr>
          <w:rFonts w:ascii="Times New Roman" w:hAnsi="Times New Roman" w:cs="Times New Roman"/>
          <w:b/>
          <w:bCs/>
          <w:color w:val="000000" w:themeColor="text1"/>
        </w:rPr>
        <w:instrText xml:space="preserve"> ADDIN EN.CITE &lt;EndNote&gt;&lt;Cite&gt;&lt;Author&gt;Pathania&lt;/Author&gt;&lt;Year&gt;2021&lt;/Year&gt;&lt;IDText&gt;(p)ppGpp/GTP and Malonyl-CoA Modulate Staphylococcus&lt;/IDText&gt;&lt;DisplayText&gt;(Pathania&lt;style face="italic"&gt; et al.&lt;/style&gt;, 2021)&lt;/DisplayText&gt;&lt;record&gt;&lt;titles&gt;&lt;title&gt;(p)ppGpp/GTP and Malonyl-CoA Modulate Staphylococcus&amp;#xA;aureus Adaptation to FASII Antibiotics and Provide a Basis for&amp;#xA;Synergistic Bi-Therapy&lt;/title&gt;&lt;secondary-title&gt;mBio&lt;/secondary-title&gt;&lt;/titles&gt;&lt;pages&gt;e03193-20&lt;/pages&gt;&lt;number&gt;1&lt;/number&gt;&lt;contributors&gt;&lt;authors&gt;&lt;author&gt;Pathania, Amit&lt;/author&gt;&lt;author&gt;Anba-Mondoloni, Jamila&lt;/author&gt;&lt;author&gt;Gomine, Myriam&lt;/author&gt;&lt;author&gt;Halpern, David&lt;/author&gt;&lt;author&gt;Dairou, Julien&lt;/author&gt;&lt;author&gt;Dupont, Laëtitia&lt;/author&gt;&lt;author&gt;Lamberet, Gilles&lt;/author&gt;&lt;author&gt;Trieu-Cuot, Patrick&lt;/author&gt;&lt;author&gt;Gloux, Karine&lt;/author&gt;&lt;author&gt;Gruss, Alexandra&lt;/author&gt;&lt;/authors&gt;&lt;/contributors&gt;&lt;added-date format="utc"&gt;1679491984&lt;/added-date&gt;&lt;ref-type name="Journal Article"&gt;17&lt;/ref-type&gt;&lt;dates&gt;&lt;year&gt;2021&lt;/year&gt;&lt;/dates&gt;&lt;rec-number&gt;782&lt;/rec-number&gt;&lt;last-updated-date format="utc"&gt;1679492035&lt;/last-updated-date&gt;&lt;volume&gt;12&lt;/volume&gt;&lt;/record&gt;&lt;/Cite&gt;&lt;/EndNote&gt;</w:instrText>
      </w:r>
      <w:r w:rsidRPr="00F67A34">
        <w:rPr>
          <w:rFonts w:ascii="Times New Roman" w:hAnsi="Times New Roman" w:cs="Times New Roman"/>
          <w:b/>
          <w:bCs/>
          <w:color w:val="000000" w:themeColor="text1"/>
        </w:rPr>
        <w:fldChar w:fldCharType="separate"/>
      </w:r>
      <w:r w:rsidRPr="00F67A34">
        <w:rPr>
          <w:rFonts w:ascii="Times New Roman" w:hAnsi="Times New Roman" w:cs="Times New Roman"/>
          <w:b/>
          <w:bCs/>
          <w:noProof/>
          <w:color w:val="000000" w:themeColor="text1"/>
        </w:rPr>
        <w:t>(Pathania</w:t>
      </w:r>
      <w:r w:rsidRPr="00F67A34">
        <w:rPr>
          <w:rFonts w:ascii="Times New Roman" w:hAnsi="Times New Roman" w:cs="Times New Roman"/>
          <w:b/>
          <w:bCs/>
          <w:i/>
          <w:noProof/>
          <w:color w:val="000000" w:themeColor="text1"/>
        </w:rPr>
        <w:t xml:space="preserve"> et al.</w:t>
      </w:r>
      <w:r w:rsidRPr="00F67A34">
        <w:rPr>
          <w:rFonts w:ascii="Times New Roman" w:hAnsi="Times New Roman" w:cs="Times New Roman"/>
          <w:b/>
          <w:bCs/>
          <w:noProof/>
          <w:color w:val="000000" w:themeColor="text1"/>
        </w:rPr>
        <w:t>, 2021)</w:t>
      </w:r>
      <w:r w:rsidRPr="00F67A34">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Similar to Pathania and colleagues, this study sought to understand whether (p)ppGpp production could be detected by measuring the activity of promoters that are up- and downregulated by (p)ppGpp. This was done using a single construct containing promoters that are opposingly regulated by (p)ppGpp and are fused to fluorophores (dual promoter-reporter fusion). </w:t>
      </w:r>
      <w:r>
        <w:rPr>
          <w:rFonts w:ascii="Times New Roman" w:hAnsi="Times New Roman" w:cs="Times New Roman"/>
        </w:rPr>
        <w:t>In contrast to the controls, the dual promoter-reporter fusions did not demonstrate</w:t>
      </w:r>
      <w:r w:rsidR="00A85DC8">
        <w:rPr>
          <w:rFonts w:ascii="Times New Roman" w:hAnsi="Times New Roman" w:cs="Times New Roman"/>
        </w:rPr>
        <w:t xml:space="preserve"> an</w:t>
      </w:r>
      <w:r>
        <w:rPr>
          <w:rFonts w:ascii="Times New Roman" w:hAnsi="Times New Roman" w:cs="Times New Roman"/>
        </w:rPr>
        <w:t xml:space="preserve"> increase</w:t>
      </w:r>
      <w:r w:rsidR="00A85DC8">
        <w:rPr>
          <w:rFonts w:ascii="Times New Roman" w:hAnsi="Times New Roman" w:cs="Times New Roman"/>
        </w:rPr>
        <w:t xml:space="preserve"> in</w:t>
      </w:r>
      <w:r>
        <w:rPr>
          <w:rFonts w:ascii="Times New Roman" w:hAnsi="Times New Roman" w:cs="Times New Roman"/>
        </w:rPr>
        <w:t xml:space="preserve"> green fluorescence (signifying an increase in </w:t>
      </w:r>
      <w:r>
        <w:rPr>
          <w:rFonts w:ascii="Times New Roman" w:hAnsi="Times New Roman" w:cs="Times New Roman"/>
          <w:i/>
          <w:iCs/>
        </w:rPr>
        <w:t xml:space="preserve">ilvD </w:t>
      </w:r>
      <w:r>
        <w:rPr>
          <w:rFonts w:ascii="Times New Roman" w:hAnsi="Times New Roman" w:cs="Times New Roman"/>
        </w:rPr>
        <w:t xml:space="preserve">transcription) and a decrease in red fluorescence (signifying a decrease in </w:t>
      </w:r>
      <w:r>
        <w:rPr>
          <w:rFonts w:ascii="Times New Roman" w:hAnsi="Times New Roman" w:cs="Times New Roman"/>
          <w:i/>
          <w:iCs/>
        </w:rPr>
        <w:t xml:space="preserve">rpsO </w:t>
      </w:r>
      <w:r>
        <w:rPr>
          <w:rFonts w:ascii="Times New Roman" w:hAnsi="Times New Roman" w:cs="Times New Roman"/>
        </w:rPr>
        <w:t xml:space="preserve">transcription) </w:t>
      </w:r>
      <w:r>
        <w:rPr>
          <w:rFonts w:ascii="Times New Roman" w:hAnsi="Times New Roman" w:cs="Times New Roman"/>
          <w:b/>
          <w:bCs/>
        </w:rPr>
        <w:t>(Fig. 3.4.7)</w:t>
      </w:r>
      <w:r>
        <w:rPr>
          <w:rFonts w:ascii="Times New Roman" w:hAnsi="Times New Roman" w:cs="Times New Roman"/>
        </w:rPr>
        <w:t>. As the stringent response is transient depending on nutrient availability, it may be that the half-life of the fluorophores utilised in this study were too long to accurately report the change in promoter transcription upon exposure with amino acid starvation. Additionally, changes in promoter activity may not have been represented accurately if the promoter elements were not all included in the initial design of the construct.</w:t>
      </w:r>
    </w:p>
    <w:p w14:paraId="365A2BFD" w14:textId="77777777" w:rsidR="00187693"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While sequencing confirmed that all (p)ppGpp probe construct sequences were as intended, only the translational synthetase-GFP fusions were shown to express the synthetases, as measured by an increase in fluorescence output, in response to antibiotic stress </w:t>
      </w:r>
      <w:r>
        <w:rPr>
          <w:rFonts w:ascii="Times New Roman" w:hAnsi="Times New Roman" w:cs="Times New Roman"/>
          <w:i/>
          <w:iCs/>
        </w:rPr>
        <w:t xml:space="preserve">in vitro </w:t>
      </w:r>
      <w:r>
        <w:rPr>
          <w:rFonts w:ascii="Times New Roman" w:hAnsi="Times New Roman" w:cs="Times New Roman"/>
          <w:b/>
          <w:bCs/>
        </w:rPr>
        <w:t>(Fig. 3.4.8)</w:t>
      </w:r>
      <w:r>
        <w:rPr>
          <w:rFonts w:ascii="Times New Roman" w:hAnsi="Times New Roman" w:cs="Times New Roman"/>
        </w:rPr>
        <w:t xml:space="preserve">. The experiments in </w:t>
      </w:r>
      <w:r>
        <w:rPr>
          <w:rFonts w:ascii="Times New Roman" w:hAnsi="Times New Roman" w:cs="Times New Roman"/>
          <w:b/>
          <w:bCs/>
        </w:rPr>
        <w:t xml:space="preserve">Figure 3.4.8 </w:t>
      </w:r>
      <w:r>
        <w:rPr>
          <w:rFonts w:ascii="Times New Roman" w:hAnsi="Times New Roman" w:cs="Times New Roman"/>
        </w:rPr>
        <w:t xml:space="preserve">demonstrated that within an hour of administration of the appropriate antibiotic, fluorescence of the synthetase-GFP fusions increased. The level of fluorescence detected using a platereader was not high, particularly in the case of the Rel-GFP fusion </w:t>
      </w:r>
      <w:r>
        <w:rPr>
          <w:rFonts w:ascii="Times New Roman" w:hAnsi="Times New Roman" w:cs="Times New Roman"/>
          <w:b/>
          <w:bCs/>
        </w:rPr>
        <w:t>(Fig. 3.4.8d)</w:t>
      </w:r>
      <w:r>
        <w:rPr>
          <w:rFonts w:ascii="Times New Roman" w:hAnsi="Times New Roman" w:cs="Times New Roman"/>
        </w:rPr>
        <w:t xml:space="preserve">. As flow cytometry may be a more sensitive method of measuring fluorescence, this method was used to determine whether fluorescence could be detected at two hours post antibiotic administration </w:t>
      </w:r>
      <w:r>
        <w:rPr>
          <w:rFonts w:ascii="Times New Roman" w:hAnsi="Times New Roman" w:cs="Times New Roman"/>
          <w:b/>
          <w:bCs/>
        </w:rPr>
        <w:t>(Fig 5.3.1a-f)</w:t>
      </w:r>
      <w:r>
        <w:rPr>
          <w:rFonts w:ascii="Times New Roman" w:hAnsi="Times New Roman" w:cs="Times New Roman"/>
        </w:rPr>
        <w:t xml:space="preserve">. However, no fluorescence was detected at 2 hours </w:t>
      </w:r>
      <w:r>
        <w:rPr>
          <w:rFonts w:ascii="Times New Roman" w:hAnsi="Times New Roman" w:cs="Times New Roman"/>
          <w:i/>
          <w:iCs/>
        </w:rPr>
        <w:t>in vitro</w:t>
      </w:r>
      <w:r>
        <w:rPr>
          <w:rFonts w:ascii="Times New Roman" w:hAnsi="Times New Roman" w:cs="Times New Roman"/>
        </w:rPr>
        <w:t xml:space="preserve"> or at 6 hpi when measuring fluorescence within MDMs via microscopy </w:t>
      </w:r>
      <w:r>
        <w:rPr>
          <w:rFonts w:ascii="Times New Roman" w:hAnsi="Times New Roman" w:cs="Times New Roman"/>
          <w:b/>
          <w:bCs/>
        </w:rPr>
        <w:t>(Fig. 5.3.1g)</w:t>
      </w:r>
      <w:r>
        <w:rPr>
          <w:rFonts w:ascii="Times New Roman" w:hAnsi="Times New Roman" w:cs="Times New Roman"/>
        </w:rPr>
        <w:t xml:space="preserve">. Optimisation of the construct design may be required to understand why fluorescence was not detected within mammalian cells. For example, ensuring the presence of an adequate amount of promoter region which can be done by taking a larger region than what was taken. Pathania and colleagues used a 515 bp fragment of the </w:t>
      </w:r>
      <w:r>
        <w:rPr>
          <w:rFonts w:ascii="Times New Roman" w:hAnsi="Times New Roman" w:cs="Times New Roman"/>
          <w:i/>
          <w:iCs/>
        </w:rPr>
        <w:t xml:space="preserve">ilvD </w:t>
      </w:r>
      <w:r>
        <w:rPr>
          <w:rFonts w:ascii="Times New Roman" w:hAnsi="Times New Roman" w:cs="Times New Roman"/>
        </w:rPr>
        <w:t xml:space="preserve">promoter plus the first five amino acids of the </w:t>
      </w:r>
      <w:r>
        <w:rPr>
          <w:rFonts w:ascii="Times New Roman" w:hAnsi="Times New Roman" w:cs="Times New Roman"/>
          <w:i/>
          <w:iCs/>
        </w:rPr>
        <w:t xml:space="preserve">ilvD </w:t>
      </w:r>
      <w:r>
        <w:rPr>
          <w:rFonts w:ascii="Times New Roman" w:hAnsi="Times New Roman" w:cs="Times New Roman"/>
        </w:rPr>
        <w:t xml:space="preserve">gene </w:t>
      </w:r>
      <w:r w:rsidRPr="000A5183">
        <w:rPr>
          <w:rFonts w:ascii="Times New Roman" w:hAnsi="Times New Roman" w:cs="Times New Roman"/>
          <w:b/>
          <w:bCs/>
        </w:rPr>
        <w:fldChar w:fldCharType="begin"/>
      </w:r>
      <w:r w:rsidRPr="000A5183">
        <w:rPr>
          <w:rFonts w:ascii="Times New Roman" w:hAnsi="Times New Roman" w:cs="Times New Roman"/>
          <w:b/>
          <w:bCs/>
        </w:rPr>
        <w:instrText xml:space="preserve"> ADDIN EN.CITE &lt;EndNote&gt;&lt;Cite&gt;&lt;Author&gt;Pathania&lt;/Author&gt;&lt;Year&gt;2021&lt;/Year&gt;&lt;IDText&gt;(p)ppGpp/GTP and Malonyl-CoA Modulate Staphylococcus&lt;/IDText&gt;&lt;DisplayText&gt;(Pathania&lt;style face="italic"&gt; et al.&lt;/style&gt;, 2021)&lt;/DisplayText&gt;&lt;record&gt;&lt;titles&gt;&lt;title&gt;(p)ppGpp/GTP and Malonyl-CoA Modulate Staphylococcus&amp;#xA;aureus Adaptation to FASII Antibiotics and Provide a Basis for&amp;#xA;Synergistic Bi-Therapy&lt;/title&gt;&lt;secondary-title&gt;mBio&lt;/secondary-title&gt;&lt;/titles&gt;&lt;pages&gt;e03193-20&lt;/pages&gt;&lt;number&gt;1&lt;/number&gt;&lt;contributors&gt;&lt;authors&gt;&lt;author&gt;Pathania, Amit&lt;/author&gt;&lt;author&gt;Anba-Mondoloni, Jamila&lt;/author&gt;&lt;author&gt;Gomine, Myriam&lt;/author&gt;&lt;author&gt;Halpern, David&lt;/author&gt;&lt;author&gt;Dairou, Julien&lt;/author&gt;&lt;author&gt;Dupont, Laëtitia&lt;/author&gt;&lt;author&gt;Lamberet, Gilles&lt;/author&gt;&lt;author&gt;Trieu-Cuot, Patrick&lt;/author&gt;&lt;author&gt;Gloux, Karine&lt;/author&gt;&lt;author&gt;Gruss, Alexandra&lt;/author&gt;&lt;/authors&gt;&lt;/contributors&gt;&lt;added-date format="utc"&gt;1679491984&lt;/added-date&gt;&lt;ref-type name="Journal Article"&gt;17&lt;/ref-type&gt;&lt;dates&gt;&lt;year&gt;2021&lt;/year&gt;&lt;/dates&gt;&lt;rec-number&gt;782&lt;/rec-number&gt;&lt;last-updated-date format="utc"&gt;1679492035&lt;/last-updated-date&gt;&lt;volume&gt;12&lt;/volume&gt;&lt;/record&gt;&lt;/Cite&gt;&lt;/EndNote&gt;</w:instrText>
      </w:r>
      <w:r w:rsidRPr="000A5183">
        <w:rPr>
          <w:rFonts w:ascii="Times New Roman" w:hAnsi="Times New Roman" w:cs="Times New Roman"/>
          <w:b/>
          <w:bCs/>
        </w:rPr>
        <w:fldChar w:fldCharType="separate"/>
      </w:r>
      <w:r w:rsidRPr="000A5183">
        <w:rPr>
          <w:rFonts w:ascii="Times New Roman" w:hAnsi="Times New Roman" w:cs="Times New Roman"/>
          <w:b/>
          <w:bCs/>
          <w:noProof/>
        </w:rPr>
        <w:t>(Pathania</w:t>
      </w:r>
      <w:r w:rsidRPr="000A5183">
        <w:rPr>
          <w:rFonts w:ascii="Times New Roman" w:hAnsi="Times New Roman" w:cs="Times New Roman"/>
          <w:b/>
          <w:bCs/>
          <w:i/>
          <w:noProof/>
        </w:rPr>
        <w:t xml:space="preserve"> et al.</w:t>
      </w:r>
      <w:r w:rsidRPr="000A5183">
        <w:rPr>
          <w:rFonts w:ascii="Times New Roman" w:hAnsi="Times New Roman" w:cs="Times New Roman"/>
          <w:b/>
          <w:bCs/>
          <w:noProof/>
        </w:rPr>
        <w:t>, 2021)</w:t>
      </w:r>
      <w:r w:rsidRPr="000A5183">
        <w:rPr>
          <w:rFonts w:ascii="Times New Roman" w:hAnsi="Times New Roman" w:cs="Times New Roman"/>
          <w:b/>
          <w:bCs/>
        </w:rPr>
        <w:fldChar w:fldCharType="end"/>
      </w:r>
      <w:r>
        <w:rPr>
          <w:rFonts w:ascii="Times New Roman" w:hAnsi="Times New Roman" w:cs="Times New Roman"/>
        </w:rPr>
        <w:t xml:space="preserve">, while this study used a 489 bp fragment including the first four amino acids. As promoter regions vary in size, it may be useful to trial different sized promoter regions and investigate any differences in fluorescence measured. </w:t>
      </w:r>
    </w:p>
    <w:p w14:paraId="3C5668AB" w14:textId="6A007A46" w:rsidR="00187693"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Of the tools developed and characterised in chapter 3, only the (p)ppGpp-synthetase deletion mutants and the (p)ppGpp overproduction strains were successfully used for </w:t>
      </w:r>
      <w:r>
        <w:rPr>
          <w:rFonts w:ascii="Times New Roman" w:hAnsi="Times New Roman" w:cs="Times New Roman"/>
          <w:i/>
          <w:iCs/>
        </w:rPr>
        <w:t xml:space="preserve">in vitro </w:t>
      </w:r>
      <w:r>
        <w:rPr>
          <w:rFonts w:ascii="Times New Roman" w:hAnsi="Times New Roman" w:cs="Times New Roman"/>
        </w:rPr>
        <w:t xml:space="preserve">and </w:t>
      </w:r>
      <w:r>
        <w:rPr>
          <w:rFonts w:ascii="Times New Roman" w:hAnsi="Times New Roman" w:cs="Times New Roman"/>
          <w:i/>
          <w:iCs/>
        </w:rPr>
        <w:t xml:space="preserve">in vivo </w:t>
      </w:r>
      <w:r>
        <w:rPr>
          <w:rFonts w:ascii="Times New Roman" w:hAnsi="Times New Roman" w:cs="Times New Roman"/>
        </w:rPr>
        <w:t xml:space="preserve">analysis. Previous studies investigating the ability of immune cells to kill stringent response mutants in </w:t>
      </w:r>
      <w:r>
        <w:rPr>
          <w:rFonts w:ascii="Times New Roman" w:hAnsi="Times New Roman" w:cs="Times New Roman"/>
          <w:i/>
          <w:iCs/>
        </w:rPr>
        <w:t xml:space="preserve">S. aureus </w:t>
      </w:r>
      <w:r>
        <w:rPr>
          <w:rFonts w:ascii="Times New Roman" w:hAnsi="Times New Roman" w:cs="Times New Roman"/>
        </w:rPr>
        <w:t xml:space="preserve">were performed using human neutrophils </w:t>
      </w:r>
      <w:r w:rsidRPr="009B50BE">
        <w:rPr>
          <w:rFonts w:ascii="Times New Roman" w:hAnsi="Times New Roman" w:cs="Times New Roman"/>
          <w:b/>
          <w:bCs/>
        </w:rPr>
        <w:fldChar w:fldCharType="begin"/>
      </w:r>
      <w:r w:rsidRPr="009B50BE">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format="utc"&gt;1678058042&lt;/last-updated-date&gt;&lt;accession-num&gt;DRCI:DATA2013076003393588&lt;/accession-num&gt;&lt;volume&gt;1&lt;/volume&gt;&lt;/record&gt;&lt;/Cite&gt;&lt;/EndNote&gt;</w:instrText>
      </w:r>
      <w:r w:rsidRPr="009B50BE">
        <w:rPr>
          <w:rFonts w:ascii="Times New Roman" w:hAnsi="Times New Roman" w:cs="Times New Roman"/>
          <w:b/>
          <w:bCs/>
        </w:rPr>
        <w:fldChar w:fldCharType="separate"/>
      </w:r>
      <w:r w:rsidRPr="009B50BE">
        <w:rPr>
          <w:rFonts w:ascii="Times New Roman" w:hAnsi="Times New Roman" w:cs="Times New Roman"/>
          <w:b/>
          <w:bCs/>
          <w:noProof/>
        </w:rPr>
        <w:t>(Geiger</w:t>
      </w:r>
      <w:r w:rsidRPr="009B50BE">
        <w:rPr>
          <w:rFonts w:ascii="Times New Roman" w:hAnsi="Times New Roman" w:cs="Times New Roman"/>
          <w:b/>
          <w:bCs/>
          <w:i/>
          <w:noProof/>
        </w:rPr>
        <w:t xml:space="preserve"> et al.</w:t>
      </w:r>
      <w:r w:rsidRPr="009B50BE">
        <w:rPr>
          <w:rFonts w:ascii="Times New Roman" w:hAnsi="Times New Roman" w:cs="Times New Roman"/>
          <w:b/>
          <w:bCs/>
          <w:noProof/>
        </w:rPr>
        <w:t>, 2012)</w:t>
      </w:r>
      <w:r w:rsidRPr="009B50BE">
        <w:rPr>
          <w:rFonts w:ascii="Times New Roman" w:hAnsi="Times New Roman" w:cs="Times New Roman"/>
          <w:b/>
          <w:bCs/>
        </w:rPr>
        <w:fldChar w:fldCharType="end"/>
      </w:r>
      <w:r>
        <w:rPr>
          <w:rFonts w:ascii="Times New Roman" w:hAnsi="Times New Roman" w:cs="Times New Roman"/>
        </w:rPr>
        <w:t xml:space="preserve"> and as far as is known, these studies have not been conducted in cell lines. As cell lines are easy to propagate, </w:t>
      </w:r>
      <w:r w:rsidR="002C4090">
        <w:rPr>
          <w:rFonts w:ascii="Times New Roman" w:hAnsi="Times New Roman" w:cs="Times New Roman"/>
        </w:rPr>
        <w:t xml:space="preserve">are </w:t>
      </w:r>
      <w:r>
        <w:rPr>
          <w:rFonts w:ascii="Times New Roman" w:hAnsi="Times New Roman" w:cs="Times New Roman"/>
        </w:rPr>
        <w:t xml:space="preserve">generally reliable and the results produced can be consistent between repeats, this study utilised the RAW 264.7 macrophage cell line. It was demonstrated that there was no difference in </w:t>
      </w:r>
      <w:r w:rsidRPr="008F20FF">
        <w:rPr>
          <w:rFonts w:ascii="Times New Roman" w:hAnsi="Times New Roman" w:cs="Times New Roman"/>
        </w:rPr>
        <w:t xml:space="preserve">killing </w:t>
      </w:r>
      <w:r>
        <w:rPr>
          <w:rFonts w:ascii="Times New Roman" w:hAnsi="Times New Roman" w:cs="Times New Roman"/>
        </w:rPr>
        <w:t>of</w:t>
      </w:r>
      <w:r w:rsidRPr="008F20FF">
        <w:rPr>
          <w:rFonts w:ascii="Times New Roman" w:hAnsi="Times New Roman" w:cs="Times New Roman"/>
        </w:rPr>
        <w:t xml:space="preserve"> WT and the (p)ppGpp</w:t>
      </w:r>
      <w:r w:rsidRPr="008F20FF">
        <w:rPr>
          <w:rFonts w:ascii="Times New Roman" w:hAnsi="Times New Roman" w:cs="Times New Roman"/>
          <w:vertAlign w:val="superscript"/>
        </w:rPr>
        <w:t>0</w:t>
      </w:r>
      <w:r w:rsidRPr="008F20FF">
        <w:rPr>
          <w:rFonts w:ascii="Times New Roman" w:hAnsi="Times New Roman" w:cs="Times New Roman"/>
        </w:rPr>
        <w:t xml:space="preserve"> mutant</w:t>
      </w:r>
      <w:r>
        <w:rPr>
          <w:rFonts w:ascii="Times New Roman" w:hAnsi="Times New Roman" w:cs="Times New Roman"/>
        </w:rPr>
        <w:t xml:space="preserve"> by the RAW 264.7 macrophage cell line </w:t>
      </w:r>
      <w:r>
        <w:rPr>
          <w:rFonts w:ascii="Times New Roman" w:hAnsi="Times New Roman" w:cs="Times New Roman"/>
          <w:b/>
          <w:bCs/>
        </w:rPr>
        <w:t>(Fig. 5.2.3)</w:t>
      </w:r>
      <w:r w:rsidR="004A17CD">
        <w:rPr>
          <w:rFonts w:ascii="Times New Roman" w:hAnsi="Times New Roman" w:cs="Times New Roman"/>
          <w:b/>
          <w:bCs/>
        </w:rPr>
        <w:t xml:space="preserve"> </w:t>
      </w:r>
      <w:r w:rsidR="00152C9A">
        <w:rPr>
          <w:rFonts w:ascii="Times New Roman" w:hAnsi="Times New Roman" w:cs="Times New Roman"/>
          <w:color w:val="000000" w:themeColor="text1"/>
        </w:rPr>
        <w:t>indicating that</w:t>
      </w:r>
      <w:r w:rsidR="00152C9A" w:rsidRPr="00152C9A">
        <w:rPr>
          <w:rFonts w:ascii="Times New Roman" w:hAnsi="Times New Roman" w:cs="Times New Roman"/>
          <w:color w:val="000000" w:themeColor="text1"/>
        </w:rPr>
        <w:t xml:space="preserve"> it may be better to use human cell lines or macrophages derived from human blood donors</w:t>
      </w:r>
      <w:r w:rsidR="00152C9A">
        <w:rPr>
          <w:rFonts w:ascii="Times New Roman" w:hAnsi="Times New Roman" w:cs="Times New Roman"/>
          <w:color w:val="000000" w:themeColor="text1"/>
        </w:rPr>
        <w:t xml:space="preserve"> instead</w:t>
      </w:r>
      <w:r w:rsidR="00152C9A" w:rsidRPr="00152C9A">
        <w:rPr>
          <w:rFonts w:ascii="Times New Roman" w:hAnsi="Times New Roman" w:cs="Times New Roman"/>
          <w:color w:val="000000" w:themeColor="text1"/>
        </w:rPr>
        <w:t xml:space="preserve">. </w:t>
      </w:r>
      <w:r w:rsidR="004A17CD" w:rsidRPr="00152C9A">
        <w:rPr>
          <w:rFonts w:ascii="Times New Roman" w:hAnsi="Times New Roman" w:cs="Times New Roman"/>
          <w:color w:val="000000" w:themeColor="text1"/>
        </w:rPr>
        <w:t xml:space="preserve">Thus, </w:t>
      </w:r>
      <w:r w:rsidR="004A17CD">
        <w:rPr>
          <w:rFonts w:ascii="Times New Roman" w:hAnsi="Times New Roman" w:cs="Times New Roman"/>
        </w:rPr>
        <w:t>s</w:t>
      </w:r>
      <w:r>
        <w:rPr>
          <w:rFonts w:ascii="Times New Roman" w:hAnsi="Times New Roman" w:cs="Times New Roman"/>
        </w:rPr>
        <w:t xml:space="preserve">ince these experiments, others in the laboratory have demonstrated that human MDMs are a better model as a difference in killing was observed between </w:t>
      </w:r>
      <w:r w:rsidRPr="008F20FF">
        <w:rPr>
          <w:rFonts w:ascii="Times New Roman" w:hAnsi="Times New Roman" w:cs="Times New Roman"/>
        </w:rPr>
        <w:t>WT and the (p)ppGpp</w:t>
      </w:r>
      <w:r w:rsidRPr="008F20FF">
        <w:rPr>
          <w:rFonts w:ascii="Times New Roman" w:hAnsi="Times New Roman" w:cs="Times New Roman"/>
          <w:vertAlign w:val="superscript"/>
        </w:rPr>
        <w:t>0</w:t>
      </w:r>
      <w:r w:rsidRPr="008F20FF">
        <w:rPr>
          <w:rFonts w:ascii="Times New Roman" w:hAnsi="Times New Roman" w:cs="Times New Roman"/>
        </w:rPr>
        <w:t xml:space="preserve"> mutant</w:t>
      </w:r>
      <w:r>
        <w:rPr>
          <w:rFonts w:ascii="Times New Roman" w:hAnsi="Times New Roman" w:cs="Times New Roman"/>
        </w:rPr>
        <w:t>, thus reiterating the suitability of using human cells to study the stringent response. As the</w:t>
      </w:r>
      <w:r w:rsidR="0039225C">
        <w:rPr>
          <w:rFonts w:ascii="Times New Roman" w:hAnsi="Times New Roman" w:cs="Times New Roman"/>
        </w:rPr>
        <w:t xml:space="preserve"> monocytes from which the macrophages were derived </w:t>
      </w:r>
      <w:r>
        <w:rPr>
          <w:rFonts w:ascii="Times New Roman" w:hAnsi="Times New Roman" w:cs="Times New Roman"/>
        </w:rPr>
        <w:t xml:space="preserve"> were isolated from human blood, the results from these experiments are more representative of human infection than when using RAW 264.7 macrophages, as pathogens do not always respond to murine receptors as they do human receptors </w:t>
      </w:r>
      <w:r w:rsidRPr="00E4046E">
        <w:rPr>
          <w:rFonts w:ascii="Times New Roman" w:hAnsi="Times New Roman" w:cs="Times New Roman"/>
          <w:b/>
          <w:bCs/>
        </w:rPr>
        <w:fldChar w:fldCharType="begin"/>
      </w:r>
      <w:r w:rsidRPr="00E4046E">
        <w:rPr>
          <w:rFonts w:ascii="Times New Roman" w:hAnsi="Times New Roman" w:cs="Times New Roman"/>
          <w:b/>
          <w:bCs/>
        </w:rPr>
        <w:instrText xml:space="preserve"> ADDIN EN.CITE &lt;EndNote&gt;&lt;Cite&gt;&lt;Author&gt;Parker&lt;/Author&gt;&lt;Year&gt;2017&lt;/Year&gt;&lt;IDText&gt;Humanized Mouse Models of Staphylococcus aureus infection&lt;/IDText&gt;&lt;DisplayText&gt;(Parker, 2017)&lt;/DisplayText&gt;&lt;record&gt;&lt;dates&gt;&lt;pub-dates&gt;&lt;date&gt;May&lt;/date&gt;&lt;/pub-dates&gt;&lt;year&gt;2017&lt;/year&gt;&lt;/dates&gt;&lt;urls&gt;&lt;related-urls&gt;&lt;url&gt;&amp;lt;Go to ISI&amp;gt;://WOS:000400706300001&lt;/url&gt;&lt;/related-urls&gt;&lt;/urls&gt;&lt;isbn&gt;1664-3224&lt;/isbn&gt;&lt;titles&gt;&lt;title&gt;Humanized Mouse Models of Staphylococcus aureus infection&lt;/title&gt;&lt;secondary-title&gt;Frontiers in Immunology&lt;/secondary-title&gt;&lt;/titles&gt;&lt;contributors&gt;&lt;authors&gt;&lt;author&gt;Parker, D.&lt;/author&gt;&lt;/authors&gt;&lt;/contributors&gt;&lt;custom7&gt;512&lt;/custom7&gt;&lt;added-date format="utc"&gt;1677444319&lt;/added-date&gt;&lt;ref-type name="Journal Article"&gt;17&lt;/ref-type&gt;&lt;rec-number&gt;560&lt;/rec-number&gt;&lt;last-updated-date format="utc"&gt;1678058042&lt;/last-updated-date&gt;&lt;accession-num&gt;WOS:000400706300001&lt;/accession-num&gt;&lt;electronic-resource-num&gt;10.3389/fimmu.2017.00512&lt;/electronic-resource-num&gt;&lt;volume&gt;8&lt;/volume&gt;&lt;/record&gt;&lt;/Cite&gt;&lt;/EndNote&gt;</w:instrText>
      </w:r>
      <w:r w:rsidRPr="00E4046E">
        <w:rPr>
          <w:rFonts w:ascii="Times New Roman" w:hAnsi="Times New Roman" w:cs="Times New Roman"/>
          <w:b/>
          <w:bCs/>
        </w:rPr>
        <w:fldChar w:fldCharType="separate"/>
      </w:r>
      <w:r w:rsidRPr="00E4046E">
        <w:rPr>
          <w:rFonts w:ascii="Times New Roman" w:hAnsi="Times New Roman" w:cs="Times New Roman"/>
          <w:b/>
          <w:bCs/>
          <w:noProof/>
        </w:rPr>
        <w:t>(Parker, 2017)</w:t>
      </w:r>
      <w:r w:rsidRPr="00E4046E">
        <w:rPr>
          <w:rFonts w:ascii="Times New Roman" w:hAnsi="Times New Roman" w:cs="Times New Roman"/>
          <w:b/>
          <w:bCs/>
        </w:rPr>
        <w:fldChar w:fldCharType="end"/>
      </w:r>
      <w:r>
        <w:rPr>
          <w:rFonts w:ascii="Times New Roman" w:hAnsi="Times New Roman" w:cs="Times New Roman"/>
        </w:rPr>
        <w:t>.</w:t>
      </w:r>
    </w:p>
    <w:p w14:paraId="59FA4734" w14:textId="539A367A" w:rsidR="00187693" w:rsidRPr="00115BDE"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In contrast to the results observed in RAW 264.7 macrophages, host-pathogen interactions were also studied using HTE cells. It is important to understand how </w:t>
      </w:r>
      <w:r>
        <w:rPr>
          <w:rFonts w:ascii="Times New Roman" w:hAnsi="Times New Roman" w:cs="Times New Roman"/>
          <w:i/>
          <w:iCs/>
        </w:rPr>
        <w:t>S. aureus</w:t>
      </w:r>
      <w:r>
        <w:rPr>
          <w:rFonts w:ascii="Times New Roman" w:hAnsi="Times New Roman" w:cs="Times New Roman"/>
        </w:rPr>
        <w:t xml:space="preserve"> interacts with non-professional phagocytes such as epithelial cells as they are the first line of defence as they constitute the physical barrier of epithelial cells such as skin and mucosa. </w:t>
      </w:r>
      <w:r w:rsidRPr="00C72668">
        <w:rPr>
          <w:rFonts w:ascii="Times New Roman" w:hAnsi="Times New Roman" w:cs="Times New Roman"/>
          <w:i/>
          <w:iCs/>
        </w:rPr>
        <w:t xml:space="preserve">S. aureus </w:t>
      </w:r>
      <w:r w:rsidRPr="00C72668">
        <w:rPr>
          <w:rFonts w:ascii="Times New Roman" w:hAnsi="Times New Roman" w:cs="Times New Roman"/>
        </w:rPr>
        <w:t>are known to frequently colonise the external tonsillar epithelium as well as the internal tonsillar tissue, which is suggested to result in recurrent tonsillar infections</w:t>
      </w:r>
      <w:r>
        <w:rPr>
          <w:rFonts w:ascii="Times New Roman" w:hAnsi="Times New Roman" w:cs="Times New Roman"/>
        </w:rPr>
        <w:t xml:space="preserve"> </w:t>
      </w:r>
      <w:r w:rsidRPr="00AE6FEF">
        <w:rPr>
          <w:rFonts w:ascii="Times New Roman" w:hAnsi="Times New Roman" w:cs="Times New Roman"/>
          <w:b/>
          <w:bCs/>
        </w:rPr>
        <w:fldChar w:fldCharType="begin"/>
      </w:r>
      <w:r w:rsidRPr="00AE6FEF">
        <w:rPr>
          <w:rFonts w:ascii="Times New Roman" w:hAnsi="Times New Roman" w:cs="Times New Roman"/>
          <w:b/>
          <w:bCs/>
        </w:rPr>
        <w:instrText xml:space="preserve"> ADDIN EN.CITE &lt;EndNote&gt;&lt;Cite&gt;&lt;Author&gt;Zautner&lt;/Author&gt;&lt;Year&gt;2010&lt;/Year&gt;&lt;IDText&gt;Intracellular Persisting Staphylococcus aureus Is the Major Pathogen in Recurrent Tonsillitis&lt;/IDText&gt;&lt;DisplayText&gt;(Zautner&lt;style face="italic"&gt; et al.&lt;/style&gt;, 2010)&lt;/DisplayText&gt;&lt;record&gt;&lt;dates&gt;&lt;pub-dates&gt;&lt;date&gt;Mar 1&lt;/date&gt;&lt;/pub-dates&gt;&lt;year&gt;2010&lt;/year&gt;&lt;/dates&gt;&lt;urls&gt;&lt;related-urls&gt;&lt;url&gt;&amp;lt;Go to ISI&amp;gt;://WOS:000274997100004&lt;/url&gt;&lt;/related-urls&gt;&lt;/urls&gt;&lt;isbn&gt;1932-6203&lt;/isbn&gt;&lt;work-type&gt;Article&lt;/work-type&gt;&lt;titles&gt;&lt;title&gt;Intracellular Persisting Staphylococcus aureus Is the Major Pathogen in Recurrent Tonsillitis&lt;/title&gt;&lt;secondary-title&gt;Plos One&lt;/secondary-title&gt;&lt;/titles&gt;&lt;number&gt;3&lt;/number&gt;&lt;contributors&gt;&lt;authors&gt;&lt;author&gt;Zautner, Andreas E.&lt;/author&gt;&lt;author&gt;Krause, Merit&lt;/author&gt;&lt;author&gt;Stropahl, Gerhard&lt;/author&gt;&lt;author&gt;Holtfreter, Silva&lt;/author&gt;&lt;author&gt;Frickmann, Hagen&lt;/author&gt;&lt;author&gt;Maletzki, Claudia&lt;/author&gt;&lt;author&gt;Kreikemeyer, Bernd&lt;/author&gt;&lt;author&gt;Pau, Hans Wilhelm&lt;/author&gt;&lt;author&gt;Podbielski, Andreas&lt;/author&gt;&lt;/authors&gt;&lt;/contributors&gt;&lt;custom7&gt;e9452&lt;/custom7&gt;&lt;added-date format="utc"&gt;1673968930&lt;/added-date&gt;&lt;ref-type name="Journal Article"&gt;17&lt;/ref-type&gt;&lt;rec-number&gt;202&lt;/rec-number&gt;&lt;last-updated-date format="utc"&gt;1678058042&lt;/last-updated-date&gt;&lt;accession-num&gt;WOS:000274997100004&lt;/accession-num&gt;&lt;electronic-resource-num&gt;10.1371/journal.pone.0009452&lt;/electronic-resource-num&gt;&lt;volume&gt;5&lt;/volume&gt;&lt;/record&gt;&lt;/Cite&gt;&lt;/EndNote&gt;</w:instrText>
      </w:r>
      <w:r w:rsidRPr="00AE6FEF">
        <w:rPr>
          <w:rFonts w:ascii="Times New Roman" w:hAnsi="Times New Roman" w:cs="Times New Roman"/>
          <w:b/>
          <w:bCs/>
        </w:rPr>
        <w:fldChar w:fldCharType="separate"/>
      </w:r>
      <w:r w:rsidRPr="00AE6FEF">
        <w:rPr>
          <w:rFonts w:ascii="Times New Roman" w:hAnsi="Times New Roman" w:cs="Times New Roman"/>
          <w:b/>
          <w:bCs/>
          <w:noProof/>
        </w:rPr>
        <w:t>(Zautner</w:t>
      </w:r>
      <w:r w:rsidRPr="00AE6FEF">
        <w:rPr>
          <w:rFonts w:ascii="Times New Roman" w:hAnsi="Times New Roman" w:cs="Times New Roman"/>
          <w:b/>
          <w:bCs/>
          <w:i/>
          <w:noProof/>
        </w:rPr>
        <w:t xml:space="preserve"> et al.</w:t>
      </w:r>
      <w:r w:rsidRPr="00AE6FEF">
        <w:rPr>
          <w:rFonts w:ascii="Times New Roman" w:hAnsi="Times New Roman" w:cs="Times New Roman"/>
          <w:b/>
          <w:bCs/>
          <w:noProof/>
        </w:rPr>
        <w:t>, 2010)</w:t>
      </w:r>
      <w:r w:rsidRPr="00AE6FEF">
        <w:rPr>
          <w:rFonts w:ascii="Times New Roman" w:hAnsi="Times New Roman" w:cs="Times New Roman"/>
          <w:b/>
          <w:bCs/>
        </w:rPr>
        <w:fldChar w:fldCharType="end"/>
      </w:r>
      <w:r w:rsidRPr="00C72668">
        <w:rPr>
          <w:rFonts w:ascii="Times New Roman" w:hAnsi="Times New Roman" w:cs="Times New Roman"/>
        </w:rPr>
        <w:t>.</w:t>
      </w:r>
      <w:r w:rsidRPr="00C726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When both stationary and exponential phase </w:t>
      </w:r>
      <w:r>
        <w:rPr>
          <w:rFonts w:ascii="Times New Roman" w:hAnsi="Times New Roman" w:cs="Times New Roman"/>
          <w:i/>
          <w:iCs/>
          <w:color w:val="000000" w:themeColor="text1"/>
        </w:rPr>
        <w:t>S. aureus</w:t>
      </w:r>
      <w:r>
        <w:rPr>
          <w:rFonts w:ascii="Times New Roman" w:hAnsi="Times New Roman" w:cs="Times New Roman"/>
          <w:color w:val="000000" w:themeColor="text1"/>
        </w:rPr>
        <w:t xml:space="preserve"> invaded the HTE cells, fewer </w:t>
      </w:r>
      <w:r w:rsidRPr="008F20FF">
        <w:rPr>
          <w:rFonts w:ascii="Times New Roman" w:hAnsi="Times New Roman" w:cs="Times New Roman"/>
        </w:rPr>
        <w:t>(p)ppGpp</w:t>
      </w:r>
      <w:r w:rsidRPr="008F20FF">
        <w:rPr>
          <w:rFonts w:ascii="Times New Roman" w:hAnsi="Times New Roman" w:cs="Times New Roman"/>
          <w:vertAlign w:val="superscript"/>
        </w:rPr>
        <w:t>0</w:t>
      </w:r>
      <w:r w:rsidRPr="008F20FF">
        <w:rPr>
          <w:rFonts w:ascii="Times New Roman" w:hAnsi="Times New Roman" w:cs="Times New Roman"/>
        </w:rPr>
        <w:t xml:space="preserve"> mutant</w:t>
      </w:r>
      <w:r>
        <w:rPr>
          <w:rFonts w:ascii="Times New Roman" w:hAnsi="Times New Roman" w:cs="Times New Roman"/>
          <w:color w:val="000000" w:themeColor="text1"/>
        </w:rPr>
        <w:t xml:space="preserve"> colonies were recovered which could suggest that they are unable to replicate or are susceptible to intracellular killing </w:t>
      </w:r>
      <w:r>
        <w:rPr>
          <w:rFonts w:ascii="Times New Roman" w:hAnsi="Times New Roman" w:cs="Times New Roman"/>
          <w:b/>
          <w:bCs/>
          <w:color w:val="000000" w:themeColor="text1"/>
        </w:rPr>
        <w:t>(Fig. 5.4.1)</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In vitro</w:t>
      </w:r>
      <w:r>
        <w:rPr>
          <w:rFonts w:ascii="Times New Roman" w:hAnsi="Times New Roman" w:cs="Times New Roman"/>
          <w:color w:val="000000" w:themeColor="text1"/>
        </w:rPr>
        <w:t xml:space="preserve"> data revealed that the </w:t>
      </w:r>
      <w:r w:rsidRPr="008F20FF">
        <w:rPr>
          <w:rFonts w:ascii="Times New Roman" w:hAnsi="Times New Roman" w:cs="Times New Roman"/>
        </w:rPr>
        <w:t>(p)ppGpp</w:t>
      </w:r>
      <w:r w:rsidRPr="008F20FF">
        <w:rPr>
          <w:rFonts w:ascii="Times New Roman" w:hAnsi="Times New Roman" w:cs="Times New Roman"/>
          <w:vertAlign w:val="superscript"/>
        </w:rPr>
        <w:t>0</w:t>
      </w:r>
      <w:r w:rsidRPr="008F20FF">
        <w:rPr>
          <w:rFonts w:ascii="Times New Roman" w:hAnsi="Times New Roman" w:cs="Times New Roman"/>
        </w:rPr>
        <w:t xml:space="preserve"> mutant</w:t>
      </w:r>
      <w:r>
        <w:rPr>
          <w:rFonts w:ascii="Times New Roman" w:hAnsi="Times New Roman" w:cs="Times New Roman"/>
        </w:rPr>
        <w:t xml:space="preserve"> was more susceptible to acid and ROS stress</w:t>
      </w:r>
      <w:r>
        <w:rPr>
          <w:rFonts w:ascii="Times New Roman" w:hAnsi="Times New Roman" w:cs="Times New Roman"/>
          <w:color w:val="000000" w:themeColor="text1"/>
        </w:rPr>
        <w:t xml:space="preserve">, which may also be the case in the phagolysosome within HTE cells </w:t>
      </w:r>
      <w:r>
        <w:rPr>
          <w:rFonts w:ascii="Times New Roman" w:hAnsi="Times New Roman" w:cs="Times New Roman"/>
          <w:b/>
          <w:bCs/>
          <w:color w:val="000000" w:themeColor="text1"/>
        </w:rPr>
        <w:t>(Fig. 4.2.5 and 4.2.7)</w:t>
      </w:r>
      <w:r>
        <w:rPr>
          <w:rFonts w:ascii="Times New Roman" w:hAnsi="Times New Roman" w:cs="Times New Roman"/>
          <w:color w:val="000000" w:themeColor="text1"/>
        </w:rPr>
        <w:t xml:space="preserve">. However, future work </w:t>
      </w:r>
      <w:r w:rsidR="00A85DC8">
        <w:rPr>
          <w:rFonts w:ascii="Times New Roman" w:hAnsi="Times New Roman" w:cs="Times New Roman"/>
          <w:color w:val="000000" w:themeColor="text1"/>
        </w:rPr>
        <w:t>for example</w:t>
      </w:r>
      <w:r>
        <w:rPr>
          <w:rFonts w:ascii="Times New Roman" w:hAnsi="Times New Roman" w:cs="Times New Roman"/>
          <w:color w:val="000000" w:themeColor="text1"/>
        </w:rPr>
        <w:t xml:space="preserve"> time-lapse microscopy</w:t>
      </w:r>
      <w:r w:rsidR="00A85DC8">
        <w:rPr>
          <w:rFonts w:ascii="Times New Roman" w:hAnsi="Times New Roman" w:cs="Times New Roman"/>
          <w:color w:val="000000" w:themeColor="text1"/>
        </w:rPr>
        <w:t>,</w:t>
      </w:r>
      <w:r>
        <w:rPr>
          <w:rFonts w:ascii="Times New Roman" w:hAnsi="Times New Roman" w:cs="Times New Roman"/>
          <w:color w:val="000000" w:themeColor="text1"/>
        </w:rPr>
        <w:t xml:space="preserve"> could identify whether the </w:t>
      </w:r>
      <w:r w:rsidRPr="008F20FF">
        <w:rPr>
          <w:rFonts w:ascii="Times New Roman" w:hAnsi="Times New Roman" w:cs="Times New Roman"/>
        </w:rPr>
        <w:t>(p)ppGpp</w:t>
      </w:r>
      <w:r w:rsidRPr="008F20FF">
        <w:rPr>
          <w:rFonts w:ascii="Times New Roman" w:hAnsi="Times New Roman" w:cs="Times New Roman"/>
          <w:vertAlign w:val="superscript"/>
        </w:rPr>
        <w:t>0</w:t>
      </w:r>
      <w:r w:rsidRPr="008F20FF">
        <w:rPr>
          <w:rFonts w:ascii="Times New Roman" w:hAnsi="Times New Roman" w:cs="Times New Roman"/>
        </w:rPr>
        <w:t xml:space="preserve"> mutant</w:t>
      </w:r>
      <w:r>
        <w:rPr>
          <w:rFonts w:ascii="Times New Roman" w:hAnsi="Times New Roman" w:cs="Times New Roman"/>
          <w:color w:val="000000" w:themeColor="text1"/>
        </w:rPr>
        <w:t xml:space="preserve"> is able to grow as well as WT intracellularly within HTE cells. Studies have shown the importance of the stringent response for invasion in Gram-negative bacteria </w:t>
      </w:r>
      <w:r w:rsidRPr="00AE6FEF">
        <w:rPr>
          <w:rFonts w:ascii="Times New Roman" w:hAnsi="Times New Roman" w:cs="Times New Roman"/>
          <w:b/>
          <w:bCs/>
          <w:color w:val="000000" w:themeColor="text1"/>
        </w:rPr>
        <w:fldChar w:fldCharType="begin">
          <w:fldData xml:space="preserve">PEVuZE5vdGU+PENpdGU+PEF1dGhvcj5QaXphcnJvLUNlcmTDoSA8L0F1dGhvcj48WWVhcj4yMDA0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</w:fldData>
        </w:fldChar>
      </w:r>
      <w:r>
        <w:rPr>
          <w:rFonts w:ascii="Times New Roman" w:hAnsi="Times New Roman" w:cs="Times New Roman"/>
          <w:b/>
          <w:bCs/>
          <w:color w:val="000000" w:themeColor="text1"/>
        </w:rPr>
        <w:instrText xml:space="preserve"> ADDIN EN.CITE </w:instrText>
      </w:r>
      <w:r>
        <w:rPr>
          <w:rFonts w:ascii="Times New Roman" w:hAnsi="Times New Roman" w:cs="Times New Roman"/>
          <w:b/>
          <w:bCs/>
          <w:color w:val="000000" w:themeColor="text1"/>
        </w:rPr>
        <w:fldChar w:fldCharType="begin">
          <w:fldData xml:space="preserve">PEVuZE5vdGU+PENpdGU+PEF1dGhvcj5QaXphcnJvLUNlcmTDoSA8L0F1dGhvcj48WWVhcj4yMDA0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</w:fldData>
        </w:fldChar>
      </w:r>
      <w:r>
        <w:rPr>
          <w:rFonts w:ascii="Times New Roman" w:hAnsi="Times New Roman" w:cs="Times New Roman"/>
          <w:b/>
          <w:bCs/>
          <w:color w:val="000000" w:themeColor="text1"/>
        </w:rPr>
        <w:instrText xml:space="preserve"> ADDIN EN.CITE.DATA </w:instrText>
      </w:r>
      <w:r>
        <w:rPr>
          <w:rFonts w:ascii="Times New Roman" w:hAnsi="Times New Roman" w:cs="Times New Roman"/>
          <w:b/>
          <w:bCs/>
          <w:color w:val="000000" w:themeColor="text1"/>
        </w:rPr>
      </w:r>
      <w:r>
        <w:rPr>
          <w:rFonts w:ascii="Times New Roman" w:hAnsi="Times New Roman" w:cs="Times New Roman"/>
          <w:b/>
          <w:bCs/>
          <w:color w:val="000000" w:themeColor="text1"/>
        </w:rPr>
        <w:fldChar w:fldCharType="end"/>
      </w:r>
      <w:r w:rsidRPr="00AE6FEF">
        <w:rPr>
          <w:rFonts w:ascii="Times New Roman" w:hAnsi="Times New Roman" w:cs="Times New Roman"/>
          <w:b/>
          <w:bCs/>
          <w:color w:val="000000" w:themeColor="text1"/>
        </w:rPr>
      </w:r>
      <w:r w:rsidRPr="00AE6FEF">
        <w:rPr>
          <w:rFonts w:ascii="Times New Roman" w:hAnsi="Times New Roman" w:cs="Times New Roman"/>
          <w:b/>
          <w:bCs/>
          <w:color w:val="000000" w:themeColor="text1"/>
        </w:rPr>
        <w:fldChar w:fldCharType="separate"/>
      </w:r>
      <w:r>
        <w:rPr>
          <w:rFonts w:ascii="Times New Roman" w:hAnsi="Times New Roman" w:cs="Times New Roman"/>
          <w:b/>
          <w:bCs/>
          <w:noProof/>
          <w:color w:val="000000" w:themeColor="text1"/>
        </w:rPr>
        <w:t>(Pizarro-Cerdá  and Tedin, 2004; Lim</w:t>
      </w:r>
      <w:r w:rsidRPr="00AE6FEF">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2014; Johnson</w:t>
      </w:r>
      <w:r w:rsidRPr="00AE6FEF">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2017; Dasgupta</w:t>
      </w:r>
      <w:r w:rsidRPr="00AE6FEF">
        <w:rPr>
          <w:rFonts w:ascii="Times New Roman" w:hAnsi="Times New Roman" w:cs="Times New Roman"/>
          <w:b/>
          <w:bCs/>
          <w:i/>
          <w:noProof/>
          <w:color w:val="000000" w:themeColor="text1"/>
        </w:rPr>
        <w:t xml:space="preserve"> et al.</w:t>
      </w:r>
      <w:r>
        <w:rPr>
          <w:rFonts w:ascii="Times New Roman" w:hAnsi="Times New Roman" w:cs="Times New Roman"/>
          <w:b/>
          <w:bCs/>
          <w:noProof/>
          <w:color w:val="000000" w:themeColor="text1"/>
        </w:rPr>
        <w:t>, 2019)</w:t>
      </w:r>
      <w:r w:rsidRPr="00AE6FEF">
        <w:rPr>
          <w:rFonts w:ascii="Times New Roman" w:hAnsi="Times New Roman" w:cs="Times New Roman"/>
          <w:b/>
          <w:bCs/>
          <w:color w:val="000000" w:themeColor="text1"/>
        </w:rPr>
        <w:fldChar w:fldCharType="end"/>
      </w:r>
      <w:r>
        <w:rPr>
          <w:rFonts w:ascii="Times New Roman" w:hAnsi="Times New Roman" w:cs="Times New Roman"/>
          <w:b/>
          <w:bCs/>
          <w:color w:val="000000" w:themeColor="text1"/>
        </w:rPr>
        <w:t xml:space="preserve"> </w:t>
      </w:r>
      <w:r>
        <w:rPr>
          <w:rFonts w:ascii="Times New Roman" w:hAnsi="Times New Roman" w:cs="Times New Roman"/>
          <w:color w:val="000000" w:themeColor="text1"/>
        </w:rPr>
        <w:t xml:space="preserve">and Gram-positive bacteria </w:t>
      </w:r>
      <w:r w:rsidRPr="00AE6FEF">
        <w:rPr>
          <w:rFonts w:ascii="Times New Roman" w:hAnsi="Times New Roman" w:cs="Times New Roman"/>
          <w:b/>
          <w:bCs/>
          <w:color w:val="000000" w:themeColor="text1"/>
        </w:rPr>
        <w:fldChar w:fldCharType="begin"/>
      </w:r>
      <w:r w:rsidRPr="00AE6FEF">
        <w:rPr>
          <w:rFonts w:ascii="Times New Roman" w:hAnsi="Times New Roman" w:cs="Times New Roman"/>
          <w:b/>
          <w:bCs/>
          <w:color w:val="000000" w:themeColor="text1"/>
        </w:rPr>
        <w:instrText xml:space="preserve"> ADDIN EN.CITE &lt;EndNote&gt;&lt;Cite&gt;&lt;Author&gt;Colomer-Winter&lt;/Author&gt;&lt;Year&gt;2019&lt;/Year&gt;&lt;IDText&gt;(p)ppGpp and CodY Promote Enterococcus faecalis Virulence in a Murine Model of Catheter-Associated Urinary Tract Infection&lt;/IDText&gt;&lt;DisplayText&gt;(Colomer-Winter&lt;style face="italic"&gt; et al.&lt;/style&gt;, 2019)&lt;/DisplayText&gt;&lt;record&gt;&lt;dates&gt;&lt;pub-dates&gt;&lt;date&gt;Jul-Aug&lt;/date&gt;&lt;/pub-dates&gt;&lt;year&gt;2019&lt;/year&gt;&lt;/dates&gt;&lt;urls&gt;&lt;related-urls&gt;&lt;/related-urls&gt;&lt;/urls&gt;&lt;titles&gt;&lt;title&gt;&lt;style font="default" size="100%"&gt;(p)ppGpp and CodY Promote &lt;/style&gt;&lt;style face="italic" font="default" size="100%"&gt;Enterococcus faecalis &lt;/style&gt;&lt;style font="default" size="100%"&gt;Virulence in a Murine Model of Catheter-Associated Urinary Tract Infection&lt;/style&gt;&lt;/title&gt;&lt;secondary-title&gt;Msphere&lt;/secondary-title&gt;&lt;/titles&gt;&lt;number&gt;4&lt;/number&gt;&lt;contributors&gt;&lt;authors&gt;&lt;author&gt;Colomer-Winter, C.&lt;/author&gt;&lt;author&gt;Flores-Mireles, A. L.&lt;/author&gt;&lt;author&gt;Kundra, S.&lt;/author&gt;&lt;author&gt;Hultgren, S. J.&lt;/author&gt;&lt;author&gt;Lemos, J. A.&lt;/author&gt;&lt;/authors&gt;&lt;/contributors&gt;&lt;custom7&gt;e00392-19&lt;/custom7&gt;&lt;added-date format="utc"&gt;1675037733&lt;/added-date&gt;&lt;ref-type name="Journal Article"&gt;17&lt;/ref-type&gt;&lt;rec-number&gt;291&lt;/rec-number&gt;&lt;last-updated-date format="utc"&gt;1678058042&lt;/last-updated-date&gt;&lt;accession-num&gt;WOS:000483320200013&lt;/accession-num&gt;&lt;electronic-resource-num&gt;10.1128/mSphere.00392-19&lt;/electronic-resource-num&gt;&lt;volume&gt;4&lt;/volume&gt;&lt;/record&gt;&lt;/Cite&gt;&lt;/EndNote&gt;</w:instrText>
      </w:r>
      <w:r w:rsidRPr="00AE6FEF">
        <w:rPr>
          <w:rFonts w:ascii="Times New Roman" w:hAnsi="Times New Roman" w:cs="Times New Roman"/>
          <w:b/>
          <w:bCs/>
          <w:color w:val="000000" w:themeColor="text1"/>
        </w:rPr>
        <w:fldChar w:fldCharType="separate"/>
      </w:r>
      <w:r w:rsidRPr="00AE6FEF">
        <w:rPr>
          <w:rFonts w:ascii="Times New Roman" w:hAnsi="Times New Roman" w:cs="Times New Roman"/>
          <w:b/>
          <w:bCs/>
          <w:noProof/>
          <w:color w:val="000000" w:themeColor="text1"/>
        </w:rPr>
        <w:t>(Colomer-Winter</w:t>
      </w:r>
      <w:r w:rsidRPr="00AE6FEF">
        <w:rPr>
          <w:rFonts w:ascii="Times New Roman" w:hAnsi="Times New Roman" w:cs="Times New Roman"/>
          <w:b/>
          <w:bCs/>
          <w:i/>
          <w:noProof/>
          <w:color w:val="000000" w:themeColor="text1"/>
        </w:rPr>
        <w:t xml:space="preserve"> et al.</w:t>
      </w:r>
      <w:r w:rsidRPr="00AE6FEF">
        <w:rPr>
          <w:rFonts w:ascii="Times New Roman" w:hAnsi="Times New Roman" w:cs="Times New Roman"/>
          <w:b/>
          <w:bCs/>
          <w:noProof/>
          <w:color w:val="000000" w:themeColor="text1"/>
        </w:rPr>
        <w:t>, 2019)</w:t>
      </w:r>
      <w:r w:rsidRPr="00AE6FEF">
        <w:rPr>
          <w:rFonts w:ascii="Times New Roman" w:hAnsi="Times New Roman" w:cs="Times New Roman"/>
          <w:b/>
          <w:bCs/>
          <w:color w:val="000000" w:themeColor="text1"/>
        </w:rPr>
        <w:fldChar w:fldCharType="end"/>
      </w:r>
      <w:r>
        <w:rPr>
          <w:rFonts w:ascii="Times New Roman" w:hAnsi="Times New Roman" w:cs="Times New Roman"/>
          <w:color w:val="000000" w:themeColor="text1"/>
        </w:rPr>
        <w:t xml:space="preserve">. As the presence of a functional stringent response leads to the upregulation of virulence factors in </w:t>
      </w:r>
      <w:r>
        <w:rPr>
          <w:rFonts w:ascii="Times New Roman" w:hAnsi="Times New Roman" w:cs="Times New Roman"/>
          <w:i/>
          <w:iCs/>
          <w:color w:val="000000" w:themeColor="text1"/>
        </w:rPr>
        <w:t>S. aureus</w:t>
      </w:r>
      <w:r>
        <w:rPr>
          <w:rFonts w:ascii="Times New Roman" w:hAnsi="Times New Roman" w:cs="Times New Roman"/>
          <w:color w:val="000000" w:themeColor="text1"/>
        </w:rPr>
        <w:t xml:space="preserve"> as described in section 1.2.3, this can increase the ability of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to invade during nutrient limitation, in order to find a more nutrient-rich environment. Furthermore,</w:t>
      </w:r>
      <w:r>
        <w:rPr>
          <w:rFonts w:ascii="Times New Roman" w:hAnsi="Times New Roman" w:cs="Times New Roman"/>
        </w:rPr>
        <w:t xml:space="preserve"> it was revealed that WT </w:t>
      </w:r>
      <w:r>
        <w:rPr>
          <w:rFonts w:ascii="Times New Roman" w:hAnsi="Times New Roman" w:cs="Times New Roman"/>
          <w:color w:val="000000" w:themeColor="text1"/>
        </w:rPr>
        <w:t xml:space="preserve">exponential phase </w:t>
      </w:r>
      <w:r>
        <w:rPr>
          <w:rFonts w:ascii="Times New Roman" w:hAnsi="Times New Roman" w:cs="Times New Roman"/>
          <w:i/>
          <w:iCs/>
          <w:color w:val="000000" w:themeColor="text1"/>
        </w:rPr>
        <w:t xml:space="preserve">S. aureus </w:t>
      </w:r>
      <w:r>
        <w:rPr>
          <w:rFonts w:ascii="Times New Roman" w:hAnsi="Times New Roman" w:cs="Times New Roman"/>
          <w:color w:val="000000" w:themeColor="text1"/>
        </w:rPr>
        <w:t xml:space="preserve">were better at replicating, demonstrated by higher CFU counts at 8 hpi </w:t>
      </w:r>
      <w:r>
        <w:rPr>
          <w:rFonts w:ascii="Times New Roman" w:hAnsi="Times New Roman" w:cs="Times New Roman"/>
          <w:b/>
          <w:bCs/>
          <w:color w:val="000000" w:themeColor="text1"/>
        </w:rPr>
        <w:t>(Fig. 5.4.1e and f)</w:t>
      </w:r>
      <w:r>
        <w:rPr>
          <w:rFonts w:ascii="Times New Roman" w:hAnsi="Times New Roman" w:cs="Times New Roman"/>
          <w:color w:val="000000" w:themeColor="text1"/>
        </w:rPr>
        <w:t>.</w:t>
      </w:r>
      <w:r>
        <w:rPr>
          <w:rFonts w:ascii="Times New Roman" w:hAnsi="Times New Roman" w:cs="Times New Roman"/>
        </w:rPr>
        <w:t xml:space="preserve"> </w:t>
      </w:r>
      <w:r w:rsidRPr="00E62CFD">
        <w:rPr>
          <w:rFonts w:ascii="Times New Roman" w:hAnsi="Times New Roman" w:cs="Times New Roman"/>
          <w:i/>
          <w:iCs/>
        </w:rPr>
        <w:t xml:space="preserve">S. aureus </w:t>
      </w:r>
      <w:r w:rsidRPr="00E62CFD">
        <w:rPr>
          <w:rFonts w:ascii="Times New Roman" w:hAnsi="Times New Roman" w:cs="Times New Roman"/>
        </w:rPr>
        <w:t xml:space="preserve">may be in different phases of growth during infection, and this can depend on the type of infection and the location. </w:t>
      </w:r>
      <w:r w:rsidRPr="00E62CFD">
        <w:rPr>
          <w:rFonts w:ascii="Times New Roman" w:hAnsi="Times New Roman" w:cs="Times New Roman"/>
          <w:i/>
          <w:iCs/>
        </w:rPr>
        <w:t xml:space="preserve">S. aureus </w:t>
      </w:r>
      <w:r w:rsidRPr="00E62CFD">
        <w:rPr>
          <w:rFonts w:ascii="Times New Roman" w:hAnsi="Times New Roman" w:cs="Times New Roman"/>
        </w:rPr>
        <w:t xml:space="preserve">has been suggested to initiate infection during the lag phase of growth and then grow rapidly during the exponential phase, where many virulence factors are expressed to enable bacteria to adjust to and exploit the host environment </w:t>
      </w:r>
      <w:r w:rsidRPr="00E62CFD">
        <w:rPr>
          <w:rFonts w:ascii="Times New Roman" w:hAnsi="Times New Roman" w:cs="Times New Roman"/>
          <w:b/>
          <w:bCs/>
        </w:rPr>
        <w:fldChar w:fldCharType="begin"/>
      </w:r>
      <w:r w:rsidRPr="00E62CFD">
        <w:rPr>
          <w:rFonts w:ascii="Times New Roman" w:hAnsi="Times New Roman" w:cs="Times New Roman"/>
          <w:b/>
          <w:bCs/>
        </w:rPr>
        <w:instrText xml:space="preserve"> ADDIN EN.CITE &lt;EndNote&gt;&lt;Cite&gt;&lt;Author&gt;Harris&lt;/Author&gt;&lt;Year&gt;2002&lt;/Year&gt;&lt;IDText&gt;An introduction to Staphylococcus aureus, and techniques for identifying and quantifying S. aureus adhesins in relation to adhesion to biomaterials: Review&lt;/IDText&gt;&lt;DisplayText&gt;(Harris, Foster and Richards, 2002)&lt;/DisplayText&gt;&lt;record&gt;&lt;dates&gt;&lt;pub-dates&gt;&lt;date&gt;December 31&lt;/date&gt;&lt;/pub-dates&gt;&lt;year&gt;2002&lt;/year&gt;&lt;/dates&gt;&lt;urls&gt;&lt;related-urls&gt;&lt;url&gt;&amp;lt;Go to ISI&amp;gt;://BCI:BCI200300315815&lt;/url&gt;&lt;/related-urls&gt;&lt;/urls&gt;&lt;work-type&gt;Article&lt;/work-type&gt;&lt;titles&gt;&lt;title&gt;An introduction to Staphylococcus aureus, and techniques for identifying and quantifying S. aureus adhesins in relation to adhesion to biomaterials: Review&lt;/title&gt;&lt;secondary-title&gt;European Cells &amp;amp; Materials&lt;/secondary-title&gt;&lt;/titles&gt;&lt;pages&gt;39-60&lt;/pages&gt;&lt;number&gt;Cited March 7, 2003&lt;/number&gt;&lt;contributors&gt;&lt;authors&gt;&lt;author&gt;Harris, L. G.&lt;/author&gt;&lt;author&gt;Foster, S. J.&lt;/author&gt;&lt;author&gt;Richards, R. G.&lt;/author&gt;&lt;/authors&gt;&lt;/contributors&gt;&lt;added-date format="utc"&gt;1674675011&lt;/added-date&gt;&lt;ref-type name="Journal Article"&gt;17&lt;/ref-type&gt;&lt;rec-number&gt;262&lt;/rec-number&gt;&lt;last-updated-date format="utc"&gt;1674675011&lt;/last-updated-date&gt;&lt;accession-num&gt;BCI:BCI200300315815&lt;/accession-num&gt;&lt;volume&gt;4&lt;/volume&gt;&lt;/record&gt;&lt;/Cite&gt;&lt;/EndNote&gt;</w:instrText>
      </w:r>
      <w:r w:rsidRPr="00E62CFD">
        <w:rPr>
          <w:rFonts w:ascii="Times New Roman" w:hAnsi="Times New Roman" w:cs="Times New Roman"/>
          <w:b/>
          <w:bCs/>
        </w:rPr>
        <w:fldChar w:fldCharType="separate"/>
      </w:r>
      <w:r w:rsidRPr="00E62CFD">
        <w:rPr>
          <w:rFonts w:ascii="Times New Roman" w:hAnsi="Times New Roman" w:cs="Times New Roman"/>
          <w:b/>
          <w:bCs/>
          <w:noProof/>
        </w:rPr>
        <w:t>(Harris, Foster and Richards, 2002)</w:t>
      </w:r>
      <w:r w:rsidRPr="00E62CFD">
        <w:rPr>
          <w:rFonts w:ascii="Times New Roman" w:hAnsi="Times New Roman" w:cs="Times New Roman"/>
          <w:b/>
          <w:bCs/>
        </w:rPr>
        <w:fldChar w:fldCharType="end"/>
      </w:r>
      <w:r w:rsidRPr="00E62CFD">
        <w:rPr>
          <w:rFonts w:ascii="Times New Roman" w:hAnsi="Times New Roman" w:cs="Times New Roman"/>
        </w:rPr>
        <w:t>. These include adhesins such as</w:t>
      </w:r>
      <w:r>
        <w:rPr>
          <w:rFonts w:ascii="Times New Roman" w:hAnsi="Times New Roman" w:cs="Times New Roman"/>
        </w:rPr>
        <w:t xml:space="preserve"> the</w:t>
      </w:r>
      <w:r w:rsidRPr="00E62CFD">
        <w:rPr>
          <w:rFonts w:ascii="Times New Roman" w:hAnsi="Times New Roman" w:cs="Times New Roman"/>
        </w:rPr>
        <w:t xml:space="preserve"> FnBPs </w:t>
      </w:r>
      <w:r w:rsidRPr="00E62CFD">
        <w:rPr>
          <w:rFonts w:ascii="Times New Roman" w:hAnsi="Times New Roman" w:cs="Times New Roman"/>
          <w:b/>
          <w:bCs/>
        </w:rPr>
        <w:fldChar w:fldCharType="begin"/>
      </w:r>
      <w:r w:rsidRPr="00E62CFD">
        <w:rPr>
          <w:rFonts w:ascii="Times New Roman" w:hAnsi="Times New Roman" w:cs="Times New Roman"/>
          <w:b/>
          <w:bCs/>
        </w:rPr>
        <w:instrText xml:space="preserve"> ADDIN EN.CITE &lt;EndNote&gt;&lt;Cite&gt;&lt;Author&gt;Pöehlmann-Dietze&lt;/Author&gt;&lt;Year&gt;2000&lt;/Year&gt;&lt;IDText&gt;Adherence of Staphylococcus aureus to endothelial cells: Influence of capsular polysaccharide, global regulator agr, and bacterial growth phase&lt;/IDText&gt;&lt;DisplayText&gt;(Pöehlmann-Dietze&lt;style face="italic"&gt; et al.&lt;/style&gt;, 2000)&lt;/DisplayText&gt;&lt;record&gt;&lt;dates&gt;&lt;pub-dates&gt;&lt;date&gt;September&lt;/date&gt;&lt;/pub-dates&gt;&lt;year&gt;2000&lt;/year&gt;&lt;/dates&gt;&lt;urls&gt;&lt;related-urls&gt;&lt;url&gt;&amp;lt;Go to ISI&amp;gt;://BCI:BCI200000455567&lt;/url&gt;&lt;/related-urls&gt;&lt;/urls&gt;&lt;isbn&gt;0019-9567&lt;/isbn&gt;&lt;work-type&gt;Article&lt;/work-type&gt;&lt;titles&gt;&lt;title&gt;Adherence of Staphylococcus aureus to endothelial cells: Influence of capsular polysaccharide, global regulator agr, and bacterial growth phase&lt;/title&gt;&lt;secondary-title&gt;Infection and Immunity&lt;/secondary-title&gt;&lt;/titles&gt;&lt;pages&gt;4865-4871&lt;/pages&gt;&lt;number&gt;9&lt;/number&gt;&lt;contributors&gt;&lt;authors&gt;&lt;author&gt;Pöehlmann-Dietze, Petra&lt;/author&gt;&lt;author&gt;Ulrich, Martina&lt;/author&gt;&lt;author&gt;Kiser, Kevin B.&lt;/author&gt;&lt;author&gt;Doering, Gerd&lt;/author&gt;&lt;author&gt;Lee, Jean C.&lt;/author&gt;&lt;author&gt;Fournier, Jean-Michel&lt;/author&gt;&lt;author&gt;Botzenhart, Konrad&lt;/author&gt;&lt;author&gt;Wolz, Christiane&lt;/author&gt;&lt;/authors&gt;&lt;/contributors&gt;&lt;added-date format="utc"&gt;1674679389&lt;/added-date&gt;&lt;ref-type name="Journal Article"&gt;17&lt;/ref-type&gt;&lt;rec-number&gt;265&lt;/rec-number&gt;&lt;last-updated-date format="utc"&gt;1674679441&lt;/last-updated-date&gt;&lt;accession-num&gt;BCI:BCI200000455567&lt;/accession-num&gt;&lt;volume&gt;68&lt;/volume&gt;&lt;/record&gt;&lt;/Cite&gt;&lt;/EndNote&gt;</w:instrText>
      </w:r>
      <w:r w:rsidRPr="00E62CFD">
        <w:rPr>
          <w:rFonts w:ascii="Times New Roman" w:hAnsi="Times New Roman" w:cs="Times New Roman"/>
          <w:b/>
          <w:bCs/>
        </w:rPr>
        <w:fldChar w:fldCharType="separate"/>
      </w:r>
      <w:r w:rsidRPr="00E62CFD">
        <w:rPr>
          <w:rFonts w:ascii="Times New Roman" w:hAnsi="Times New Roman" w:cs="Times New Roman"/>
          <w:b/>
          <w:bCs/>
          <w:noProof/>
        </w:rPr>
        <w:t>(Pöehlmann-Dietze</w:t>
      </w:r>
      <w:r w:rsidRPr="00E62CFD">
        <w:rPr>
          <w:rFonts w:ascii="Times New Roman" w:hAnsi="Times New Roman" w:cs="Times New Roman"/>
          <w:b/>
          <w:bCs/>
          <w:i/>
          <w:noProof/>
        </w:rPr>
        <w:t xml:space="preserve"> et al.</w:t>
      </w:r>
      <w:r w:rsidRPr="00E62CFD">
        <w:rPr>
          <w:rFonts w:ascii="Times New Roman" w:hAnsi="Times New Roman" w:cs="Times New Roman"/>
          <w:b/>
          <w:bCs/>
          <w:noProof/>
        </w:rPr>
        <w:t>, 2000)</w:t>
      </w:r>
      <w:r w:rsidRPr="00E62CFD">
        <w:rPr>
          <w:rFonts w:ascii="Times New Roman" w:hAnsi="Times New Roman" w:cs="Times New Roman"/>
          <w:b/>
          <w:bCs/>
        </w:rPr>
        <w:fldChar w:fldCharType="end"/>
      </w:r>
      <w:r>
        <w:rPr>
          <w:rFonts w:ascii="Times New Roman" w:hAnsi="Times New Roman" w:cs="Times New Roman"/>
        </w:rPr>
        <w:t>,</w:t>
      </w:r>
      <w:r w:rsidRPr="00E62CFD">
        <w:rPr>
          <w:rFonts w:ascii="Times New Roman" w:hAnsi="Times New Roman" w:cs="Times New Roman"/>
          <w:b/>
          <w:bCs/>
        </w:rPr>
        <w:t xml:space="preserve"> </w:t>
      </w:r>
      <w:r w:rsidRPr="00E62CFD">
        <w:rPr>
          <w:rFonts w:ascii="Times New Roman" w:hAnsi="Times New Roman" w:cs="Times New Roman"/>
        </w:rPr>
        <w:t>among many others</w:t>
      </w:r>
      <w:r>
        <w:rPr>
          <w:rFonts w:ascii="Times New Roman" w:hAnsi="Times New Roman" w:cs="Times New Roman"/>
        </w:rPr>
        <w:t>,</w:t>
      </w:r>
      <w:r w:rsidRPr="00E62CFD">
        <w:rPr>
          <w:rFonts w:ascii="Times New Roman" w:hAnsi="Times New Roman" w:cs="Times New Roman"/>
        </w:rPr>
        <w:t xml:space="preserve"> </w:t>
      </w:r>
      <w:r>
        <w:rPr>
          <w:rFonts w:ascii="Times New Roman" w:hAnsi="Times New Roman" w:cs="Times New Roman"/>
        </w:rPr>
        <w:t xml:space="preserve">that are </w:t>
      </w:r>
      <w:r w:rsidRPr="00E62CFD">
        <w:rPr>
          <w:rFonts w:ascii="Times New Roman" w:hAnsi="Times New Roman" w:cs="Times New Roman"/>
        </w:rPr>
        <w:t xml:space="preserve">involved in adhesion and internalisation </w:t>
      </w:r>
      <w:r w:rsidR="002C4090">
        <w:rPr>
          <w:rFonts w:ascii="Times New Roman" w:hAnsi="Times New Roman" w:cs="Times New Roman"/>
        </w:rPr>
        <w:t>by</w:t>
      </w:r>
      <w:r w:rsidRPr="00E62CFD">
        <w:rPr>
          <w:rFonts w:ascii="Times New Roman" w:hAnsi="Times New Roman" w:cs="Times New Roman"/>
        </w:rPr>
        <w:t xml:space="preserve"> many different mammalian cell types </w:t>
      </w:r>
      <w:r w:rsidRPr="00E62CFD">
        <w:rPr>
          <w:rFonts w:ascii="Times New Roman" w:hAnsi="Times New Roman" w:cs="Times New Roman"/>
          <w:b/>
          <w:bCs/>
        </w:rPr>
        <w:fldChar w:fldCharType="begin"/>
      </w:r>
      <w:r w:rsidRPr="00E62CFD">
        <w:rPr>
          <w:rFonts w:ascii="Times New Roman" w:hAnsi="Times New Roman" w:cs="Times New Roman"/>
          <w:b/>
          <w:bCs/>
        </w:rPr>
        <w:instrText xml:space="preserve"> ADDIN EN.CITE &lt;EndNote&gt;&lt;Cite&gt;&lt;Author&gt;Sinha&lt;/Author&gt;&lt;Year&gt;1999&lt;/Year&gt;&lt;IDText&gt;Fibronectin-binding protein acts as Staphylococcus aureus invasin via fibronectin bridging to integrin alpha(5)beta(1)&lt;/IDText&gt;&lt;DisplayText&gt;(Sinha&lt;style face="italic"&gt; et al.&lt;/style&gt;, 1999)&lt;/DisplayText&gt;&lt;record&gt;&lt;dates&gt;&lt;pub-dates&gt;&lt;date&gt;Sep&lt;/date&gt;&lt;/pub-dates&gt;&lt;year&gt;1999&lt;/year&gt;&lt;/dates&gt;&lt;urls&gt;&lt;related-urls&gt;&lt;url&gt;&amp;lt;Go to ISI&amp;gt;://WOS:000088695100003&lt;/url&gt;&lt;/related-urls&gt;&lt;/urls&gt;&lt;isbn&gt;1462-5814&lt;/isbn&gt;&lt;work-type&gt;Article&lt;/work-type&gt;&lt;titles&gt;&lt;title&gt;Fibronectin-binding protein acts as Staphylococcus aureus invasin via fibronectin bridging to integrin alpha(5)beta(1)&lt;/title&gt;&lt;secondary-title&gt;Cellular Microbiology&lt;/secondary-title&gt;&lt;/titles&gt;&lt;pages&gt;101-117&lt;/pages&gt;&lt;number&gt;2&lt;/number&gt;&lt;contributors&gt;&lt;authors&gt;&lt;author&gt;Sinha, B.&lt;/author&gt;&lt;author&gt;Francois, P. P.&lt;/author&gt;&lt;author&gt;Nusse, O.&lt;/author&gt;&lt;author&gt;Foti, M.&lt;/author&gt;&lt;author&gt;Hartford, O. M.&lt;/author&gt;&lt;author&gt;Vaudaux, P.&lt;/author&gt;&lt;author&gt;Foster, T. J.&lt;/author&gt;&lt;author&gt;Lew, D. P.&lt;/author&gt;&lt;author&gt;Herrmann, M.&lt;/author&gt;&lt;author&gt;Krause, K. H.&lt;/author&gt;&lt;/authors&gt;&lt;/contributors&gt;&lt;added-date format="utc"&gt;1674679186&lt;/added-date&gt;&lt;ref-type name="Journal Article"&gt;17&lt;/ref-type&gt;&lt;rec-number&gt;264&lt;/rec-number&gt;&lt;last-updated-date format="utc"&gt;1674679186&lt;/last-updated-date&gt;&lt;accession-num&gt;WOS:000088695100003&lt;/accession-num&gt;&lt;electronic-resource-num&gt;10.1046/j.1462-5822.1999.00011.x&lt;/electronic-resource-num&gt;&lt;volume&gt;1&lt;/volume&gt;&lt;/record&gt;&lt;/Cite&gt;&lt;/EndNote&gt;</w:instrText>
      </w:r>
      <w:r w:rsidRPr="00E62CFD">
        <w:rPr>
          <w:rFonts w:ascii="Times New Roman" w:hAnsi="Times New Roman" w:cs="Times New Roman"/>
          <w:b/>
          <w:bCs/>
        </w:rPr>
        <w:fldChar w:fldCharType="separate"/>
      </w:r>
      <w:r w:rsidRPr="00E62CFD">
        <w:rPr>
          <w:rFonts w:ascii="Times New Roman" w:hAnsi="Times New Roman" w:cs="Times New Roman"/>
          <w:b/>
          <w:bCs/>
          <w:noProof/>
        </w:rPr>
        <w:t>(Sinha</w:t>
      </w:r>
      <w:r w:rsidRPr="00E62CFD">
        <w:rPr>
          <w:rFonts w:ascii="Times New Roman" w:hAnsi="Times New Roman" w:cs="Times New Roman"/>
          <w:b/>
          <w:bCs/>
          <w:i/>
          <w:noProof/>
        </w:rPr>
        <w:t xml:space="preserve"> et al.</w:t>
      </w:r>
      <w:r w:rsidRPr="00E62CFD">
        <w:rPr>
          <w:rFonts w:ascii="Times New Roman" w:hAnsi="Times New Roman" w:cs="Times New Roman"/>
          <w:b/>
          <w:bCs/>
          <w:noProof/>
        </w:rPr>
        <w:t>, 1999)</w:t>
      </w:r>
      <w:r w:rsidRPr="00E62CFD">
        <w:rPr>
          <w:rFonts w:ascii="Times New Roman" w:hAnsi="Times New Roman" w:cs="Times New Roman"/>
          <w:b/>
          <w:bCs/>
        </w:rPr>
        <w:fldChar w:fldCharType="end"/>
      </w:r>
      <w:r w:rsidRPr="00E62CFD">
        <w:rPr>
          <w:rFonts w:ascii="Times New Roman" w:hAnsi="Times New Roman" w:cs="Times New Roman"/>
        </w:rPr>
        <w:t>. The different genes expressed during the different phases of growth explain why exponential phase cells fare better than stationary phase cells during initial infection</w:t>
      </w:r>
      <w:r>
        <w:rPr>
          <w:rFonts w:ascii="Times New Roman" w:hAnsi="Times New Roman" w:cs="Times New Roman"/>
        </w:rPr>
        <w:t xml:space="preserve"> of </w:t>
      </w:r>
      <w:r w:rsidR="002C4090">
        <w:rPr>
          <w:rFonts w:ascii="Times New Roman" w:hAnsi="Times New Roman" w:cs="Times New Roman"/>
        </w:rPr>
        <w:t>HTE</w:t>
      </w:r>
      <w:r>
        <w:rPr>
          <w:rFonts w:ascii="Times New Roman" w:hAnsi="Times New Roman" w:cs="Times New Roman"/>
        </w:rPr>
        <w:t xml:space="preserve"> cells</w:t>
      </w:r>
      <w:r w:rsidRPr="00E62CFD">
        <w:rPr>
          <w:rFonts w:ascii="Times New Roman" w:hAnsi="Times New Roman" w:cs="Times New Roman"/>
        </w:rPr>
        <w:t>, especially as</w:t>
      </w:r>
      <w:r>
        <w:rPr>
          <w:rFonts w:ascii="Times New Roman" w:hAnsi="Times New Roman" w:cs="Times New Roman"/>
        </w:rPr>
        <w:t xml:space="preserve"> bacteria</w:t>
      </w:r>
      <w:r w:rsidRPr="00E62CFD">
        <w:rPr>
          <w:rFonts w:ascii="Times New Roman" w:hAnsi="Times New Roman" w:cs="Times New Roman"/>
        </w:rPr>
        <w:t xml:space="preserve"> usually initiate stationary phase growth when </w:t>
      </w:r>
      <w:r>
        <w:rPr>
          <w:rFonts w:ascii="Times New Roman" w:hAnsi="Times New Roman" w:cs="Times New Roman"/>
        </w:rPr>
        <w:t xml:space="preserve">the population </w:t>
      </w:r>
      <w:r w:rsidRPr="00E62CFD">
        <w:rPr>
          <w:rFonts w:ascii="Times New Roman" w:hAnsi="Times New Roman" w:cs="Times New Roman"/>
        </w:rPr>
        <w:t>density is high, and the environmental nutrients are low.</w:t>
      </w:r>
      <w:r>
        <w:rPr>
          <w:rFonts w:ascii="Times New Roman" w:hAnsi="Times New Roman" w:cs="Times New Roman"/>
        </w:rPr>
        <w:t xml:space="preserve"> Future work to further understand the difference in virulence between the growth phases can include RNA-Seq to understand how the transcriptome of bacteria in the exponential and stationary growth phases differ. Furthermore, qPCR and ELISA analysis of the HTE cells after infection with stationary and exponential phase bacteria can shed light on whether a particular growth phase elicits a greater proinflammatory response in comparison to the other.</w:t>
      </w:r>
    </w:p>
    <w:p w14:paraId="718A82FC" w14:textId="2343E2E5" w:rsidR="00187693" w:rsidRPr="007F4419"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 As mentioned, the </w:t>
      </w:r>
      <w:r w:rsidRPr="008F20FF">
        <w:rPr>
          <w:rFonts w:ascii="Times New Roman" w:hAnsi="Times New Roman" w:cs="Times New Roman"/>
        </w:rPr>
        <w:t>(p)ppGpp</w:t>
      </w:r>
      <w:r w:rsidRPr="008F20FF">
        <w:rPr>
          <w:rFonts w:ascii="Times New Roman" w:hAnsi="Times New Roman" w:cs="Times New Roman"/>
          <w:vertAlign w:val="superscript"/>
        </w:rPr>
        <w:t>0</w:t>
      </w:r>
      <w:r w:rsidRPr="008F20FF">
        <w:rPr>
          <w:rFonts w:ascii="Times New Roman" w:hAnsi="Times New Roman" w:cs="Times New Roman"/>
        </w:rPr>
        <w:t xml:space="preserve"> mutant</w:t>
      </w:r>
      <w:r>
        <w:rPr>
          <w:rFonts w:ascii="Times New Roman" w:hAnsi="Times New Roman" w:cs="Times New Roman"/>
        </w:rPr>
        <w:t xml:space="preserve"> was unable to tolerate the phagolysosomal stresses as well as WT </w:t>
      </w:r>
      <w:r>
        <w:rPr>
          <w:rFonts w:ascii="Times New Roman" w:hAnsi="Times New Roman" w:cs="Times New Roman"/>
          <w:i/>
          <w:iCs/>
        </w:rPr>
        <w:t>in vitro</w:t>
      </w:r>
      <w:r>
        <w:rPr>
          <w:rFonts w:ascii="Times New Roman" w:hAnsi="Times New Roman" w:cs="Times New Roman"/>
        </w:rPr>
        <w:t xml:space="preserve"> </w:t>
      </w:r>
      <w:r>
        <w:rPr>
          <w:rFonts w:ascii="Times New Roman" w:hAnsi="Times New Roman" w:cs="Times New Roman"/>
          <w:b/>
          <w:bCs/>
          <w:color w:val="000000" w:themeColor="text1"/>
        </w:rPr>
        <w:t>(Fig. 4.2.5 and 4.2.7)</w:t>
      </w:r>
      <w:r>
        <w:rPr>
          <w:rFonts w:ascii="Times New Roman" w:hAnsi="Times New Roman" w:cs="Times New Roman"/>
          <w:color w:val="000000" w:themeColor="text1"/>
        </w:rPr>
        <w:t xml:space="preserve"> and </w:t>
      </w:r>
      <w:r>
        <w:rPr>
          <w:rFonts w:ascii="Times New Roman" w:hAnsi="Times New Roman" w:cs="Times New Roman"/>
          <w:i/>
          <w:iCs/>
          <w:color w:val="000000" w:themeColor="text1"/>
        </w:rPr>
        <w:t>in vivo</w:t>
      </w:r>
      <w:r>
        <w:rPr>
          <w:rFonts w:ascii="Times New Roman" w:hAnsi="Times New Roman" w:cs="Times New Roman"/>
          <w:color w:val="000000" w:themeColor="text1"/>
        </w:rPr>
        <w:t xml:space="preserve"> within zebrafish embryos the </w:t>
      </w:r>
      <w:r w:rsidRPr="008F20FF">
        <w:rPr>
          <w:rFonts w:ascii="Times New Roman" w:hAnsi="Times New Roman" w:cs="Times New Roman"/>
        </w:rPr>
        <w:t>(p)ppGpp</w:t>
      </w:r>
      <w:r w:rsidRPr="008F20FF">
        <w:rPr>
          <w:rFonts w:ascii="Times New Roman" w:hAnsi="Times New Roman" w:cs="Times New Roman"/>
          <w:vertAlign w:val="superscript"/>
        </w:rPr>
        <w:t>0</w:t>
      </w:r>
      <w:r w:rsidRPr="008F20FF">
        <w:rPr>
          <w:rFonts w:ascii="Times New Roman" w:hAnsi="Times New Roman" w:cs="Times New Roman"/>
        </w:rPr>
        <w:t xml:space="preserve"> mutant</w:t>
      </w:r>
      <w:r>
        <w:rPr>
          <w:rFonts w:ascii="Times New Roman" w:hAnsi="Times New Roman" w:cs="Times New Roman"/>
        </w:rPr>
        <w:t xml:space="preserve"> was attenuated in comparison to WT </w:t>
      </w:r>
      <w:r>
        <w:rPr>
          <w:rFonts w:ascii="Times New Roman" w:hAnsi="Times New Roman" w:cs="Times New Roman"/>
          <w:b/>
          <w:bCs/>
        </w:rPr>
        <w:t>(Fig. 5.5.3)</w:t>
      </w:r>
      <w:r>
        <w:rPr>
          <w:rFonts w:ascii="Times New Roman" w:hAnsi="Times New Roman" w:cs="Times New Roman"/>
        </w:rPr>
        <w:t>. The bacterial burden experiments demonstrated that this was not due to a replication defect</w:t>
      </w:r>
      <w:r>
        <w:rPr>
          <w:rFonts w:ascii="Times New Roman" w:hAnsi="Times New Roman" w:cs="Times New Roman"/>
          <w:i/>
          <w:iCs/>
        </w:rPr>
        <w:t xml:space="preserve"> </w:t>
      </w:r>
      <w:r>
        <w:rPr>
          <w:rFonts w:ascii="Times New Roman" w:hAnsi="Times New Roman" w:cs="Times New Roman"/>
          <w:b/>
          <w:bCs/>
        </w:rPr>
        <w:t>(Fig. 5.5.4)</w:t>
      </w:r>
      <w:r>
        <w:rPr>
          <w:rFonts w:ascii="Times New Roman" w:hAnsi="Times New Roman" w:cs="Times New Roman"/>
        </w:rPr>
        <w:t xml:space="preserve">, suggesting that the absence of (p)ppGpp affects virulence of </w:t>
      </w:r>
      <w:r>
        <w:rPr>
          <w:rFonts w:ascii="Times New Roman" w:hAnsi="Times New Roman" w:cs="Times New Roman"/>
          <w:i/>
          <w:iCs/>
        </w:rPr>
        <w:t>S. aureus</w:t>
      </w:r>
      <w:r>
        <w:rPr>
          <w:rFonts w:ascii="Times New Roman" w:hAnsi="Times New Roman" w:cs="Times New Roman"/>
        </w:rPr>
        <w:t xml:space="preserve">, which has been demonstrated by many studies </w:t>
      </w:r>
      <w:r w:rsidRPr="001E2E6B">
        <w:rPr>
          <w:rFonts w:ascii="Times New Roman" w:hAnsi="Times New Roman" w:cs="Times New Roman"/>
          <w:b/>
          <w:bCs/>
        </w:rPr>
        <w:fldChar w:fldCharType="begin">
          <w:fldData xml:space="preserve">PEVuZE5vdGU+PENpdGU+PEF1dGhvcj5Db2xvbWVyLVdpbnRlcjwvQXV0aG9yPjxZZWFyPjIwMTk8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</w:fldData>
        </w:fldChar>
      </w:r>
      <w:r w:rsidRPr="001E2E6B">
        <w:rPr>
          <w:rFonts w:ascii="Times New Roman" w:hAnsi="Times New Roman" w:cs="Times New Roman"/>
          <w:b/>
          <w:bCs/>
        </w:rPr>
        <w:instrText xml:space="preserve"> ADDIN EN.CITE </w:instrText>
      </w:r>
      <w:r w:rsidRPr="001E2E6B">
        <w:rPr>
          <w:rFonts w:ascii="Times New Roman" w:hAnsi="Times New Roman" w:cs="Times New Roman"/>
          <w:b/>
          <w:bCs/>
        </w:rPr>
        <w:fldChar w:fldCharType="begin">
          <w:fldData xml:space="preserve">PEVuZE5vdGU+PENpdGU+PEF1dGhvcj5Db2xvbWVyLVdpbnRlcjwvQXV0aG9yPjxZZWFyPjIwMTk8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</w:fldData>
        </w:fldChar>
      </w:r>
      <w:r w:rsidRPr="001E2E6B">
        <w:rPr>
          <w:rFonts w:ascii="Times New Roman" w:hAnsi="Times New Roman" w:cs="Times New Roman"/>
          <w:b/>
          <w:bCs/>
        </w:rPr>
        <w:instrText xml:space="preserve"> ADDIN EN.CITE.DATA </w:instrText>
      </w:r>
      <w:r w:rsidRPr="001E2E6B">
        <w:rPr>
          <w:rFonts w:ascii="Times New Roman" w:hAnsi="Times New Roman" w:cs="Times New Roman"/>
          <w:b/>
          <w:bCs/>
        </w:rPr>
      </w:r>
      <w:r w:rsidRPr="001E2E6B">
        <w:rPr>
          <w:rFonts w:ascii="Times New Roman" w:hAnsi="Times New Roman" w:cs="Times New Roman"/>
          <w:b/>
          <w:bCs/>
        </w:rPr>
        <w:fldChar w:fldCharType="end"/>
      </w:r>
      <w:r w:rsidRPr="001E2E6B">
        <w:rPr>
          <w:rFonts w:ascii="Times New Roman" w:hAnsi="Times New Roman" w:cs="Times New Roman"/>
          <w:b/>
          <w:bCs/>
        </w:rPr>
      </w:r>
      <w:r w:rsidRPr="001E2E6B">
        <w:rPr>
          <w:rFonts w:ascii="Times New Roman" w:hAnsi="Times New Roman" w:cs="Times New Roman"/>
          <w:b/>
          <w:bCs/>
        </w:rPr>
        <w:fldChar w:fldCharType="separate"/>
      </w:r>
      <w:r w:rsidRPr="001E2E6B">
        <w:rPr>
          <w:rFonts w:ascii="Times New Roman" w:hAnsi="Times New Roman" w:cs="Times New Roman"/>
          <w:b/>
          <w:bCs/>
          <w:noProof/>
        </w:rPr>
        <w:t>(Colomer-Winter</w:t>
      </w:r>
      <w:r w:rsidRPr="001E2E6B">
        <w:rPr>
          <w:rFonts w:ascii="Times New Roman" w:hAnsi="Times New Roman" w:cs="Times New Roman"/>
          <w:b/>
          <w:bCs/>
          <w:i/>
          <w:noProof/>
        </w:rPr>
        <w:t xml:space="preserve"> et al.</w:t>
      </w:r>
      <w:r w:rsidRPr="001E2E6B">
        <w:rPr>
          <w:rFonts w:ascii="Times New Roman" w:hAnsi="Times New Roman" w:cs="Times New Roman"/>
          <w:b/>
          <w:bCs/>
          <w:noProof/>
        </w:rPr>
        <w:t>, 2019; Dasgupta</w:t>
      </w:r>
      <w:r w:rsidRPr="001E2E6B">
        <w:rPr>
          <w:rFonts w:ascii="Times New Roman" w:hAnsi="Times New Roman" w:cs="Times New Roman"/>
          <w:b/>
          <w:bCs/>
          <w:i/>
          <w:noProof/>
        </w:rPr>
        <w:t xml:space="preserve"> et al.</w:t>
      </w:r>
      <w:r w:rsidRPr="001E2E6B">
        <w:rPr>
          <w:rFonts w:ascii="Times New Roman" w:hAnsi="Times New Roman" w:cs="Times New Roman"/>
          <w:b/>
          <w:bCs/>
          <w:noProof/>
        </w:rPr>
        <w:t>, 2019; Sugisaki</w:t>
      </w:r>
      <w:r w:rsidRPr="001E2E6B">
        <w:rPr>
          <w:rFonts w:ascii="Times New Roman" w:hAnsi="Times New Roman" w:cs="Times New Roman"/>
          <w:b/>
          <w:bCs/>
          <w:i/>
          <w:noProof/>
        </w:rPr>
        <w:t xml:space="preserve"> et al.</w:t>
      </w:r>
      <w:r w:rsidRPr="001E2E6B">
        <w:rPr>
          <w:rFonts w:ascii="Times New Roman" w:hAnsi="Times New Roman" w:cs="Times New Roman"/>
          <w:b/>
          <w:bCs/>
          <w:noProof/>
        </w:rPr>
        <w:t>, 2013; Åberg, Shingler and Balsalobre, 2006)</w:t>
      </w:r>
      <w:r w:rsidRPr="001E2E6B">
        <w:rPr>
          <w:rFonts w:ascii="Times New Roman" w:hAnsi="Times New Roman" w:cs="Times New Roman"/>
          <w:b/>
          <w:bCs/>
        </w:rPr>
        <w:fldChar w:fldCharType="end"/>
      </w:r>
      <w:r>
        <w:rPr>
          <w:rFonts w:ascii="Times New Roman" w:hAnsi="Times New Roman" w:cs="Times New Roman"/>
        </w:rPr>
        <w:t>.</w:t>
      </w:r>
      <w:r>
        <w:rPr>
          <w:rFonts w:ascii="Times New Roman" w:hAnsi="Times New Roman" w:cs="Times New Roman"/>
          <w:color w:val="FF0000"/>
        </w:rPr>
        <w:t xml:space="preserve"> </w:t>
      </w:r>
      <w:r w:rsidRPr="007F4419">
        <w:rPr>
          <w:rFonts w:ascii="Times New Roman" w:hAnsi="Times New Roman" w:cs="Times New Roman"/>
        </w:rPr>
        <w:t xml:space="preserve">(p)ppGpp produced by the stringent response has multiple targets, affecting many subcellular processes to regulate metabolism and virulence and therefore has an effect on the different stages of infection. For example, adhesion of EHEC to intestinal epithelial cells is mediated by a T3SS regulated by (p)ppGpp </w:t>
      </w:r>
      <w:r w:rsidRPr="007F4419">
        <w:rPr>
          <w:rFonts w:ascii="Times New Roman" w:hAnsi="Times New Roman" w:cs="Times New Roman"/>
          <w:b/>
          <w:bCs/>
        </w:rPr>
        <w:fldChar w:fldCharType="begin"/>
      </w:r>
      <w:r w:rsidRPr="007F4419">
        <w:rPr>
          <w:rFonts w:ascii="Times New Roman" w:hAnsi="Times New Roman" w:cs="Times New Roman"/>
          <w:b/>
          <w:bCs/>
        </w:rPr>
        <w:instrText xml:space="preserve"> ADDIN EN.CITE &lt;EndNote&gt;&lt;Cite&gt;&lt;Author&gt;Nakanishi&lt;/Author&gt;&lt;Year&gt;2006&lt;/Year&gt;&lt;IDText&gt;ppGpp with DksA controls gene expression in the locus of enterocyte effacement (LEE) pathogenicity island of enterohaemorrhagic Escherichia coli through activation of two virulence regulatory genes&lt;/IDText&gt;&lt;DisplayText&gt;(Nakanishi&lt;style face="italic"&gt; et al.&lt;/style&gt;, 2006)&lt;/DisplayText&gt;&lt;record&gt;&lt;dates&gt;&lt;pub-dates&gt;&lt;date&gt;Jul&lt;/date&gt;&lt;/pub-dates&gt;&lt;year&gt;2006&lt;/year&gt;&lt;/dates&gt;&lt;urls&gt;&lt;related-urls&gt;&lt;url&gt;&amp;lt;Go to ISI&amp;gt;://WOS:000238353300017&lt;/url&gt;&lt;/related-urls&gt;&lt;/urls&gt;&lt;isbn&gt;0950-382X&lt;/isbn&gt;&lt;titles&gt;&lt;title&gt;ppGpp with DksA controls gene expression in the locus of enterocyte effacement (LEE) pathogenicity island of enterohaemorrhagic Escherichia coli through activation of two virulence regulatory genes&lt;/title&gt;&lt;secondary-title&gt;Molecular Microbiology&lt;/secondary-title&gt;&lt;/titles&gt;&lt;pages&gt;194-205&lt;/pages&gt;&lt;number&gt;1&lt;/number&gt;&lt;contributors&gt;&lt;authors&gt;&lt;author&gt;Nakanishi, N.&lt;/author&gt;&lt;author&gt;Abe, H.&lt;/author&gt;&lt;author&gt;Ogura, Y.&lt;/author&gt;&lt;author&gt;Hayashi, T.&lt;/author&gt;&lt;author&gt;Tashiro, K.&lt;/author&gt;&lt;author&gt;Kuhara, S.&lt;/author&gt;&lt;author&gt;Sugimoto, N.&lt;/author&gt;&lt;author&gt;Tobe, T.&lt;/author&gt;&lt;/authors&gt;&lt;/contributors&gt;&lt;added-date format="utc"&gt;1675184078&lt;/added-date&gt;&lt;ref-type name="Journal Article"&gt;17&lt;/ref-type&gt;&lt;rec-number&gt;298&lt;/rec-number&gt;&lt;last-updated-date format="utc"&gt;1675184078&lt;/last-updated-date&gt;&lt;accession-num&gt;WOS:000238353300017&lt;/accession-num&gt;&lt;electronic-resource-num&gt;10.1111/j.1365-2958.2006.05217.x&lt;/electronic-resource-num&gt;&lt;volume&gt;61&lt;/volume&gt;&lt;/record&gt;&lt;/Cite&gt;&lt;/EndNote&gt;</w:instrText>
      </w:r>
      <w:r w:rsidRPr="007F4419">
        <w:rPr>
          <w:rFonts w:ascii="Times New Roman" w:hAnsi="Times New Roman" w:cs="Times New Roman"/>
          <w:b/>
          <w:bCs/>
        </w:rPr>
        <w:fldChar w:fldCharType="separate"/>
      </w:r>
      <w:r w:rsidRPr="007F4419">
        <w:rPr>
          <w:rFonts w:ascii="Times New Roman" w:hAnsi="Times New Roman" w:cs="Times New Roman"/>
          <w:b/>
          <w:bCs/>
          <w:noProof/>
        </w:rPr>
        <w:t>(Nakanishi</w:t>
      </w:r>
      <w:r w:rsidRPr="007F4419">
        <w:rPr>
          <w:rFonts w:ascii="Times New Roman" w:hAnsi="Times New Roman" w:cs="Times New Roman"/>
          <w:b/>
          <w:bCs/>
          <w:i/>
          <w:noProof/>
        </w:rPr>
        <w:t xml:space="preserve"> et al.</w:t>
      </w:r>
      <w:r w:rsidRPr="007F4419">
        <w:rPr>
          <w:rFonts w:ascii="Times New Roman" w:hAnsi="Times New Roman" w:cs="Times New Roman"/>
          <w:b/>
          <w:bCs/>
          <w:noProof/>
        </w:rPr>
        <w:t>, 2006)</w:t>
      </w:r>
      <w:r w:rsidRPr="007F4419">
        <w:rPr>
          <w:rFonts w:ascii="Times New Roman" w:hAnsi="Times New Roman" w:cs="Times New Roman"/>
          <w:b/>
          <w:bCs/>
        </w:rPr>
        <w:fldChar w:fldCharType="end"/>
      </w:r>
      <w:r w:rsidRPr="007F4419">
        <w:rPr>
          <w:rFonts w:ascii="Times New Roman" w:hAnsi="Times New Roman" w:cs="Times New Roman"/>
          <w:b/>
          <w:bCs/>
        </w:rPr>
        <w:t xml:space="preserve"> </w:t>
      </w:r>
      <w:r w:rsidRPr="007F4419">
        <w:rPr>
          <w:rFonts w:ascii="Times New Roman" w:hAnsi="Times New Roman" w:cs="Times New Roman"/>
        </w:rPr>
        <w:t xml:space="preserve">and an </w:t>
      </w:r>
      <w:r w:rsidRPr="007F4419">
        <w:rPr>
          <w:rFonts w:ascii="Times New Roman" w:hAnsi="Times New Roman" w:cs="Times New Roman"/>
          <w:i/>
          <w:iCs/>
        </w:rPr>
        <w:t xml:space="preserve">S. </w:t>
      </w:r>
      <w:r w:rsidRPr="007F4419">
        <w:rPr>
          <w:rFonts w:ascii="Times New Roman" w:hAnsi="Times New Roman" w:cs="Times New Roman"/>
        </w:rPr>
        <w:t>Typhimurium (p)ppGpp</w:t>
      </w:r>
      <w:r w:rsidRPr="007F4419">
        <w:rPr>
          <w:rFonts w:ascii="Times New Roman" w:hAnsi="Times New Roman" w:cs="Times New Roman"/>
          <w:vertAlign w:val="superscript"/>
        </w:rPr>
        <w:t>0</w:t>
      </w:r>
      <w:r w:rsidRPr="007F4419">
        <w:rPr>
          <w:rFonts w:ascii="Times New Roman" w:hAnsi="Times New Roman" w:cs="Times New Roman"/>
        </w:rPr>
        <w:t xml:space="preserve"> mutant showed a decreased ability to invade the intestinal epithelium </w:t>
      </w:r>
      <w:r w:rsidRPr="007F4419">
        <w:rPr>
          <w:rFonts w:ascii="Times New Roman" w:hAnsi="Times New Roman" w:cs="Times New Roman"/>
          <w:b/>
          <w:bCs/>
        </w:rPr>
        <w:fldChar w:fldCharType="begin"/>
      </w:r>
      <w:r w:rsidRPr="007F4419">
        <w:rPr>
          <w:rFonts w:ascii="Times New Roman" w:hAnsi="Times New Roman" w:cs="Times New Roman"/>
          <w:b/>
          <w:bCs/>
        </w:rPr>
        <w:instrText xml:space="preserve"> ADDIN EN.CITE &lt;EndNote&gt;&lt;Cite&gt;&lt;Author&gt;Pizarro-Cerdá &lt;/Author&gt;&lt;Year&gt;2004&lt;/Year&gt;&lt;IDText&gt;The bacterial signal molecule, ppGpp, regulates Salmonella virulence gene expression&lt;/IDText&gt;&lt;DisplayText&gt;(Pizarro-Cerdá  and Tedin, 2004)&lt;/DisplayText&gt;&lt;record&gt;&lt;dates&gt;&lt;pub-dates&gt;&lt;date&gt;Jun&lt;/date&gt;&lt;/pub-dates&gt;&lt;year&gt;2004&lt;/year&gt;&lt;/dates&gt;&lt;urls&gt;&lt;related-urls&gt;&lt;/related-urls&gt;&lt;/urls&gt;&lt;isbn&gt;0950-382X&lt;/isbn&gt;&lt;titles&gt;&lt;title&gt;The bacterial signal molecule, ppGpp, regulates Salmonella virulence gene expression&lt;/title&gt;&lt;secondary-title&gt;Molecular Microbiology&lt;/secondary-title&gt;&lt;/titles&gt;&lt;pages&gt;1827-1844&lt;/pages&gt;&lt;number&gt;6&lt;/number&gt;&lt;contributors&gt;&lt;authors&gt;&lt;author&gt;Pizarro-Cerdá , J.&lt;/author&gt;&lt;author&gt;Tedin, K.&lt;/author&gt;&lt;/authors&gt;&lt;/contributors&gt;&lt;added-date format="utc"&gt;1674944447&lt;/added-date&gt;&lt;ref-type name="Journal Article"&gt;17&lt;/ref-type&gt;&lt;rec-number&gt;285&lt;/rec-number&gt;&lt;last-updated-date format="utc"&gt;1675008997&lt;/last-updated-date&gt;&lt;accession-num&gt;WOS:000221866300023&lt;/accession-num&gt;&lt;electronic-resource-num&gt;10.1111/j.1365-2958.2004.04122.x&lt;/electronic-resource-num&gt;&lt;volume&gt;52&lt;/volume&gt;&lt;/record&gt;&lt;/Cite&gt;&lt;/EndNote&gt;</w:instrText>
      </w:r>
      <w:r w:rsidRPr="007F4419">
        <w:rPr>
          <w:rFonts w:ascii="Times New Roman" w:hAnsi="Times New Roman" w:cs="Times New Roman"/>
          <w:b/>
          <w:bCs/>
        </w:rPr>
        <w:fldChar w:fldCharType="separate"/>
      </w:r>
      <w:r w:rsidRPr="007F4419">
        <w:rPr>
          <w:rFonts w:ascii="Times New Roman" w:hAnsi="Times New Roman" w:cs="Times New Roman"/>
          <w:b/>
          <w:bCs/>
          <w:noProof/>
        </w:rPr>
        <w:t>(Pizarro-Cerdá  and Tedin, 2004)</w:t>
      </w:r>
      <w:r w:rsidRPr="007F4419">
        <w:rPr>
          <w:rFonts w:ascii="Times New Roman" w:hAnsi="Times New Roman" w:cs="Times New Roman"/>
          <w:b/>
          <w:bCs/>
        </w:rPr>
        <w:fldChar w:fldCharType="end"/>
      </w:r>
      <w:r w:rsidRPr="007F4419">
        <w:rPr>
          <w:rFonts w:ascii="Times New Roman" w:hAnsi="Times New Roman" w:cs="Times New Roman"/>
        </w:rPr>
        <w:t>. The staphylococcal stringent response</w:t>
      </w:r>
      <w:r w:rsidRPr="007F4419">
        <w:rPr>
          <w:rFonts w:ascii="Times New Roman" w:hAnsi="Times New Roman" w:cs="Times New Roman"/>
          <w:i/>
          <w:iCs/>
        </w:rPr>
        <w:t xml:space="preserve"> </w:t>
      </w:r>
      <w:r w:rsidRPr="007F4419">
        <w:rPr>
          <w:rFonts w:ascii="Times New Roman" w:hAnsi="Times New Roman" w:cs="Times New Roman"/>
        </w:rPr>
        <w:t>however has been implicated in</w:t>
      </w:r>
      <w:r w:rsidR="00DB6ABA">
        <w:rPr>
          <w:rFonts w:ascii="Times New Roman" w:hAnsi="Times New Roman" w:cs="Times New Roman"/>
        </w:rPr>
        <w:t xml:space="preserve"> antibiotic</w:t>
      </w:r>
      <w:r w:rsidRPr="007F4419">
        <w:rPr>
          <w:rFonts w:ascii="Times New Roman" w:hAnsi="Times New Roman" w:cs="Times New Roman"/>
        </w:rPr>
        <w:t xml:space="preserve"> persistence </w:t>
      </w:r>
      <w:r w:rsidRPr="007F4419">
        <w:rPr>
          <w:rFonts w:ascii="Times New Roman" w:hAnsi="Times New Roman" w:cs="Times New Roman"/>
          <w:b/>
          <w:bCs/>
        </w:rPr>
        <w:fldChar w:fldCharType="begin">
          <w:fldData xml:space="preserve">PEVuZE5vdGU+PENpdGU+PEF1dGhvcj5QZXlydXNzb248L0F1dGhvcj48WWVhcj4yMDIwPC9ZZWFy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</w:fldData>
        </w:fldChar>
      </w:r>
      <w:r w:rsidRPr="007F4419">
        <w:rPr>
          <w:rFonts w:ascii="Times New Roman" w:hAnsi="Times New Roman" w:cs="Times New Roman"/>
          <w:b/>
          <w:bCs/>
        </w:rPr>
        <w:instrText xml:space="preserve"> ADDIN EN.CITE </w:instrText>
      </w:r>
      <w:r w:rsidRPr="007F4419">
        <w:rPr>
          <w:rFonts w:ascii="Times New Roman" w:hAnsi="Times New Roman" w:cs="Times New Roman"/>
          <w:b/>
          <w:bCs/>
        </w:rPr>
        <w:fldChar w:fldCharType="begin">
          <w:fldData xml:space="preserve">PEVuZE5vdGU+PENpdGU+PEF1dGhvcj5QZXlydXNzb248L0F1dGhvcj48WWVhcj4yMDIwPC9ZZWFy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</w:fldData>
        </w:fldChar>
      </w:r>
      <w:r w:rsidRPr="007F4419">
        <w:rPr>
          <w:rFonts w:ascii="Times New Roman" w:hAnsi="Times New Roman" w:cs="Times New Roman"/>
          <w:b/>
          <w:bCs/>
        </w:rPr>
        <w:instrText xml:space="preserve"> ADDIN EN.CITE.DATA </w:instrText>
      </w:r>
      <w:r w:rsidRPr="007F4419">
        <w:rPr>
          <w:rFonts w:ascii="Times New Roman" w:hAnsi="Times New Roman" w:cs="Times New Roman"/>
          <w:b/>
          <w:bCs/>
        </w:rPr>
      </w:r>
      <w:r w:rsidRPr="007F4419">
        <w:rPr>
          <w:rFonts w:ascii="Times New Roman" w:hAnsi="Times New Roman" w:cs="Times New Roman"/>
          <w:b/>
          <w:bCs/>
        </w:rPr>
        <w:fldChar w:fldCharType="end"/>
      </w:r>
      <w:r w:rsidRPr="007F4419">
        <w:rPr>
          <w:rFonts w:ascii="Times New Roman" w:hAnsi="Times New Roman" w:cs="Times New Roman"/>
          <w:b/>
          <w:bCs/>
        </w:rPr>
      </w:r>
      <w:r w:rsidRPr="007F4419">
        <w:rPr>
          <w:rFonts w:ascii="Times New Roman" w:hAnsi="Times New Roman" w:cs="Times New Roman"/>
          <w:b/>
          <w:bCs/>
        </w:rPr>
        <w:fldChar w:fldCharType="separate"/>
      </w:r>
      <w:r w:rsidRPr="007F4419">
        <w:rPr>
          <w:rFonts w:ascii="Times New Roman" w:hAnsi="Times New Roman" w:cs="Times New Roman"/>
          <w:b/>
          <w:bCs/>
          <w:noProof/>
        </w:rPr>
        <w:t>(Peyrusson</w:t>
      </w:r>
      <w:r w:rsidRPr="007F4419">
        <w:rPr>
          <w:rFonts w:ascii="Times New Roman" w:hAnsi="Times New Roman" w:cs="Times New Roman"/>
          <w:b/>
          <w:bCs/>
          <w:i/>
          <w:noProof/>
        </w:rPr>
        <w:t xml:space="preserve"> et al.</w:t>
      </w:r>
      <w:r w:rsidRPr="007F4419">
        <w:rPr>
          <w:rFonts w:ascii="Times New Roman" w:hAnsi="Times New Roman" w:cs="Times New Roman"/>
          <w:b/>
          <w:bCs/>
          <w:noProof/>
        </w:rPr>
        <w:t>, 2020; Li</w:t>
      </w:r>
      <w:r w:rsidRPr="007F4419">
        <w:rPr>
          <w:rFonts w:ascii="Times New Roman" w:hAnsi="Times New Roman" w:cs="Times New Roman"/>
          <w:b/>
          <w:bCs/>
          <w:i/>
          <w:noProof/>
        </w:rPr>
        <w:t xml:space="preserve"> et al.</w:t>
      </w:r>
      <w:r w:rsidRPr="007F4419">
        <w:rPr>
          <w:rFonts w:ascii="Times New Roman" w:hAnsi="Times New Roman" w:cs="Times New Roman"/>
          <w:b/>
          <w:bCs/>
          <w:noProof/>
        </w:rPr>
        <w:t>, 2020)</w:t>
      </w:r>
      <w:r w:rsidRPr="007F4419">
        <w:rPr>
          <w:rFonts w:ascii="Times New Roman" w:hAnsi="Times New Roman" w:cs="Times New Roman"/>
          <w:b/>
          <w:bCs/>
        </w:rPr>
        <w:fldChar w:fldCharType="end"/>
      </w:r>
      <w:r w:rsidRPr="007F4419">
        <w:rPr>
          <w:rFonts w:ascii="Times New Roman" w:hAnsi="Times New Roman" w:cs="Times New Roman"/>
        </w:rPr>
        <w:t>,</w:t>
      </w:r>
      <w:r w:rsidRPr="007F4419">
        <w:rPr>
          <w:rFonts w:ascii="Times New Roman" w:hAnsi="Times New Roman" w:cs="Times New Roman"/>
          <w:b/>
          <w:bCs/>
        </w:rPr>
        <w:t xml:space="preserve"> </w:t>
      </w:r>
      <w:r w:rsidRPr="007F4419">
        <w:rPr>
          <w:rFonts w:ascii="Times New Roman" w:hAnsi="Times New Roman" w:cs="Times New Roman"/>
        </w:rPr>
        <w:t xml:space="preserve">indicating that the stringent response is important for intracellular survival during infection. The cytotoxic PSMs were revealed to be upregulated following phagocytosis of </w:t>
      </w:r>
      <w:r w:rsidRPr="007F4419">
        <w:rPr>
          <w:rFonts w:ascii="Times New Roman" w:hAnsi="Times New Roman" w:cs="Times New Roman"/>
          <w:i/>
          <w:iCs/>
        </w:rPr>
        <w:t>S. aureus</w:t>
      </w:r>
      <w:r>
        <w:rPr>
          <w:rFonts w:ascii="Times New Roman" w:hAnsi="Times New Roman" w:cs="Times New Roman"/>
          <w:i/>
          <w:iCs/>
        </w:rPr>
        <w:t xml:space="preserve"> </w:t>
      </w:r>
      <w:r w:rsidRPr="001E2E6B">
        <w:rPr>
          <w:rFonts w:ascii="Times New Roman" w:hAnsi="Times New Roman" w:cs="Times New Roman"/>
          <w:b/>
          <w:bCs/>
        </w:rPr>
        <w:fldChar w:fldCharType="begin"/>
      </w:r>
      <w:r w:rsidRPr="001E2E6B">
        <w:rPr>
          <w:rFonts w:ascii="Times New Roman" w:hAnsi="Times New Roman" w:cs="Times New Roman"/>
          <w:b/>
          <w:bCs/>
        </w:rPr>
        <w:instrText xml:space="preserve"> ADDIN EN.CITE &lt;EndNote&gt;&lt;Cite&gt;&lt;Author&gt;Geiger&lt;/Author&gt;&lt;Year&gt;2012&lt;/Year&gt;&lt;IDText&gt;The Stringent Response of Staphylococcus aureus and Its Impact on Survival after Phagocytosis through the Induction of Intracellular PSMs Expression&lt;/IDText&gt;&lt;DisplayText&gt;(Geiger&lt;style face="italic"&gt; et al.&lt;/style&gt;, 2012)&lt;/DisplayText&gt;&lt;record&gt;&lt;dates&gt;&lt;pub-dates&gt;&lt;date&gt;2013-06-04&lt;/date&gt;&lt;/pub-dates&gt;&lt;year&gt;2012&lt;/year&gt;&lt;/dates&gt;&lt;urls&gt;&lt;related-urls&gt;&lt;/related-urls&gt;&lt;/urls&gt;&lt;titles&gt;&lt;title&gt;&lt;style font="default" size="100%"&gt;The Stringent Response of &lt;/style&gt;&lt;style face="italic" font="default" size="100%"&gt;Staphylococcus aureus&lt;/style&gt;&lt;style font="default" size="100%"&gt; and Its Impact on Survival after Phagocytosis through the Induction of Intracellular PSMs Expression&lt;/style&gt;&lt;/title&gt;&lt;secondary-title&gt;Figshare&lt;/secondary-title&gt;&lt;/titles&gt;&lt;contributors&gt;&lt;authors&gt;&lt;author&gt;Geiger, Tobias&lt;/author&gt;&lt;author&gt;Francois, Patrice&lt;/author&gt;&lt;author&gt;Liebeke, Manuel&lt;/author&gt;&lt;author&gt;Goerke, Christiane&lt;/author&gt;&lt;author&gt;Fraunholz, Martin&lt;/author&gt;&lt;author&gt;Krismer, Bernhard&lt;/author&gt;&lt;author&gt;Lalk, Michael&lt;/author&gt;&lt;author&gt;Wolz, Christiane&lt;/author&gt;&lt;author&gt;Schrenzel, Jacques&lt;/author&gt;&lt;/authors&gt;&lt;/contributors&gt;&lt;added-date format="utc"&gt;1663613770&lt;/added-date&gt;&lt;ref-type name="Journal Article"&gt;17&lt;/ref-type&gt;&lt;rec-number&gt;79&lt;/rec-number&gt;&lt;last-updated-date format="utc"&gt;1678058042&lt;/last-updated-date&gt;&lt;accession-num&gt;DRCI:DATA2013076003393588&lt;/accession-num&gt;&lt;volume&gt;1&lt;/volume&gt;&lt;/record&gt;&lt;/Cite&gt;&lt;/EndNote&gt;</w:instrText>
      </w:r>
      <w:r w:rsidRPr="001E2E6B">
        <w:rPr>
          <w:rFonts w:ascii="Times New Roman" w:hAnsi="Times New Roman" w:cs="Times New Roman"/>
          <w:b/>
          <w:bCs/>
        </w:rPr>
        <w:fldChar w:fldCharType="separate"/>
      </w:r>
      <w:r w:rsidRPr="001E2E6B">
        <w:rPr>
          <w:rFonts w:ascii="Times New Roman" w:hAnsi="Times New Roman" w:cs="Times New Roman"/>
          <w:b/>
          <w:bCs/>
          <w:noProof/>
        </w:rPr>
        <w:t>(Geiger et al., 2012)</w:t>
      </w:r>
      <w:r w:rsidRPr="001E2E6B">
        <w:rPr>
          <w:rFonts w:ascii="Times New Roman" w:hAnsi="Times New Roman" w:cs="Times New Roman"/>
          <w:b/>
          <w:bCs/>
        </w:rPr>
        <w:fldChar w:fldCharType="end"/>
      </w:r>
      <w:r w:rsidRPr="007F4419">
        <w:rPr>
          <w:rFonts w:ascii="Times New Roman" w:hAnsi="Times New Roman" w:cs="Times New Roman"/>
          <w:i/>
          <w:iCs/>
        </w:rPr>
        <w:t xml:space="preserve">, </w:t>
      </w:r>
      <w:r w:rsidRPr="007F4419">
        <w:rPr>
          <w:rFonts w:ascii="Times New Roman" w:hAnsi="Times New Roman" w:cs="Times New Roman"/>
        </w:rPr>
        <w:t xml:space="preserve">and given their function of lysing immune cells, it is clear that the role of PSMs are to aid escape from professional phagocytes. Li and colleagues provide additional evidence of this by reporting increased expression of PSMs in persistent bacteraemia isolates that overproduce (p)ppGpp and that this increased expression also led to protection from hNP-1 </w:t>
      </w:r>
      <w:r w:rsidRPr="007F4419">
        <w:rPr>
          <w:rFonts w:ascii="Times New Roman" w:hAnsi="Times New Roman" w:cs="Times New Roman"/>
          <w:b/>
          <w:bCs/>
        </w:rPr>
        <w:fldChar w:fldCharType="begin"/>
      </w:r>
      <w:r w:rsidRPr="007F4419">
        <w:rPr>
          <w:rFonts w:ascii="Times New Roman" w:hAnsi="Times New Roman" w:cs="Times New Roman"/>
          <w:b/>
          <w:bCs/>
        </w:rPr>
        <w:instrText xml:space="preserve"> ADDIN EN.CITE &lt;EndNote&gt;&lt;Cite&gt;&lt;Author&gt;Li&lt;/Author&gt;&lt;Year&gt;2020&lt;/Year&gt;&lt;IDText&gt;The Stringent Response Contributes to Persistent Methicillin-Resistant Staphylococcus aureus Endovascular Infection Through the Purine Biosynthetic Pathway&lt;/IDText&gt;&lt;DisplayText&gt;(Li&lt;style face="italic"&gt; et al.&lt;/style&gt;, 2020)&lt;/DisplayText&gt;&lt;record&gt;&lt;dates&gt;&lt;pub-dates&gt;&lt;date&gt;Oct 1&lt;/date&gt;&lt;/pub-dates&gt;&lt;year&gt;2020&lt;/year&gt;&lt;/dates&gt;&lt;urls&gt;&lt;related-urls&gt;&lt;url&gt;&amp;lt;Go to ISI&amp;gt;://WOS:000577175500019&lt;/url&gt;&lt;/related-urls&gt;&lt;/urls&gt;&lt;isbn&gt;0022-1899&lt;/isbn&gt;&lt;titles&gt;&lt;title&gt;The Stringent Response Contributes to Persistent Methicillin-Resistant Staphylococcus aureus Endovascular Infection Through the Purine Biosynthetic Pathway&lt;/title&gt;&lt;secondary-title&gt;Journal of Infectious Diseases&lt;/secondary-title&gt;&lt;/titles&gt;&lt;pages&gt;1188-1198&lt;/pages&gt;&lt;number&gt;7&lt;/number&gt;&lt;contributors&gt;&lt;authors&gt;&lt;author&gt;Li, Liang&lt;/author&gt;&lt;author&gt;Bayer, Arnold S.&lt;/author&gt;&lt;author&gt;Cheung, Ambrose&lt;/author&gt;&lt;author&gt;Lu, Lou&lt;/author&gt;&lt;author&gt;Abdelhady, Wessam&lt;/author&gt;&lt;author&gt;Donegan, Niles P.&lt;/author&gt;&lt;author&gt;Hong, Jong-In&lt;/author&gt;&lt;author&gt;Yeaman, Michael R.&lt;/author&gt;&lt;author&gt;Xiong, Yan Q.&lt;/author&gt;&lt;/authors&gt;&lt;/contributors&gt;&lt;added-date format="utc"&gt;1668280828&lt;/added-date&gt;&lt;ref-type name="Journal Article"&gt;17&lt;/ref-type&gt;&lt;rec-number&gt;175&lt;/rec-number&gt;&lt;last-updated-date format="utc"&gt;1678058042&lt;/last-updated-date&gt;&lt;accession-num&gt;WOS:000577175500019&lt;/accession-num&gt;&lt;electronic-resource-num&gt;10.1093/infdis/jiaa202&lt;/electronic-resource-num&gt;&lt;volume&gt;222&lt;/volume&gt;&lt;/record&gt;&lt;/Cite&gt;&lt;/EndNote&gt;</w:instrText>
      </w:r>
      <w:r w:rsidRPr="007F4419">
        <w:rPr>
          <w:rFonts w:ascii="Times New Roman" w:hAnsi="Times New Roman" w:cs="Times New Roman"/>
          <w:b/>
          <w:bCs/>
        </w:rPr>
        <w:fldChar w:fldCharType="separate"/>
      </w:r>
      <w:r w:rsidRPr="007F4419">
        <w:rPr>
          <w:rFonts w:ascii="Times New Roman" w:hAnsi="Times New Roman" w:cs="Times New Roman"/>
          <w:b/>
          <w:bCs/>
          <w:noProof/>
        </w:rPr>
        <w:t>(Li</w:t>
      </w:r>
      <w:r w:rsidRPr="007F4419">
        <w:rPr>
          <w:rFonts w:ascii="Times New Roman" w:hAnsi="Times New Roman" w:cs="Times New Roman"/>
          <w:b/>
          <w:bCs/>
          <w:i/>
          <w:noProof/>
        </w:rPr>
        <w:t xml:space="preserve"> et al.</w:t>
      </w:r>
      <w:r w:rsidRPr="007F4419">
        <w:rPr>
          <w:rFonts w:ascii="Times New Roman" w:hAnsi="Times New Roman" w:cs="Times New Roman"/>
          <w:b/>
          <w:bCs/>
          <w:noProof/>
        </w:rPr>
        <w:t>, 2020)</w:t>
      </w:r>
      <w:r w:rsidRPr="007F4419">
        <w:rPr>
          <w:rFonts w:ascii="Times New Roman" w:hAnsi="Times New Roman" w:cs="Times New Roman"/>
          <w:b/>
          <w:bCs/>
        </w:rPr>
        <w:fldChar w:fldCharType="end"/>
      </w:r>
      <w:r w:rsidRPr="007F4419">
        <w:rPr>
          <w:rFonts w:ascii="Times New Roman" w:hAnsi="Times New Roman" w:cs="Times New Roman"/>
        </w:rPr>
        <w:t>.</w:t>
      </w:r>
      <w:r>
        <w:rPr>
          <w:rFonts w:ascii="Times New Roman" w:hAnsi="Times New Roman" w:cs="Times New Roman"/>
        </w:rPr>
        <w:t xml:space="preserve"> </w:t>
      </w:r>
      <w:r w:rsidRPr="007F4419">
        <w:rPr>
          <w:rFonts w:ascii="Times New Roman" w:hAnsi="Times New Roman" w:cs="Times New Roman"/>
        </w:rPr>
        <w:t xml:space="preserve">These findings suggest an important role of the stringent response for escape and dissemination of </w:t>
      </w:r>
      <w:r w:rsidRPr="007F4419">
        <w:rPr>
          <w:rFonts w:ascii="Times New Roman" w:hAnsi="Times New Roman" w:cs="Times New Roman"/>
          <w:i/>
          <w:iCs/>
        </w:rPr>
        <w:t>S. aureus</w:t>
      </w:r>
      <w:r w:rsidRPr="007F4419">
        <w:rPr>
          <w:rFonts w:ascii="Times New Roman" w:hAnsi="Times New Roman" w:cs="Times New Roman"/>
        </w:rPr>
        <w:t xml:space="preserve"> and so the absence of (p)ppGpp and thus, the inability to regulate PSMs may contribute to the</w:t>
      </w:r>
      <w:r w:rsidR="002C4090">
        <w:rPr>
          <w:rFonts w:ascii="Times New Roman" w:hAnsi="Times New Roman" w:cs="Times New Roman"/>
        </w:rPr>
        <w:t xml:space="preserve"> decrease in killing of zebrafish embryos by</w:t>
      </w:r>
      <w:r w:rsidRPr="007F4419">
        <w:rPr>
          <w:rFonts w:ascii="Times New Roman" w:hAnsi="Times New Roman" w:cs="Times New Roman"/>
        </w:rPr>
        <w:t xml:space="preserve"> the (p)ppGpp</w:t>
      </w:r>
      <w:r w:rsidRPr="007F4419">
        <w:rPr>
          <w:rFonts w:ascii="Times New Roman" w:hAnsi="Times New Roman" w:cs="Times New Roman"/>
          <w:vertAlign w:val="superscript"/>
        </w:rPr>
        <w:t>0</w:t>
      </w:r>
      <w:r w:rsidRPr="007F4419">
        <w:rPr>
          <w:rFonts w:ascii="Times New Roman" w:hAnsi="Times New Roman" w:cs="Times New Roman"/>
        </w:rPr>
        <w:t xml:space="preserve"> mutant during systemic infection.</w:t>
      </w:r>
    </w:p>
    <w:p w14:paraId="69CFE95E" w14:textId="1AC518F2" w:rsidR="00187693" w:rsidRPr="004C26D5" w:rsidRDefault="00187693" w:rsidP="00187693">
      <w:pPr>
        <w:spacing w:line="360" w:lineRule="auto"/>
        <w:jc w:val="both"/>
        <w:rPr>
          <w:rFonts w:ascii="Times New Roman" w:hAnsi="Times New Roman" w:cs="Times New Roman"/>
        </w:rPr>
      </w:pPr>
      <w:r>
        <w:rPr>
          <w:rFonts w:ascii="Times New Roman" w:hAnsi="Times New Roman" w:cs="Times New Roman"/>
        </w:rPr>
        <w:tab/>
        <w:t xml:space="preserve">Overproduction of (p)ppGpp </w:t>
      </w:r>
      <w:r>
        <w:rPr>
          <w:rFonts w:ascii="Times New Roman" w:hAnsi="Times New Roman" w:cs="Times New Roman"/>
          <w:i/>
          <w:iCs/>
        </w:rPr>
        <w:t>in vitro</w:t>
      </w:r>
      <w:r>
        <w:rPr>
          <w:rFonts w:ascii="Times New Roman" w:hAnsi="Times New Roman" w:cs="Times New Roman"/>
        </w:rPr>
        <w:t xml:space="preserve"> increased the tolerance of </w:t>
      </w:r>
      <w:r>
        <w:rPr>
          <w:rFonts w:ascii="Times New Roman" w:hAnsi="Times New Roman" w:cs="Times New Roman"/>
          <w:i/>
          <w:iCs/>
        </w:rPr>
        <w:t xml:space="preserve">S. aureus </w:t>
      </w:r>
      <w:r>
        <w:rPr>
          <w:rFonts w:ascii="Times New Roman" w:hAnsi="Times New Roman" w:cs="Times New Roman"/>
        </w:rPr>
        <w:t xml:space="preserve">to acid and ROS stress </w:t>
      </w:r>
      <w:r>
        <w:rPr>
          <w:rFonts w:ascii="Times New Roman" w:hAnsi="Times New Roman" w:cs="Times New Roman"/>
          <w:b/>
          <w:bCs/>
        </w:rPr>
        <w:t>(Fig.</w:t>
      </w:r>
      <w:r w:rsidR="002C4090">
        <w:rPr>
          <w:rFonts w:ascii="Times New Roman" w:hAnsi="Times New Roman" w:cs="Times New Roman"/>
          <w:b/>
          <w:bCs/>
        </w:rPr>
        <w:t xml:space="preserve"> </w:t>
      </w:r>
      <w:r>
        <w:rPr>
          <w:rFonts w:ascii="Times New Roman" w:hAnsi="Times New Roman" w:cs="Times New Roman"/>
          <w:b/>
          <w:bCs/>
        </w:rPr>
        <w:t>4.4.5)</w:t>
      </w:r>
      <w:r>
        <w:rPr>
          <w:rFonts w:ascii="Times New Roman" w:hAnsi="Times New Roman" w:cs="Times New Roman"/>
        </w:rPr>
        <w:t xml:space="preserve">, suggesting that (p)ppGpp overproduction aids survival. However, within zebrafish embryos, (p)ppGpp overproduction did not have a protective effect on </w:t>
      </w:r>
      <w:r>
        <w:rPr>
          <w:rFonts w:ascii="Times New Roman" w:hAnsi="Times New Roman" w:cs="Times New Roman"/>
          <w:i/>
          <w:iCs/>
        </w:rPr>
        <w:t xml:space="preserve">S. aureus </w:t>
      </w:r>
      <w:r>
        <w:rPr>
          <w:rFonts w:ascii="Times New Roman" w:hAnsi="Times New Roman" w:cs="Times New Roman"/>
        </w:rPr>
        <w:t xml:space="preserve">and did not increase the virulence of </w:t>
      </w:r>
      <w:r>
        <w:rPr>
          <w:rFonts w:ascii="Times New Roman" w:hAnsi="Times New Roman" w:cs="Times New Roman"/>
          <w:i/>
          <w:iCs/>
        </w:rPr>
        <w:t xml:space="preserve">S. aureus </w:t>
      </w:r>
      <w:r>
        <w:rPr>
          <w:rFonts w:ascii="Times New Roman" w:hAnsi="Times New Roman" w:cs="Times New Roman"/>
          <w:b/>
          <w:bCs/>
        </w:rPr>
        <w:t>(Fig. 5.7.1)</w:t>
      </w:r>
      <w:r>
        <w:rPr>
          <w:rFonts w:ascii="Times New Roman" w:hAnsi="Times New Roman" w:cs="Times New Roman"/>
        </w:rPr>
        <w:t xml:space="preserve">, similar to what has been reported in an MRSA clinical isolate </w:t>
      </w:r>
      <w:r w:rsidRPr="004C26D5">
        <w:rPr>
          <w:rFonts w:ascii="Times New Roman" w:hAnsi="Times New Roman" w:cs="Times New Roman"/>
          <w:b/>
          <w:bCs/>
        </w:rPr>
        <w:fldChar w:fldCharType="begin"/>
      </w:r>
      <w:r w:rsidRPr="004C26D5">
        <w:rPr>
          <w:rFonts w:ascii="Times New Roman" w:hAnsi="Times New Roman" w:cs="Times New Roman"/>
          <w:b/>
          <w:bCs/>
        </w:rPr>
        <w:instrText xml:space="preserve"> ADDIN EN.CITE &lt;EndNote&gt;&lt;Cite&gt;&lt;Author&gt;Gao&lt;/Author&gt;&lt;Year&gt;2010&lt;/Year&gt;&lt;IDText&gt;Two Novel Point Mutations in Clinical Staphylococcus aureus Reduce Linezolid Susceptibility and Switch on the Stringent Response to Promote Persistent Infection&lt;/IDText&gt;&lt;DisplayText&gt;(Gao&lt;style face="italic"&gt; et al.&lt;/style&gt;, 2010)&lt;/DisplayText&gt;&lt;record&gt;&lt;dates&gt;&lt;pub-dates&gt;&lt;date&gt;Jun&lt;/date&gt;&lt;/pub-dates&gt;&lt;year&gt;2010&lt;/year&gt;&lt;/dates&gt;&lt;urls&gt;&lt;related-urls&gt;&lt;/related-urls&gt;&lt;/urls&gt;&lt;isbn&gt;1553-7366&lt;/isbn&gt;&lt;titles&gt;&lt;title&gt;&lt;style font="default" size="100%"&gt;Two Novel Point Mutations in Clinical &lt;/style&gt;&lt;style face="italic" font="default" size="100%"&gt;Staphylococcus aureus&lt;/style&gt;&lt;style font="default" size="100%"&gt; Reduce Linezolid Susceptibility and Switch on the Stringent Response to Promote Persistent Infection&lt;/style&gt;&lt;/title&gt;&lt;secondary-title&gt;Plos Pathogens&lt;/secondary-title&gt;&lt;/titles&gt;&lt;number&gt;6&lt;/number&gt;&lt;contributors&gt;&lt;authors&gt;&lt;author&gt;Gao, Wei&lt;/author&gt;&lt;author&gt;Chua, Kyra&lt;/author&gt;&lt;author&gt;Davies, John K.&lt;/author&gt;&lt;author&gt;Newton, Hayley J.&lt;/author&gt;&lt;author&gt;Seemann, Torsten&lt;/author&gt;&lt;author&gt;Harrison, Paul F.&lt;/author&gt;&lt;author&gt;Holmes, Natasha E.&lt;/author&gt;&lt;author&gt;Rhee, Hyun-Woo&lt;/author&gt;&lt;author&gt;Hong, Jong-In&lt;/author&gt;&lt;author&gt;Hartland, Elizabeth L.&lt;/author&gt;&lt;author&gt;Stinear, Timothy P.&lt;/author&gt;&lt;author&gt;Howden, Benjamin P.&lt;/author&gt;&lt;/authors&gt;&lt;/contributors&gt;&lt;custom7&gt;e1000944&lt;/custom7&gt;&lt;added-date format="utc"&gt;1663614069&lt;/added-date&gt;&lt;ref-type name="Journal Article"&gt;17&lt;/ref-type&gt;&lt;rec-number&gt;81&lt;/rec-number&gt;&lt;last-updated-date format="utc"&gt;1678058042&lt;/last-updated-date&gt;&lt;accession-num&gt;WOS:000279806300018&lt;/accession-num&gt;&lt;electronic-resource-num&gt;10.1371/journal.ppat.1000944&lt;/electronic-resource-num&gt;&lt;volume&gt;6&lt;/volume&gt;&lt;/record&gt;&lt;/Cite&gt;&lt;/EndNote&gt;</w:instrText>
      </w:r>
      <w:r w:rsidRPr="004C26D5">
        <w:rPr>
          <w:rFonts w:ascii="Times New Roman" w:hAnsi="Times New Roman" w:cs="Times New Roman"/>
          <w:b/>
          <w:bCs/>
        </w:rPr>
        <w:fldChar w:fldCharType="separate"/>
      </w:r>
      <w:r w:rsidRPr="004C26D5">
        <w:rPr>
          <w:rFonts w:ascii="Times New Roman" w:hAnsi="Times New Roman" w:cs="Times New Roman"/>
          <w:b/>
          <w:bCs/>
          <w:noProof/>
        </w:rPr>
        <w:t>(Gao</w:t>
      </w:r>
      <w:r w:rsidRPr="004C26D5">
        <w:rPr>
          <w:rFonts w:ascii="Times New Roman" w:hAnsi="Times New Roman" w:cs="Times New Roman"/>
          <w:b/>
          <w:bCs/>
          <w:i/>
          <w:noProof/>
        </w:rPr>
        <w:t xml:space="preserve"> et al.</w:t>
      </w:r>
      <w:r w:rsidRPr="004C26D5">
        <w:rPr>
          <w:rFonts w:ascii="Times New Roman" w:hAnsi="Times New Roman" w:cs="Times New Roman"/>
          <w:b/>
          <w:bCs/>
          <w:noProof/>
        </w:rPr>
        <w:t>, 2010)</w:t>
      </w:r>
      <w:r w:rsidRPr="004C26D5">
        <w:rPr>
          <w:rFonts w:ascii="Times New Roman" w:hAnsi="Times New Roman" w:cs="Times New Roman"/>
          <w:b/>
          <w:bCs/>
        </w:rPr>
        <w:fldChar w:fldCharType="end"/>
      </w:r>
      <w:r>
        <w:rPr>
          <w:rFonts w:ascii="Times New Roman" w:hAnsi="Times New Roman" w:cs="Times New Roman"/>
        </w:rPr>
        <w:t xml:space="preserve">. This highlights the requirement </w:t>
      </w:r>
      <w:r w:rsidR="002C4090">
        <w:rPr>
          <w:rFonts w:ascii="Times New Roman" w:hAnsi="Times New Roman" w:cs="Times New Roman"/>
        </w:rPr>
        <w:t xml:space="preserve">of </w:t>
      </w:r>
      <w:r>
        <w:rPr>
          <w:rFonts w:ascii="Times New Roman" w:hAnsi="Times New Roman" w:cs="Times New Roman"/>
        </w:rPr>
        <w:t xml:space="preserve">cellular (p)ppGpp regulation during infection and the need for optimal (p)ppGpp levels, as both concentrations that are too little or too high, negatively impact </w:t>
      </w:r>
      <w:r>
        <w:rPr>
          <w:rFonts w:ascii="Times New Roman" w:hAnsi="Times New Roman" w:cs="Times New Roman"/>
          <w:i/>
          <w:iCs/>
        </w:rPr>
        <w:t xml:space="preserve">S. aureus </w:t>
      </w:r>
      <w:r>
        <w:rPr>
          <w:rFonts w:ascii="Times New Roman" w:hAnsi="Times New Roman" w:cs="Times New Roman"/>
        </w:rPr>
        <w:t>virulence. It would be interesting to study embryos infected with WT and the overproduction strains past 5.2 dpf in order examine the survival of these embryos and whether (p)ppGpp overproduction aids long-term survival of bacteria and initiates the development of persistence. Furthermore, transcriptional analysis of bacteria isolated from infected embryos may provide insight into how (p)ppGpp overproduction in any surviving bacteria is having an effect on virulence.</w:t>
      </w:r>
    </w:p>
    <w:p w14:paraId="6838A3AC" w14:textId="2F5FB9C1" w:rsidR="00187693" w:rsidRPr="004E4561" w:rsidRDefault="00187693" w:rsidP="00187693">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b/>
          <w:bCs/>
        </w:rPr>
        <w:t xml:space="preserve">Figure 4.4.6 </w:t>
      </w:r>
      <w:r>
        <w:rPr>
          <w:rFonts w:ascii="Times New Roman" w:hAnsi="Times New Roman" w:cs="Times New Roman"/>
        </w:rPr>
        <w:t xml:space="preserve">revealed that complementation with RelP but not Rel confers tolerance to itaconic acid stress, while complementation with either Rel or RelP helped tolerance of </w:t>
      </w:r>
      <w:r>
        <w:rPr>
          <w:rFonts w:ascii="Times New Roman" w:hAnsi="Times New Roman" w:cs="Times New Roman"/>
          <w:i/>
          <w:iCs/>
        </w:rPr>
        <w:t xml:space="preserve">S. aureus </w:t>
      </w:r>
      <w:r>
        <w:rPr>
          <w:rFonts w:ascii="Times New Roman" w:hAnsi="Times New Roman" w:cs="Times New Roman"/>
        </w:rPr>
        <w:t xml:space="preserve">to </w:t>
      </w:r>
      <w:r w:rsidRPr="00F10C5A">
        <w:rPr>
          <w:rFonts w:ascii="Times New Roman" w:hAnsi="Times New Roman" w:cs="Times New Roman"/>
        </w:rPr>
        <w:t>H</w:t>
      </w:r>
      <w:r w:rsidRPr="00F10C5A">
        <w:rPr>
          <w:rFonts w:ascii="Times New Roman" w:hAnsi="Times New Roman" w:cs="Times New Roman"/>
          <w:vertAlign w:val="subscript"/>
        </w:rPr>
        <w:t>2</w:t>
      </w:r>
      <w:r w:rsidRPr="00F10C5A">
        <w:rPr>
          <w:rFonts w:ascii="Times New Roman" w:hAnsi="Times New Roman" w:cs="Times New Roman"/>
        </w:rPr>
        <w:t>O</w:t>
      </w:r>
      <w:r w:rsidRPr="00F10C5A">
        <w:rPr>
          <w:rFonts w:ascii="Times New Roman" w:hAnsi="Times New Roman" w:cs="Times New Roman"/>
          <w:vertAlign w:val="subscript"/>
        </w:rPr>
        <w:t>2</w:t>
      </w:r>
      <w:r>
        <w:rPr>
          <w:rFonts w:ascii="Times New Roman" w:hAnsi="Times New Roman" w:cs="Times New Roman"/>
        </w:rPr>
        <w:t xml:space="preserve">. This highlights how each synthetase has different roles with regards to surviving different stresses. As RelQ was not tested in this study, it is currently unknown what role it has, if any, during systemic infection. While RelP complementation was not sufficient to restore virulence during systemic infection </w:t>
      </w:r>
      <w:r>
        <w:rPr>
          <w:rFonts w:ascii="Times New Roman" w:hAnsi="Times New Roman" w:cs="Times New Roman"/>
          <w:b/>
          <w:bCs/>
        </w:rPr>
        <w:t>(Fig. 5.8.1d)</w:t>
      </w:r>
      <w:r>
        <w:rPr>
          <w:rFonts w:ascii="Times New Roman" w:hAnsi="Times New Roman" w:cs="Times New Roman"/>
        </w:rPr>
        <w:t xml:space="preserve">, this does not negate its role and contribution during infection. The oxidative burst within the phagolysosome has been deemed one of the most important components of host defence </w:t>
      </w:r>
      <w:r w:rsidRPr="00CB53BD">
        <w:rPr>
          <w:rFonts w:ascii="Times New Roman" w:hAnsi="Times New Roman" w:cs="Times New Roman"/>
          <w:b/>
          <w:bCs/>
        </w:rPr>
        <w:fldChar w:fldCharType="begin"/>
      </w:r>
      <w:r>
        <w:rPr>
          <w:rFonts w:ascii="Times New Roman" w:hAnsi="Times New Roman" w:cs="Times New Roman"/>
          <w:b/>
          <w:bCs/>
        </w:rPr>
        <w:instrText xml:space="preserve"> ADDIN EN.CITE &lt;EndNote&gt;&lt;Cite&gt;&lt;Author&gt;Dupre-Crochet&lt;/Author&gt;&lt;Year&gt;2013&lt;/Year&gt;&lt;IDText&gt;ROS production in phagocytes: why,  when, and where?&lt;/IDText&gt;&lt;DisplayText&gt;(Dupre-Crochet, Erard and Nubetae, 2013)&lt;/DisplayText&gt;&lt;record&gt;&lt;urls&gt;&lt;related-urls&gt;&lt;/related-urls&gt;&lt;/urls&gt;&lt;titles&gt;&lt;title&gt;ROS production in phagocytes: why,  when, and where?&lt;/title&gt;&lt;secondary-title&gt;Journal of Leukocyte Biology&lt;/secondary-title&gt;&lt;/titles&gt;&lt;pages&gt;657-670&lt;/pages&gt;&lt;number&gt;4&lt;/number&gt;&lt;contributors&gt;&lt;authors&gt;&lt;author&gt;Dupre-Crochet, Sophie&lt;/author&gt;&lt;author&gt;Erard, Marie&lt;/author&gt;&lt;author&gt;Nubetae, Oliver&lt;/author&gt;&lt;/authors&gt;&lt;/contributors&gt;&lt;added-date format="utc"&gt;1674558301&lt;/added-date&gt;&lt;ref-type name="Journal Article"&gt;17&lt;/ref-type&gt;&lt;dates&gt;&lt;year&gt;2013&lt;/year&gt;&lt;/dates&gt;&lt;rec-number&gt;245&lt;/rec-number&gt;&lt;last-updated-date format="utc"&gt;1675008997&lt;/last-updated-date&gt;&lt;volume&gt;94&lt;/volume&gt;&lt;/record&gt;&lt;/Cite&gt;&lt;/EndNote&gt;</w:instrText>
      </w:r>
      <w:r w:rsidRPr="00CB53BD">
        <w:rPr>
          <w:rFonts w:ascii="Times New Roman" w:hAnsi="Times New Roman" w:cs="Times New Roman"/>
          <w:b/>
          <w:bCs/>
        </w:rPr>
        <w:fldChar w:fldCharType="separate"/>
      </w:r>
      <w:r>
        <w:rPr>
          <w:rFonts w:ascii="Times New Roman" w:hAnsi="Times New Roman" w:cs="Times New Roman"/>
          <w:b/>
          <w:bCs/>
          <w:noProof/>
        </w:rPr>
        <w:t>(Dupre-Crochet, Erard and Nubetae, 2013)</w:t>
      </w:r>
      <w:r w:rsidRPr="00CB53BD">
        <w:rPr>
          <w:rFonts w:ascii="Times New Roman" w:hAnsi="Times New Roman" w:cs="Times New Roman"/>
          <w:b/>
          <w:bCs/>
        </w:rPr>
        <w:fldChar w:fldCharType="end"/>
      </w:r>
      <w:r>
        <w:rPr>
          <w:rFonts w:ascii="Times New Roman" w:hAnsi="Times New Roman" w:cs="Times New Roman"/>
        </w:rPr>
        <w:t xml:space="preserve">. Therefore, given the importance of Rel during infection and its contribution to the tolerance to </w:t>
      </w:r>
      <w:r w:rsidRPr="003E4EEC">
        <w:rPr>
          <w:rFonts w:ascii="Times New Roman" w:hAnsi="Times New Roman" w:cs="Times New Roman"/>
        </w:rPr>
        <w:t>H</w:t>
      </w:r>
      <w:r w:rsidRPr="003E4EEC">
        <w:rPr>
          <w:rFonts w:ascii="Times New Roman" w:hAnsi="Times New Roman" w:cs="Times New Roman"/>
          <w:vertAlign w:val="subscript"/>
        </w:rPr>
        <w:t>2</w:t>
      </w:r>
      <w:r w:rsidRPr="003E4EEC">
        <w:rPr>
          <w:rFonts w:ascii="Times New Roman" w:hAnsi="Times New Roman" w:cs="Times New Roman"/>
        </w:rPr>
        <w:t>O</w:t>
      </w:r>
      <w:r w:rsidRPr="003E4EEC">
        <w:rPr>
          <w:rFonts w:ascii="Times New Roman" w:hAnsi="Times New Roman" w:cs="Times New Roman"/>
          <w:vertAlign w:val="subscript"/>
        </w:rPr>
        <w:t>2</w:t>
      </w:r>
      <w:r>
        <w:rPr>
          <w:rFonts w:ascii="Times New Roman" w:hAnsi="Times New Roman" w:cs="Times New Roman"/>
        </w:rPr>
        <w:t xml:space="preserve">, it can be speculated that due to this, Rel is sufficient </w:t>
      </w:r>
      <w:r w:rsidR="00DB6ABA">
        <w:rPr>
          <w:rFonts w:ascii="Times New Roman" w:hAnsi="Times New Roman" w:cs="Times New Roman"/>
        </w:rPr>
        <w:t xml:space="preserve">for virulence </w:t>
      </w:r>
      <w:r>
        <w:rPr>
          <w:rFonts w:ascii="Times New Roman" w:hAnsi="Times New Roman" w:cs="Times New Roman"/>
          <w:i/>
          <w:iCs/>
        </w:rPr>
        <w:t>in vivo</w:t>
      </w:r>
      <w:r>
        <w:rPr>
          <w:rFonts w:ascii="Times New Roman" w:hAnsi="Times New Roman" w:cs="Times New Roman"/>
        </w:rPr>
        <w:t xml:space="preserve">. These results corroborate previous studies that have demonstrated a role of the stringent response for promoting tolerance to ROS. This has been attributed to (p)ppGpp-mediated regulation of the catalase and SOD enzymes in </w:t>
      </w:r>
      <w:r>
        <w:rPr>
          <w:rFonts w:ascii="Times New Roman" w:hAnsi="Times New Roman" w:cs="Times New Roman"/>
          <w:i/>
          <w:iCs/>
        </w:rPr>
        <w:t>P. aeruginosa</w:t>
      </w:r>
      <w:r>
        <w:rPr>
          <w:rFonts w:ascii="Times New Roman" w:hAnsi="Times New Roman" w:cs="Times New Roman"/>
        </w:rPr>
        <w:t xml:space="preserve"> </w:t>
      </w:r>
      <w:r w:rsidRPr="004E4561">
        <w:rPr>
          <w:rFonts w:ascii="Times New Roman" w:hAnsi="Times New Roman" w:cs="Times New Roman"/>
          <w:b/>
          <w:bCs/>
        </w:rPr>
        <w:fldChar w:fldCharType="begin">
          <w:fldData xml:space="preserve">PEVuZE5vdGU+PENpdGU+PEF1dGhvcj5LaGFraW1vdmE8L0F1dGhvcj48WWVhcj4yMDEzPC9ZZWFy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</w:fldData>
        </w:fldChar>
      </w:r>
      <w:r w:rsidRPr="004E4561">
        <w:rPr>
          <w:rFonts w:ascii="Times New Roman" w:hAnsi="Times New Roman" w:cs="Times New Roman"/>
          <w:b/>
          <w:bCs/>
        </w:rPr>
        <w:instrText xml:space="preserve"> ADDIN EN.CITE </w:instrText>
      </w:r>
      <w:r w:rsidRPr="004E4561">
        <w:rPr>
          <w:rFonts w:ascii="Times New Roman" w:hAnsi="Times New Roman" w:cs="Times New Roman"/>
          <w:b/>
          <w:bCs/>
        </w:rPr>
        <w:fldChar w:fldCharType="begin">
          <w:fldData xml:space="preserve">PEVuZE5vdGU+PENpdGU+PEF1dGhvcj5LaGFraW1vdmE8L0F1dGhvcj48WWVhcj4yMDEzPC9ZZWFy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</w:fldData>
        </w:fldChar>
      </w:r>
      <w:r w:rsidRPr="004E4561">
        <w:rPr>
          <w:rFonts w:ascii="Times New Roman" w:hAnsi="Times New Roman" w:cs="Times New Roman"/>
          <w:b/>
          <w:bCs/>
        </w:rPr>
        <w:instrText xml:space="preserve"> ADDIN EN.CITE.DATA </w:instrText>
      </w:r>
      <w:r w:rsidRPr="004E4561">
        <w:rPr>
          <w:rFonts w:ascii="Times New Roman" w:hAnsi="Times New Roman" w:cs="Times New Roman"/>
          <w:b/>
          <w:bCs/>
        </w:rPr>
      </w:r>
      <w:r w:rsidRPr="004E4561">
        <w:rPr>
          <w:rFonts w:ascii="Times New Roman" w:hAnsi="Times New Roman" w:cs="Times New Roman"/>
          <w:b/>
          <w:bCs/>
        </w:rPr>
        <w:fldChar w:fldCharType="end"/>
      </w:r>
      <w:r w:rsidRPr="004E4561">
        <w:rPr>
          <w:rFonts w:ascii="Times New Roman" w:hAnsi="Times New Roman" w:cs="Times New Roman"/>
          <w:b/>
          <w:bCs/>
        </w:rPr>
      </w:r>
      <w:r w:rsidRPr="004E4561">
        <w:rPr>
          <w:rFonts w:ascii="Times New Roman" w:hAnsi="Times New Roman" w:cs="Times New Roman"/>
          <w:b/>
          <w:bCs/>
        </w:rPr>
        <w:fldChar w:fldCharType="separate"/>
      </w:r>
      <w:r w:rsidRPr="004E4561">
        <w:rPr>
          <w:rFonts w:ascii="Times New Roman" w:hAnsi="Times New Roman" w:cs="Times New Roman"/>
          <w:b/>
          <w:bCs/>
          <w:noProof/>
        </w:rPr>
        <w:t>(Khakimova</w:t>
      </w:r>
      <w:r w:rsidRPr="004E4561">
        <w:rPr>
          <w:rFonts w:ascii="Times New Roman" w:hAnsi="Times New Roman" w:cs="Times New Roman"/>
          <w:b/>
          <w:bCs/>
          <w:i/>
          <w:noProof/>
        </w:rPr>
        <w:t xml:space="preserve"> et al.</w:t>
      </w:r>
      <w:r w:rsidRPr="004E4561">
        <w:rPr>
          <w:rFonts w:ascii="Times New Roman" w:hAnsi="Times New Roman" w:cs="Times New Roman"/>
          <w:b/>
          <w:bCs/>
          <w:noProof/>
        </w:rPr>
        <w:t>, 2013; Martins</w:t>
      </w:r>
      <w:r w:rsidRPr="004E4561">
        <w:rPr>
          <w:rFonts w:ascii="Times New Roman" w:hAnsi="Times New Roman" w:cs="Times New Roman"/>
          <w:b/>
          <w:bCs/>
          <w:i/>
          <w:noProof/>
        </w:rPr>
        <w:t xml:space="preserve"> et al.</w:t>
      </w:r>
      <w:r w:rsidRPr="004E4561">
        <w:rPr>
          <w:rFonts w:ascii="Times New Roman" w:hAnsi="Times New Roman" w:cs="Times New Roman"/>
          <w:b/>
          <w:bCs/>
          <w:noProof/>
        </w:rPr>
        <w:t>, 2018)</w:t>
      </w:r>
      <w:r w:rsidRPr="004E4561">
        <w:rPr>
          <w:rFonts w:ascii="Times New Roman" w:hAnsi="Times New Roman" w:cs="Times New Roman"/>
          <w:b/>
          <w:bCs/>
        </w:rPr>
        <w:fldChar w:fldCharType="end"/>
      </w:r>
      <w:r>
        <w:rPr>
          <w:rFonts w:ascii="Times New Roman" w:hAnsi="Times New Roman" w:cs="Times New Roman"/>
        </w:rPr>
        <w:t xml:space="preserve">, which could suggest a similar mechanism of tolerance in </w:t>
      </w:r>
      <w:r>
        <w:rPr>
          <w:rFonts w:ascii="Times New Roman" w:hAnsi="Times New Roman" w:cs="Times New Roman"/>
          <w:i/>
          <w:iCs/>
        </w:rPr>
        <w:t>S. aureus</w:t>
      </w:r>
      <w:r>
        <w:rPr>
          <w:rFonts w:ascii="Times New Roman" w:hAnsi="Times New Roman" w:cs="Times New Roman"/>
        </w:rPr>
        <w:t xml:space="preserve">, which could be further studied by transcriptomic analysis of the staphylococcal </w:t>
      </w:r>
      <w:r>
        <w:rPr>
          <w:rFonts w:ascii="Times New Roman" w:hAnsi="Times New Roman" w:cs="Times New Roman"/>
          <w:i/>
          <w:iCs/>
        </w:rPr>
        <w:t>katA</w:t>
      </w:r>
      <w:r>
        <w:rPr>
          <w:rFonts w:ascii="Times New Roman" w:hAnsi="Times New Roman" w:cs="Times New Roman"/>
        </w:rPr>
        <w:t xml:space="preserve"> and </w:t>
      </w:r>
      <w:r>
        <w:rPr>
          <w:rFonts w:ascii="Times New Roman" w:hAnsi="Times New Roman" w:cs="Times New Roman"/>
          <w:i/>
          <w:iCs/>
        </w:rPr>
        <w:t xml:space="preserve">sodA </w:t>
      </w:r>
      <w:r>
        <w:rPr>
          <w:rFonts w:ascii="Times New Roman" w:hAnsi="Times New Roman" w:cs="Times New Roman"/>
        </w:rPr>
        <w:t xml:space="preserve">genes. Furthermore, </w:t>
      </w:r>
      <w:r>
        <w:rPr>
          <w:rFonts w:ascii="Times New Roman" w:hAnsi="Times New Roman" w:cs="Times New Roman"/>
          <w:i/>
          <w:iCs/>
        </w:rPr>
        <w:t xml:space="preserve">S. aureus </w:t>
      </w:r>
      <w:r>
        <w:rPr>
          <w:rFonts w:ascii="Times New Roman" w:hAnsi="Times New Roman" w:cs="Times New Roman"/>
        </w:rPr>
        <w:t xml:space="preserve">is known for </w:t>
      </w:r>
      <w:r w:rsidR="00DB6ABA">
        <w:rPr>
          <w:rFonts w:ascii="Times New Roman" w:hAnsi="Times New Roman" w:cs="Times New Roman"/>
        </w:rPr>
        <w:t xml:space="preserve">replicating </w:t>
      </w:r>
      <w:r>
        <w:rPr>
          <w:rFonts w:ascii="Times New Roman" w:hAnsi="Times New Roman" w:cs="Times New Roman"/>
        </w:rPr>
        <w:t xml:space="preserve">within the acidic conditions of the phagolysosome </w:t>
      </w:r>
      <w:r w:rsidRPr="008806E3">
        <w:rPr>
          <w:rFonts w:ascii="Times New Roman" w:hAnsi="Times New Roman" w:cs="Times New Roman"/>
          <w:b/>
          <w:bCs/>
        </w:rPr>
        <w:fldChar w:fldCharType="begin">
          <w:fldData xml:space="preserve">PEVuZE5vdGU+PENpdGU+PEF1dGhvcj5GbGFubmFnYW48L0F1dGhvcj48WWVhcj4yMDE2PC9ZZWFy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</w:fldData>
        </w:fldChar>
      </w:r>
      <w:r>
        <w:rPr>
          <w:rFonts w:ascii="Times New Roman" w:hAnsi="Times New Roman" w:cs="Times New Roman"/>
          <w:b/>
          <w:bCs/>
        </w:rPr>
        <w:instrText xml:space="preserve"> ADDIN EN.CITE </w:instrText>
      </w:r>
      <w:r>
        <w:rPr>
          <w:rFonts w:ascii="Times New Roman" w:hAnsi="Times New Roman" w:cs="Times New Roman"/>
          <w:b/>
          <w:bCs/>
        </w:rPr>
        <w:fldChar w:fldCharType="begin">
          <w:fldData xml:space="preserve">PEVuZE5vdGU+PENpdGU+PEF1dGhvcj5GbGFubmFnYW48L0F1dGhvcj48WWVhcj4yMDE2PC9ZZWFy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</w:fldData>
        </w:fldChar>
      </w:r>
      <w:r>
        <w:rPr>
          <w:rFonts w:ascii="Times New Roman" w:hAnsi="Times New Roman" w:cs="Times New Roman"/>
          <w:b/>
          <w:bCs/>
        </w:rPr>
        <w:instrText xml:space="preserve"> ADDIN EN.CITE.DATA </w:instrText>
      </w:r>
      <w:r>
        <w:rPr>
          <w:rFonts w:ascii="Times New Roman" w:hAnsi="Times New Roman" w:cs="Times New Roman"/>
          <w:b/>
          <w:bCs/>
        </w:rPr>
      </w:r>
      <w:r>
        <w:rPr>
          <w:rFonts w:ascii="Times New Roman" w:hAnsi="Times New Roman" w:cs="Times New Roman"/>
          <w:b/>
          <w:bCs/>
        </w:rPr>
        <w:fldChar w:fldCharType="end"/>
      </w:r>
      <w:r w:rsidRPr="008806E3">
        <w:rPr>
          <w:rFonts w:ascii="Times New Roman" w:hAnsi="Times New Roman" w:cs="Times New Roman"/>
          <w:b/>
          <w:bCs/>
        </w:rPr>
      </w:r>
      <w:r w:rsidRPr="008806E3">
        <w:rPr>
          <w:rFonts w:ascii="Times New Roman" w:hAnsi="Times New Roman" w:cs="Times New Roman"/>
          <w:b/>
          <w:bCs/>
        </w:rPr>
        <w:fldChar w:fldCharType="separate"/>
      </w:r>
      <w:r>
        <w:rPr>
          <w:rFonts w:ascii="Times New Roman" w:hAnsi="Times New Roman" w:cs="Times New Roman"/>
          <w:b/>
          <w:bCs/>
          <w:noProof/>
        </w:rPr>
        <w:t>(Flannagan, Heit and Heinrichs, 2016; Flannagan</w:t>
      </w:r>
      <w:r w:rsidRPr="00F95468">
        <w:rPr>
          <w:rFonts w:ascii="Times New Roman" w:hAnsi="Times New Roman" w:cs="Times New Roman"/>
          <w:b/>
          <w:bCs/>
          <w:i/>
          <w:noProof/>
        </w:rPr>
        <w:t xml:space="preserve"> et al.</w:t>
      </w:r>
      <w:r>
        <w:rPr>
          <w:rFonts w:ascii="Times New Roman" w:hAnsi="Times New Roman" w:cs="Times New Roman"/>
          <w:b/>
          <w:bCs/>
          <w:noProof/>
        </w:rPr>
        <w:t>, 2018)</w:t>
      </w:r>
      <w:r w:rsidRPr="008806E3">
        <w:rPr>
          <w:rFonts w:ascii="Times New Roman" w:hAnsi="Times New Roman" w:cs="Times New Roman"/>
          <w:b/>
          <w:bCs/>
        </w:rPr>
        <w:fldChar w:fldCharType="end"/>
      </w:r>
      <w:r>
        <w:rPr>
          <w:rFonts w:ascii="Times New Roman" w:hAnsi="Times New Roman" w:cs="Times New Roman"/>
        </w:rPr>
        <w:t xml:space="preserve">, which may explain why responding to acid stress may not be as integral as responding to oxidative stress, further clarifying the necessity of Rel during infection. However, as there was no difference in killing of embryos infected with LAC* WT and </w:t>
      </w:r>
      <w:r w:rsidRPr="00C718B7">
        <w:rPr>
          <w:rFonts w:ascii="Times New Roman" w:hAnsi="Times New Roman" w:cs="Times New Roman"/>
        </w:rPr>
        <w:t xml:space="preserve">LAC* </w:t>
      </w:r>
      <w:r w:rsidRPr="00C718B7">
        <w:rPr>
          <w:rFonts w:ascii="Times New Roman" w:hAnsi="Times New Roman" w:cs="Times New Roman"/>
          <w:i/>
          <w:iCs/>
        </w:rPr>
        <w:t>rel</w:t>
      </w:r>
      <w:r w:rsidRPr="00C718B7">
        <w:rPr>
          <w:rFonts w:ascii="Times New Roman" w:hAnsi="Times New Roman" w:cs="Times New Roman"/>
          <w:i/>
          <w:iCs/>
          <w:vertAlign w:val="subscript"/>
        </w:rPr>
        <w:t>syn</w:t>
      </w:r>
      <w:r>
        <w:rPr>
          <w:rFonts w:ascii="Times New Roman" w:hAnsi="Times New Roman" w:cs="Times New Roman"/>
        </w:rPr>
        <w:t xml:space="preserve">, the role of RelP and RelQ in the absence of Rel must be further investigated.  As mentioned, the role of RelQ alone was not examined and so complementing RelQ both </w:t>
      </w:r>
      <w:r>
        <w:rPr>
          <w:rFonts w:ascii="Times New Roman" w:hAnsi="Times New Roman" w:cs="Times New Roman"/>
          <w:i/>
          <w:iCs/>
        </w:rPr>
        <w:t>in vitro</w:t>
      </w:r>
      <w:r>
        <w:rPr>
          <w:rFonts w:ascii="Times New Roman" w:hAnsi="Times New Roman" w:cs="Times New Roman"/>
        </w:rPr>
        <w:t xml:space="preserve"> and </w:t>
      </w:r>
      <w:r>
        <w:rPr>
          <w:rFonts w:ascii="Times New Roman" w:hAnsi="Times New Roman" w:cs="Times New Roman"/>
          <w:i/>
          <w:iCs/>
        </w:rPr>
        <w:t>in vivo</w:t>
      </w:r>
      <w:r>
        <w:rPr>
          <w:rFonts w:ascii="Times New Roman" w:hAnsi="Times New Roman" w:cs="Times New Roman"/>
        </w:rPr>
        <w:t xml:space="preserve"> may shed light on its contribution to survival and virulence. It is also important to note that Rel and RelP were complemented on a tetracycline-inducible plasmid and therefore, it is unknown if the expression of these synthetases was similar to native expression. </w:t>
      </w:r>
    </w:p>
    <w:p w14:paraId="5FEBE63C" w14:textId="5808E613" w:rsidR="00187693" w:rsidRPr="00AB62F2" w:rsidRDefault="00187693" w:rsidP="00187693">
      <w:pPr>
        <w:shd w:val="clear" w:color="auto" w:fill="FFFFFF"/>
        <w:spacing w:line="360" w:lineRule="auto"/>
        <w:jc w:val="both"/>
        <w:rPr>
          <w:rFonts w:ascii="Times New Roman" w:hAnsi="Times New Roman" w:cs="Times New Roman"/>
        </w:rPr>
      </w:pPr>
      <w:r>
        <w:rPr>
          <w:rFonts w:ascii="Times New Roman" w:hAnsi="Times New Roman" w:cs="Times New Roman"/>
        </w:rPr>
        <w:tab/>
      </w:r>
      <w:r w:rsidRPr="003E4EEC">
        <w:rPr>
          <w:rFonts w:ascii="Times New Roman" w:hAnsi="Times New Roman" w:cs="Times New Roman"/>
        </w:rPr>
        <w:t>In chapter four, it was revealed that both the JE2</w:t>
      </w:r>
      <w:r w:rsidR="008D73F7">
        <w:rPr>
          <w:rFonts w:ascii="Times New Roman" w:hAnsi="Times New Roman" w:cs="Times New Roman"/>
        </w:rPr>
        <w:t xml:space="preserve"> </w:t>
      </w:r>
      <w:r w:rsidR="001108C9" w:rsidRPr="000B3602">
        <w:rPr>
          <w:rFonts w:ascii="Times New Roman" w:hAnsi="Times New Roman" w:cs="Times New Roman"/>
          <w:i/>
          <w:iCs/>
        </w:rPr>
        <w:t>codY</w:t>
      </w:r>
      <w:r w:rsidR="001108C9" w:rsidRPr="000B3602">
        <w:rPr>
          <w:rFonts w:ascii="Times New Roman" w:hAnsi="Times New Roman" w:cs="Times New Roman"/>
        </w:rPr>
        <w:t>::Tn</w:t>
      </w:r>
      <w:r w:rsidRPr="003E4EEC">
        <w:rPr>
          <w:rFonts w:ascii="Times New Roman" w:hAnsi="Times New Roman" w:cs="Times New Roman"/>
          <w:i/>
          <w:iCs/>
        </w:rPr>
        <w:t xml:space="preserve"> </w:t>
      </w:r>
      <w:r w:rsidRPr="003E4EEC">
        <w:rPr>
          <w:rFonts w:ascii="Times New Roman" w:hAnsi="Times New Roman" w:cs="Times New Roman"/>
        </w:rPr>
        <w:t>and (p)ppGpp</w:t>
      </w:r>
      <w:r w:rsidRPr="003E4EEC">
        <w:rPr>
          <w:rFonts w:ascii="Times New Roman" w:hAnsi="Times New Roman" w:cs="Times New Roman"/>
          <w:vertAlign w:val="superscript"/>
        </w:rPr>
        <w:t>0</w:t>
      </w:r>
      <w:r w:rsidRPr="003E4EEC">
        <w:rPr>
          <w:rFonts w:ascii="Times New Roman" w:hAnsi="Times New Roman" w:cs="Times New Roman"/>
        </w:rPr>
        <w:t xml:space="preserve"> </w:t>
      </w:r>
      <w:r w:rsidR="001108C9" w:rsidRPr="000B3602">
        <w:rPr>
          <w:rFonts w:ascii="Times New Roman" w:hAnsi="Times New Roman" w:cs="Times New Roman"/>
          <w:i/>
          <w:iCs/>
        </w:rPr>
        <w:t>codY</w:t>
      </w:r>
      <w:r w:rsidR="001108C9" w:rsidRPr="000B3602">
        <w:rPr>
          <w:rFonts w:ascii="Times New Roman" w:hAnsi="Times New Roman" w:cs="Times New Roman"/>
        </w:rPr>
        <w:t>::Tn</w:t>
      </w:r>
      <w:r w:rsidR="001108C9" w:rsidRPr="003E4EEC" w:rsidDel="001108C9">
        <w:rPr>
          <w:rFonts w:ascii="Times New Roman" w:hAnsi="Times New Roman" w:cs="Times New Roman"/>
        </w:rPr>
        <w:t xml:space="preserve"> </w:t>
      </w:r>
      <w:r w:rsidRPr="003E4EEC">
        <w:rPr>
          <w:rFonts w:ascii="Times New Roman" w:hAnsi="Times New Roman" w:cs="Times New Roman"/>
        </w:rPr>
        <w:t xml:space="preserve">mutants were </w:t>
      </w:r>
      <w:r>
        <w:rPr>
          <w:rFonts w:ascii="Times New Roman" w:hAnsi="Times New Roman" w:cs="Times New Roman"/>
        </w:rPr>
        <w:t xml:space="preserve">better </w:t>
      </w:r>
      <w:r w:rsidRPr="003E4EEC">
        <w:rPr>
          <w:rFonts w:ascii="Times New Roman" w:hAnsi="Times New Roman" w:cs="Times New Roman"/>
        </w:rPr>
        <w:t>able to withstand exposure to itaconic acid and H</w:t>
      </w:r>
      <w:r w:rsidRPr="003E4EEC">
        <w:rPr>
          <w:rFonts w:ascii="Times New Roman" w:hAnsi="Times New Roman" w:cs="Times New Roman"/>
          <w:vertAlign w:val="subscript"/>
        </w:rPr>
        <w:t>2</w:t>
      </w:r>
      <w:r w:rsidRPr="003E4EEC">
        <w:rPr>
          <w:rFonts w:ascii="Times New Roman" w:hAnsi="Times New Roman" w:cs="Times New Roman"/>
        </w:rPr>
        <w:t>O</w:t>
      </w:r>
      <w:r w:rsidRPr="003E4EEC">
        <w:rPr>
          <w:rFonts w:ascii="Times New Roman" w:hAnsi="Times New Roman" w:cs="Times New Roman"/>
          <w:vertAlign w:val="subscript"/>
        </w:rPr>
        <w:t>2</w:t>
      </w:r>
      <w:r w:rsidRPr="003E4EEC">
        <w:rPr>
          <w:rFonts w:ascii="Times New Roman" w:hAnsi="Times New Roman" w:cs="Times New Roman"/>
        </w:rPr>
        <w:t xml:space="preserve"> and displayed enhanced survival </w:t>
      </w:r>
      <w:r w:rsidRPr="003E4EEC">
        <w:rPr>
          <w:rFonts w:ascii="Times New Roman" w:hAnsi="Times New Roman" w:cs="Times New Roman"/>
          <w:i/>
          <w:iCs/>
        </w:rPr>
        <w:t>in vitro</w:t>
      </w:r>
      <w:r w:rsidRPr="003E4EEC">
        <w:rPr>
          <w:rFonts w:ascii="Times New Roman" w:hAnsi="Times New Roman" w:cs="Times New Roman"/>
        </w:rPr>
        <w:t xml:space="preserve"> in comparison to WT and the (p)ppGpp</w:t>
      </w:r>
      <w:r w:rsidRPr="003E4EEC">
        <w:rPr>
          <w:rFonts w:ascii="Times New Roman" w:hAnsi="Times New Roman" w:cs="Times New Roman"/>
          <w:vertAlign w:val="superscript"/>
        </w:rPr>
        <w:t>0</w:t>
      </w:r>
      <w:r w:rsidRPr="003E4EEC">
        <w:rPr>
          <w:rFonts w:ascii="Times New Roman" w:hAnsi="Times New Roman" w:cs="Times New Roman"/>
        </w:rPr>
        <w:t xml:space="preserve"> mutant</w:t>
      </w:r>
      <w:r>
        <w:rPr>
          <w:rFonts w:ascii="Times New Roman" w:hAnsi="Times New Roman" w:cs="Times New Roman"/>
        </w:rPr>
        <w:t xml:space="preserve"> </w:t>
      </w:r>
      <w:r>
        <w:rPr>
          <w:rFonts w:ascii="Times New Roman" w:hAnsi="Times New Roman" w:cs="Times New Roman"/>
          <w:b/>
          <w:bCs/>
        </w:rPr>
        <w:t>(Fig. 4.2.10)</w:t>
      </w:r>
      <w:r w:rsidRPr="003E4EEC">
        <w:rPr>
          <w:rFonts w:ascii="Times New Roman" w:hAnsi="Times New Roman" w:cs="Times New Roman"/>
        </w:rPr>
        <w:t>.</w:t>
      </w:r>
      <w:r w:rsidRPr="005D6CAF">
        <w:rPr>
          <w:rFonts w:ascii="Times New Roman" w:hAnsi="Times New Roman" w:cs="Times New Roman"/>
        </w:rPr>
        <w:t xml:space="preserve"> </w:t>
      </w:r>
      <w:r>
        <w:rPr>
          <w:rFonts w:ascii="Times New Roman" w:hAnsi="Times New Roman" w:cs="Times New Roman"/>
        </w:rPr>
        <w:t>Interestingly, t</w:t>
      </w:r>
      <w:r w:rsidRPr="003E4EEC">
        <w:rPr>
          <w:rFonts w:ascii="Times New Roman" w:hAnsi="Times New Roman" w:cs="Times New Roman"/>
        </w:rPr>
        <w:t>h</w:t>
      </w:r>
      <w:r>
        <w:rPr>
          <w:rFonts w:ascii="Times New Roman" w:hAnsi="Times New Roman" w:cs="Times New Roman"/>
        </w:rPr>
        <w:t xml:space="preserve">is was not the case </w:t>
      </w:r>
      <w:r>
        <w:rPr>
          <w:rFonts w:ascii="Times New Roman" w:hAnsi="Times New Roman" w:cs="Times New Roman"/>
          <w:i/>
          <w:iCs/>
        </w:rPr>
        <w:t>in vivo</w:t>
      </w:r>
      <w:r>
        <w:rPr>
          <w:rFonts w:ascii="Times New Roman" w:hAnsi="Times New Roman" w:cs="Times New Roman"/>
        </w:rPr>
        <w:t xml:space="preserve"> where neither </w:t>
      </w:r>
      <w:r w:rsidRPr="003E4EEC">
        <w:rPr>
          <w:rFonts w:ascii="Times New Roman" w:hAnsi="Times New Roman" w:cs="Times New Roman"/>
        </w:rPr>
        <w:t xml:space="preserve">JE2 </w:t>
      </w:r>
      <w:r w:rsidR="001108C9" w:rsidRPr="000B3602">
        <w:rPr>
          <w:rFonts w:ascii="Times New Roman" w:hAnsi="Times New Roman" w:cs="Times New Roman"/>
          <w:i/>
          <w:iCs/>
        </w:rPr>
        <w:t>codY</w:t>
      </w:r>
      <w:r w:rsidR="001108C9" w:rsidRPr="000B3602">
        <w:rPr>
          <w:rFonts w:ascii="Times New Roman" w:hAnsi="Times New Roman" w:cs="Times New Roman"/>
        </w:rPr>
        <w:t>::Tn</w:t>
      </w:r>
      <w:r w:rsidR="000D765B">
        <w:rPr>
          <w:rFonts w:ascii="Times New Roman" w:hAnsi="Times New Roman" w:cs="Times New Roman"/>
        </w:rPr>
        <w:t xml:space="preserve"> </w:t>
      </w:r>
      <w:r>
        <w:rPr>
          <w:rFonts w:ascii="Times New Roman" w:hAnsi="Times New Roman" w:cs="Times New Roman"/>
        </w:rPr>
        <w:t>or the</w:t>
      </w:r>
      <w:r w:rsidRPr="003E4EEC">
        <w:rPr>
          <w:rFonts w:ascii="Times New Roman" w:hAnsi="Times New Roman" w:cs="Times New Roman"/>
        </w:rPr>
        <w:t xml:space="preserve"> (p)ppGpp</w:t>
      </w:r>
      <w:r w:rsidRPr="003E4EEC">
        <w:rPr>
          <w:rFonts w:ascii="Times New Roman" w:hAnsi="Times New Roman" w:cs="Times New Roman"/>
          <w:vertAlign w:val="superscript"/>
        </w:rPr>
        <w:t>0</w:t>
      </w:r>
      <w:r w:rsidRPr="003E4EEC">
        <w:rPr>
          <w:rFonts w:ascii="Times New Roman" w:hAnsi="Times New Roman" w:cs="Times New Roman"/>
        </w:rPr>
        <w:t xml:space="preserve"> </w:t>
      </w:r>
      <w:r w:rsidR="001108C9" w:rsidRPr="000B3602">
        <w:rPr>
          <w:rFonts w:ascii="Times New Roman" w:hAnsi="Times New Roman" w:cs="Times New Roman"/>
          <w:i/>
          <w:iCs/>
        </w:rPr>
        <w:t>codY</w:t>
      </w:r>
      <w:r w:rsidR="001108C9" w:rsidRPr="000B3602">
        <w:rPr>
          <w:rFonts w:ascii="Times New Roman" w:hAnsi="Times New Roman" w:cs="Times New Roman"/>
        </w:rPr>
        <w:t>::Tn</w:t>
      </w:r>
      <w:r w:rsidRPr="003E4EEC">
        <w:rPr>
          <w:rFonts w:ascii="Times New Roman" w:hAnsi="Times New Roman" w:cs="Times New Roman"/>
          <w:i/>
          <w:iCs/>
        </w:rPr>
        <w:t xml:space="preserve"> </w:t>
      </w:r>
      <w:r w:rsidRPr="003E4EEC">
        <w:rPr>
          <w:rFonts w:ascii="Times New Roman" w:hAnsi="Times New Roman" w:cs="Times New Roman"/>
        </w:rPr>
        <w:t>mutan</w:t>
      </w:r>
      <w:r>
        <w:rPr>
          <w:rFonts w:ascii="Times New Roman" w:hAnsi="Times New Roman" w:cs="Times New Roman"/>
        </w:rPr>
        <w:t xml:space="preserve">t displayed hypervirulence in comparison to their controls </w:t>
      </w:r>
      <w:r>
        <w:rPr>
          <w:rFonts w:ascii="Times New Roman" w:hAnsi="Times New Roman" w:cs="Times New Roman"/>
          <w:b/>
          <w:bCs/>
        </w:rPr>
        <w:t>(Fig. 5.9.1)</w:t>
      </w:r>
      <w:r>
        <w:rPr>
          <w:rFonts w:ascii="Times New Roman" w:hAnsi="Times New Roman" w:cs="Times New Roman"/>
        </w:rPr>
        <w:t>.</w:t>
      </w:r>
      <w:r w:rsidRPr="00AB62F2">
        <w:rPr>
          <w:rFonts w:ascii="Times New Roman" w:hAnsi="Times New Roman" w:cs="Times New Roman"/>
          <w:color w:val="FF0000"/>
        </w:rPr>
        <w:t xml:space="preserve"> </w:t>
      </w:r>
      <w:r w:rsidRPr="00AB62F2">
        <w:rPr>
          <w:rFonts w:ascii="Times New Roman" w:hAnsi="Times New Roman" w:cs="Times New Roman"/>
        </w:rPr>
        <w:t xml:space="preserve">It is noteworthy that virulence is not </w:t>
      </w:r>
      <w:r w:rsidR="00DB6ABA">
        <w:rPr>
          <w:rFonts w:ascii="Times New Roman" w:hAnsi="Times New Roman" w:cs="Times New Roman"/>
        </w:rPr>
        <w:t>increased</w:t>
      </w:r>
      <w:r w:rsidR="00DB6ABA" w:rsidRPr="00AB62F2">
        <w:rPr>
          <w:rFonts w:ascii="Times New Roman" w:hAnsi="Times New Roman" w:cs="Times New Roman"/>
        </w:rPr>
        <w:t xml:space="preserve"> </w:t>
      </w:r>
      <w:r w:rsidRPr="00AB62F2">
        <w:rPr>
          <w:rFonts w:ascii="Times New Roman" w:hAnsi="Times New Roman" w:cs="Times New Roman"/>
        </w:rPr>
        <w:t>in the absence of CodY given that this transcription factor negatively regulates many virulence-associated genes</w:t>
      </w:r>
      <w:r>
        <w:rPr>
          <w:rFonts w:ascii="Times New Roman" w:hAnsi="Times New Roman" w:cs="Times New Roman"/>
        </w:rPr>
        <w:t xml:space="preserve"> for example, those involved in </w:t>
      </w:r>
      <w:r w:rsidRPr="002541E9">
        <w:rPr>
          <w:rFonts w:ascii="Times New Roman" w:hAnsi="Times New Roman" w:cs="Times New Roman"/>
        </w:rPr>
        <w:t>flagellar production</w:t>
      </w:r>
      <w:r>
        <w:rPr>
          <w:rFonts w:ascii="Times New Roman" w:hAnsi="Times New Roman" w:cs="Times New Roman"/>
        </w:rPr>
        <w:t xml:space="preserve"> and</w:t>
      </w:r>
      <w:r w:rsidRPr="002541E9">
        <w:rPr>
          <w:rFonts w:ascii="Times New Roman" w:hAnsi="Times New Roman" w:cs="Times New Roman"/>
        </w:rPr>
        <w:t xml:space="preserve"> sporulation</w:t>
      </w:r>
      <w:r>
        <w:rPr>
          <w:rFonts w:ascii="Times New Roman" w:hAnsi="Times New Roman" w:cs="Times New Roman"/>
        </w:rPr>
        <w:t xml:space="preserve"> and</w:t>
      </w:r>
      <w:r w:rsidRPr="002541E9">
        <w:rPr>
          <w:rFonts w:ascii="Times New Roman" w:hAnsi="Times New Roman" w:cs="Times New Roman"/>
        </w:rPr>
        <w:t xml:space="preserve"> </w:t>
      </w:r>
      <w:r>
        <w:rPr>
          <w:rFonts w:ascii="Times New Roman" w:hAnsi="Times New Roman" w:cs="Times New Roman"/>
        </w:rPr>
        <w:t xml:space="preserve">also the virulence regulator </w:t>
      </w:r>
      <w:r>
        <w:rPr>
          <w:rFonts w:ascii="Times New Roman" w:hAnsi="Times New Roman" w:cs="Times New Roman"/>
          <w:i/>
          <w:iCs/>
        </w:rPr>
        <w:t>agr</w:t>
      </w:r>
      <w:r>
        <w:rPr>
          <w:rFonts w:ascii="Times New Roman" w:hAnsi="Times New Roman" w:cs="Times New Roman"/>
        </w:rPr>
        <w:t xml:space="preserve"> </w:t>
      </w:r>
      <w:r w:rsidRPr="001245C7">
        <w:rPr>
          <w:rFonts w:ascii="Times New Roman" w:hAnsi="Times New Roman" w:cs="Times New Roman"/>
          <w:b/>
          <w:bCs/>
        </w:rPr>
        <w:fldChar w:fldCharType="begin">
          <w:fldData xml:space="preserve">PEVuZE5vdGU+PENpdGU+PEF1dGhvcj5Tb25lbnNoZWluPC9BdXRob3I+PFllYXI+MjAwNTwvWWVh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</w:fldData>
        </w:fldChar>
      </w:r>
      <w:r w:rsidRPr="001245C7">
        <w:rPr>
          <w:rFonts w:ascii="Times New Roman" w:hAnsi="Times New Roman" w:cs="Times New Roman"/>
          <w:b/>
          <w:bCs/>
        </w:rPr>
        <w:instrText xml:space="preserve"> ADDIN EN.CITE </w:instrText>
      </w:r>
      <w:r w:rsidRPr="001245C7">
        <w:rPr>
          <w:rFonts w:ascii="Times New Roman" w:hAnsi="Times New Roman" w:cs="Times New Roman"/>
          <w:b/>
          <w:bCs/>
        </w:rPr>
        <w:fldChar w:fldCharType="begin">
          <w:fldData xml:space="preserve">PEVuZE5vdGU+PENpdGU+PEF1dGhvcj5Tb25lbnNoZWluPC9BdXRob3I+PFllYXI+MjAwNTwvWWVh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</w:fldData>
        </w:fldChar>
      </w:r>
      <w:r w:rsidRPr="001245C7">
        <w:rPr>
          <w:rFonts w:ascii="Times New Roman" w:hAnsi="Times New Roman" w:cs="Times New Roman"/>
          <w:b/>
          <w:bCs/>
        </w:rPr>
        <w:instrText xml:space="preserve"> ADDIN EN.CITE.DATA </w:instrText>
      </w:r>
      <w:r w:rsidRPr="001245C7">
        <w:rPr>
          <w:rFonts w:ascii="Times New Roman" w:hAnsi="Times New Roman" w:cs="Times New Roman"/>
          <w:b/>
          <w:bCs/>
        </w:rPr>
      </w:r>
      <w:r w:rsidRPr="001245C7">
        <w:rPr>
          <w:rFonts w:ascii="Times New Roman" w:hAnsi="Times New Roman" w:cs="Times New Roman"/>
          <w:b/>
          <w:bCs/>
        </w:rPr>
        <w:fldChar w:fldCharType="end"/>
      </w:r>
      <w:r w:rsidRPr="001245C7">
        <w:rPr>
          <w:rFonts w:ascii="Times New Roman" w:hAnsi="Times New Roman" w:cs="Times New Roman"/>
          <w:b/>
          <w:bCs/>
        </w:rPr>
      </w:r>
      <w:r w:rsidRPr="001245C7">
        <w:rPr>
          <w:rFonts w:ascii="Times New Roman" w:hAnsi="Times New Roman" w:cs="Times New Roman"/>
          <w:b/>
          <w:bCs/>
        </w:rPr>
        <w:fldChar w:fldCharType="separate"/>
      </w:r>
      <w:r w:rsidRPr="001245C7">
        <w:rPr>
          <w:rFonts w:ascii="Times New Roman" w:hAnsi="Times New Roman" w:cs="Times New Roman"/>
          <w:b/>
          <w:bCs/>
          <w:noProof/>
        </w:rPr>
        <w:t>(Sonenshein, 2005; Majerczyk</w:t>
      </w:r>
      <w:r w:rsidRPr="001245C7">
        <w:rPr>
          <w:rFonts w:ascii="Times New Roman" w:hAnsi="Times New Roman" w:cs="Times New Roman"/>
          <w:b/>
          <w:bCs/>
          <w:i/>
          <w:noProof/>
        </w:rPr>
        <w:t xml:space="preserve"> et al.</w:t>
      </w:r>
      <w:r w:rsidRPr="001245C7">
        <w:rPr>
          <w:rFonts w:ascii="Times New Roman" w:hAnsi="Times New Roman" w:cs="Times New Roman"/>
          <w:b/>
          <w:bCs/>
          <w:noProof/>
        </w:rPr>
        <w:t>, 2008)</w:t>
      </w:r>
      <w:r w:rsidRPr="001245C7">
        <w:rPr>
          <w:rFonts w:ascii="Times New Roman" w:hAnsi="Times New Roman" w:cs="Times New Roman"/>
          <w:b/>
          <w:bCs/>
        </w:rPr>
        <w:fldChar w:fldCharType="end"/>
      </w:r>
      <w:r w:rsidRPr="00AB62F2">
        <w:rPr>
          <w:rFonts w:ascii="Times New Roman" w:hAnsi="Times New Roman" w:cs="Times New Roman"/>
        </w:rPr>
        <w:t>. However, ∆</w:t>
      </w:r>
      <w:r w:rsidRPr="00AB62F2">
        <w:rPr>
          <w:rFonts w:ascii="Times New Roman" w:hAnsi="Times New Roman" w:cs="Times New Roman"/>
          <w:i/>
          <w:iCs/>
        </w:rPr>
        <w:t xml:space="preserve">codY </w:t>
      </w:r>
      <w:r w:rsidRPr="00AB62F2">
        <w:rPr>
          <w:rFonts w:ascii="Times New Roman" w:hAnsi="Times New Roman" w:cs="Times New Roman"/>
        </w:rPr>
        <w:t xml:space="preserve">mutants in other Gram-positive bacteria have not displayed hypervirulence either. For example, in </w:t>
      </w:r>
      <w:r w:rsidRPr="00AB62F2">
        <w:rPr>
          <w:rFonts w:ascii="Times New Roman" w:hAnsi="Times New Roman" w:cs="Times New Roman"/>
          <w:i/>
          <w:iCs/>
        </w:rPr>
        <w:t xml:space="preserve">E. faecalis </w:t>
      </w:r>
      <w:r w:rsidRPr="00AB62F2">
        <w:rPr>
          <w:rFonts w:ascii="Times New Roman" w:hAnsi="Times New Roman" w:cs="Times New Roman"/>
        </w:rPr>
        <w:t xml:space="preserve">the absence of CodY resulted in a decreased ability to colonise bladders in a murine CAUTI model, but when a </w:t>
      </w:r>
      <w:r w:rsidRPr="00AB62F2">
        <w:rPr>
          <w:rFonts w:ascii="Times New Roman" w:hAnsi="Times New Roman" w:cs="Times New Roman"/>
          <w:i/>
          <w:iCs/>
        </w:rPr>
        <w:t xml:space="preserve">codY </w:t>
      </w:r>
      <w:r w:rsidRPr="00AB62F2">
        <w:rPr>
          <w:rFonts w:ascii="Times New Roman" w:hAnsi="Times New Roman" w:cs="Times New Roman"/>
        </w:rPr>
        <w:t>deletion was introduced to a (p)ppGpp</w:t>
      </w:r>
      <w:r w:rsidRPr="00AB62F2">
        <w:rPr>
          <w:rFonts w:ascii="Times New Roman" w:hAnsi="Times New Roman" w:cs="Times New Roman"/>
          <w:vertAlign w:val="superscript"/>
        </w:rPr>
        <w:t>0</w:t>
      </w:r>
      <w:r w:rsidRPr="00AB62F2">
        <w:rPr>
          <w:rFonts w:ascii="Times New Roman" w:hAnsi="Times New Roman" w:cs="Times New Roman"/>
        </w:rPr>
        <w:t xml:space="preserve"> mutant, virulence was restored </w:t>
      </w:r>
      <w:r w:rsidRPr="00AB62F2">
        <w:rPr>
          <w:rFonts w:ascii="Times New Roman" w:hAnsi="Times New Roman" w:cs="Times New Roman"/>
          <w:b/>
          <w:bCs/>
        </w:rPr>
        <w:fldChar w:fldCharType="begin"/>
      </w:r>
      <w:r w:rsidRPr="00AB62F2">
        <w:rPr>
          <w:rFonts w:ascii="Times New Roman" w:hAnsi="Times New Roman" w:cs="Times New Roman"/>
          <w:b/>
          <w:bCs/>
        </w:rPr>
        <w:instrText xml:space="preserve"> ADDIN EN.CITE &lt;EndNote&gt;&lt;Cite&gt;&lt;Author&gt;Colomer-Winter&lt;/Author&gt;&lt;Year&gt;2019&lt;/Year&gt;&lt;IDText&gt;(p)ppGpp and CodY Promote Enterococcus faecalis Virulence in a Murine Model of Catheter-Associated Urinary Tract Infection&lt;/IDText&gt;&lt;DisplayText&gt;(Colomer-Winter&lt;style face="italic"&gt; et al.&lt;/style&gt;, 2019)&lt;/DisplayText&gt;&lt;record&gt;&lt;dates&gt;&lt;pub-dates&gt;&lt;date&gt;Jul-Aug&lt;/date&gt;&lt;/pub-dates&gt;&lt;year&gt;2019&lt;/year&gt;&lt;/dates&gt;&lt;urls&gt;&lt;related-urls&gt;&lt;url&gt;&amp;lt;Go to ISI&amp;gt;://WOS:000483320200013&lt;/url&gt;&lt;/related-urls&gt;&lt;/urls&gt;&lt;titles&gt;&lt;title&gt;(p)ppGpp and CodY Promote Enterococcus faecalis Virulence in a Murine Model of Catheter-Associated Urinary Tract Infection&lt;/title&gt;&lt;secondary-title&gt;Msphere&lt;/secondary-title&gt;&lt;/titles&gt;&lt;number&gt;4&lt;/number&gt;&lt;contributors&gt;&lt;authors&gt;&lt;author&gt;Colomer-Winter, C.&lt;/author&gt;&lt;author&gt;Flores-Mireles, A. L.&lt;/author&gt;&lt;author&gt;Kundra, S.&lt;/author&gt;&lt;author&gt;Hultgren, S. J.&lt;/author&gt;&lt;author&gt;Lemos, J. A.&lt;/author&gt;&lt;/authors&gt;&lt;/contributors&gt;&lt;custom7&gt;e00392-19&lt;/custom7&gt;&lt;added-date format="utc"&gt;1675037733&lt;/added-date&gt;&lt;ref-type name="Journal Article"&gt;17&lt;/ref-type&gt;&lt;rec-number&gt;291&lt;/rec-number&gt;&lt;last-updated-date format="utc"&gt;1675037733&lt;/last-updated-date&gt;&lt;accession-num&gt;WOS:000483320200013&lt;/accession-num&gt;&lt;electronic-resource-num&gt;10.1128/mSphere.00392-19&lt;/electronic-resource-num&gt;&lt;volume&gt;4&lt;/volume&gt;&lt;/record&gt;&lt;/Cite&gt;&lt;/EndNote&gt;</w:instrText>
      </w:r>
      <w:r w:rsidRPr="00AB62F2">
        <w:rPr>
          <w:rFonts w:ascii="Times New Roman" w:hAnsi="Times New Roman" w:cs="Times New Roman"/>
          <w:b/>
          <w:bCs/>
        </w:rPr>
        <w:fldChar w:fldCharType="separate"/>
      </w:r>
      <w:r w:rsidRPr="00AB62F2">
        <w:rPr>
          <w:rFonts w:ascii="Times New Roman" w:hAnsi="Times New Roman" w:cs="Times New Roman"/>
          <w:b/>
          <w:bCs/>
          <w:noProof/>
        </w:rPr>
        <w:t>(Colomer-Winter</w:t>
      </w:r>
      <w:r w:rsidRPr="00AB62F2">
        <w:rPr>
          <w:rFonts w:ascii="Times New Roman" w:hAnsi="Times New Roman" w:cs="Times New Roman"/>
          <w:b/>
          <w:bCs/>
          <w:i/>
          <w:noProof/>
        </w:rPr>
        <w:t xml:space="preserve"> et al.</w:t>
      </w:r>
      <w:r w:rsidRPr="00AB62F2">
        <w:rPr>
          <w:rFonts w:ascii="Times New Roman" w:hAnsi="Times New Roman" w:cs="Times New Roman"/>
          <w:b/>
          <w:bCs/>
          <w:noProof/>
        </w:rPr>
        <w:t>, 2019)</w:t>
      </w:r>
      <w:r w:rsidRPr="00AB62F2">
        <w:rPr>
          <w:rFonts w:ascii="Times New Roman" w:hAnsi="Times New Roman" w:cs="Times New Roman"/>
          <w:b/>
          <w:bCs/>
        </w:rPr>
        <w:fldChar w:fldCharType="end"/>
      </w:r>
      <w:r w:rsidRPr="00AB62F2">
        <w:rPr>
          <w:rFonts w:ascii="Times New Roman" w:hAnsi="Times New Roman" w:cs="Times New Roman"/>
        </w:rPr>
        <w:t>, which was not the case in the current study.</w:t>
      </w:r>
      <w:r>
        <w:rPr>
          <w:rFonts w:ascii="Times New Roman" w:hAnsi="Times New Roman" w:cs="Times New Roman"/>
        </w:rPr>
        <w:t xml:space="preserve"> </w:t>
      </w:r>
      <w:r w:rsidRPr="00AB62F2">
        <w:rPr>
          <w:rFonts w:ascii="Times New Roman" w:hAnsi="Times New Roman" w:cs="Times New Roman"/>
        </w:rPr>
        <w:t xml:space="preserve">In a murine neonatal subcutaneous and an adult intravenous infection model, a </w:t>
      </w:r>
      <w:r w:rsidRPr="00AB62F2">
        <w:rPr>
          <w:rFonts w:ascii="Times New Roman" w:hAnsi="Times New Roman" w:cs="Times New Roman"/>
          <w:i/>
          <w:iCs/>
        </w:rPr>
        <w:t>Streptococcus agalactiae</w:t>
      </w:r>
      <w:r w:rsidRPr="00AB62F2">
        <w:rPr>
          <w:rFonts w:ascii="Times New Roman" w:hAnsi="Times New Roman" w:cs="Times New Roman"/>
        </w:rPr>
        <w:t xml:space="preserve"> ∆</w:t>
      </w:r>
      <w:r w:rsidRPr="00AB62F2">
        <w:rPr>
          <w:rFonts w:ascii="Times New Roman" w:hAnsi="Times New Roman" w:cs="Times New Roman"/>
          <w:i/>
          <w:iCs/>
        </w:rPr>
        <w:t>codY</w:t>
      </w:r>
      <w:r w:rsidRPr="00AB62F2">
        <w:rPr>
          <w:rFonts w:ascii="Times New Roman" w:hAnsi="Times New Roman" w:cs="Times New Roman"/>
        </w:rPr>
        <w:t xml:space="preserve"> mutant was attenuated in comparison to WT and was therefore less able to kill mice </w:t>
      </w:r>
      <w:r w:rsidRPr="00AB62F2">
        <w:rPr>
          <w:rFonts w:ascii="Times New Roman" w:hAnsi="Times New Roman" w:cs="Times New Roman"/>
          <w:b/>
          <w:bCs/>
        </w:rPr>
        <w:fldChar w:fldCharType="begin"/>
      </w:r>
      <w:r w:rsidRPr="00AB62F2">
        <w:rPr>
          <w:rFonts w:ascii="Times New Roman" w:hAnsi="Times New Roman" w:cs="Times New Roman"/>
          <w:b/>
          <w:bCs/>
        </w:rPr>
        <w:instrText xml:space="preserve"> ADDIN EN.CITE &lt;EndNote&gt;&lt;Cite&gt;&lt;Author&gt;Pellegrini&lt;/Author&gt;&lt;Year&gt;2022&lt;/Year&gt;&lt;IDText&gt;CodY Is a Global Transcriptional Regulator Required for Virulence in Group B Streptococcus&lt;/IDText&gt;&lt;DisplayText&gt;(Pellegrini&lt;style face="italic"&gt; et al.&lt;/style&gt;, 2022)&lt;/DisplayText&gt;&lt;record&gt;&lt;dates&gt;&lt;pub-dates&gt;&lt;date&gt;Apr&lt;/date&gt;&lt;/pub-dates&gt;&lt;year&gt;2022&lt;/year&gt;&lt;/dates&gt;&lt;urls&gt;&lt;related-urls&gt;&lt;url&gt;&amp;lt;Go to ISI&amp;gt;://WOS:000795891200001&lt;/url&gt;&lt;/related-urls&gt;&lt;/urls&gt;&lt;titles&gt;&lt;title&gt;CodY Is a Global Transcriptional Regulator Required for Virulence in Group B Streptococcus&lt;/title&gt;&lt;secondary-title&gt;Frontiers in Microbiology&lt;/secondary-title&gt;&lt;/titles&gt;&lt;contributors&gt;&lt;authors&gt;&lt;author&gt;Pellegrini, A.&lt;/author&gt;&lt;author&gt;Lentini, G.&lt;/author&gt;&lt;author&gt;Fama, A.&lt;/author&gt;&lt;author&gt;Bonacorsi, A.&lt;/author&gt;&lt;author&gt;Scoffone, V. C.&lt;/author&gt;&lt;author&gt;Buroni, S.&lt;/author&gt;&lt;author&gt;Trespidi, G.&lt;/author&gt;&lt;author&gt;Postiglione, U.&lt;/author&gt;&lt;author&gt;Sassera, D.&lt;/author&gt;&lt;author&gt;Manai, F.&lt;/author&gt;&lt;author&gt;Pietrocola, G.&lt;/author&gt;&lt;author&gt;Firon, A.&lt;/author&gt;&lt;author&gt;Biondo, C.&lt;/author&gt;&lt;author&gt;Teti, G.&lt;/author&gt;&lt;author&gt;Beninati, C.&lt;/author&gt;&lt;author&gt;Barbieri, G.&lt;/author&gt;&lt;/authors&gt;&lt;/contributors&gt;&lt;custom7&gt;881549&lt;/custom7&gt;&lt;added-date format="utc"&gt;1675126299&lt;/added-date&gt;&lt;ref-type name="Journal Article"&gt;17&lt;/ref-type&gt;&lt;rec-number&gt;296&lt;/rec-number&gt;&lt;last-updated-date format="utc"&gt;1675126299&lt;/last-updated-date&gt;&lt;accession-num&gt;WOS:000795891200001&lt;/accession-num&gt;&lt;electronic-resource-num&gt;10.3389/fmicb.2022.881549&lt;/electronic-resource-num&gt;&lt;volume&gt;13&lt;/volume&gt;&lt;/record&gt;&lt;/Cite&gt;&lt;/EndNote&gt;</w:instrText>
      </w:r>
      <w:r w:rsidRPr="00AB62F2">
        <w:rPr>
          <w:rFonts w:ascii="Times New Roman" w:hAnsi="Times New Roman" w:cs="Times New Roman"/>
          <w:b/>
          <w:bCs/>
        </w:rPr>
        <w:fldChar w:fldCharType="separate"/>
      </w:r>
      <w:r w:rsidRPr="00AB62F2">
        <w:rPr>
          <w:rFonts w:ascii="Times New Roman" w:hAnsi="Times New Roman" w:cs="Times New Roman"/>
          <w:b/>
          <w:bCs/>
          <w:noProof/>
        </w:rPr>
        <w:t>(Pellegrini</w:t>
      </w:r>
      <w:r w:rsidRPr="00AB62F2">
        <w:rPr>
          <w:rFonts w:ascii="Times New Roman" w:hAnsi="Times New Roman" w:cs="Times New Roman"/>
          <w:b/>
          <w:bCs/>
          <w:i/>
          <w:noProof/>
        </w:rPr>
        <w:t xml:space="preserve"> et al.</w:t>
      </w:r>
      <w:r w:rsidRPr="00AB62F2">
        <w:rPr>
          <w:rFonts w:ascii="Times New Roman" w:hAnsi="Times New Roman" w:cs="Times New Roman"/>
          <w:b/>
          <w:bCs/>
          <w:noProof/>
        </w:rPr>
        <w:t>, 2022)</w:t>
      </w:r>
      <w:r w:rsidRPr="00AB62F2">
        <w:rPr>
          <w:rFonts w:ascii="Times New Roman" w:hAnsi="Times New Roman" w:cs="Times New Roman"/>
          <w:b/>
          <w:bCs/>
        </w:rPr>
        <w:fldChar w:fldCharType="end"/>
      </w:r>
      <w:r w:rsidRPr="00AB62F2">
        <w:rPr>
          <w:rFonts w:ascii="Times New Roman" w:hAnsi="Times New Roman" w:cs="Times New Roman"/>
        </w:rPr>
        <w:t xml:space="preserve">. Additionally, the CAMP factor pore-forming toxin </w:t>
      </w:r>
      <w:r w:rsidRPr="00AB62F2">
        <w:rPr>
          <w:rFonts w:ascii="Times New Roman" w:hAnsi="Times New Roman" w:cs="Times New Roman"/>
          <w:i/>
          <w:iCs/>
        </w:rPr>
        <w:t>cfb</w:t>
      </w:r>
      <w:r w:rsidRPr="00AB62F2">
        <w:rPr>
          <w:rFonts w:ascii="Times New Roman" w:hAnsi="Times New Roman" w:cs="Times New Roman"/>
        </w:rPr>
        <w:t xml:space="preserve">, a virulence factor, is positively regulated by CodY and therefore in </w:t>
      </w:r>
      <w:r w:rsidR="002C4090">
        <w:rPr>
          <w:rFonts w:ascii="Times New Roman" w:hAnsi="Times New Roman" w:cs="Times New Roman"/>
        </w:rPr>
        <w:t>a</w:t>
      </w:r>
      <w:r w:rsidRPr="00AB62F2">
        <w:rPr>
          <w:rFonts w:ascii="Times New Roman" w:hAnsi="Times New Roman" w:cs="Times New Roman"/>
          <w:i/>
          <w:iCs/>
        </w:rPr>
        <w:t xml:space="preserve"> </w:t>
      </w:r>
      <w:r w:rsidRPr="00AB62F2">
        <w:rPr>
          <w:rFonts w:ascii="Times New Roman" w:hAnsi="Times New Roman" w:cs="Times New Roman"/>
        </w:rPr>
        <w:t>∆</w:t>
      </w:r>
      <w:r w:rsidRPr="00AB62F2">
        <w:rPr>
          <w:rFonts w:ascii="Times New Roman" w:hAnsi="Times New Roman" w:cs="Times New Roman"/>
          <w:i/>
          <w:iCs/>
        </w:rPr>
        <w:t xml:space="preserve">codY </w:t>
      </w:r>
      <w:r w:rsidRPr="00AB62F2">
        <w:rPr>
          <w:rFonts w:ascii="Times New Roman" w:hAnsi="Times New Roman" w:cs="Times New Roman"/>
        </w:rPr>
        <w:t xml:space="preserve">mutant, there was downregulation of this toxin </w:t>
      </w:r>
      <w:r w:rsidRPr="00AB62F2">
        <w:rPr>
          <w:rFonts w:ascii="Times New Roman" w:hAnsi="Times New Roman" w:cs="Times New Roman"/>
          <w:b/>
          <w:bCs/>
        </w:rPr>
        <w:fldChar w:fldCharType="begin"/>
      </w:r>
      <w:r w:rsidRPr="00AB62F2">
        <w:rPr>
          <w:rFonts w:ascii="Times New Roman" w:hAnsi="Times New Roman" w:cs="Times New Roman"/>
          <w:b/>
          <w:bCs/>
        </w:rPr>
        <w:instrText xml:space="preserve"> ADDIN EN.CITE &lt;EndNote&gt;&lt;Cite&gt;&lt;Author&gt;Pellegrini&lt;/Author&gt;&lt;Year&gt;2022&lt;/Year&gt;&lt;IDText&gt;CodY Is a Global Transcriptional Regulator Required for Virulence in Group B Streptococcus&lt;/IDText&gt;&lt;DisplayText&gt;(Pellegrini&lt;style face="italic"&gt; et al.&lt;/style&gt;, 2022)&lt;/DisplayText&gt;&lt;record&gt;&lt;dates&gt;&lt;pub-dates&gt;&lt;date&gt;Apr&lt;/date&gt;&lt;/pub-dates&gt;&lt;year&gt;2022&lt;/year&gt;&lt;/dates&gt;&lt;urls&gt;&lt;related-urls&gt;&lt;url&gt;&amp;lt;Go to ISI&amp;gt;://WOS:000795891200001&lt;/url&gt;&lt;/related-urls&gt;&lt;/urls&gt;&lt;titles&gt;&lt;title&gt;CodY Is a Global Transcriptional Regulator Required for Virulence in Group B Streptococcus&lt;/title&gt;&lt;secondary-title&gt;Frontiers in Microbiology&lt;/secondary-title&gt;&lt;/titles&gt;&lt;contributors&gt;&lt;authors&gt;&lt;author&gt;Pellegrini, A.&lt;/author&gt;&lt;author&gt;Lentini, G.&lt;/author&gt;&lt;author&gt;Fama, A.&lt;/author&gt;&lt;author&gt;Bonacorsi, A.&lt;/author&gt;&lt;author&gt;Scoffone, V. C.&lt;/author&gt;&lt;author&gt;Buroni, S.&lt;/author&gt;&lt;author&gt;Trespidi, G.&lt;/author&gt;&lt;author&gt;Postiglione, U.&lt;/author&gt;&lt;author&gt;Sassera, D.&lt;/author&gt;&lt;author&gt;Manai, F.&lt;/author&gt;&lt;author&gt;Pietrocola, G.&lt;/author&gt;&lt;author&gt;Firon, A.&lt;/author&gt;&lt;author&gt;Biondo, C.&lt;/author&gt;&lt;author&gt;Teti, G.&lt;/author&gt;&lt;author&gt;Beninati, C.&lt;/author&gt;&lt;author&gt;Barbieri, G.&lt;/author&gt;&lt;/authors&gt;&lt;/contributors&gt;&lt;custom7&gt;881549&lt;/custom7&gt;&lt;added-date format="utc"&gt;1675126299&lt;/added-date&gt;&lt;ref-type name="Journal Article"&gt;17&lt;/ref-type&gt;&lt;rec-number&gt;296&lt;/rec-number&gt;&lt;last-updated-date format="utc"&gt;1675126299&lt;/last-updated-date&gt;&lt;accession-num&gt;WOS:000795891200001&lt;/accession-num&gt;&lt;electronic-resource-num&gt;10.3389/fmicb.2022.881549&lt;/electronic-resource-num&gt;&lt;volume&gt;13&lt;/volume&gt;&lt;/record&gt;&lt;/Cite&gt;&lt;/EndNote&gt;</w:instrText>
      </w:r>
      <w:r w:rsidRPr="00AB62F2">
        <w:rPr>
          <w:rFonts w:ascii="Times New Roman" w:hAnsi="Times New Roman" w:cs="Times New Roman"/>
          <w:b/>
          <w:bCs/>
        </w:rPr>
        <w:fldChar w:fldCharType="separate"/>
      </w:r>
      <w:r w:rsidRPr="00AB62F2">
        <w:rPr>
          <w:rFonts w:ascii="Times New Roman" w:hAnsi="Times New Roman" w:cs="Times New Roman"/>
          <w:b/>
          <w:bCs/>
          <w:noProof/>
        </w:rPr>
        <w:t>(Pellegrini</w:t>
      </w:r>
      <w:r w:rsidRPr="00AB62F2">
        <w:rPr>
          <w:rFonts w:ascii="Times New Roman" w:hAnsi="Times New Roman" w:cs="Times New Roman"/>
          <w:b/>
          <w:bCs/>
          <w:i/>
          <w:noProof/>
        </w:rPr>
        <w:t xml:space="preserve"> et al.</w:t>
      </w:r>
      <w:r w:rsidRPr="00AB62F2">
        <w:rPr>
          <w:rFonts w:ascii="Times New Roman" w:hAnsi="Times New Roman" w:cs="Times New Roman"/>
          <w:b/>
          <w:bCs/>
          <w:noProof/>
        </w:rPr>
        <w:t>, 2022)</w:t>
      </w:r>
      <w:r w:rsidRPr="00AB62F2">
        <w:rPr>
          <w:rFonts w:ascii="Times New Roman" w:hAnsi="Times New Roman" w:cs="Times New Roman"/>
          <w:b/>
          <w:bCs/>
        </w:rPr>
        <w:fldChar w:fldCharType="end"/>
      </w:r>
      <w:r w:rsidRPr="00AB62F2">
        <w:rPr>
          <w:rFonts w:ascii="Times New Roman" w:hAnsi="Times New Roman" w:cs="Times New Roman"/>
        </w:rPr>
        <w:t xml:space="preserve">. In </w:t>
      </w:r>
      <w:r w:rsidRPr="00AB62F2">
        <w:rPr>
          <w:rFonts w:ascii="Times New Roman" w:hAnsi="Times New Roman" w:cs="Times New Roman"/>
          <w:i/>
          <w:iCs/>
        </w:rPr>
        <w:t>Streptococcus suis</w:t>
      </w:r>
      <w:r w:rsidRPr="00AB62F2">
        <w:rPr>
          <w:rFonts w:ascii="Times New Roman" w:hAnsi="Times New Roman" w:cs="Times New Roman"/>
        </w:rPr>
        <w:t xml:space="preserve">, </w:t>
      </w:r>
      <w:r w:rsidR="002C4090">
        <w:rPr>
          <w:rFonts w:ascii="Times New Roman" w:hAnsi="Times New Roman" w:cs="Times New Roman"/>
        </w:rPr>
        <w:t>a</w:t>
      </w:r>
      <w:r w:rsidRPr="00AB62F2">
        <w:rPr>
          <w:rFonts w:ascii="Times New Roman" w:hAnsi="Times New Roman" w:cs="Times New Roman"/>
          <w:i/>
          <w:iCs/>
        </w:rPr>
        <w:t xml:space="preserve"> </w:t>
      </w:r>
      <w:r w:rsidRPr="00AB62F2">
        <w:rPr>
          <w:rFonts w:ascii="Times New Roman" w:hAnsi="Times New Roman" w:cs="Times New Roman"/>
        </w:rPr>
        <w:t>∆</w:t>
      </w:r>
      <w:r w:rsidRPr="00AB62F2">
        <w:rPr>
          <w:rFonts w:ascii="Times New Roman" w:hAnsi="Times New Roman" w:cs="Times New Roman"/>
          <w:i/>
          <w:iCs/>
        </w:rPr>
        <w:t xml:space="preserve">codY </w:t>
      </w:r>
      <w:r w:rsidRPr="00AB62F2">
        <w:rPr>
          <w:rFonts w:ascii="Times New Roman" w:hAnsi="Times New Roman" w:cs="Times New Roman"/>
        </w:rPr>
        <w:t>mutant showed decreased adherence to human epidermoid cancer cells and was less virulent when injected into mice intraperitoneally, while a (p)ppGpp</w:t>
      </w:r>
      <w:r w:rsidRPr="00AB62F2">
        <w:rPr>
          <w:rFonts w:ascii="Times New Roman" w:hAnsi="Times New Roman" w:cs="Times New Roman"/>
          <w:vertAlign w:val="superscript"/>
        </w:rPr>
        <w:t xml:space="preserve">0 </w:t>
      </w:r>
      <w:r w:rsidRPr="00AB62F2">
        <w:rPr>
          <w:rFonts w:ascii="Times New Roman" w:hAnsi="Times New Roman" w:cs="Times New Roman"/>
        </w:rPr>
        <w:t>∆</w:t>
      </w:r>
      <w:r w:rsidRPr="00AB62F2">
        <w:rPr>
          <w:rFonts w:ascii="Times New Roman" w:hAnsi="Times New Roman" w:cs="Times New Roman"/>
          <w:i/>
          <w:iCs/>
        </w:rPr>
        <w:t>codY</w:t>
      </w:r>
      <w:r w:rsidRPr="00AB62F2">
        <w:rPr>
          <w:rFonts w:ascii="Times New Roman" w:hAnsi="Times New Roman" w:cs="Times New Roman"/>
        </w:rPr>
        <w:t xml:space="preserve"> mutant showed even lower levels of adherence and was completely avirulent </w:t>
      </w:r>
      <w:r w:rsidRPr="00AB62F2">
        <w:rPr>
          <w:rFonts w:ascii="Times New Roman" w:hAnsi="Times New Roman" w:cs="Times New Roman"/>
          <w:b/>
          <w:bCs/>
        </w:rPr>
        <w:fldChar w:fldCharType="begin"/>
      </w:r>
      <w:r w:rsidRPr="00AB62F2">
        <w:rPr>
          <w:rFonts w:ascii="Times New Roman" w:hAnsi="Times New Roman" w:cs="Times New Roman"/>
          <w:b/>
          <w:bCs/>
        </w:rPr>
        <w:instrText xml:space="preserve"> ADDIN EN.CITE &lt;EndNote&gt;&lt;Cite&gt;&lt;Author&gt;Zhu&lt;/Author&gt;&lt;Year&gt;2019&lt;/Year&gt;&lt;IDText&gt;Co-regulation of CodY and (p)ppGpp synthetases on morphology and pathogenesis of Streptococcus suis&lt;/IDText&gt;&lt;DisplayText&gt;(Zhu&lt;style face="italic"&gt; et al.&lt;/style&gt;, 2019)&lt;/DisplayText&gt;&lt;record&gt;&lt;dates&gt;&lt;pub-dates&gt;&lt;date&gt;Jun-Aug&lt;/date&gt;&lt;/pub-dates&gt;&lt;year&gt;2019&lt;/year&gt;&lt;/dates&gt;&lt;urls&gt;&lt;related-urls&gt;&lt;url&gt;&amp;lt;Go to ISI&amp;gt;://WOS:000525937200011&lt;/url&gt;&lt;/related-urls&gt;&lt;/urls&gt;&lt;isbn&gt;0944-5013&lt;/isbn&gt;&lt;titles&gt;&lt;title&gt;Co-regulation of CodY and (p)ppGpp synthetases on morphology and pathogenesis of Streptococcus suis&lt;/title&gt;&lt;secondary-title&gt;Microbiological Research&lt;/secondary-title&gt;&lt;/titles&gt;&lt;pages&gt;88-98&lt;/pages&gt;&lt;contributors&gt;&lt;authors&gt;&lt;author&gt;Zhu, J. W.&lt;/author&gt;&lt;author&gt;Zhang, T. F.&lt;/author&gt;&lt;author&gt;Su, Z. P.&lt;/author&gt;&lt;author&gt;Feng, L. P.&lt;/author&gt;&lt;author&gt;Liu, H. Y.&lt;/author&gt;&lt;author&gt;Xu, Z. Y.&lt;/author&gt;&lt;author&gt;Wu, Y. S.&lt;/author&gt;&lt;author&gt;Gao, T.&lt;/author&gt;&lt;author&gt;Shao, H. B.&lt;/author&gt;&lt;author&gt;Zhou, R.&lt;/author&gt;&lt;/authors&gt;&lt;/contributors&gt;&lt;added-date format="utc"&gt;1675123484&lt;/added-date&gt;&lt;ref-type name="Journal Article"&gt;17&lt;/ref-type&gt;&lt;rec-number&gt;295&lt;/rec-number&gt;&lt;last-updated-date format="utc"&gt;1675123484&lt;/last-updated-date&gt;&lt;accession-num&gt;WOS:000525937200011&lt;/accession-num&gt;&lt;electronic-resource-num&gt;10.1016/j.micres.2019.04.001&lt;/electronic-resource-num&gt;&lt;volume&gt;223&lt;/volume&gt;&lt;/record&gt;&lt;/Cite&gt;&lt;/EndNote&gt;</w:instrText>
      </w:r>
      <w:r w:rsidRPr="00AB62F2">
        <w:rPr>
          <w:rFonts w:ascii="Times New Roman" w:hAnsi="Times New Roman" w:cs="Times New Roman"/>
          <w:b/>
          <w:bCs/>
        </w:rPr>
        <w:fldChar w:fldCharType="separate"/>
      </w:r>
      <w:r w:rsidRPr="00AB62F2">
        <w:rPr>
          <w:rFonts w:ascii="Times New Roman" w:hAnsi="Times New Roman" w:cs="Times New Roman"/>
          <w:b/>
          <w:bCs/>
          <w:noProof/>
        </w:rPr>
        <w:t>(Zhu</w:t>
      </w:r>
      <w:r w:rsidRPr="00AB62F2">
        <w:rPr>
          <w:rFonts w:ascii="Times New Roman" w:hAnsi="Times New Roman" w:cs="Times New Roman"/>
          <w:b/>
          <w:bCs/>
          <w:i/>
          <w:noProof/>
        </w:rPr>
        <w:t xml:space="preserve"> et al.</w:t>
      </w:r>
      <w:r w:rsidRPr="00AB62F2">
        <w:rPr>
          <w:rFonts w:ascii="Times New Roman" w:hAnsi="Times New Roman" w:cs="Times New Roman"/>
          <w:b/>
          <w:bCs/>
          <w:noProof/>
        </w:rPr>
        <w:t>, 2019)</w:t>
      </w:r>
      <w:r w:rsidRPr="00AB62F2">
        <w:rPr>
          <w:rFonts w:ascii="Times New Roman" w:hAnsi="Times New Roman" w:cs="Times New Roman"/>
          <w:b/>
          <w:bCs/>
        </w:rPr>
        <w:fldChar w:fldCharType="end"/>
      </w:r>
      <w:r w:rsidRPr="00AB62F2">
        <w:rPr>
          <w:rFonts w:ascii="Times New Roman" w:hAnsi="Times New Roman" w:cs="Times New Roman"/>
          <w:b/>
          <w:bCs/>
        </w:rPr>
        <w:t xml:space="preserve">. </w:t>
      </w:r>
      <w:r w:rsidRPr="00AB62F2">
        <w:rPr>
          <w:rFonts w:ascii="Times New Roman" w:hAnsi="Times New Roman" w:cs="Times New Roman"/>
        </w:rPr>
        <w:t xml:space="preserve">qRT-PCR analysis of specific genes revealed that some virulence genes were downregulated in the </w:t>
      </w:r>
      <w:r w:rsidRPr="00AB62F2">
        <w:rPr>
          <w:rFonts w:ascii="Times New Roman" w:hAnsi="Times New Roman" w:cs="Times New Roman"/>
          <w:i/>
          <w:iCs/>
        </w:rPr>
        <w:t>S. suis</w:t>
      </w:r>
      <w:r w:rsidRPr="00AB62F2">
        <w:rPr>
          <w:rFonts w:ascii="Times New Roman" w:hAnsi="Times New Roman" w:cs="Times New Roman"/>
        </w:rPr>
        <w:t xml:space="preserve"> ∆</w:t>
      </w:r>
      <w:r w:rsidRPr="00AB62F2">
        <w:rPr>
          <w:rFonts w:ascii="Times New Roman" w:hAnsi="Times New Roman" w:cs="Times New Roman"/>
          <w:i/>
          <w:iCs/>
        </w:rPr>
        <w:t>codY</w:t>
      </w:r>
      <w:r w:rsidRPr="00AB62F2">
        <w:rPr>
          <w:rFonts w:ascii="Times New Roman" w:hAnsi="Times New Roman" w:cs="Times New Roman"/>
        </w:rPr>
        <w:t xml:space="preserve"> mutant including </w:t>
      </w:r>
      <w:r w:rsidRPr="00AB62F2">
        <w:rPr>
          <w:rFonts w:ascii="Times New Roman" w:hAnsi="Times New Roman" w:cs="Times New Roman"/>
          <w:i/>
          <w:iCs/>
        </w:rPr>
        <w:t xml:space="preserve">fbps </w:t>
      </w:r>
      <w:r w:rsidRPr="00AB62F2">
        <w:rPr>
          <w:rFonts w:ascii="Times New Roman" w:hAnsi="Times New Roman" w:cs="Times New Roman"/>
        </w:rPr>
        <w:t xml:space="preserve">(fibrinogen-binding protein), </w:t>
      </w:r>
      <w:r w:rsidRPr="00AB62F2">
        <w:rPr>
          <w:rFonts w:ascii="Times New Roman" w:hAnsi="Times New Roman" w:cs="Times New Roman"/>
          <w:i/>
          <w:iCs/>
        </w:rPr>
        <w:t>arcA</w:t>
      </w:r>
      <w:r w:rsidRPr="00AB62F2">
        <w:rPr>
          <w:rFonts w:ascii="Times New Roman" w:hAnsi="Times New Roman" w:cs="Times New Roman"/>
        </w:rPr>
        <w:t xml:space="preserve"> (arginine deiminase) and </w:t>
      </w:r>
      <w:r w:rsidRPr="00AB62F2">
        <w:rPr>
          <w:rFonts w:ascii="Times New Roman" w:hAnsi="Times New Roman" w:cs="Times New Roman"/>
          <w:i/>
          <w:iCs/>
        </w:rPr>
        <w:t>sao</w:t>
      </w:r>
      <w:r w:rsidRPr="00AB62F2">
        <w:rPr>
          <w:rFonts w:ascii="Times New Roman" w:hAnsi="Times New Roman" w:cs="Times New Roman"/>
        </w:rPr>
        <w:t xml:space="preserve"> (surface antigen one) </w:t>
      </w:r>
      <w:r w:rsidRPr="00AB62F2">
        <w:rPr>
          <w:rFonts w:ascii="Times New Roman" w:hAnsi="Times New Roman" w:cs="Times New Roman"/>
          <w:b/>
          <w:bCs/>
        </w:rPr>
        <w:fldChar w:fldCharType="begin"/>
      </w:r>
      <w:r w:rsidRPr="00AB62F2">
        <w:rPr>
          <w:rFonts w:ascii="Times New Roman" w:hAnsi="Times New Roman" w:cs="Times New Roman"/>
          <w:b/>
          <w:bCs/>
        </w:rPr>
        <w:instrText xml:space="preserve"> ADDIN EN.CITE &lt;EndNote&gt;&lt;Cite&gt;&lt;Author&gt;Zhu&lt;/Author&gt;&lt;Year&gt;2019&lt;/Year&gt;&lt;IDText&gt;Co-regulation of CodY and (p)ppGpp synthetases on morphology and pathogenesis of Streptococcus suis&lt;/IDText&gt;&lt;DisplayText&gt;(Zhu&lt;style face="italic"&gt; et al.&lt;/style&gt;, 2019)&lt;/DisplayText&gt;&lt;record&gt;&lt;dates&gt;&lt;pub-dates&gt;&lt;date&gt;Jun-Aug&lt;/date&gt;&lt;/pub-dates&gt;&lt;year&gt;2019&lt;/year&gt;&lt;/dates&gt;&lt;urls&gt;&lt;related-urls&gt;&lt;url&gt;&amp;lt;Go to ISI&amp;gt;://WOS:000525937200011&lt;/url&gt;&lt;/related-urls&gt;&lt;/urls&gt;&lt;isbn&gt;0944-5013&lt;/isbn&gt;&lt;titles&gt;&lt;title&gt;Co-regulation of CodY and (p)ppGpp synthetases on morphology and pathogenesis of Streptococcus suis&lt;/title&gt;&lt;secondary-title&gt;Microbiological Research&lt;/secondary-title&gt;&lt;/titles&gt;&lt;pages&gt;88-98&lt;/pages&gt;&lt;contributors&gt;&lt;authors&gt;&lt;author&gt;Zhu, J. W.&lt;/author&gt;&lt;author&gt;Zhang, T. F.&lt;/author&gt;&lt;author&gt;Su, Z. P.&lt;/author&gt;&lt;author&gt;Feng, L. P.&lt;/author&gt;&lt;author&gt;Liu, H. Y.&lt;/author&gt;&lt;author&gt;Xu, Z. Y.&lt;/author&gt;&lt;author&gt;Wu, Y. S.&lt;/author&gt;&lt;author&gt;Gao, T.&lt;/author&gt;&lt;author&gt;Shao, H. B.&lt;/author&gt;&lt;author&gt;Zhou, R.&lt;/author&gt;&lt;/authors&gt;&lt;/contributors&gt;&lt;added-date format="utc"&gt;1675123484&lt;/added-date&gt;&lt;ref-type name="Journal Article"&gt;17&lt;/ref-type&gt;&lt;rec-number&gt;295&lt;/rec-number&gt;&lt;last-updated-date format="utc"&gt;1675123484&lt;/last-updated-date&gt;&lt;accession-num&gt;WOS:000525937200011&lt;/accession-num&gt;&lt;electronic-resource-num&gt;10.1016/j.micres.2019.04.001&lt;/electronic-resource-num&gt;&lt;volume&gt;223&lt;/volume&gt;&lt;/record&gt;&lt;/Cite&gt;&lt;/EndNote&gt;</w:instrText>
      </w:r>
      <w:r w:rsidRPr="00AB62F2">
        <w:rPr>
          <w:rFonts w:ascii="Times New Roman" w:hAnsi="Times New Roman" w:cs="Times New Roman"/>
          <w:b/>
          <w:bCs/>
        </w:rPr>
        <w:fldChar w:fldCharType="separate"/>
      </w:r>
      <w:r w:rsidRPr="00AB62F2">
        <w:rPr>
          <w:rFonts w:ascii="Times New Roman" w:hAnsi="Times New Roman" w:cs="Times New Roman"/>
          <w:b/>
          <w:bCs/>
          <w:noProof/>
        </w:rPr>
        <w:t>(Zhu</w:t>
      </w:r>
      <w:r w:rsidRPr="00AB62F2">
        <w:rPr>
          <w:rFonts w:ascii="Times New Roman" w:hAnsi="Times New Roman" w:cs="Times New Roman"/>
          <w:b/>
          <w:bCs/>
          <w:i/>
          <w:noProof/>
        </w:rPr>
        <w:t xml:space="preserve"> et al.</w:t>
      </w:r>
      <w:r w:rsidRPr="00AB62F2">
        <w:rPr>
          <w:rFonts w:ascii="Times New Roman" w:hAnsi="Times New Roman" w:cs="Times New Roman"/>
          <w:b/>
          <w:bCs/>
          <w:noProof/>
        </w:rPr>
        <w:t>, 2019)</w:t>
      </w:r>
      <w:r w:rsidRPr="00AB62F2">
        <w:rPr>
          <w:rFonts w:ascii="Times New Roman" w:hAnsi="Times New Roman" w:cs="Times New Roman"/>
          <w:b/>
          <w:bCs/>
        </w:rPr>
        <w:fldChar w:fldCharType="end"/>
      </w:r>
      <w:r w:rsidRPr="00AB62F2">
        <w:rPr>
          <w:rFonts w:ascii="Times New Roman" w:hAnsi="Times New Roman" w:cs="Times New Roman"/>
        </w:rPr>
        <w:t xml:space="preserve">. These studies in </w:t>
      </w:r>
      <w:r w:rsidRPr="00AB62F2">
        <w:rPr>
          <w:rFonts w:ascii="Times New Roman" w:hAnsi="Times New Roman" w:cs="Times New Roman"/>
          <w:i/>
          <w:iCs/>
        </w:rPr>
        <w:t xml:space="preserve">Streptococcus </w:t>
      </w:r>
      <w:r w:rsidRPr="00AB62F2">
        <w:rPr>
          <w:rFonts w:ascii="Times New Roman" w:hAnsi="Times New Roman" w:cs="Times New Roman"/>
        </w:rPr>
        <w:t>spp. demonstrate that the absence of CodY may also lead to downregulation of virulence-associated genes, which may explain the attenuated virulence of the ∆</w:t>
      </w:r>
      <w:r w:rsidRPr="00AB62F2">
        <w:rPr>
          <w:rFonts w:ascii="Times New Roman" w:hAnsi="Times New Roman" w:cs="Times New Roman"/>
          <w:i/>
          <w:iCs/>
        </w:rPr>
        <w:t>codY</w:t>
      </w:r>
      <w:r w:rsidRPr="00AB62F2">
        <w:rPr>
          <w:rFonts w:ascii="Times New Roman" w:hAnsi="Times New Roman" w:cs="Times New Roman"/>
        </w:rPr>
        <w:t xml:space="preserve"> mutant. This could therefore be possible in other pathogens such as </w:t>
      </w:r>
      <w:r w:rsidRPr="00AB62F2">
        <w:rPr>
          <w:rFonts w:ascii="Times New Roman" w:hAnsi="Times New Roman" w:cs="Times New Roman"/>
          <w:i/>
          <w:iCs/>
        </w:rPr>
        <w:t>S. aureus</w:t>
      </w:r>
      <w:r w:rsidRPr="00AB62F2">
        <w:rPr>
          <w:rFonts w:ascii="Times New Roman" w:hAnsi="Times New Roman" w:cs="Times New Roman"/>
        </w:rPr>
        <w:t xml:space="preserve"> and may explain the results observed in zebrafish embryos.</w:t>
      </w:r>
    </w:p>
    <w:p w14:paraId="77EC6316" w14:textId="0ABB3EE8" w:rsidR="00187693" w:rsidRDefault="00187693" w:rsidP="00187693">
      <w:pPr>
        <w:shd w:val="clear" w:color="auto" w:fill="FFFFFF"/>
        <w:spacing w:line="360" w:lineRule="auto"/>
        <w:jc w:val="both"/>
        <w:rPr>
          <w:rFonts w:ascii="Times New Roman" w:hAnsi="Times New Roman" w:cs="Times New Roman"/>
        </w:rPr>
      </w:pPr>
      <w:r>
        <w:rPr>
          <w:rFonts w:ascii="Times New Roman" w:hAnsi="Times New Roman" w:cs="Times New Roman"/>
        </w:rPr>
        <w:tab/>
        <w:t xml:space="preserve">It is still unclear why some studies report hypervirulent </w:t>
      </w:r>
      <w:r w:rsidRPr="003E4EEC">
        <w:rPr>
          <w:rFonts w:ascii="Times New Roman" w:hAnsi="Times New Roman" w:cs="Times New Roman"/>
        </w:rPr>
        <w:t>∆</w:t>
      </w:r>
      <w:r w:rsidRPr="003E4EEC">
        <w:rPr>
          <w:rFonts w:ascii="Times New Roman" w:hAnsi="Times New Roman" w:cs="Times New Roman"/>
          <w:i/>
          <w:iCs/>
        </w:rPr>
        <w:t>codY</w:t>
      </w:r>
      <w:r>
        <w:rPr>
          <w:rFonts w:ascii="Times New Roman" w:hAnsi="Times New Roman" w:cs="Times New Roman"/>
          <w:i/>
          <w:iCs/>
        </w:rPr>
        <w:t xml:space="preserve"> </w:t>
      </w:r>
      <w:r>
        <w:rPr>
          <w:rFonts w:ascii="Times New Roman" w:hAnsi="Times New Roman" w:cs="Times New Roman"/>
        </w:rPr>
        <w:t>mutants while others report attenuation. This is mostly likely due to differences in species, strain and the infection models tested. It is evident that the (p)ppGpp and CodY regulatory networks are complex and intertwined, and therefore it may be necessary to investigate the expression of the CodY regulon from bacteria isolated from infected embryos to explain the phenotype observed in the systemic infection of zebrafish embryos</w:t>
      </w:r>
      <w:r w:rsidR="004764DC">
        <w:rPr>
          <w:rFonts w:ascii="Times New Roman" w:hAnsi="Times New Roman" w:cs="Times New Roman"/>
        </w:rPr>
        <w:t>. This is necessary</w:t>
      </w:r>
      <w:r>
        <w:rPr>
          <w:rFonts w:ascii="Times New Roman" w:hAnsi="Times New Roman" w:cs="Times New Roman"/>
        </w:rPr>
        <w:t xml:space="preserve"> to understand what virulence-associated genes are being upregulated in the absence of CodY</w:t>
      </w:r>
      <w:r w:rsidR="004764DC">
        <w:rPr>
          <w:rFonts w:ascii="Times New Roman" w:hAnsi="Times New Roman" w:cs="Times New Roman"/>
        </w:rPr>
        <w:t xml:space="preserve"> and by what mechanism e.g.</w:t>
      </w:r>
      <w:r w:rsidR="000D765B">
        <w:rPr>
          <w:rFonts w:ascii="Times New Roman" w:hAnsi="Times New Roman" w:cs="Times New Roman"/>
        </w:rPr>
        <w:t>,</w:t>
      </w:r>
      <w:r w:rsidR="004764DC">
        <w:rPr>
          <w:rFonts w:ascii="Times New Roman" w:hAnsi="Times New Roman" w:cs="Times New Roman"/>
        </w:rPr>
        <w:t xml:space="preserve"> via another regulator.</w:t>
      </w:r>
    </w:p>
    <w:p w14:paraId="42A23449" w14:textId="0228187A" w:rsidR="00187693" w:rsidRDefault="00187693" w:rsidP="00187693">
      <w:pPr>
        <w:shd w:val="clear" w:color="auto" w:fill="FFFFFF"/>
        <w:spacing w:line="360" w:lineRule="auto"/>
        <w:jc w:val="both"/>
        <w:rPr>
          <w:rFonts w:ascii="Times New Roman" w:hAnsi="Times New Roman" w:cs="Times New Roman"/>
        </w:rPr>
      </w:pPr>
      <w:r>
        <w:rPr>
          <w:rFonts w:ascii="Times New Roman" w:hAnsi="Times New Roman" w:cs="Times New Roman"/>
        </w:rPr>
        <w:tab/>
        <w:t xml:space="preserve">In conclusion, this study has provided insight into how the stringent response is important for </w:t>
      </w:r>
      <w:r>
        <w:rPr>
          <w:rFonts w:ascii="Times New Roman" w:hAnsi="Times New Roman" w:cs="Times New Roman"/>
          <w:i/>
          <w:iCs/>
        </w:rPr>
        <w:t xml:space="preserve">S. aureus </w:t>
      </w:r>
      <w:r>
        <w:rPr>
          <w:rFonts w:ascii="Times New Roman" w:hAnsi="Times New Roman" w:cs="Times New Roman"/>
        </w:rPr>
        <w:t>pathogenesis. By examining the effect of phagolysosomal stresses on</w:t>
      </w:r>
      <w:r>
        <w:rPr>
          <w:rFonts w:ascii="Times New Roman" w:hAnsi="Times New Roman" w:cs="Times New Roman"/>
          <w:i/>
          <w:iCs/>
        </w:rPr>
        <w:t xml:space="preserve"> S. aureus </w:t>
      </w:r>
      <w:r>
        <w:rPr>
          <w:rFonts w:ascii="Times New Roman" w:hAnsi="Times New Roman" w:cs="Times New Roman"/>
        </w:rPr>
        <w:t xml:space="preserve">stringent response mutants, the role of (p)ppGpp for tolerating these stresses has been shown, demonstrating the contribution of the stringent response for intracellular survival. For the first time, the function of the stringent response during systemic infection has been investigated within a zebrafish embryo model and has revealed the requirement of (p)ppGpp for full virulence. The role of Rel and RelP both </w:t>
      </w:r>
      <w:r>
        <w:rPr>
          <w:rFonts w:ascii="Times New Roman" w:hAnsi="Times New Roman" w:cs="Times New Roman"/>
          <w:i/>
          <w:iCs/>
        </w:rPr>
        <w:t xml:space="preserve">in vitro </w:t>
      </w:r>
      <w:r>
        <w:rPr>
          <w:rFonts w:ascii="Times New Roman" w:hAnsi="Times New Roman" w:cs="Times New Roman"/>
        </w:rPr>
        <w:t xml:space="preserve">and </w:t>
      </w:r>
      <w:r>
        <w:rPr>
          <w:rFonts w:ascii="Times New Roman" w:hAnsi="Times New Roman" w:cs="Times New Roman"/>
          <w:i/>
          <w:iCs/>
        </w:rPr>
        <w:t xml:space="preserve">in vivo </w:t>
      </w:r>
      <w:r>
        <w:rPr>
          <w:rFonts w:ascii="Times New Roman" w:hAnsi="Times New Roman" w:cs="Times New Roman"/>
        </w:rPr>
        <w:t>was shown, and this has shed light on how Rel and RelP may be responsible for tolerating acid and ROS stress, which has not been extensively studied</w:t>
      </w:r>
      <w:r w:rsidR="0089554F">
        <w:rPr>
          <w:rFonts w:ascii="Times New Roman" w:hAnsi="Times New Roman" w:cs="Times New Roman"/>
        </w:rPr>
        <w:t xml:space="preserve"> in </w:t>
      </w:r>
      <w:r w:rsidR="0089554F">
        <w:rPr>
          <w:rFonts w:ascii="Times New Roman" w:hAnsi="Times New Roman" w:cs="Times New Roman"/>
          <w:i/>
          <w:iCs/>
        </w:rPr>
        <w:t>S. aureus</w:t>
      </w:r>
      <w:r>
        <w:rPr>
          <w:rFonts w:ascii="Times New Roman" w:hAnsi="Times New Roman" w:cs="Times New Roman"/>
        </w:rPr>
        <w:t xml:space="preserve">. Overproduction of (p)ppGpp </w:t>
      </w:r>
      <w:r w:rsidRPr="00AE1FCF">
        <w:rPr>
          <w:rFonts w:ascii="Times New Roman" w:hAnsi="Times New Roman" w:cs="Times New Roman"/>
        </w:rPr>
        <w:t>confe</w:t>
      </w:r>
      <w:r>
        <w:rPr>
          <w:rFonts w:ascii="Times New Roman" w:hAnsi="Times New Roman" w:cs="Times New Roman"/>
        </w:rPr>
        <w:t>rred</w:t>
      </w:r>
      <w:r w:rsidRPr="00AE1FCF">
        <w:rPr>
          <w:rFonts w:ascii="Times New Roman" w:hAnsi="Times New Roman" w:cs="Times New Roman"/>
        </w:rPr>
        <w:t xml:space="preserve"> tolerance to stress conditions found within </w:t>
      </w:r>
      <w:r>
        <w:rPr>
          <w:rFonts w:ascii="Times New Roman" w:hAnsi="Times New Roman" w:cs="Times New Roman"/>
        </w:rPr>
        <w:t>phagocytes</w:t>
      </w:r>
      <w:r w:rsidRPr="00AE1FCF">
        <w:rPr>
          <w:rFonts w:ascii="Times New Roman" w:hAnsi="Times New Roman" w:cs="Times New Roman"/>
        </w:rPr>
        <w:t xml:space="preserve"> </w:t>
      </w:r>
      <w:r w:rsidRPr="00AE1FCF">
        <w:rPr>
          <w:rFonts w:ascii="Times New Roman" w:hAnsi="Times New Roman" w:cs="Times New Roman"/>
          <w:i/>
          <w:iCs/>
        </w:rPr>
        <w:t>in vitro</w:t>
      </w:r>
      <w:r w:rsidRPr="00AE1FCF">
        <w:rPr>
          <w:rFonts w:ascii="Times New Roman" w:hAnsi="Times New Roman" w:cs="Times New Roman"/>
        </w:rPr>
        <w:t xml:space="preserve"> but not </w:t>
      </w:r>
      <w:r w:rsidRPr="00AE1FCF">
        <w:rPr>
          <w:rFonts w:ascii="Times New Roman" w:hAnsi="Times New Roman" w:cs="Times New Roman"/>
          <w:i/>
          <w:iCs/>
        </w:rPr>
        <w:t>in vivo</w:t>
      </w:r>
      <w:r>
        <w:rPr>
          <w:rFonts w:ascii="Times New Roman" w:hAnsi="Times New Roman" w:cs="Times New Roman"/>
        </w:rPr>
        <w:t xml:space="preserve">, reiterating the importance of maintaining optimal levels of (p)ppGpp within bacteria. Finally, deletion of CodY confers tolerance </w:t>
      </w:r>
      <w:r>
        <w:rPr>
          <w:rFonts w:ascii="Times New Roman" w:hAnsi="Times New Roman" w:cs="Times New Roman"/>
          <w:i/>
          <w:iCs/>
        </w:rPr>
        <w:t xml:space="preserve">in vitro </w:t>
      </w:r>
      <w:r>
        <w:rPr>
          <w:rFonts w:ascii="Times New Roman" w:hAnsi="Times New Roman" w:cs="Times New Roman"/>
        </w:rPr>
        <w:t xml:space="preserve">but not </w:t>
      </w:r>
      <w:r>
        <w:rPr>
          <w:rFonts w:ascii="Times New Roman" w:hAnsi="Times New Roman" w:cs="Times New Roman"/>
          <w:i/>
          <w:iCs/>
        </w:rPr>
        <w:t>in vivo</w:t>
      </w:r>
      <w:r>
        <w:rPr>
          <w:rFonts w:ascii="Times New Roman" w:hAnsi="Times New Roman" w:cs="Times New Roman"/>
        </w:rPr>
        <w:t xml:space="preserve">, indicating that CodY repression is important for </w:t>
      </w:r>
      <w:r>
        <w:rPr>
          <w:rFonts w:ascii="Times New Roman" w:hAnsi="Times New Roman" w:cs="Times New Roman"/>
          <w:i/>
          <w:iCs/>
        </w:rPr>
        <w:t>S. aureus</w:t>
      </w:r>
      <w:r>
        <w:rPr>
          <w:rFonts w:ascii="Times New Roman" w:hAnsi="Times New Roman" w:cs="Times New Roman"/>
        </w:rPr>
        <w:t xml:space="preserve"> </w:t>
      </w:r>
      <w:r>
        <w:rPr>
          <w:rFonts w:ascii="Times New Roman" w:hAnsi="Times New Roman" w:cs="Times New Roman"/>
          <w:i/>
          <w:iCs/>
        </w:rPr>
        <w:t xml:space="preserve">in vivo </w:t>
      </w:r>
      <w:r>
        <w:rPr>
          <w:rFonts w:ascii="Times New Roman" w:hAnsi="Times New Roman" w:cs="Times New Roman"/>
        </w:rPr>
        <w:t>within a zebrafish embryo systemic infection model</w:t>
      </w:r>
      <w:r>
        <w:rPr>
          <w:rFonts w:ascii="Times New Roman" w:hAnsi="Times New Roman" w:cs="Times New Roman"/>
          <w:i/>
          <w:iCs/>
        </w:rPr>
        <w:t xml:space="preserve">. </w:t>
      </w:r>
      <w:r>
        <w:rPr>
          <w:rFonts w:ascii="Times New Roman" w:hAnsi="Times New Roman" w:cs="Times New Roman"/>
        </w:rPr>
        <w:t>These studies will allow further understanding into the complexities of the (p)ppGpp regulatory pathways, which can inform the development of more effective stringent response inhibitors for the treatment of infections caused by strains such as MRSA.</w:t>
      </w:r>
    </w:p>
    <w:p w14:paraId="2C2FA134" w14:textId="3A48160B" w:rsidR="00680BEE" w:rsidRDefault="00680BEE" w:rsidP="00187693">
      <w:pPr>
        <w:shd w:val="clear" w:color="auto" w:fill="FFFFFF"/>
        <w:spacing w:line="360" w:lineRule="auto"/>
        <w:jc w:val="both"/>
        <w:rPr>
          <w:rFonts w:ascii="Times New Roman" w:hAnsi="Times New Roman" w:cs="Times New Roman"/>
        </w:rPr>
      </w:pPr>
    </w:p>
    <w:p w14:paraId="7A8268C7" w14:textId="77FA90C0" w:rsidR="00680BEE" w:rsidRDefault="00680BEE" w:rsidP="00187693">
      <w:pPr>
        <w:shd w:val="clear" w:color="auto" w:fill="FFFFFF"/>
        <w:spacing w:line="360" w:lineRule="auto"/>
        <w:jc w:val="both"/>
        <w:rPr>
          <w:rFonts w:ascii="Times New Roman" w:hAnsi="Times New Roman" w:cs="Times New Roman"/>
        </w:rPr>
      </w:pPr>
    </w:p>
    <w:p w14:paraId="62901CB2" w14:textId="4DA9B7BF" w:rsidR="00680BEE" w:rsidRDefault="00680BEE" w:rsidP="00187693">
      <w:pPr>
        <w:shd w:val="clear" w:color="auto" w:fill="FFFFFF"/>
        <w:spacing w:line="360" w:lineRule="auto"/>
        <w:jc w:val="both"/>
        <w:rPr>
          <w:rFonts w:ascii="Times New Roman" w:hAnsi="Times New Roman" w:cs="Times New Roman"/>
        </w:rPr>
      </w:pPr>
    </w:p>
    <w:p w14:paraId="02FB077D" w14:textId="735AE581" w:rsidR="00680BEE" w:rsidRDefault="00680BEE" w:rsidP="00187693">
      <w:pPr>
        <w:shd w:val="clear" w:color="auto" w:fill="FFFFFF"/>
        <w:spacing w:line="360" w:lineRule="auto"/>
        <w:jc w:val="both"/>
        <w:rPr>
          <w:rFonts w:ascii="Times New Roman" w:hAnsi="Times New Roman" w:cs="Times New Roman"/>
        </w:rPr>
      </w:pPr>
    </w:p>
    <w:p w14:paraId="01236E52" w14:textId="474BEBEC" w:rsidR="00680BEE" w:rsidRDefault="00680BEE" w:rsidP="00187693">
      <w:pPr>
        <w:shd w:val="clear" w:color="auto" w:fill="FFFFFF"/>
        <w:spacing w:line="360" w:lineRule="auto"/>
        <w:jc w:val="both"/>
        <w:rPr>
          <w:rFonts w:ascii="Times New Roman" w:hAnsi="Times New Roman" w:cs="Times New Roman"/>
        </w:rPr>
      </w:pPr>
    </w:p>
    <w:p w14:paraId="46A6960D" w14:textId="7FD74371" w:rsidR="00680BEE" w:rsidRDefault="00680BEE" w:rsidP="00187693">
      <w:pPr>
        <w:shd w:val="clear" w:color="auto" w:fill="FFFFFF"/>
        <w:spacing w:line="360" w:lineRule="auto"/>
        <w:jc w:val="both"/>
        <w:rPr>
          <w:rFonts w:ascii="Times New Roman" w:hAnsi="Times New Roman" w:cs="Times New Roman"/>
        </w:rPr>
      </w:pPr>
    </w:p>
    <w:p w14:paraId="00433446" w14:textId="2D391C66" w:rsidR="00680BEE" w:rsidRDefault="00680BEE" w:rsidP="00187693">
      <w:pPr>
        <w:shd w:val="clear" w:color="auto" w:fill="FFFFFF"/>
        <w:spacing w:line="360" w:lineRule="auto"/>
        <w:jc w:val="both"/>
        <w:rPr>
          <w:rFonts w:ascii="Times New Roman" w:hAnsi="Times New Roman" w:cs="Times New Roman"/>
        </w:rPr>
      </w:pPr>
    </w:p>
    <w:p w14:paraId="03034D07" w14:textId="30AEAA7C" w:rsidR="00680BEE" w:rsidRDefault="00680BEE" w:rsidP="00187693">
      <w:pPr>
        <w:shd w:val="clear" w:color="auto" w:fill="FFFFFF"/>
        <w:spacing w:line="360" w:lineRule="auto"/>
        <w:jc w:val="both"/>
        <w:rPr>
          <w:rFonts w:ascii="Times New Roman" w:hAnsi="Times New Roman" w:cs="Times New Roman"/>
        </w:rPr>
      </w:pPr>
    </w:p>
    <w:p w14:paraId="37CF1F95" w14:textId="1FFB5B04" w:rsidR="00680BEE" w:rsidRDefault="00680BEE" w:rsidP="00187693">
      <w:pPr>
        <w:shd w:val="clear" w:color="auto" w:fill="FFFFFF"/>
        <w:spacing w:line="360" w:lineRule="auto"/>
        <w:jc w:val="both"/>
        <w:rPr>
          <w:rFonts w:ascii="Times New Roman" w:hAnsi="Times New Roman" w:cs="Times New Roman"/>
        </w:rPr>
      </w:pPr>
    </w:p>
    <w:p w14:paraId="08DF71A9" w14:textId="7F1825A0" w:rsidR="00680BEE" w:rsidRDefault="00680BEE" w:rsidP="00187693">
      <w:pPr>
        <w:shd w:val="clear" w:color="auto" w:fill="FFFFFF"/>
        <w:spacing w:line="360" w:lineRule="auto"/>
        <w:jc w:val="both"/>
        <w:rPr>
          <w:rFonts w:ascii="Times New Roman" w:hAnsi="Times New Roman" w:cs="Times New Roman"/>
        </w:rPr>
      </w:pPr>
    </w:p>
    <w:p w14:paraId="5C686508" w14:textId="2BF8D221" w:rsidR="00680BEE" w:rsidRDefault="00680BEE" w:rsidP="00187693">
      <w:pPr>
        <w:shd w:val="clear" w:color="auto" w:fill="FFFFFF"/>
        <w:spacing w:line="360" w:lineRule="auto"/>
        <w:jc w:val="both"/>
        <w:rPr>
          <w:rFonts w:ascii="Times New Roman" w:hAnsi="Times New Roman" w:cs="Times New Roman"/>
        </w:rPr>
      </w:pPr>
    </w:p>
    <w:p w14:paraId="03A1F6E3" w14:textId="77890D19" w:rsidR="00680BEE" w:rsidRDefault="00680BEE" w:rsidP="00187693">
      <w:pPr>
        <w:shd w:val="clear" w:color="auto" w:fill="FFFFFF"/>
        <w:spacing w:line="360" w:lineRule="auto"/>
        <w:jc w:val="both"/>
        <w:rPr>
          <w:rFonts w:ascii="Times New Roman" w:hAnsi="Times New Roman" w:cs="Times New Roman"/>
        </w:rPr>
      </w:pPr>
    </w:p>
    <w:p w14:paraId="5FC85F7B" w14:textId="2503E500" w:rsidR="00680BEE" w:rsidRDefault="00680BEE" w:rsidP="00187693">
      <w:pPr>
        <w:shd w:val="clear" w:color="auto" w:fill="FFFFFF"/>
        <w:spacing w:line="360" w:lineRule="auto"/>
        <w:jc w:val="both"/>
        <w:rPr>
          <w:rFonts w:ascii="Times New Roman" w:hAnsi="Times New Roman" w:cs="Times New Roman"/>
        </w:rPr>
      </w:pPr>
    </w:p>
    <w:p w14:paraId="2174F962" w14:textId="1F8FE9EA" w:rsidR="00680BEE" w:rsidRDefault="00680BEE" w:rsidP="00187693">
      <w:pPr>
        <w:shd w:val="clear" w:color="auto" w:fill="FFFFFF"/>
        <w:spacing w:line="360" w:lineRule="auto"/>
        <w:jc w:val="both"/>
        <w:rPr>
          <w:rFonts w:ascii="Times New Roman" w:hAnsi="Times New Roman" w:cs="Times New Roman"/>
        </w:rPr>
      </w:pPr>
    </w:p>
    <w:p w14:paraId="6F0D6A28" w14:textId="70AE6A8D" w:rsidR="00680BEE" w:rsidRDefault="00680BEE" w:rsidP="00187693">
      <w:pPr>
        <w:shd w:val="clear" w:color="auto" w:fill="FFFFFF"/>
        <w:spacing w:line="360" w:lineRule="auto"/>
        <w:jc w:val="both"/>
        <w:rPr>
          <w:rFonts w:ascii="Times New Roman" w:hAnsi="Times New Roman" w:cs="Times New Roman"/>
        </w:rPr>
      </w:pPr>
    </w:p>
    <w:p w14:paraId="6E3AA452" w14:textId="5ABEDCCB" w:rsidR="00680BEE" w:rsidRDefault="00680BEE" w:rsidP="00187693">
      <w:pPr>
        <w:shd w:val="clear" w:color="auto" w:fill="FFFFFF"/>
        <w:spacing w:line="360" w:lineRule="auto"/>
        <w:jc w:val="both"/>
        <w:rPr>
          <w:rFonts w:ascii="Times New Roman" w:hAnsi="Times New Roman" w:cs="Times New Roman"/>
        </w:rPr>
      </w:pPr>
    </w:p>
    <w:p w14:paraId="67292D16" w14:textId="31B3A0ED" w:rsidR="00680BEE" w:rsidRDefault="00680BEE" w:rsidP="00187693">
      <w:pPr>
        <w:shd w:val="clear" w:color="auto" w:fill="FFFFFF"/>
        <w:spacing w:line="360" w:lineRule="auto"/>
        <w:jc w:val="both"/>
        <w:rPr>
          <w:rFonts w:ascii="Times New Roman" w:hAnsi="Times New Roman" w:cs="Times New Roman"/>
        </w:rPr>
      </w:pPr>
    </w:p>
    <w:p w14:paraId="53316835" w14:textId="2977975E" w:rsidR="00680BEE" w:rsidRDefault="00680BEE" w:rsidP="00187693">
      <w:pPr>
        <w:shd w:val="clear" w:color="auto" w:fill="FFFFFF"/>
        <w:spacing w:line="360" w:lineRule="auto"/>
        <w:jc w:val="both"/>
        <w:rPr>
          <w:rFonts w:ascii="Times New Roman" w:hAnsi="Times New Roman" w:cs="Times New Roman"/>
        </w:rPr>
      </w:pPr>
    </w:p>
    <w:p w14:paraId="6BF6AA04" w14:textId="70E5567C" w:rsidR="00680BEE" w:rsidRDefault="00680BEE" w:rsidP="00187693">
      <w:pPr>
        <w:shd w:val="clear" w:color="auto" w:fill="FFFFFF"/>
        <w:spacing w:line="360" w:lineRule="auto"/>
        <w:jc w:val="both"/>
        <w:rPr>
          <w:rFonts w:ascii="Times New Roman" w:hAnsi="Times New Roman" w:cs="Times New Roman"/>
        </w:rPr>
      </w:pPr>
    </w:p>
    <w:p w14:paraId="2933B6C7" w14:textId="3FF7C124" w:rsidR="00680BEE" w:rsidRDefault="00680BEE" w:rsidP="00187693">
      <w:pPr>
        <w:shd w:val="clear" w:color="auto" w:fill="FFFFFF"/>
        <w:spacing w:line="360" w:lineRule="auto"/>
        <w:jc w:val="both"/>
        <w:rPr>
          <w:rFonts w:ascii="Times New Roman" w:hAnsi="Times New Roman" w:cs="Times New Roman"/>
        </w:rPr>
      </w:pPr>
    </w:p>
    <w:p w14:paraId="1EB95B8B" w14:textId="47F9B8B0" w:rsidR="00680BEE" w:rsidRDefault="00680BEE" w:rsidP="00187693">
      <w:pPr>
        <w:shd w:val="clear" w:color="auto" w:fill="FFFFFF"/>
        <w:spacing w:line="360" w:lineRule="auto"/>
        <w:jc w:val="both"/>
        <w:rPr>
          <w:rFonts w:ascii="Times New Roman" w:hAnsi="Times New Roman" w:cs="Times New Roman"/>
        </w:rPr>
      </w:pPr>
    </w:p>
    <w:p w14:paraId="522F25EE" w14:textId="75CF0E2C" w:rsidR="00680BEE" w:rsidRDefault="00680BEE" w:rsidP="00187693">
      <w:pPr>
        <w:shd w:val="clear" w:color="auto" w:fill="FFFFFF"/>
        <w:spacing w:line="360" w:lineRule="auto"/>
        <w:jc w:val="both"/>
        <w:rPr>
          <w:rFonts w:ascii="Times New Roman" w:hAnsi="Times New Roman" w:cs="Times New Roman"/>
        </w:rPr>
      </w:pPr>
    </w:p>
    <w:p w14:paraId="235FB1B6" w14:textId="2931532F" w:rsidR="00680BEE" w:rsidRDefault="00680BEE" w:rsidP="00187693">
      <w:pPr>
        <w:shd w:val="clear" w:color="auto" w:fill="FFFFFF"/>
        <w:spacing w:line="360" w:lineRule="auto"/>
        <w:jc w:val="both"/>
        <w:rPr>
          <w:rFonts w:ascii="Times New Roman" w:hAnsi="Times New Roman" w:cs="Times New Roman"/>
        </w:rPr>
      </w:pPr>
    </w:p>
    <w:p w14:paraId="463DD801" w14:textId="4D94870A" w:rsidR="00680BEE" w:rsidRDefault="00680BEE" w:rsidP="00187693">
      <w:pPr>
        <w:shd w:val="clear" w:color="auto" w:fill="FFFFFF"/>
        <w:spacing w:line="360" w:lineRule="auto"/>
        <w:jc w:val="both"/>
        <w:rPr>
          <w:rFonts w:ascii="Times New Roman" w:hAnsi="Times New Roman" w:cs="Times New Roman"/>
        </w:rPr>
      </w:pPr>
    </w:p>
    <w:p w14:paraId="033B8BFE" w14:textId="673DBADF" w:rsidR="00276090" w:rsidRDefault="00680BEE" w:rsidP="00276090">
      <w:pPr>
        <w:pStyle w:val="Heading1"/>
      </w:pPr>
      <w:bookmarkStart w:id="174" w:name="_Toc142043664"/>
      <w:r>
        <w:t>References</w:t>
      </w:r>
      <w:bookmarkEnd w:id="174"/>
      <w:r w:rsidR="003422E6">
        <w:t xml:space="preserve"> </w:t>
      </w:r>
    </w:p>
    <w:p w14:paraId="1C6F6E70" w14:textId="77777777" w:rsidR="00276090" w:rsidRPr="00276090" w:rsidRDefault="00276090" w:rsidP="00276090"/>
    <w:p w14:paraId="222E9488" w14:textId="77777777" w:rsidR="00F33866" w:rsidRDefault="00276090" w:rsidP="00720DB4">
      <w:pPr>
        <w:pStyle w:val="EndNoteBibliography"/>
        <w:spacing w:after="0"/>
        <w:jc w:val="both"/>
        <w:rPr>
          <w:rFonts w:ascii="Times New Roman" w:hAnsi="Times New Roman" w:cs="Times New Roman"/>
        </w:rPr>
      </w:pPr>
      <w:r w:rsidRPr="00720DB4">
        <w:rPr>
          <w:rFonts w:ascii="Times New Roman" w:hAnsi="Times New Roman" w:cs="Times New Roman"/>
        </w:rPr>
        <w:fldChar w:fldCharType="begin"/>
      </w:r>
      <w:r w:rsidRPr="00720DB4">
        <w:rPr>
          <w:rFonts w:ascii="Times New Roman" w:hAnsi="Times New Roman" w:cs="Times New Roman"/>
        </w:rPr>
        <w:instrText xml:space="preserve"> ADDIN EN.REFLIST </w:instrText>
      </w:r>
      <w:r w:rsidRPr="00720DB4">
        <w:rPr>
          <w:rFonts w:ascii="Times New Roman" w:hAnsi="Times New Roman" w:cs="Times New Roman"/>
        </w:rPr>
        <w:fldChar w:fldCharType="separate"/>
      </w:r>
      <w:r w:rsidR="00F33866" w:rsidRPr="00720DB4">
        <w:rPr>
          <w:rFonts w:ascii="Times New Roman" w:hAnsi="Times New Roman" w:cs="Times New Roman"/>
        </w:rPr>
        <w:t xml:space="preserve">Abid, N., Maalej, S. and Rouis, S. (2004) 'Morphological and physiological changes of </w:t>
      </w:r>
      <w:r w:rsidR="00F33866" w:rsidRPr="00720DB4">
        <w:rPr>
          <w:rFonts w:ascii="Times New Roman" w:hAnsi="Times New Roman" w:cs="Times New Roman"/>
          <w:i/>
          <w:iCs/>
        </w:rPr>
        <w:t xml:space="preserve">Staphylococcus aureus </w:t>
      </w:r>
      <w:r w:rsidR="00F33866" w:rsidRPr="00720DB4">
        <w:rPr>
          <w:rFonts w:ascii="Times New Roman" w:hAnsi="Times New Roman" w:cs="Times New Roman"/>
        </w:rPr>
        <w:t xml:space="preserve">exposed to hypochlorous acid', </w:t>
      </w:r>
      <w:r w:rsidR="00F33866" w:rsidRPr="00720DB4">
        <w:rPr>
          <w:rFonts w:ascii="Times New Roman" w:hAnsi="Times New Roman" w:cs="Times New Roman"/>
          <w:i/>
        </w:rPr>
        <w:t>Letters in Applied Microbiology,</w:t>
      </w:r>
      <w:r w:rsidR="00F33866" w:rsidRPr="00720DB4">
        <w:rPr>
          <w:rFonts w:ascii="Times New Roman" w:hAnsi="Times New Roman" w:cs="Times New Roman"/>
        </w:rPr>
        <w:t xml:space="preserve"> 38(3), pp. 245-250.</w:t>
      </w:r>
    </w:p>
    <w:p w14:paraId="194D1FBC" w14:textId="77777777" w:rsidR="00720DB4" w:rsidRPr="00720DB4" w:rsidRDefault="00720DB4" w:rsidP="00720DB4">
      <w:pPr>
        <w:pStyle w:val="EndNoteBibliography"/>
        <w:spacing w:after="0"/>
        <w:jc w:val="both"/>
        <w:rPr>
          <w:rFonts w:ascii="Times New Roman" w:hAnsi="Times New Roman" w:cs="Times New Roman"/>
        </w:rPr>
      </w:pPr>
    </w:p>
    <w:p w14:paraId="76B44B2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Abraham, E. P. and Chain, E. (1988) 'AN ENZYME FROM BACTERIA ABLE TO DESTROY PENICILLIN (REPRINTED FROM NATURE, VOL 146, PG 837, 1940)', </w:t>
      </w:r>
      <w:r w:rsidRPr="00720DB4">
        <w:rPr>
          <w:rFonts w:ascii="Times New Roman" w:hAnsi="Times New Roman" w:cs="Times New Roman"/>
          <w:i/>
        </w:rPr>
        <w:t>Reviews of Infectious Diseases,</w:t>
      </w:r>
      <w:r w:rsidRPr="00720DB4">
        <w:rPr>
          <w:rFonts w:ascii="Times New Roman" w:hAnsi="Times New Roman" w:cs="Times New Roman"/>
        </w:rPr>
        <w:t xml:space="preserve"> 10(4), pp. 677-678.</w:t>
      </w:r>
    </w:p>
    <w:p w14:paraId="7B2E7956" w14:textId="77777777" w:rsidR="00720DB4" w:rsidRPr="00720DB4" w:rsidRDefault="00720DB4" w:rsidP="00720DB4">
      <w:pPr>
        <w:pStyle w:val="EndNoteBibliography"/>
        <w:spacing w:after="0"/>
        <w:jc w:val="both"/>
        <w:rPr>
          <w:rFonts w:ascii="Times New Roman" w:hAnsi="Times New Roman" w:cs="Times New Roman"/>
        </w:rPr>
      </w:pPr>
    </w:p>
    <w:p w14:paraId="112BF1E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Abranches, J., Martinez, A. R., Kajfasz, J. K., Chavez, V., Garsin, D. A. and Lemos, J. A. (2009) 'The Molecular Alarmone (p)ppGpp Mediates Stress Responses, Vancomycin Tolerance, and Virulence in </w:t>
      </w:r>
      <w:r w:rsidRPr="00720DB4">
        <w:rPr>
          <w:rFonts w:ascii="Times New Roman" w:hAnsi="Times New Roman" w:cs="Times New Roman"/>
          <w:i/>
          <w:iCs/>
        </w:rPr>
        <w:t>Enterococcus faecalis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191(7), pp. 2248-2256.</w:t>
      </w:r>
    </w:p>
    <w:p w14:paraId="182EE8FE" w14:textId="77777777" w:rsidR="00720DB4" w:rsidRPr="00720DB4" w:rsidRDefault="00720DB4" w:rsidP="00720DB4">
      <w:pPr>
        <w:pStyle w:val="EndNoteBibliography"/>
        <w:spacing w:after="0"/>
        <w:jc w:val="both"/>
        <w:rPr>
          <w:rFonts w:ascii="Times New Roman" w:hAnsi="Times New Roman" w:cs="Times New Roman"/>
        </w:rPr>
      </w:pPr>
    </w:p>
    <w:p w14:paraId="0869601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Aderem, A. and Underhill, D. M. (1999) 'Mechanisms of phagocytosis in macrophages', </w:t>
      </w:r>
      <w:r w:rsidRPr="00720DB4">
        <w:rPr>
          <w:rFonts w:ascii="Times New Roman" w:hAnsi="Times New Roman" w:cs="Times New Roman"/>
          <w:i/>
        </w:rPr>
        <w:t>Annual Review of Immunology,</w:t>
      </w:r>
      <w:r w:rsidRPr="00720DB4">
        <w:rPr>
          <w:rFonts w:ascii="Times New Roman" w:hAnsi="Times New Roman" w:cs="Times New Roman"/>
        </w:rPr>
        <w:t xml:space="preserve"> 17, pp. 593-623.</w:t>
      </w:r>
    </w:p>
    <w:p w14:paraId="3D94204F" w14:textId="77777777" w:rsidR="00720DB4" w:rsidRPr="00720DB4" w:rsidRDefault="00720DB4" w:rsidP="00720DB4">
      <w:pPr>
        <w:pStyle w:val="EndNoteBibliography"/>
        <w:spacing w:after="0"/>
        <w:jc w:val="both"/>
        <w:rPr>
          <w:rFonts w:ascii="Times New Roman" w:hAnsi="Times New Roman" w:cs="Times New Roman"/>
        </w:rPr>
      </w:pPr>
    </w:p>
    <w:p w14:paraId="13F2D65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Ahmad, S., Wang, B., Walker, M. D., Tran, H.-K. R., Stogios, P. J., Savchenko, A., Grant, R. A., McArthur, A. G., Laub, M. T. and Whitney, J. C. (2019) 'An interbacterial toxin inhibits target cell growth by synthesizing (p)ppApp', </w:t>
      </w:r>
      <w:r w:rsidRPr="00720DB4">
        <w:rPr>
          <w:rFonts w:ascii="Times New Roman" w:hAnsi="Times New Roman" w:cs="Times New Roman"/>
          <w:i/>
        </w:rPr>
        <w:t>Nature,</w:t>
      </w:r>
      <w:r w:rsidRPr="00720DB4">
        <w:rPr>
          <w:rFonts w:ascii="Times New Roman" w:hAnsi="Times New Roman" w:cs="Times New Roman"/>
        </w:rPr>
        <w:t xml:space="preserve"> 575(7784), pp. 674-+.</w:t>
      </w:r>
    </w:p>
    <w:p w14:paraId="2FF60906" w14:textId="77777777" w:rsidR="00720DB4" w:rsidRPr="00720DB4" w:rsidRDefault="00720DB4" w:rsidP="00720DB4">
      <w:pPr>
        <w:pStyle w:val="EndNoteBibliography"/>
        <w:spacing w:after="0"/>
        <w:jc w:val="both"/>
        <w:rPr>
          <w:rFonts w:ascii="Times New Roman" w:hAnsi="Times New Roman" w:cs="Times New Roman"/>
        </w:rPr>
      </w:pPr>
    </w:p>
    <w:p w14:paraId="4E735D5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Ahn, S., Jung, J., Jang, I.-A., Madsen, E. L. and Park, W. (2016) 'Role of Glyoxylate Shunt in Oxidative Stress Response', </w:t>
      </w:r>
      <w:r w:rsidRPr="00720DB4">
        <w:rPr>
          <w:rFonts w:ascii="Times New Roman" w:hAnsi="Times New Roman" w:cs="Times New Roman"/>
          <w:i/>
        </w:rPr>
        <w:t>Journal of Biological Chemistry,</w:t>
      </w:r>
      <w:r w:rsidRPr="00720DB4">
        <w:rPr>
          <w:rFonts w:ascii="Times New Roman" w:hAnsi="Times New Roman" w:cs="Times New Roman"/>
        </w:rPr>
        <w:t xml:space="preserve"> 291(22), pp. 11928-11938.</w:t>
      </w:r>
    </w:p>
    <w:p w14:paraId="7D0266A0" w14:textId="77777777" w:rsidR="00720DB4" w:rsidRPr="00720DB4" w:rsidRDefault="00720DB4" w:rsidP="00720DB4">
      <w:pPr>
        <w:pStyle w:val="EndNoteBibliography"/>
        <w:spacing w:after="0"/>
        <w:jc w:val="both"/>
        <w:rPr>
          <w:rFonts w:ascii="Times New Roman" w:hAnsi="Times New Roman" w:cs="Times New Roman"/>
        </w:rPr>
      </w:pPr>
    </w:p>
    <w:p w14:paraId="529BB20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Ainelo, A., Caballero-Montes, J., Bulvas, O., Ernits, K., Coppieters 't Wallant, K., Takada, H., Craig, S. Z., Mazzucchelli, G., Zedek, S., Pichova, I., Atkinson, G. C., Talavera, A., Martens, C., Hauryliuk, V. and Garcia-Pino, A. (2023) 'The structure of DarB in complex with Rel</w:t>
      </w:r>
      <w:r w:rsidRPr="00720DB4">
        <w:rPr>
          <w:rFonts w:ascii="Times New Roman" w:hAnsi="Times New Roman" w:cs="Times New Roman"/>
          <w:vertAlign w:val="superscript"/>
        </w:rPr>
        <w:t>NTD</w:t>
      </w:r>
      <w:r w:rsidRPr="00720DB4">
        <w:rPr>
          <w:rFonts w:ascii="Times New Roman" w:hAnsi="Times New Roman" w:cs="Times New Roman"/>
        </w:rPr>
        <w:t xml:space="preserve"> reveals nonribosomal activation of Rel stringent factors', </w:t>
      </w:r>
      <w:r w:rsidRPr="00720DB4">
        <w:rPr>
          <w:rFonts w:ascii="Times New Roman" w:hAnsi="Times New Roman" w:cs="Times New Roman"/>
          <w:i/>
        </w:rPr>
        <w:t>Science advances,</w:t>
      </w:r>
      <w:r w:rsidRPr="00720DB4">
        <w:rPr>
          <w:rFonts w:ascii="Times New Roman" w:hAnsi="Times New Roman" w:cs="Times New Roman"/>
        </w:rPr>
        <w:t xml:space="preserve"> 9(3), pp. eade4077-eade4077.</w:t>
      </w:r>
    </w:p>
    <w:p w14:paraId="77873648" w14:textId="77777777" w:rsidR="00720DB4" w:rsidRPr="00720DB4" w:rsidRDefault="00720DB4" w:rsidP="00720DB4">
      <w:pPr>
        <w:pStyle w:val="EndNoteBibliography"/>
        <w:spacing w:after="0"/>
        <w:jc w:val="both"/>
        <w:rPr>
          <w:rFonts w:ascii="Times New Roman" w:hAnsi="Times New Roman" w:cs="Times New Roman"/>
        </w:rPr>
      </w:pPr>
    </w:p>
    <w:p w14:paraId="418184B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Ajami, B., Bennett, J. L., Krieger, C., Tetzlaff, W. and Rossi, F. M. V. (2007) 'Local self-renewal can sustain CNS microglia maintenance and function throughout adult life', </w:t>
      </w:r>
      <w:r w:rsidRPr="00720DB4">
        <w:rPr>
          <w:rFonts w:ascii="Times New Roman" w:hAnsi="Times New Roman" w:cs="Times New Roman"/>
          <w:i/>
        </w:rPr>
        <w:t>Nature Neuroscience,</w:t>
      </w:r>
      <w:r w:rsidRPr="00720DB4">
        <w:rPr>
          <w:rFonts w:ascii="Times New Roman" w:hAnsi="Times New Roman" w:cs="Times New Roman"/>
        </w:rPr>
        <w:t xml:space="preserve"> 10(12), pp. 1538-1543.</w:t>
      </w:r>
    </w:p>
    <w:p w14:paraId="6F555384" w14:textId="77777777" w:rsidR="00720DB4" w:rsidRPr="00720DB4" w:rsidRDefault="00720DB4" w:rsidP="00720DB4">
      <w:pPr>
        <w:pStyle w:val="EndNoteBibliography"/>
        <w:spacing w:after="0"/>
        <w:jc w:val="both"/>
        <w:rPr>
          <w:rFonts w:ascii="Times New Roman" w:hAnsi="Times New Roman" w:cs="Times New Roman"/>
        </w:rPr>
      </w:pPr>
    </w:p>
    <w:p w14:paraId="16D15B9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Alexopoulou, L., Holt, A. C., Medzhitov, R. and Flavell, R. A. (2001) 'Recognition of double-stranded RNA and activation of NF-kappa B by Toll-like receptor 3', </w:t>
      </w:r>
      <w:r w:rsidRPr="00720DB4">
        <w:rPr>
          <w:rFonts w:ascii="Times New Roman" w:hAnsi="Times New Roman" w:cs="Times New Roman"/>
          <w:i/>
        </w:rPr>
        <w:t>Nature,</w:t>
      </w:r>
      <w:r w:rsidRPr="00720DB4">
        <w:rPr>
          <w:rFonts w:ascii="Times New Roman" w:hAnsi="Times New Roman" w:cs="Times New Roman"/>
        </w:rPr>
        <w:t xml:space="preserve"> 413(6857), pp. 732-738.</w:t>
      </w:r>
    </w:p>
    <w:p w14:paraId="26D15BCC" w14:textId="77777777" w:rsidR="00720DB4" w:rsidRPr="00720DB4" w:rsidRDefault="00720DB4" w:rsidP="00720DB4">
      <w:pPr>
        <w:pStyle w:val="EndNoteBibliography"/>
        <w:spacing w:after="0"/>
        <w:jc w:val="both"/>
        <w:rPr>
          <w:rFonts w:ascii="Times New Roman" w:hAnsi="Times New Roman" w:cs="Times New Roman"/>
        </w:rPr>
      </w:pPr>
    </w:p>
    <w:p w14:paraId="597D8D6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Aliprantis, A. O., Yang, R. B., Mark, M. R., Suggett, S., Devaux, B., Radolf, J. D., Klimpel, G. R., Godowski, P. and Zychlinsky, A. (1999) 'Cell activation and apoptosis by bacterial lipoproteins through toll-like receptor-2', </w:t>
      </w:r>
      <w:r w:rsidRPr="00720DB4">
        <w:rPr>
          <w:rFonts w:ascii="Times New Roman" w:hAnsi="Times New Roman" w:cs="Times New Roman"/>
          <w:i/>
        </w:rPr>
        <w:t>Science,</w:t>
      </w:r>
      <w:r w:rsidRPr="00720DB4">
        <w:rPr>
          <w:rFonts w:ascii="Times New Roman" w:hAnsi="Times New Roman" w:cs="Times New Roman"/>
        </w:rPr>
        <w:t xml:space="preserve"> 285(5428), pp. 736-739.</w:t>
      </w:r>
    </w:p>
    <w:p w14:paraId="596BC4D7" w14:textId="77777777" w:rsidR="00720DB4" w:rsidRPr="00720DB4" w:rsidRDefault="00720DB4" w:rsidP="00720DB4">
      <w:pPr>
        <w:pStyle w:val="EndNoteBibliography"/>
        <w:spacing w:after="0"/>
        <w:jc w:val="both"/>
        <w:rPr>
          <w:rFonts w:ascii="Times New Roman" w:hAnsi="Times New Roman" w:cs="Times New Roman"/>
        </w:rPr>
      </w:pPr>
    </w:p>
    <w:p w14:paraId="1DE2177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Alonzo, F. and Torres, V. J. (2014) 'The Bicomponent Pore-Forming Leucocidins of </w:t>
      </w:r>
      <w:r w:rsidRPr="00720DB4">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Microbiology and Molecular Biology Reviews,</w:t>
      </w:r>
      <w:r w:rsidRPr="00720DB4">
        <w:rPr>
          <w:rFonts w:ascii="Times New Roman" w:hAnsi="Times New Roman" w:cs="Times New Roman"/>
        </w:rPr>
        <w:t xml:space="preserve"> 78(2), pp. 199-230.</w:t>
      </w:r>
    </w:p>
    <w:p w14:paraId="2C6A0675" w14:textId="77777777" w:rsidR="00720DB4" w:rsidRPr="00720DB4" w:rsidRDefault="00720DB4" w:rsidP="00720DB4">
      <w:pPr>
        <w:pStyle w:val="EndNoteBibliography"/>
        <w:spacing w:after="0"/>
        <w:jc w:val="both"/>
        <w:rPr>
          <w:rFonts w:ascii="Times New Roman" w:hAnsi="Times New Roman" w:cs="Times New Roman"/>
        </w:rPr>
      </w:pPr>
    </w:p>
    <w:p w14:paraId="7E4E102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Amagai, M., Matsuyoshi, N., Wang, Z. H., Andl, C. and Stanley, J. R. (2000) 'Toxin in bullous impetigo and staphylococcal scalded-skin syndrome targets desmoglein 1', </w:t>
      </w:r>
      <w:r w:rsidRPr="00720DB4">
        <w:rPr>
          <w:rFonts w:ascii="Times New Roman" w:hAnsi="Times New Roman" w:cs="Times New Roman"/>
          <w:i/>
        </w:rPr>
        <w:t>Nature Medicine,</w:t>
      </w:r>
      <w:r w:rsidRPr="00720DB4">
        <w:rPr>
          <w:rFonts w:ascii="Times New Roman" w:hAnsi="Times New Roman" w:cs="Times New Roman"/>
        </w:rPr>
        <w:t xml:space="preserve"> 6(11), pp. 1275-1277.</w:t>
      </w:r>
    </w:p>
    <w:p w14:paraId="16ACF988" w14:textId="77777777" w:rsidR="00720DB4" w:rsidRPr="00720DB4" w:rsidRDefault="00720DB4" w:rsidP="00720DB4">
      <w:pPr>
        <w:pStyle w:val="EndNoteBibliography"/>
        <w:spacing w:after="0"/>
        <w:jc w:val="both"/>
        <w:rPr>
          <w:rFonts w:ascii="Times New Roman" w:hAnsi="Times New Roman" w:cs="Times New Roman"/>
        </w:rPr>
      </w:pPr>
    </w:p>
    <w:p w14:paraId="4DAB2A9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Amato, S. M. and Brynildsen, M. P. (2015) 'Persister Heterogeneity Arising from a Single Metabolic Stress', </w:t>
      </w:r>
      <w:r w:rsidRPr="00720DB4">
        <w:rPr>
          <w:rFonts w:ascii="Times New Roman" w:hAnsi="Times New Roman" w:cs="Times New Roman"/>
          <w:i/>
        </w:rPr>
        <w:t>Current Biology,</w:t>
      </w:r>
      <w:r w:rsidRPr="00720DB4">
        <w:rPr>
          <w:rFonts w:ascii="Times New Roman" w:hAnsi="Times New Roman" w:cs="Times New Roman"/>
        </w:rPr>
        <w:t xml:space="preserve"> 25(16), pp. 2090-2098.</w:t>
      </w:r>
    </w:p>
    <w:p w14:paraId="2AEE90D3" w14:textId="77777777" w:rsidR="00720DB4" w:rsidRPr="00720DB4" w:rsidRDefault="00720DB4" w:rsidP="00720DB4">
      <w:pPr>
        <w:pStyle w:val="EndNoteBibliography"/>
        <w:spacing w:after="0"/>
        <w:jc w:val="both"/>
        <w:rPr>
          <w:rFonts w:ascii="Times New Roman" w:hAnsi="Times New Roman" w:cs="Times New Roman"/>
        </w:rPr>
      </w:pPr>
    </w:p>
    <w:p w14:paraId="6A75CB5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Ambrose, C. T. (2006) 'The Osler slide, a demonstration of phagocytosis from 1876 Reports of phagocytosis before Metchnikoff's 1880 paper', </w:t>
      </w:r>
      <w:r w:rsidRPr="00720DB4">
        <w:rPr>
          <w:rFonts w:ascii="Times New Roman" w:hAnsi="Times New Roman" w:cs="Times New Roman"/>
          <w:i/>
        </w:rPr>
        <w:t>Cellular Immunology,</w:t>
      </w:r>
      <w:r w:rsidRPr="00720DB4">
        <w:rPr>
          <w:rFonts w:ascii="Times New Roman" w:hAnsi="Times New Roman" w:cs="Times New Roman"/>
        </w:rPr>
        <w:t xml:space="preserve"> 240(1), pp. 1-4.</w:t>
      </w:r>
    </w:p>
    <w:p w14:paraId="54AE9562" w14:textId="77777777" w:rsidR="00720DB4" w:rsidRPr="00720DB4" w:rsidRDefault="00720DB4" w:rsidP="00720DB4">
      <w:pPr>
        <w:pStyle w:val="EndNoteBibliography"/>
        <w:spacing w:after="0"/>
        <w:jc w:val="both"/>
        <w:rPr>
          <w:rFonts w:ascii="Times New Roman" w:hAnsi="Times New Roman" w:cs="Times New Roman"/>
        </w:rPr>
      </w:pPr>
    </w:p>
    <w:p w14:paraId="5F303F1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Anderson, B. W., Hao, A., Satyshur, K. A., Keck, J. L. and Wang, J. D. (2020) 'Molecular Mechanism of Regulation of the Purine Salvage Enzyme XPRT by the Alarmones pppGpp, ppGpp, and pGpp', </w:t>
      </w:r>
      <w:r w:rsidRPr="00720DB4">
        <w:rPr>
          <w:rFonts w:ascii="Times New Roman" w:hAnsi="Times New Roman" w:cs="Times New Roman"/>
          <w:i/>
        </w:rPr>
        <w:t>Journal of Molecular Biology,</w:t>
      </w:r>
      <w:r w:rsidRPr="00720DB4">
        <w:rPr>
          <w:rFonts w:ascii="Times New Roman" w:hAnsi="Times New Roman" w:cs="Times New Roman"/>
        </w:rPr>
        <w:t xml:space="preserve"> 432(14), pp. 4108-4126.</w:t>
      </w:r>
    </w:p>
    <w:p w14:paraId="172F3B39" w14:textId="77777777" w:rsidR="00720DB4" w:rsidRPr="00720DB4" w:rsidRDefault="00720DB4" w:rsidP="00720DB4">
      <w:pPr>
        <w:pStyle w:val="EndNoteBibliography"/>
        <w:spacing w:after="0"/>
        <w:jc w:val="both"/>
        <w:rPr>
          <w:rFonts w:ascii="Times New Roman" w:hAnsi="Times New Roman" w:cs="Times New Roman"/>
        </w:rPr>
      </w:pPr>
    </w:p>
    <w:p w14:paraId="5594988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Anderson, K. V. (2000) 'Toll signaling pathways in the innate immune response', </w:t>
      </w:r>
      <w:r w:rsidRPr="00720DB4">
        <w:rPr>
          <w:rFonts w:ascii="Times New Roman" w:hAnsi="Times New Roman" w:cs="Times New Roman"/>
          <w:i/>
        </w:rPr>
        <w:t>Current Opinion in Immunology,</w:t>
      </w:r>
      <w:r w:rsidRPr="00720DB4">
        <w:rPr>
          <w:rFonts w:ascii="Times New Roman" w:hAnsi="Times New Roman" w:cs="Times New Roman"/>
        </w:rPr>
        <w:t xml:space="preserve"> 12(1), pp. 13-19.</w:t>
      </w:r>
    </w:p>
    <w:p w14:paraId="34FF0392" w14:textId="77777777" w:rsidR="00720DB4" w:rsidRPr="00720DB4" w:rsidRDefault="00720DB4" w:rsidP="00720DB4">
      <w:pPr>
        <w:pStyle w:val="EndNoteBibliography"/>
        <w:spacing w:after="0"/>
        <w:jc w:val="both"/>
        <w:rPr>
          <w:rFonts w:ascii="Times New Roman" w:hAnsi="Times New Roman" w:cs="Times New Roman"/>
        </w:rPr>
      </w:pPr>
    </w:p>
    <w:p w14:paraId="18459B2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Andreson, L., Tenson, T. and Hauryliuk, V. (2016) 'Cationic bactericidal peptide 1018 does not specifically target the stringent response alarmone (p)ppGpp', </w:t>
      </w:r>
      <w:r w:rsidRPr="00720DB4">
        <w:rPr>
          <w:rFonts w:ascii="Times New Roman" w:hAnsi="Times New Roman" w:cs="Times New Roman"/>
          <w:i/>
        </w:rPr>
        <w:t>Scientific Reports,</w:t>
      </w:r>
      <w:r w:rsidRPr="00720DB4">
        <w:rPr>
          <w:rFonts w:ascii="Times New Roman" w:hAnsi="Times New Roman" w:cs="Times New Roman"/>
        </w:rPr>
        <w:t xml:space="preserve"> 6.</w:t>
      </w:r>
    </w:p>
    <w:p w14:paraId="38DEE431" w14:textId="77777777" w:rsidR="00720DB4" w:rsidRPr="00720DB4" w:rsidRDefault="00720DB4" w:rsidP="00720DB4">
      <w:pPr>
        <w:pStyle w:val="EndNoteBibliography"/>
        <w:spacing w:after="0"/>
        <w:jc w:val="both"/>
        <w:rPr>
          <w:rFonts w:ascii="Times New Roman" w:hAnsi="Times New Roman" w:cs="Times New Roman"/>
        </w:rPr>
      </w:pPr>
    </w:p>
    <w:p w14:paraId="6D8B566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Andrä , J., Goldmann, T., Ernst, C. M., Peschel, A. and Gutsmann, T. (2011) 'Multiple Peptide Resistance Factor (MprF)-mediated Resistance of</w:t>
      </w:r>
      <w:r w:rsidRPr="00720DB4">
        <w:rPr>
          <w:rFonts w:ascii="Times New Roman" w:hAnsi="Times New Roman" w:cs="Times New Roman"/>
          <w:i/>
          <w:iCs/>
        </w:rPr>
        <w:t xml:space="preserve"> Staphylococcus aureus</w:t>
      </w:r>
      <w:r w:rsidRPr="00720DB4">
        <w:rPr>
          <w:rFonts w:ascii="Times New Roman" w:hAnsi="Times New Roman" w:cs="Times New Roman"/>
        </w:rPr>
        <w:t xml:space="preserve"> against Antimicrobial Peptides Coincides with a Modulated Peptide Interaction with Artificial Membranes Comprising Lysyl-Phosphatidylglycerol', </w:t>
      </w:r>
      <w:r w:rsidRPr="00720DB4">
        <w:rPr>
          <w:rFonts w:ascii="Times New Roman" w:hAnsi="Times New Roman" w:cs="Times New Roman"/>
          <w:i/>
        </w:rPr>
        <w:t>Journal of Biological Chemistry,</w:t>
      </w:r>
      <w:r w:rsidRPr="00720DB4">
        <w:rPr>
          <w:rFonts w:ascii="Times New Roman" w:hAnsi="Times New Roman" w:cs="Times New Roman"/>
        </w:rPr>
        <w:t xml:space="preserve"> 286(21), pp. 18692-18700.</w:t>
      </w:r>
    </w:p>
    <w:p w14:paraId="422D3537" w14:textId="77777777" w:rsidR="00720DB4" w:rsidRPr="00720DB4" w:rsidRDefault="00720DB4" w:rsidP="00720DB4">
      <w:pPr>
        <w:pStyle w:val="EndNoteBibliography"/>
        <w:spacing w:after="0"/>
        <w:jc w:val="both"/>
        <w:rPr>
          <w:rFonts w:ascii="Times New Roman" w:hAnsi="Times New Roman" w:cs="Times New Roman"/>
        </w:rPr>
      </w:pPr>
    </w:p>
    <w:p w14:paraId="3C74E96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Aravind, L. and Koonin, E. V. (1998) 'The HD domain defines a new superfamily of metal-dependent phosphohydrolases', </w:t>
      </w:r>
      <w:r w:rsidRPr="00720DB4">
        <w:rPr>
          <w:rFonts w:ascii="Times New Roman" w:hAnsi="Times New Roman" w:cs="Times New Roman"/>
          <w:i/>
        </w:rPr>
        <w:t>Trends in Biochemical Sciences,</w:t>
      </w:r>
      <w:r w:rsidRPr="00720DB4">
        <w:rPr>
          <w:rFonts w:ascii="Times New Roman" w:hAnsi="Times New Roman" w:cs="Times New Roman"/>
        </w:rPr>
        <w:t xml:space="preserve"> 23(12), pp. 469-472.</w:t>
      </w:r>
    </w:p>
    <w:p w14:paraId="749CF96C" w14:textId="77777777" w:rsidR="00720DB4" w:rsidRPr="00720DB4" w:rsidRDefault="00720DB4" w:rsidP="00720DB4">
      <w:pPr>
        <w:pStyle w:val="EndNoteBibliography"/>
        <w:spacing w:after="0"/>
        <w:jc w:val="both"/>
        <w:rPr>
          <w:rFonts w:ascii="Times New Roman" w:hAnsi="Times New Roman" w:cs="Times New Roman"/>
        </w:rPr>
      </w:pPr>
    </w:p>
    <w:p w14:paraId="75A76E6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Arenz, S., Abdelshahid, M., Sohmen, D., Payoe, R., Starosta, A. L., Berninghausen, O., Hauryliuk, V., Beckmann, R. and Wilson, D. N. (2016) 'The stringent factor RelA adopts an open conformation on the ribosome to stimulate ppGpp synthesis', </w:t>
      </w:r>
      <w:r w:rsidRPr="00720DB4">
        <w:rPr>
          <w:rFonts w:ascii="Times New Roman" w:hAnsi="Times New Roman" w:cs="Times New Roman"/>
          <w:i/>
        </w:rPr>
        <w:t>Nucleic Acids Research,</w:t>
      </w:r>
      <w:r w:rsidRPr="00720DB4">
        <w:rPr>
          <w:rFonts w:ascii="Times New Roman" w:hAnsi="Times New Roman" w:cs="Times New Roman"/>
        </w:rPr>
        <w:t xml:space="preserve"> 44(13), pp. 6471-6481.</w:t>
      </w:r>
    </w:p>
    <w:p w14:paraId="0330B52A" w14:textId="77777777" w:rsidR="00720DB4" w:rsidRPr="00720DB4" w:rsidRDefault="00720DB4" w:rsidP="00720DB4">
      <w:pPr>
        <w:pStyle w:val="EndNoteBibliography"/>
        <w:spacing w:after="0"/>
        <w:jc w:val="both"/>
        <w:rPr>
          <w:rFonts w:ascii="Times New Roman" w:hAnsi="Times New Roman" w:cs="Times New Roman"/>
        </w:rPr>
      </w:pPr>
    </w:p>
    <w:p w14:paraId="654F563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Atkinson, G. C., Tenson, T. and Hauryliuk, V. (2011) 'The RelA/SpoT Homolog (RSH) Superfamily: Distribution and Functional Evolution of ppGpp Synthetases and Hydrolases across the Tree of Life', </w:t>
      </w:r>
      <w:r w:rsidRPr="00720DB4">
        <w:rPr>
          <w:rFonts w:ascii="Times New Roman" w:hAnsi="Times New Roman" w:cs="Times New Roman"/>
          <w:i/>
        </w:rPr>
        <w:t>Plos One,</w:t>
      </w:r>
      <w:r w:rsidRPr="00720DB4">
        <w:rPr>
          <w:rFonts w:ascii="Times New Roman" w:hAnsi="Times New Roman" w:cs="Times New Roman"/>
        </w:rPr>
        <w:t xml:space="preserve"> 6(8).</w:t>
      </w:r>
    </w:p>
    <w:p w14:paraId="433B1123" w14:textId="77777777" w:rsidR="00720DB4" w:rsidRPr="00720DB4" w:rsidRDefault="00720DB4" w:rsidP="00720DB4">
      <w:pPr>
        <w:pStyle w:val="EndNoteBibliography"/>
        <w:spacing w:after="0"/>
        <w:jc w:val="both"/>
        <w:rPr>
          <w:rFonts w:ascii="Times New Roman" w:hAnsi="Times New Roman" w:cs="Times New Roman"/>
        </w:rPr>
      </w:pPr>
    </w:p>
    <w:p w14:paraId="2670EF9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Aubin, J. E. (1979) 'AUTOFLUORESCENCE OF VIABLE CULTURED MAMMALIAN-CELLS', </w:t>
      </w:r>
      <w:r w:rsidRPr="00720DB4">
        <w:rPr>
          <w:rFonts w:ascii="Times New Roman" w:hAnsi="Times New Roman" w:cs="Times New Roman"/>
          <w:i/>
        </w:rPr>
        <w:t>Journal of Histochemistry &amp; Cytochemistry,</w:t>
      </w:r>
      <w:r w:rsidRPr="00720DB4">
        <w:rPr>
          <w:rFonts w:ascii="Times New Roman" w:hAnsi="Times New Roman" w:cs="Times New Roman"/>
        </w:rPr>
        <w:t xml:space="preserve"> 27(1), pp. 36-43.</w:t>
      </w:r>
    </w:p>
    <w:p w14:paraId="34492939" w14:textId="77777777" w:rsidR="00720DB4" w:rsidRPr="00720DB4" w:rsidRDefault="00720DB4" w:rsidP="00720DB4">
      <w:pPr>
        <w:pStyle w:val="EndNoteBibliography"/>
        <w:spacing w:after="0"/>
        <w:jc w:val="both"/>
        <w:rPr>
          <w:rFonts w:ascii="Times New Roman" w:hAnsi="Times New Roman" w:cs="Times New Roman"/>
        </w:rPr>
      </w:pPr>
    </w:p>
    <w:p w14:paraId="4FAEA3E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Autour, A., Jeng, S. C. Y., Cawte, A. D., Abdolahzadeh, A., Galli, A., Panchapakesan, S. S. S., Rueda, D., Ryckelynck, M. and Unrau, P. J. (2018) 'Fluorogenic RNA Mango aptamers for imaging small non-coding RNAs in mammalian cells', </w:t>
      </w:r>
      <w:r w:rsidRPr="00720DB4">
        <w:rPr>
          <w:rFonts w:ascii="Times New Roman" w:hAnsi="Times New Roman" w:cs="Times New Roman"/>
          <w:i/>
        </w:rPr>
        <w:t>Nature Communications,</w:t>
      </w:r>
      <w:r w:rsidRPr="00720DB4">
        <w:rPr>
          <w:rFonts w:ascii="Times New Roman" w:hAnsi="Times New Roman" w:cs="Times New Roman"/>
        </w:rPr>
        <w:t xml:space="preserve"> 9.</w:t>
      </w:r>
    </w:p>
    <w:p w14:paraId="473308FF" w14:textId="77777777" w:rsidR="00720DB4" w:rsidRPr="00720DB4" w:rsidRDefault="00720DB4" w:rsidP="00720DB4">
      <w:pPr>
        <w:pStyle w:val="EndNoteBibliography"/>
        <w:spacing w:after="0"/>
        <w:jc w:val="both"/>
        <w:rPr>
          <w:rFonts w:ascii="Times New Roman" w:hAnsi="Times New Roman" w:cs="Times New Roman"/>
        </w:rPr>
      </w:pPr>
    </w:p>
    <w:p w14:paraId="6BE3D5E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Baba, T., Bae, T., Schneewind, O., Takeuchi, F. and Hiramatsu, K. (2008) 'Genome sequence of </w:t>
      </w:r>
      <w:r w:rsidRPr="00720DB4">
        <w:rPr>
          <w:rFonts w:ascii="Times New Roman" w:hAnsi="Times New Roman" w:cs="Times New Roman"/>
          <w:i/>
          <w:iCs/>
        </w:rPr>
        <w:t xml:space="preserve">Staphylococcus aureus </w:t>
      </w:r>
      <w:r w:rsidRPr="00720DB4">
        <w:rPr>
          <w:rFonts w:ascii="Times New Roman" w:hAnsi="Times New Roman" w:cs="Times New Roman"/>
        </w:rPr>
        <w:t xml:space="preserve">strain newman and comparative analysis of staphylococcal genomes: Polymorphism and evolution of two major pathogenicity islands', </w:t>
      </w:r>
      <w:r w:rsidRPr="00720DB4">
        <w:rPr>
          <w:rFonts w:ascii="Times New Roman" w:hAnsi="Times New Roman" w:cs="Times New Roman"/>
          <w:i/>
        </w:rPr>
        <w:t>Journal of Bacteriology,</w:t>
      </w:r>
      <w:r w:rsidRPr="00720DB4">
        <w:rPr>
          <w:rFonts w:ascii="Times New Roman" w:hAnsi="Times New Roman" w:cs="Times New Roman"/>
        </w:rPr>
        <w:t xml:space="preserve"> 190(1), pp. 300-310.</w:t>
      </w:r>
    </w:p>
    <w:p w14:paraId="1C6FB8B8" w14:textId="77777777" w:rsidR="00720DB4" w:rsidRPr="00720DB4" w:rsidRDefault="00720DB4" w:rsidP="00720DB4">
      <w:pPr>
        <w:pStyle w:val="EndNoteBibliography"/>
        <w:spacing w:after="0"/>
        <w:jc w:val="both"/>
        <w:rPr>
          <w:rFonts w:ascii="Times New Roman" w:hAnsi="Times New Roman" w:cs="Times New Roman"/>
        </w:rPr>
      </w:pPr>
    </w:p>
    <w:p w14:paraId="67A7DC6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Bain, C. C., Bravo-Blas, A., Scott, C. L., Perdiguero, E. G., Geissmann, F., Henri, S., Malissen, B., Osborne, L. C., Artis, D. and Mowat, A. M. (2014) 'Constant replenishment from circulating monocytes maintains the macrophage pool in the intestine of adult mice', </w:t>
      </w:r>
      <w:r w:rsidRPr="00720DB4">
        <w:rPr>
          <w:rFonts w:ascii="Times New Roman" w:hAnsi="Times New Roman" w:cs="Times New Roman"/>
          <w:i/>
        </w:rPr>
        <w:t>Nature Immunology,</w:t>
      </w:r>
      <w:r w:rsidRPr="00720DB4">
        <w:rPr>
          <w:rFonts w:ascii="Times New Roman" w:hAnsi="Times New Roman" w:cs="Times New Roman"/>
        </w:rPr>
        <w:t xml:space="preserve"> 15(10), pp. 929-U236.</w:t>
      </w:r>
    </w:p>
    <w:p w14:paraId="0CFB1B71" w14:textId="77777777" w:rsidR="00720DB4" w:rsidRPr="00720DB4" w:rsidRDefault="00720DB4" w:rsidP="00720DB4">
      <w:pPr>
        <w:pStyle w:val="EndNoteBibliography"/>
        <w:spacing w:after="0"/>
        <w:jc w:val="both"/>
        <w:rPr>
          <w:rFonts w:ascii="Times New Roman" w:hAnsi="Times New Roman" w:cs="Times New Roman"/>
        </w:rPr>
      </w:pPr>
    </w:p>
    <w:p w14:paraId="57E51DA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Bainton, D. F., Ullyot, J. L. and Farquhar, M. G. (1971) 'DEVELOPMENT OF NEUTROPHILIC POLYMORPHONUCLEAR LEUKOCYTES IN HUMAN BONE MARROW - ORIGIN AND CONTENT OF AZUROPHIL AND SPECIFIC GRANULES', </w:t>
      </w:r>
      <w:r w:rsidRPr="00720DB4">
        <w:rPr>
          <w:rFonts w:ascii="Times New Roman" w:hAnsi="Times New Roman" w:cs="Times New Roman"/>
          <w:i/>
        </w:rPr>
        <w:t>Journal of Experimental Medicine,</w:t>
      </w:r>
      <w:r w:rsidRPr="00720DB4">
        <w:rPr>
          <w:rFonts w:ascii="Times New Roman" w:hAnsi="Times New Roman" w:cs="Times New Roman"/>
        </w:rPr>
        <w:t xml:space="preserve"> 134(4), pp. 907-+.</w:t>
      </w:r>
    </w:p>
    <w:p w14:paraId="165DFED1" w14:textId="77777777" w:rsidR="00720DB4" w:rsidRPr="00720DB4" w:rsidRDefault="00720DB4" w:rsidP="00720DB4">
      <w:pPr>
        <w:pStyle w:val="EndNoteBibliography"/>
        <w:spacing w:after="0"/>
        <w:jc w:val="both"/>
        <w:rPr>
          <w:rFonts w:ascii="Times New Roman" w:hAnsi="Times New Roman" w:cs="Times New Roman"/>
        </w:rPr>
      </w:pPr>
    </w:p>
    <w:p w14:paraId="3F7535B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Baird-Parker, A. (1962) 'An Improved Diagnostic and Selective Medium for Isolating Coagulase Positive Staphylococci', </w:t>
      </w:r>
      <w:r w:rsidRPr="00720DB4">
        <w:rPr>
          <w:rFonts w:ascii="Times New Roman" w:hAnsi="Times New Roman" w:cs="Times New Roman"/>
          <w:i/>
        </w:rPr>
        <w:t>Journal of Applied Bacteriology,</w:t>
      </w:r>
      <w:r w:rsidRPr="00720DB4">
        <w:rPr>
          <w:rFonts w:ascii="Times New Roman" w:hAnsi="Times New Roman" w:cs="Times New Roman"/>
        </w:rPr>
        <w:t xml:space="preserve"> 25(1), pp. 12-19.</w:t>
      </w:r>
    </w:p>
    <w:p w14:paraId="7CDF1569" w14:textId="77777777" w:rsidR="00720DB4" w:rsidRPr="00720DB4" w:rsidRDefault="00720DB4" w:rsidP="00720DB4">
      <w:pPr>
        <w:pStyle w:val="EndNoteBibliography"/>
        <w:spacing w:after="0"/>
        <w:jc w:val="both"/>
        <w:rPr>
          <w:rFonts w:ascii="Times New Roman" w:hAnsi="Times New Roman" w:cs="Times New Roman"/>
        </w:rPr>
      </w:pPr>
    </w:p>
    <w:p w14:paraId="1E748F9A" w14:textId="78B5CE6C" w:rsidR="00720DB4"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Bals, R., Wang, X. R., Zasloff, M. and Wilson, J. M. (1998) 'The peptide antibiotic LL-37/hCAP-18 is expressed in epithelia of the human lung where it has broad antimicrobial activity at the airway surface',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95(16), pp. 9541-9546.</w:t>
      </w:r>
    </w:p>
    <w:p w14:paraId="6586874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Barrick, J. E., Corbino, K. A., Winkler, W. C., Nahvi, A., Mandal, M., Collins, J., Lee, M., Roth, A., Sudarsan, N., Jona, I., Wickiser, J. K. and Breaker, R. R. (2004) 'New RNA motifs suggest an expanded scope for riboswitches in bacterial genetic control',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101(17), pp. 6421-6426.</w:t>
      </w:r>
    </w:p>
    <w:p w14:paraId="7D2A188D" w14:textId="77777777" w:rsidR="00720DB4" w:rsidRPr="00720DB4" w:rsidRDefault="00720DB4" w:rsidP="00720DB4">
      <w:pPr>
        <w:pStyle w:val="EndNoteBibliography"/>
        <w:spacing w:after="0"/>
        <w:jc w:val="both"/>
        <w:rPr>
          <w:rFonts w:ascii="Times New Roman" w:hAnsi="Times New Roman" w:cs="Times New Roman"/>
        </w:rPr>
      </w:pPr>
    </w:p>
    <w:p w14:paraId="2F4D1738" w14:textId="6EBABE2D"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Bartoli, J., Viala, P</w:t>
      </w:r>
      <w:r w:rsidR="00720DB4">
        <w:rPr>
          <w:rFonts w:ascii="Times New Roman" w:hAnsi="Times New Roman" w:cs="Times New Roman"/>
        </w:rPr>
        <w:t>.</w:t>
      </w:r>
      <w:r w:rsidRPr="00720DB4">
        <w:rPr>
          <w:rFonts w:ascii="Times New Roman" w:hAnsi="Times New Roman" w:cs="Times New Roman"/>
        </w:rPr>
        <w:t xml:space="preserve"> J.,</w:t>
      </w:r>
      <w:r w:rsidR="00720DB4">
        <w:rPr>
          <w:rFonts w:ascii="Times New Roman" w:hAnsi="Times New Roman" w:cs="Times New Roman"/>
        </w:rPr>
        <w:t xml:space="preserve"> and</w:t>
      </w:r>
      <w:r w:rsidRPr="00720DB4">
        <w:rPr>
          <w:rFonts w:ascii="Times New Roman" w:hAnsi="Times New Roman" w:cs="Times New Roman"/>
        </w:rPr>
        <w:t xml:space="preserve"> Bouveret, E.</w:t>
      </w:r>
      <w:r w:rsidR="00720DB4">
        <w:rPr>
          <w:rFonts w:ascii="Times New Roman" w:hAnsi="Times New Roman" w:cs="Times New Roman"/>
        </w:rPr>
        <w:t xml:space="preserve"> </w:t>
      </w:r>
      <w:r w:rsidRPr="00720DB4">
        <w:rPr>
          <w:rFonts w:ascii="Times New Roman" w:hAnsi="Times New Roman" w:cs="Times New Roman"/>
        </w:rPr>
        <w:t xml:space="preserve">(2020) 'SlyA Transcriptional Regulator Is Not Directly Affected by ppGpp Level.', </w:t>
      </w:r>
      <w:r w:rsidRPr="00720DB4">
        <w:rPr>
          <w:rFonts w:ascii="Times New Roman" w:hAnsi="Times New Roman" w:cs="Times New Roman"/>
          <w:i/>
        </w:rPr>
        <w:t>Frontiers in Microbiology,</w:t>
      </w:r>
      <w:r w:rsidRPr="00720DB4">
        <w:rPr>
          <w:rFonts w:ascii="Times New Roman" w:hAnsi="Times New Roman" w:cs="Times New Roman"/>
        </w:rPr>
        <w:t xml:space="preserve"> 4(11).</w:t>
      </w:r>
    </w:p>
    <w:p w14:paraId="463CDE3A" w14:textId="77777777" w:rsidR="00720DB4" w:rsidRPr="00720DB4" w:rsidRDefault="00720DB4" w:rsidP="00720DB4">
      <w:pPr>
        <w:pStyle w:val="EndNoteBibliography"/>
        <w:spacing w:after="0"/>
        <w:jc w:val="both"/>
        <w:rPr>
          <w:rFonts w:ascii="Times New Roman" w:hAnsi="Times New Roman" w:cs="Times New Roman"/>
        </w:rPr>
      </w:pPr>
    </w:p>
    <w:p w14:paraId="5C1045D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Basu, A. and Yap, M. N. F. (2017) 'Disassembly of the </w:t>
      </w:r>
      <w:r w:rsidRPr="00720DB4">
        <w:rPr>
          <w:rFonts w:ascii="Times New Roman" w:hAnsi="Times New Roman" w:cs="Times New Roman"/>
          <w:i/>
          <w:iCs/>
        </w:rPr>
        <w:t>Staphylococcus aureus</w:t>
      </w:r>
      <w:r w:rsidRPr="00720DB4">
        <w:rPr>
          <w:rFonts w:ascii="Times New Roman" w:hAnsi="Times New Roman" w:cs="Times New Roman"/>
        </w:rPr>
        <w:t xml:space="preserve"> hibernating 100S ribosome by an evolutionarily conserved GTPase',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114(39), pp. E8165-E8173.</w:t>
      </w:r>
    </w:p>
    <w:p w14:paraId="6D480AEB" w14:textId="77777777" w:rsidR="00720DB4" w:rsidRPr="00720DB4" w:rsidRDefault="00720DB4" w:rsidP="00720DB4">
      <w:pPr>
        <w:pStyle w:val="EndNoteBibliography"/>
        <w:spacing w:after="0"/>
        <w:jc w:val="both"/>
        <w:rPr>
          <w:rFonts w:ascii="Times New Roman" w:hAnsi="Times New Roman" w:cs="Times New Roman"/>
        </w:rPr>
      </w:pPr>
    </w:p>
    <w:p w14:paraId="0F0FAAB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Bateman, B. T., Donegan, N. P., Jarry, T. M., Palma, M. and Cheung, A. L. (2001) 'Evaluation of a tetracycline-inducible promoter in </w:t>
      </w:r>
      <w:r w:rsidRPr="006A2B3E">
        <w:rPr>
          <w:rFonts w:ascii="Times New Roman" w:hAnsi="Times New Roman" w:cs="Times New Roman"/>
          <w:i/>
          <w:iCs/>
        </w:rPr>
        <w:t>Staphylococcus aureus</w:t>
      </w:r>
      <w:r w:rsidRPr="00720DB4">
        <w:rPr>
          <w:rFonts w:ascii="Times New Roman" w:hAnsi="Times New Roman" w:cs="Times New Roman"/>
        </w:rPr>
        <w:t xml:space="preserve"> in vitro and in vivo and its application in demonstrating the role of sigB in microcolony formation', </w:t>
      </w:r>
      <w:r w:rsidRPr="00720DB4">
        <w:rPr>
          <w:rFonts w:ascii="Times New Roman" w:hAnsi="Times New Roman" w:cs="Times New Roman"/>
          <w:i/>
        </w:rPr>
        <w:t>Infection and Immunity,</w:t>
      </w:r>
      <w:r w:rsidRPr="00720DB4">
        <w:rPr>
          <w:rFonts w:ascii="Times New Roman" w:hAnsi="Times New Roman" w:cs="Times New Roman"/>
        </w:rPr>
        <w:t xml:space="preserve"> 69(12), pp. 7851-7857.</w:t>
      </w:r>
    </w:p>
    <w:p w14:paraId="7149FE57" w14:textId="77777777" w:rsidR="006A2B3E" w:rsidRPr="00720DB4" w:rsidRDefault="006A2B3E" w:rsidP="00720DB4">
      <w:pPr>
        <w:pStyle w:val="EndNoteBibliography"/>
        <w:spacing w:after="0"/>
        <w:jc w:val="both"/>
        <w:rPr>
          <w:rFonts w:ascii="Times New Roman" w:hAnsi="Times New Roman" w:cs="Times New Roman"/>
        </w:rPr>
      </w:pPr>
    </w:p>
    <w:p w14:paraId="3064CB3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Battesti, A. and Bouveret, E. (2006) 'Acyl carrier protein/SpoT interaction, the switch linking SpoT-dependent stress response to fatty acid metabolism', </w:t>
      </w:r>
      <w:r w:rsidRPr="00720DB4">
        <w:rPr>
          <w:rFonts w:ascii="Times New Roman" w:hAnsi="Times New Roman" w:cs="Times New Roman"/>
          <w:i/>
        </w:rPr>
        <w:t>Molecular Microbiology,</w:t>
      </w:r>
      <w:r w:rsidRPr="00720DB4">
        <w:rPr>
          <w:rFonts w:ascii="Times New Roman" w:hAnsi="Times New Roman" w:cs="Times New Roman"/>
        </w:rPr>
        <w:t xml:space="preserve"> 62(4), pp. 1048-1063.</w:t>
      </w:r>
    </w:p>
    <w:p w14:paraId="641766A8" w14:textId="77777777" w:rsidR="006A2B3E" w:rsidRPr="00720DB4" w:rsidRDefault="006A2B3E" w:rsidP="00720DB4">
      <w:pPr>
        <w:pStyle w:val="EndNoteBibliography"/>
        <w:spacing w:after="0"/>
        <w:jc w:val="both"/>
        <w:rPr>
          <w:rFonts w:ascii="Times New Roman" w:hAnsi="Times New Roman" w:cs="Times New Roman"/>
        </w:rPr>
      </w:pPr>
    </w:p>
    <w:p w14:paraId="27EEF19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Bauer, S., Kirschning, C. J., Hacker, H., Redecke, V., Hausmann, S., Akira, S., Wagner, H. and Lipford, G. B. (2001) 'Human TLR9 confers responsiveness to bacterial DNA via species-specific CpG motif recognition',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98(16), pp. 9237-9242.</w:t>
      </w:r>
    </w:p>
    <w:p w14:paraId="13A95F86" w14:textId="77777777" w:rsidR="006A2B3E" w:rsidRPr="00720DB4" w:rsidRDefault="006A2B3E" w:rsidP="00720DB4">
      <w:pPr>
        <w:pStyle w:val="EndNoteBibliography"/>
        <w:spacing w:after="0"/>
        <w:jc w:val="both"/>
        <w:rPr>
          <w:rFonts w:ascii="Times New Roman" w:hAnsi="Times New Roman" w:cs="Times New Roman"/>
        </w:rPr>
      </w:pPr>
    </w:p>
    <w:p w14:paraId="6B4D7EF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Bayles, K. W., Wesson, C. A., Liou, L. E., Fox, L. K., Bohach, G. A. and Trumble, W. R. (1998) 'Intracellular </w:t>
      </w:r>
      <w:r w:rsidRPr="006A2B3E">
        <w:rPr>
          <w:rFonts w:ascii="Times New Roman" w:hAnsi="Times New Roman" w:cs="Times New Roman"/>
          <w:i/>
          <w:iCs/>
        </w:rPr>
        <w:t>Staphylococcus aureus</w:t>
      </w:r>
      <w:r w:rsidRPr="00720DB4">
        <w:rPr>
          <w:rFonts w:ascii="Times New Roman" w:hAnsi="Times New Roman" w:cs="Times New Roman"/>
        </w:rPr>
        <w:t xml:space="preserve"> escapes the endosome and induces apoptosis in epithelial cells', </w:t>
      </w:r>
      <w:r w:rsidRPr="00720DB4">
        <w:rPr>
          <w:rFonts w:ascii="Times New Roman" w:hAnsi="Times New Roman" w:cs="Times New Roman"/>
          <w:i/>
        </w:rPr>
        <w:t>Infection and Immunity,</w:t>
      </w:r>
      <w:r w:rsidRPr="00720DB4">
        <w:rPr>
          <w:rFonts w:ascii="Times New Roman" w:hAnsi="Times New Roman" w:cs="Times New Roman"/>
        </w:rPr>
        <w:t xml:space="preserve"> 66(1), pp. 336-342.</w:t>
      </w:r>
    </w:p>
    <w:p w14:paraId="2FEC8DA7" w14:textId="77777777" w:rsidR="006A2B3E" w:rsidRPr="00720DB4" w:rsidRDefault="006A2B3E" w:rsidP="00720DB4">
      <w:pPr>
        <w:pStyle w:val="EndNoteBibliography"/>
        <w:spacing w:after="0"/>
        <w:jc w:val="both"/>
        <w:rPr>
          <w:rFonts w:ascii="Times New Roman" w:hAnsi="Times New Roman" w:cs="Times New Roman"/>
        </w:rPr>
      </w:pPr>
    </w:p>
    <w:p w14:paraId="33D5B19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Becken, U., Jeschke, A., Veltman, K. and Haas, A. (2010) 'Cell-free fusion of bacteria-containing phagosomes with endocytic compartments',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107(48), pp. 20726-20731.</w:t>
      </w:r>
    </w:p>
    <w:p w14:paraId="0D3BB5D1" w14:textId="77777777" w:rsidR="006A2B3E" w:rsidRPr="00720DB4" w:rsidRDefault="006A2B3E" w:rsidP="00720DB4">
      <w:pPr>
        <w:pStyle w:val="EndNoteBibliography"/>
        <w:spacing w:after="0"/>
        <w:jc w:val="both"/>
        <w:rPr>
          <w:rFonts w:ascii="Times New Roman" w:hAnsi="Times New Roman" w:cs="Times New Roman"/>
        </w:rPr>
      </w:pPr>
    </w:p>
    <w:p w14:paraId="2E70DA9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Becker, K., Heilmann, C. and Peters, G. (2014) 'Coagulase-Negative Staphylococci', </w:t>
      </w:r>
      <w:r w:rsidRPr="00720DB4">
        <w:rPr>
          <w:rFonts w:ascii="Times New Roman" w:hAnsi="Times New Roman" w:cs="Times New Roman"/>
          <w:i/>
        </w:rPr>
        <w:t>Clinical Microbiology Reviews,</w:t>
      </w:r>
      <w:r w:rsidRPr="00720DB4">
        <w:rPr>
          <w:rFonts w:ascii="Times New Roman" w:hAnsi="Times New Roman" w:cs="Times New Roman"/>
        </w:rPr>
        <w:t xml:space="preserve"> 27(4), pp. 870-926.</w:t>
      </w:r>
    </w:p>
    <w:p w14:paraId="09680BEB" w14:textId="77777777" w:rsidR="006A2B3E" w:rsidRPr="00720DB4" w:rsidRDefault="006A2B3E" w:rsidP="00720DB4">
      <w:pPr>
        <w:pStyle w:val="EndNoteBibliography"/>
        <w:spacing w:after="0"/>
        <w:jc w:val="both"/>
        <w:rPr>
          <w:rFonts w:ascii="Times New Roman" w:hAnsi="Times New Roman" w:cs="Times New Roman"/>
        </w:rPr>
      </w:pPr>
    </w:p>
    <w:p w14:paraId="30A6AE2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Begier, E., Seiden, D. J., Patton, M., Zito, E., Severs, J., Cooper, D., Eiden, J., Gruber, W. C., Jansen, K. U., Anderson, A. S. and Gurtman, A. (2017) 'SA4Ag, a 4-antigen </w:t>
      </w:r>
      <w:r w:rsidRPr="006A2B3E">
        <w:rPr>
          <w:rFonts w:ascii="Times New Roman" w:hAnsi="Times New Roman" w:cs="Times New Roman"/>
          <w:i/>
          <w:iCs/>
        </w:rPr>
        <w:t>Staphylococcus aureus</w:t>
      </w:r>
      <w:r w:rsidRPr="00720DB4">
        <w:rPr>
          <w:rFonts w:ascii="Times New Roman" w:hAnsi="Times New Roman" w:cs="Times New Roman"/>
        </w:rPr>
        <w:t xml:space="preserve"> vaccine, rapidly induces high levels of bacteria-killing antibodies', </w:t>
      </w:r>
      <w:r w:rsidRPr="00720DB4">
        <w:rPr>
          <w:rFonts w:ascii="Times New Roman" w:hAnsi="Times New Roman" w:cs="Times New Roman"/>
          <w:i/>
        </w:rPr>
        <w:t>Vaccine,</w:t>
      </w:r>
      <w:r w:rsidRPr="00720DB4">
        <w:rPr>
          <w:rFonts w:ascii="Times New Roman" w:hAnsi="Times New Roman" w:cs="Times New Roman"/>
        </w:rPr>
        <w:t xml:space="preserve"> 35(8), pp. 1132-1139.</w:t>
      </w:r>
    </w:p>
    <w:p w14:paraId="7ECDCAC3" w14:textId="77777777" w:rsidR="006A2B3E" w:rsidRPr="00720DB4" w:rsidRDefault="006A2B3E" w:rsidP="00720DB4">
      <w:pPr>
        <w:pStyle w:val="EndNoteBibliography"/>
        <w:spacing w:after="0"/>
        <w:jc w:val="both"/>
        <w:rPr>
          <w:rFonts w:ascii="Times New Roman" w:hAnsi="Times New Roman" w:cs="Times New Roman"/>
        </w:rPr>
      </w:pPr>
    </w:p>
    <w:p w14:paraId="685F8F6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Belitsky, B. R. (2011) 'Indirect Repression by </w:t>
      </w:r>
      <w:r w:rsidRPr="006A2B3E">
        <w:rPr>
          <w:rFonts w:ascii="Times New Roman" w:hAnsi="Times New Roman" w:cs="Times New Roman"/>
          <w:i/>
          <w:iCs/>
        </w:rPr>
        <w:t>Bacillus subtilis</w:t>
      </w:r>
      <w:r w:rsidRPr="00720DB4">
        <w:rPr>
          <w:rFonts w:ascii="Times New Roman" w:hAnsi="Times New Roman" w:cs="Times New Roman"/>
        </w:rPr>
        <w:t xml:space="preserve"> CodY via Displacement of the Activator of the Proline Utilization Operon', </w:t>
      </w:r>
      <w:r w:rsidRPr="00720DB4">
        <w:rPr>
          <w:rFonts w:ascii="Times New Roman" w:hAnsi="Times New Roman" w:cs="Times New Roman"/>
          <w:i/>
        </w:rPr>
        <w:t>Journal of Molecular Biology,</w:t>
      </w:r>
      <w:r w:rsidRPr="00720DB4">
        <w:rPr>
          <w:rFonts w:ascii="Times New Roman" w:hAnsi="Times New Roman" w:cs="Times New Roman"/>
        </w:rPr>
        <w:t xml:space="preserve"> 413(2), pp. 321-336.</w:t>
      </w:r>
    </w:p>
    <w:p w14:paraId="6FA25CFC" w14:textId="77777777" w:rsidR="006A2B3E" w:rsidRPr="00720DB4" w:rsidRDefault="006A2B3E" w:rsidP="00720DB4">
      <w:pPr>
        <w:pStyle w:val="EndNoteBibliography"/>
        <w:spacing w:after="0"/>
        <w:jc w:val="both"/>
        <w:rPr>
          <w:rFonts w:ascii="Times New Roman" w:hAnsi="Times New Roman" w:cs="Times New Roman"/>
        </w:rPr>
      </w:pPr>
    </w:p>
    <w:p w14:paraId="11C49CE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Beljantseva, J., Kudrin, P., Jimmy, S., Ehn, M., Pohl, R., Varik, V., Tozawa, Y., Shingler, V., Tenson, T., Rejman, D. and Hauryliuk, V. (2017) 'Molecular mutagenesis of ppGpp: turning a RelA activator into an inhibitor', </w:t>
      </w:r>
      <w:r w:rsidRPr="00720DB4">
        <w:rPr>
          <w:rFonts w:ascii="Times New Roman" w:hAnsi="Times New Roman" w:cs="Times New Roman"/>
          <w:i/>
        </w:rPr>
        <w:t>Scientific Reports,</w:t>
      </w:r>
      <w:r w:rsidRPr="00720DB4">
        <w:rPr>
          <w:rFonts w:ascii="Times New Roman" w:hAnsi="Times New Roman" w:cs="Times New Roman"/>
        </w:rPr>
        <w:t xml:space="preserve"> 7.</w:t>
      </w:r>
    </w:p>
    <w:p w14:paraId="2BEA61FB" w14:textId="77777777" w:rsidR="006A2B3E" w:rsidRPr="00720DB4" w:rsidRDefault="006A2B3E" w:rsidP="00720DB4">
      <w:pPr>
        <w:pStyle w:val="EndNoteBibliography"/>
        <w:spacing w:after="0"/>
        <w:jc w:val="both"/>
        <w:rPr>
          <w:rFonts w:ascii="Times New Roman" w:hAnsi="Times New Roman" w:cs="Times New Roman"/>
        </w:rPr>
      </w:pPr>
    </w:p>
    <w:p w14:paraId="68B49D8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Bera, A., Herbert, S., Jakob, A., Vollmer, W. and Gotz, F. (2005) 'Why are pathogenic staphylococci so lysozyme resistant? The peptidoglycan O-acetyltransferase OatA is the major determinant for lysozyme resistance of Staphylococcus aureus', </w:t>
      </w:r>
      <w:r w:rsidRPr="00720DB4">
        <w:rPr>
          <w:rFonts w:ascii="Times New Roman" w:hAnsi="Times New Roman" w:cs="Times New Roman"/>
          <w:i/>
        </w:rPr>
        <w:t>Molecular Microbiology,</w:t>
      </w:r>
      <w:r w:rsidRPr="00720DB4">
        <w:rPr>
          <w:rFonts w:ascii="Times New Roman" w:hAnsi="Times New Roman" w:cs="Times New Roman"/>
        </w:rPr>
        <w:t xml:space="preserve"> 55(3), pp. 778-787.</w:t>
      </w:r>
    </w:p>
    <w:p w14:paraId="5C82496E" w14:textId="77777777" w:rsidR="006A2B3E" w:rsidRPr="00720DB4" w:rsidRDefault="006A2B3E" w:rsidP="00720DB4">
      <w:pPr>
        <w:pStyle w:val="EndNoteBibliography"/>
        <w:spacing w:after="0"/>
        <w:jc w:val="both"/>
        <w:rPr>
          <w:rFonts w:ascii="Times New Roman" w:hAnsi="Times New Roman" w:cs="Times New Roman"/>
        </w:rPr>
      </w:pPr>
    </w:p>
    <w:p w14:paraId="2DEBA8E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Berger, A. (2000) 'Science commentary: Th1 and Th2 responses: what are they?', </w:t>
      </w:r>
      <w:r w:rsidRPr="00720DB4">
        <w:rPr>
          <w:rFonts w:ascii="Times New Roman" w:hAnsi="Times New Roman" w:cs="Times New Roman"/>
          <w:i/>
        </w:rPr>
        <w:t>British Medical Journal,</w:t>
      </w:r>
      <w:r w:rsidRPr="00720DB4">
        <w:rPr>
          <w:rFonts w:ascii="Times New Roman" w:hAnsi="Times New Roman" w:cs="Times New Roman"/>
        </w:rPr>
        <w:t xml:space="preserve"> 321(7258), pp. 424-424.</w:t>
      </w:r>
    </w:p>
    <w:p w14:paraId="1A2B8A6E" w14:textId="77777777" w:rsidR="006A2B3E" w:rsidRPr="00720DB4" w:rsidRDefault="006A2B3E" w:rsidP="00720DB4">
      <w:pPr>
        <w:pStyle w:val="EndNoteBibliography"/>
        <w:spacing w:after="0"/>
        <w:jc w:val="both"/>
        <w:rPr>
          <w:rFonts w:ascii="Times New Roman" w:hAnsi="Times New Roman" w:cs="Times New Roman"/>
        </w:rPr>
      </w:pPr>
    </w:p>
    <w:p w14:paraId="1932FAA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Betts, J. W., Sharili, A. S., La Ragione, R. M. and Wareham, D. W. (2016) 'In Vitro Antibacterial Activity of Curcumin-Polymyxin B Combinations against Multidrug-Resistant Bacteria Associated with Traumatic Wound Infections', </w:t>
      </w:r>
      <w:r w:rsidRPr="00720DB4">
        <w:rPr>
          <w:rFonts w:ascii="Times New Roman" w:hAnsi="Times New Roman" w:cs="Times New Roman"/>
          <w:i/>
        </w:rPr>
        <w:t>Journal of Natural Products,</w:t>
      </w:r>
      <w:r w:rsidRPr="00720DB4">
        <w:rPr>
          <w:rFonts w:ascii="Times New Roman" w:hAnsi="Times New Roman" w:cs="Times New Roman"/>
        </w:rPr>
        <w:t xml:space="preserve"> 79(6), pp. 1702-1706.</w:t>
      </w:r>
    </w:p>
    <w:p w14:paraId="72529561" w14:textId="77777777" w:rsidR="006A2B3E" w:rsidRPr="00720DB4" w:rsidRDefault="006A2B3E" w:rsidP="00720DB4">
      <w:pPr>
        <w:pStyle w:val="EndNoteBibliography"/>
        <w:spacing w:after="0"/>
        <w:jc w:val="both"/>
        <w:rPr>
          <w:rFonts w:ascii="Times New Roman" w:hAnsi="Times New Roman" w:cs="Times New Roman"/>
        </w:rPr>
      </w:pPr>
    </w:p>
    <w:p w14:paraId="51C07FC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Bhawini, A., Pandey, P., Dubey, A. P., Zehra, A., Nath, G. and Mishra, M. N. (2019) 'RelQ Mediates the Expression of beta-Lactam Resistance in Methicillin-Resistant </w:t>
      </w:r>
      <w:r w:rsidRPr="00720DB4">
        <w:rPr>
          <w:rFonts w:ascii="Times New Roman" w:hAnsi="Times New Roman" w:cs="Times New Roman"/>
          <w:i/>
        </w:rPr>
        <w:t>Staphylococcus aureus</w:t>
      </w:r>
      <w:r w:rsidRPr="00720DB4">
        <w:rPr>
          <w:rFonts w:ascii="Times New Roman" w:hAnsi="Times New Roman" w:cs="Times New Roman"/>
        </w:rPr>
        <w:t xml:space="preserve">', </w:t>
      </w:r>
      <w:r w:rsidRPr="00720DB4">
        <w:rPr>
          <w:rFonts w:ascii="Times New Roman" w:hAnsi="Times New Roman" w:cs="Times New Roman"/>
          <w:i/>
        </w:rPr>
        <w:t>Frontiers in Microbiology,</w:t>
      </w:r>
      <w:r w:rsidRPr="00720DB4">
        <w:rPr>
          <w:rFonts w:ascii="Times New Roman" w:hAnsi="Times New Roman" w:cs="Times New Roman"/>
        </w:rPr>
        <w:t xml:space="preserve"> 10.</w:t>
      </w:r>
    </w:p>
    <w:p w14:paraId="709FDEF8" w14:textId="77777777" w:rsidR="006A2B3E" w:rsidRPr="00720DB4" w:rsidRDefault="006A2B3E" w:rsidP="00720DB4">
      <w:pPr>
        <w:pStyle w:val="EndNoteBibliography"/>
        <w:spacing w:after="0"/>
        <w:jc w:val="both"/>
        <w:rPr>
          <w:rFonts w:ascii="Times New Roman" w:hAnsi="Times New Roman" w:cs="Times New Roman"/>
        </w:rPr>
      </w:pPr>
    </w:p>
    <w:p w14:paraId="0C6AD75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Binker, M. G., Cosen-Binker, L. I., Terebiznik, M. R., Mallo, G. V., McCaw, S. E., Eskelinen, E. L., Willenborg, M., Brumell, J. H., Saftig, P., Grinstein, S. and Gray-Owen, S. D. (2007) 'Arrested maturation of </w:t>
      </w:r>
      <w:r w:rsidRPr="006A2B3E">
        <w:rPr>
          <w:rFonts w:ascii="Times New Roman" w:hAnsi="Times New Roman" w:cs="Times New Roman"/>
          <w:i/>
          <w:iCs/>
        </w:rPr>
        <w:t>Neisseria</w:t>
      </w:r>
      <w:r w:rsidRPr="00720DB4">
        <w:rPr>
          <w:rFonts w:ascii="Times New Roman" w:hAnsi="Times New Roman" w:cs="Times New Roman"/>
        </w:rPr>
        <w:t xml:space="preserve">-containing phagosomes in the absence of the lysosome-associated membrane proteins, LAMP-1 and LAMP-2', </w:t>
      </w:r>
      <w:r w:rsidRPr="00720DB4">
        <w:rPr>
          <w:rFonts w:ascii="Times New Roman" w:hAnsi="Times New Roman" w:cs="Times New Roman"/>
          <w:i/>
        </w:rPr>
        <w:t>Cellular Microbiology,</w:t>
      </w:r>
      <w:r w:rsidRPr="00720DB4">
        <w:rPr>
          <w:rFonts w:ascii="Times New Roman" w:hAnsi="Times New Roman" w:cs="Times New Roman"/>
        </w:rPr>
        <w:t xml:space="preserve"> 9(9), pp. 2153-2166.</w:t>
      </w:r>
    </w:p>
    <w:p w14:paraId="043DEDD7" w14:textId="77777777" w:rsidR="006A2B3E" w:rsidRPr="00720DB4" w:rsidRDefault="006A2B3E" w:rsidP="00720DB4">
      <w:pPr>
        <w:pStyle w:val="EndNoteBibliography"/>
        <w:spacing w:after="0"/>
        <w:jc w:val="both"/>
        <w:rPr>
          <w:rFonts w:ascii="Times New Roman" w:hAnsi="Times New Roman" w:cs="Times New Roman"/>
        </w:rPr>
      </w:pPr>
    </w:p>
    <w:p w14:paraId="724FB6B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Bischoff, M., Dunman, P., Kormanec, J., Macapagal, D., Murphy, E., Mounts, W., Berger-Bachi, B. and Projan, S. (2004) 'Microarray-based analysis of the </w:t>
      </w:r>
      <w:r w:rsidRPr="006A2B3E">
        <w:rPr>
          <w:rFonts w:ascii="Times New Roman" w:hAnsi="Times New Roman" w:cs="Times New Roman"/>
          <w:i/>
          <w:iCs/>
        </w:rPr>
        <w:t>Staphylococcus aureus</w:t>
      </w:r>
      <w:r w:rsidRPr="00720DB4">
        <w:rPr>
          <w:rFonts w:ascii="Times New Roman" w:hAnsi="Times New Roman" w:cs="Times New Roman"/>
        </w:rPr>
        <w:t xml:space="preserve"> </w:t>
      </w:r>
      <w:r w:rsidRPr="006A2B3E">
        <w:rPr>
          <w:rFonts w:ascii="Times New Roman" w:hAnsi="Times New Roman" w:cs="Times New Roman"/>
        </w:rPr>
        <w:t>sigma(B)</w:t>
      </w:r>
      <w:r w:rsidRPr="00720DB4">
        <w:rPr>
          <w:rFonts w:ascii="Times New Roman" w:hAnsi="Times New Roman" w:cs="Times New Roman"/>
        </w:rPr>
        <w:t xml:space="preserve"> regulon', </w:t>
      </w:r>
      <w:r w:rsidRPr="00720DB4">
        <w:rPr>
          <w:rFonts w:ascii="Times New Roman" w:hAnsi="Times New Roman" w:cs="Times New Roman"/>
          <w:i/>
        </w:rPr>
        <w:t>Journal of Bacteriology,</w:t>
      </w:r>
      <w:r w:rsidRPr="00720DB4">
        <w:rPr>
          <w:rFonts w:ascii="Times New Roman" w:hAnsi="Times New Roman" w:cs="Times New Roman"/>
        </w:rPr>
        <w:t xml:space="preserve"> 186(13), pp. 4085-4099.</w:t>
      </w:r>
    </w:p>
    <w:p w14:paraId="06DA23B1" w14:textId="77777777" w:rsidR="006A2B3E" w:rsidRPr="00720DB4" w:rsidRDefault="006A2B3E" w:rsidP="00720DB4">
      <w:pPr>
        <w:pStyle w:val="EndNoteBibliography"/>
        <w:spacing w:after="0"/>
        <w:jc w:val="both"/>
        <w:rPr>
          <w:rFonts w:ascii="Times New Roman" w:hAnsi="Times New Roman" w:cs="Times New Roman"/>
        </w:rPr>
      </w:pPr>
    </w:p>
    <w:p w14:paraId="1388CF0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Bogdan, C. T., Rollinghoff, M. and Diefenbach, A. (2000) 'The role of nitric oxide in innate immunity', </w:t>
      </w:r>
      <w:r w:rsidRPr="00720DB4">
        <w:rPr>
          <w:rFonts w:ascii="Times New Roman" w:hAnsi="Times New Roman" w:cs="Times New Roman"/>
          <w:i/>
        </w:rPr>
        <w:t>Immunological Reviews,</w:t>
      </w:r>
      <w:r w:rsidRPr="00720DB4">
        <w:rPr>
          <w:rFonts w:ascii="Times New Roman" w:hAnsi="Times New Roman" w:cs="Times New Roman"/>
        </w:rPr>
        <w:t xml:space="preserve"> 173, pp. 17-26.</w:t>
      </w:r>
    </w:p>
    <w:p w14:paraId="52CC4D2F" w14:textId="77777777" w:rsidR="006A2B3E" w:rsidRPr="00720DB4" w:rsidRDefault="006A2B3E" w:rsidP="00720DB4">
      <w:pPr>
        <w:pStyle w:val="EndNoteBibliography"/>
        <w:spacing w:after="0"/>
        <w:jc w:val="both"/>
        <w:rPr>
          <w:rFonts w:ascii="Times New Roman" w:hAnsi="Times New Roman" w:cs="Times New Roman"/>
        </w:rPr>
      </w:pPr>
    </w:p>
    <w:p w14:paraId="2A8C5CB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Bokinsky, G., Baidoo, E. E., Akella, S., Burd, H., Weaver, D., Alonso-Gutierrez, J., Garcia-Martin, H., Lee, T. S. and KeaKeasling, J. D. (2013) 'HipA-triggered growth arrest and β-lactam tolerance in   </w:t>
      </w:r>
      <w:r w:rsidRPr="006A2B3E">
        <w:rPr>
          <w:rFonts w:ascii="Times New Roman" w:hAnsi="Times New Roman" w:cs="Times New Roman"/>
          <w:i/>
          <w:iCs/>
        </w:rPr>
        <w:t>E</w:t>
      </w:r>
      <w:r w:rsidRPr="00720DB4">
        <w:rPr>
          <w:rFonts w:ascii="Times New Roman" w:hAnsi="Times New Roman" w:cs="Times New Roman"/>
          <w:i/>
        </w:rPr>
        <w:t>scherichia coli </w:t>
      </w:r>
      <w:r w:rsidRPr="00720DB4">
        <w:rPr>
          <w:rFonts w:ascii="Times New Roman" w:hAnsi="Times New Roman" w:cs="Times New Roman"/>
        </w:rPr>
        <w:t xml:space="preserve">are mediated by RelA-dependent ppGpp synthesis', </w:t>
      </w:r>
      <w:r w:rsidRPr="00720DB4">
        <w:rPr>
          <w:rFonts w:ascii="Times New Roman" w:hAnsi="Times New Roman" w:cs="Times New Roman"/>
          <w:i/>
        </w:rPr>
        <w:t>Journal of Bacteriology,</w:t>
      </w:r>
      <w:r w:rsidRPr="00720DB4">
        <w:rPr>
          <w:rFonts w:ascii="Times New Roman" w:hAnsi="Times New Roman" w:cs="Times New Roman"/>
        </w:rPr>
        <w:t xml:space="preserve"> 196, pp. 3173–3182.</w:t>
      </w:r>
    </w:p>
    <w:p w14:paraId="2F272FD2" w14:textId="77777777" w:rsidR="006A2B3E" w:rsidRPr="00720DB4" w:rsidRDefault="006A2B3E" w:rsidP="00720DB4">
      <w:pPr>
        <w:pStyle w:val="EndNoteBibliography"/>
        <w:spacing w:after="0"/>
        <w:jc w:val="both"/>
        <w:rPr>
          <w:rFonts w:ascii="Times New Roman" w:hAnsi="Times New Roman" w:cs="Times New Roman"/>
        </w:rPr>
      </w:pPr>
    </w:p>
    <w:p w14:paraId="595AB87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Boles, B. R., Thoendel, M., Roth, A. J. and Horswill, A. R. (2010) 'Identification of Genes Involved in Polysaccharide-Independent </w:t>
      </w:r>
      <w:r w:rsidRPr="006A2B3E">
        <w:rPr>
          <w:rFonts w:ascii="Times New Roman" w:hAnsi="Times New Roman" w:cs="Times New Roman"/>
          <w:i/>
          <w:iCs/>
        </w:rPr>
        <w:t>Staphylococcus aureus</w:t>
      </w:r>
      <w:r w:rsidRPr="00720DB4">
        <w:rPr>
          <w:rFonts w:ascii="Times New Roman" w:hAnsi="Times New Roman" w:cs="Times New Roman"/>
        </w:rPr>
        <w:t xml:space="preserve"> Biofilm Formation', </w:t>
      </w:r>
      <w:r w:rsidRPr="00720DB4">
        <w:rPr>
          <w:rFonts w:ascii="Times New Roman" w:hAnsi="Times New Roman" w:cs="Times New Roman"/>
          <w:i/>
        </w:rPr>
        <w:t>Plos One,</w:t>
      </w:r>
      <w:r w:rsidRPr="00720DB4">
        <w:rPr>
          <w:rFonts w:ascii="Times New Roman" w:hAnsi="Times New Roman" w:cs="Times New Roman"/>
        </w:rPr>
        <w:t xml:space="preserve"> 5(4).</w:t>
      </w:r>
    </w:p>
    <w:p w14:paraId="0F8171B0" w14:textId="77777777" w:rsidR="006A2B3E" w:rsidRPr="00720DB4" w:rsidRDefault="006A2B3E" w:rsidP="00720DB4">
      <w:pPr>
        <w:pStyle w:val="EndNoteBibliography"/>
        <w:spacing w:after="0"/>
        <w:jc w:val="both"/>
        <w:rPr>
          <w:rFonts w:ascii="Times New Roman" w:hAnsi="Times New Roman" w:cs="Times New Roman"/>
        </w:rPr>
      </w:pPr>
    </w:p>
    <w:p w14:paraId="3849E5C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Bore, E., Langsrud, S., Langsrud, O., Rode, T. M. and Holck, A. (2007) 'Acid-shock responses in </w:t>
      </w:r>
      <w:r w:rsidRPr="006A2B3E">
        <w:rPr>
          <w:rFonts w:ascii="Times New Roman" w:hAnsi="Times New Roman" w:cs="Times New Roman"/>
          <w:i/>
          <w:iCs/>
        </w:rPr>
        <w:t>Staphylococcus aureus</w:t>
      </w:r>
      <w:r w:rsidRPr="00720DB4">
        <w:rPr>
          <w:rFonts w:ascii="Times New Roman" w:hAnsi="Times New Roman" w:cs="Times New Roman"/>
        </w:rPr>
        <w:t xml:space="preserve"> investigated by global gene expression analysis', </w:t>
      </w:r>
      <w:r w:rsidRPr="00720DB4">
        <w:rPr>
          <w:rFonts w:ascii="Times New Roman" w:hAnsi="Times New Roman" w:cs="Times New Roman"/>
          <w:i/>
        </w:rPr>
        <w:t>Microbiology-Sgm,</w:t>
      </w:r>
      <w:r w:rsidRPr="00720DB4">
        <w:rPr>
          <w:rFonts w:ascii="Times New Roman" w:hAnsi="Times New Roman" w:cs="Times New Roman"/>
        </w:rPr>
        <w:t xml:space="preserve"> 153, pp. 2289-2303.</w:t>
      </w:r>
    </w:p>
    <w:p w14:paraId="531ADE10" w14:textId="77777777" w:rsidR="006A2B3E" w:rsidRPr="00720DB4" w:rsidRDefault="006A2B3E" w:rsidP="00720DB4">
      <w:pPr>
        <w:pStyle w:val="EndNoteBibliography"/>
        <w:spacing w:after="0"/>
        <w:jc w:val="both"/>
        <w:rPr>
          <w:rFonts w:ascii="Times New Roman" w:hAnsi="Times New Roman" w:cs="Times New Roman"/>
        </w:rPr>
      </w:pPr>
    </w:p>
    <w:p w14:paraId="60910A4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Borregaard, N., Sehested, M., Nielsen, B. S., Sengelov, H. and Kjeldsen, L. (1995) 'BIOSYNTHESIS OF GRANULE PROTEINS IN NORMAL HUMAN BONE-MARROW CELLS - GELATINASE IS A MARKER OF TERMINAL NEUTROPHIL DIFFERENTIATION', </w:t>
      </w:r>
      <w:r w:rsidRPr="00720DB4">
        <w:rPr>
          <w:rFonts w:ascii="Times New Roman" w:hAnsi="Times New Roman" w:cs="Times New Roman"/>
          <w:i/>
        </w:rPr>
        <w:t>Blood,</w:t>
      </w:r>
      <w:r w:rsidRPr="00720DB4">
        <w:rPr>
          <w:rFonts w:ascii="Times New Roman" w:hAnsi="Times New Roman" w:cs="Times New Roman"/>
        </w:rPr>
        <w:t xml:space="preserve"> 85(3), pp. 812-817.</w:t>
      </w:r>
    </w:p>
    <w:p w14:paraId="6E9A2036" w14:textId="77777777" w:rsidR="006A2B3E" w:rsidRPr="00720DB4" w:rsidRDefault="006A2B3E" w:rsidP="00720DB4">
      <w:pPr>
        <w:pStyle w:val="EndNoteBibliography"/>
        <w:spacing w:after="0"/>
        <w:jc w:val="both"/>
        <w:rPr>
          <w:rFonts w:ascii="Times New Roman" w:hAnsi="Times New Roman" w:cs="Times New Roman"/>
        </w:rPr>
      </w:pPr>
    </w:p>
    <w:p w14:paraId="38F1B12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Borregaard, N., Sorensen, O. E. and Theilgaard-Wnchl, K. (2007) 'Neutrophil granules: a library of innate immunity proteins', </w:t>
      </w:r>
      <w:r w:rsidRPr="00720DB4">
        <w:rPr>
          <w:rFonts w:ascii="Times New Roman" w:hAnsi="Times New Roman" w:cs="Times New Roman"/>
          <w:i/>
        </w:rPr>
        <w:t>Trends in Immunology,</w:t>
      </w:r>
      <w:r w:rsidRPr="00720DB4">
        <w:rPr>
          <w:rFonts w:ascii="Times New Roman" w:hAnsi="Times New Roman" w:cs="Times New Roman"/>
        </w:rPr>
        <w:t xml:space="preserve"> 28(8), pp. 340-345.</w:t>
      </w:r>
    </w:p>
    <w:p w14:paraId="12E5D06B" w14:textId="77777777" w:rsidR="006A2B3E" w:rsidRPr="00720DB4" w:rsidRDefault="006A2B3E" w:rsidP="00720DB4">
      <w:pPr>
        <w:pStyle w:val="EndNoteBibliography"/>
        <w:spacing w:after="0"/>
        <w:jc w:val="both"/>
        <w:rPr>
          <w:rFonts w:ascii="Times New Roman" w:hAnsi="Times New Roman" w:cs="Times New Roman"/>
        </w:rPr>
      </w:pPr>
    </w:p>
    <w:p w14:paraId="56FE826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Bose, J. L., Fey, P. D. and Bayles, K. W. (2013) 'Genetic Tools To Enhance the Study of Gene Function and Regulation in </w:t>
      </w:r>
      <w:r w:rsidRPr="006A2B3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Applied and Environmental Microbiology,</w:t>
      </w:r>
      <w:r w:rsidRPr="00720DB4">
        <w:rPr>
          <w:rFonts w:ascii="Times New Roman" w:hAnsi="Times New Roman" w:cs="Times New Roman"/>
        </w:rPr>
        <w:t xml:space="preserve"> 79(7), pp. 2218-2224.</w:t>
      </w:r>
    </w:p>
    <w:p w14:paraId="6D07BABF" w14:textId="77777777" w:rsidR="006A2B3E" w:rsidRPr="00720DB4" w:rsidRDefault="006A2B3E" w:rsidP="00720DB4">
      <w:pPr>
        <w:pStyle w:val="EndNoteBibliography"/>
        <w:spacing w:after="0"/>
        <w:jc w:val="both"/>
        <w:rPr>
          <w:rFonts w:ascii="Times New Roman" w:hAnsi="Times New Roman" w:cs="Times New Roman"/>
        </w:rPr>
      </w:pPr>
    </w:p>
    <w:p w14:paraId="306FBFE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Botos, I., Segal, D. M. and Davies, D. R. (2011) 'The Structural Biology of Toll-like Receptors', </w:t>
      </w:r>
      <w:r w:rsidRPr="00720DB4">
        <w:rPr>
          <w:rFonts w:ascii="Times New Roman" w:hAnsi="Times New Roman" w:cs="Times New Roman"/>
          <w:i/>
        </w:rPr>
        <w:t>Structure,</w:t>
      </w:r>
      <w:r w:rsidRPr="00720DB4">
        <w:rPr>
          <w:rFonts w:ascii="Times New Roman" w:hAnsi="Times New Roman" w:cs="Times New Roman"/>
        </w:rPr>
        <w:t xml:space="preserve"> 19(4), pp. 447-459.</w:t>
      </w:r>
    </w:p>
    <w:p w14:paraId="3AA43206" w14:textId="77777777" w:rsidR="006A2B3E" w:rsidRPr="00720DB4" w:rsidRDefault="006A2B3E" w:rsidP="00720DB4">
      <w:pPr>
        <w:pStyle w:val="EndNoteBibliography"/>
        <w:spacing w:after="0"/>
        <w:jc w:val="both"/>
        <w:rPr>
          <w:rFonts w:ascii="Times New Roman" w:hAnsi="Times New Roman" w:cs="Times New Roman"/>
        </w:rPr>
      </w:pPr>
    </w:p>
    <w:p w14:paraId="53BCFC5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Boyen, F., Verstappen, K. M. H. W., De Bock, M., Duim, B., Weese, J. S., Schwarz, S., Haesebrouck, F. and Wagenaar, J. A. (2012) 'In vitro antimicrobial activity of miconazole and polymyxin B against canine meticillin-resistant </w:t>
      </w:r>
      <w:r w:rsidRPr="006A2B3E">
        <w:rPr>
          <w:rFonts w:ascii="Times New Roman" w:hAnsi="Times New Roman" w:cs="Times New Roman"/>
          <w:i/>
          <w:iCs/>
        </w:rPr>
        <w:t>Staphylococcus aureus</w:t>
      </w:r>
      <w:r w:rsidRPr="00720DB4">
        <w:rPr>
          <w:rFonts w:ascii="Times New Roman" w:hAnsi="Times New Roman" w:cs="Times New Roman"/>
        </w:rPr>
        <w:t xml:space="preserve"> and meticillin-resistant </w:t>
      </w:r>
      <w:r w:rsidRPr="006A2B3E">
        <w:rPr>
          <w:rFonts w:ascii="Times New Roman" w:hAnsi="Times New Roman" w:cs="Times New Roman"/>
          <w:i/>
          <w:iCs/>
        </w:rPr>
        <w:t xml:space="preserve">Staphylococcus pseudintermedius </w:t>
      </w:r>
      <w:r w:rsidRPr="006A2B3E">
        <w:rPr>
          <w:rFonts w:ascii="Times New Roman" w:hAnsi="Times New Roman" w:cs="Times New Roman"/>
        </w:rPr>
        <w:t>isolates</w:t>
      </w:r>
      <w:r w:rsidRPr="00720DB4">
        <w:rPr>
          <w:rFonts w:ascii="Times New Roman" w:hAnsi="Times New Roman" w:cs="Times New Roman"/>
        </w:rPr>
        <w:t xml:space="preserve">', </w:t>
      </w:r>
      <w:r w:rsidRPr="00720DB4">
        <w:rPr>
          <w:rFonts w:ascii="Times New Roman" w:hAnsi="Times New Roman" w:cs="Times New Roman"/>
          <w:i/>
        </w:rPr>
        <w:t>Veterinary Dermatology,</w:t>
      </w:r>
      <w:r w:rsidRPr="00720DB4">
        <w:rPr>
          <w:rFonts w:ascii="Times New Roman" w:hAnsi="Times New Roman" w:cs="Times New Roman"/>
        </w:rPr>
        <w:t xml:space="preserve"> 23(4), pp. 381-E70.</w:t>
      </w:r>
    </w:p>
    <w:p w14:paraId="07A45E8F" w14:textId="77777777" w:rsidR="006A2B3E" w:rsidRPr="00720DB4" w:rsidRDefault="006A2B3E" w:rsidP="00720DB4">
      <w:pPr>
        <w:pStyle w:val="EndNoteBibliography"/>
        <w:spacing w:after="0"/>
        <w:jc w:val="both"/>
        <w:rPr>
          <w:rFonts w:ascii="Times New Roman" w:hAnsi="Times New Roman" w:cs="Times New Roman"/>
        </w:rPr>
      </w:pPr>
    </w:p>
    <w:p w14:paraId="017B622E" w14:textId="757239E7" w:rsidR="006A2B3E"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Brannon, M. K., Davis, J. M., Mathias, J. R., Hall, C. J., Emerson, J. C., Crosier, P. S., Huttenlocher, A., Ramakrishnan, L. and Moskowitz, S. M. (2009) '</w:t>
      </w:r>
      <w:r w:rsidRPr="006A2B3E">
        <w:rPr>
          <w:rFonts w:ascii="Times New Roman" w:hAnsi="Times New Roman" w:cs="Times New Roman"/>
          <w:i/>
          <w:iCs/>
        </w:rPr>
        <w:t>Pseudomonas aeruginosa</w:t>
      </w:r>
      <w:r w:rsidRPr="00720DB4">
        <w:rPr>
          <w:rFonts w:ascii="Times New Roman" w:hAnsi="Times New Roman" w:cs="Times New Roman"/>
        </w:rPr>
        <w:t xml:space="preserve"> Type III secretion system interacts with phagocytes to modulate systemic infection of zebrafish embryos', </w:t>
      </w:r>
      <w:r w:rsidRPr="00720DB4">
        <w:rPr>
          <w:rFonts w:ascii="Times New Roman" w:hAnsi="Times New Roman" w:cs="Times New Roman"/>
          <w:i/>
        </w:rPr>
        <w:t>Cellular Microbiology,</w:t>
      </w:r>
      <w:r w:rsidRPr="00720DB4">
        <w:rPr>
          <w:rFonts w:ascii="Times New Roman" w:hAnsi="Times New Roman" w:cs="Times New Roman"/>
        </w:rPr>
        <w:t xml:space="preserve"> 11(5), pp. 755-768.</w:t>
      </w:r>
    </w:p>
    <w:p w14:paraId="34BC771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Branzk, N., Lubojemska, A., Hardison, S. E., Wang, Q., Gutierrez, M. G., Brown, G. D. and Papayannopoulos, V. (2014) 'Neutrophils sense microbe size and selectively release neutrophil extracellular traps in response to large pathogens', </w:t>
      </w:r>
      <w:r w:rsidRPr="00720DB4">
        <w:rPr>
          <w:rFonts w:ascii="Times New Roman" w:hAnsi="Times New Roman" w:cs="Times New Roman"/>
          <w:i/>
        </w:rPr>
        <w:t>Nature Immunology,</w:t>
      </w:r>
      <w:r w:rsidRPr="00720DB4">
        <w:rPr>
          <w:rFonts w:ascii="Times New Roman" w:hAnsi="Times New Roman" w:cs="Times New Roman"/>
        </w:rPr>
        <w:t xml:space="preserve"> 15(11), pp. 1017-1025.</w:t>
      </w:r>
    </w:p>
    <w:p w14:paraId="1BB00AEB" w14:textId="77777777" w:rsidR="006A2B3E" w:rsidRPr="00720DB4" w:rsidRDefault="006A2B3E" w:rsidP="00720DB4">
      <w:pPr>
        <w:pStyle w:val="EndNoteBibliography"/>
        <w:spacing w:after="0"/>
        <w:jc w:val="both"/>
        <w:rPr>
          <w:rFonts w:ascii="Times New Roman" w:hAnsi="Times New Roman" w:cs="Times New Roman"/>
        </w:rPr>
      </w:pPr>
    </w:p>
    <w:p w14:paraId="528708A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Brinkmann, V., Reichard, U., Goosmann, C., Fauler, B., Uhlemann, Y., Weiss, D. S., Weinrauch, Y. and Zychlinsky, A. (2004) 'Neutrophil extracellular traps kill bacteria', </w:t>
      </w:r>
      <w:r w:rsidRPr="00720DB4">
        <w:rPr>
          <w:rFonts w:ascii="Times New Roman" w:hAnsi="Times New Roman" w:cs="Times New Roman"/>
          <w:i/>
        </w:rPr>
        <w:t>Science,</w:t>
      </w:r>
      <w:r w:rsidRPr="00720DB4">
        <w:rPr>
          <w:rFonts w:ascii="Times New Roman" w:hAnsi="Times New Roman" w:cs="Times New Roman"/>
        </w:rPr>
        <w:t xml:space="preserve"> 303(5663), pp. 1532-1535.</w:t>
      </w:r>
    </w:p>
    <w:p w14:paraId="42195BF2" w14:textId="77777777" w:rsidR="006A2B3E" w:rsidRPr="00720DB4" w:rsidRDefault="006A2B3E" w:rsidP="00720DB4">
      <w:pPr>
        <w:pStyle w:val="EndNoteBibliography"/>
        <w:spacing w:after="0"/>
        <w:jc w:val="both"/>
        <w:rPr>
          <w:rFonts w:ascii="Times New Roman" w:hAnsi="Times New Roman" w:cs="Times New Roman"/>
        </w:rPr>
      </w:pPr>
    </w:p>
    <w:p w14:paraId="175E0A2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Brinsmade, S. R. (2017) 'CodY, a master integrator of metabolism and virulence in Gram-positive bacteria', </w:t>
      </w:r>
      <w:r w:rsidRPr="00720DB4">
        <w:rPr>
          <w:rFonts w:ascii="Times New Roman" w:hAnsi="Times New Roman" w:cs="Times New Roman"/>
          <w:i/>
        </w:rPr>
        <w:t>Current Genetics,</w:t>
      </w:r>
      <w:r w:rsidRPr="00720DB4">
        <w:rPr>
          <w:rFonts w:ascii="Times New Roman" w:hAnsi="Times New Roman" w:cs="Times New Roman"/>
        </w:rPr>
        <w:t xml:space="preserve"> 63(3), pp. 417-425.</w:t>
      </w:r>
    </w:p>
    <w:p w14:paraId="486CA509" w14:textId="77777777" w:rsidR="006A2B3E" w:rsidRPr="00720DB4" w:rsidRDefault="006A2B3E" w:rsidP="00720DB4">
      <w:pPr>
        <w:pStyle w:val="EndNoteBibliography"/>
        <w:spacing w:after="0"/>
        <w:jc w:val="both"/>
        <w:rPr>
          <w:rFonts w:ascii="Times New Roman" w:hAnsi="Times New Roman" w:cs="Times New Roman"/>
        </w:rPr>
      </w:pPr>
    </w:p>
    <w:p w14:paraId="7FC454E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Brocker, C., Thompson, D., Matsumoto, A., Nebert, D. and Vasiliou, V. (2010) 'Evolutionary divergence and functions of the human interleukin (IL) gene family', </w:t>
      </w:r>
      <w:r w:rsidRPr="00720DB4">
        <w:rPr>
          <w:rFonts w:ascii="Times New Roman" w:hAnsi="Times New Roman" w:cs="Times New Roman"/>
          <w:i/>
        </w:rPr>
        <w:t>Human Genomics,</w:t>
      </w:r>
      <w:r w:rsidRPr="00720DB4">
        <w:rPr>
          <w:rFonts w:ascii="Times New Roman" w:hAnsi="Times New Roman" w:cs="Times New Roman"/>
        </w:rPr>
        <w:t xml:space="preserve"> 5(1), pp. 35-55.</w:t>
      </w:r>
    </w:p>
    <w:p w14:paraId="3AD5A1BB" w14:textId="77777777" w:rsidR="006A2B3E" w:rsidRPr="00720DB4" w:rsidRDefault="006A2B3E" w:rsidP="00720DB4">
      <w:pPr>
        <w:pStyle w:val="EndNoteBibliography"/>
        <w:spacing w:after="0"/>
        <w:jc w:val="both"/>
        <w:rPr>
          <w:rFonts w:ascii="Times New Roman" w:hAnsi="Times New Roman" w:cs="Times New Roman"/>
        </w:rPr>
      </w:pPr>
    </w:p>
    <w:p w14:paraId="0238EFE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Bronner, S., Monteil, H. and Prevost, G. (2004) 'Regulation of virulence determinants in </w:t>
      </w:r>
      <w:r w:rsidRPr="006A2B3E">
        <w:rPr>
          <w:rFonts w:ascii="Times New Roman" w:hAnsi="Times New Roman" w:cs="Times New Roman"/>
          <w:i/>
          <w:iCs/>
        </w:rPr>
        <w:t>Staphylococcus aureus</w:t>
      </w:r>
      <w:r w:rsidRPr="00720DB4">
        <w:rPr>
          <w:rFonts w:ascii="Times New Roman" w:hAnsi="Times New Roman" w:cs="Times New Roman"/>
        </w:rPr>
        <w:t xml:space="preserve">: complexity and applications', </w:t>
      </w:r>
      <w:r w:rsidRPr="00720DB4">
        <w:rPr>
          <w:rFonts w:ascii="Times New Roman" w:hAnsi="Times New Roman" w:cs="Times New Roman"/>
          <w:i/>
        </w:rPr>
        <w:t>Fems Microbiology Reviews,</w:t>
      </w:r>
      <w:r w:rsidRPr="00720DB4">
        <w:rPr>
          <w:rFonts w:ascii="Times New Roman" w:hAnsi="Times New Roman" w:cs="Times New Roman"/>
        </w:rPr>
        <w:t xml:space="preserve"> 28(2), pp. 183-200.</w:t>
      </w:r>
    </w:p>
    <w:p w14:paraId="1E0CA3EE" w14:textId="77777777" w:rsidR="006A2B3E" w:rsidRPr="00720DB4" w:rsidRDefault="006A2B3E" w:rsidP="00720DB4">
      <w:pPr>
        <w:pStyle w:val="EndNoteBibliography"/>
        <w:spacing w:after="0"/>
        <w:jc w:val="both"/>
        <w:rPr>
          <w:rFonts w:ascii="Times New Roman" w:hAnsi="Times New Roman" w:cs="Times New Roman"/>
        </w:rPr>
      </w:pPr>
    </w:p>
    <w:p w14:paraId="7A9997D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Bronner, S., Stoessel, P., Gravet, A., Monteil, H. and Prevost, G. (2000) 'Variable expressions of </w:t>
      </w:r>
      <w:r w:rsidRPr="006A2B3E">
        <w:rPr>
          <w:rFonts w:ascii="Times New Roman" w:hAnsi="Times New Roman" w:cs="Times New Roman"/>
          <w:i/>
          <w:iCs/>
        </w:rPr>
        <w:t xml:space="preserve">Staphylococcus aureus </w:t>
      </w:r>
      <w:r w:rsidRPr="00720DB4">
        <w:rPr>
          <w:rFonts w:ascii="Times New Roman" w:hAnsi="Times New Roman" w:cs="Times New Roman"/>
        </w:rPr>
        <w:t xml:space="preserve">bicomponent leucotoxins semiquantified by competitive reverse transcription-PCR', </w:t>
      </w:r>
      <w:r w:rsidRPr="00720DB4">
        <w:rPr>
          <w:rFonts w:ascii="Times New Roman" w:hAnsi="Times New Roman" w:cs="Times New Roman"/>
          <w:i/>
        </w:rPr>
        <w:t>Applied and Environmental Microbiology,</w:t>
      </w:r>
      <w:r w:rsidRPr="00720DB4">
        <w:rPr>
          <w:rFonts w:ascii="Times New Roman" w:hAnsi="Times New Roman" w:cs="Times New Roman"/>
        </w:rPr>
        <w:t xml:space="preserve"> 66(9), pp. 3931-3938.</w:t>
      </w:r>
    </w:p>
    <w:p w14:paraId="108562D3" w14:textId="77777777" w:rsidR="006A2B3E" w:rsidRPr="00720DB4" w:rsidRDefault="006A2B3E" w:rsidP="00720DB4">
      <w:pPr>
        <w:pStyle w:val="EndNoteBibliography"/>
        <w:spacing w:after="0"/>
        <w:jc w:val="both"/>
        <w:rPr>
          <w:rFonts w:ascii="Times New Roman" w:hAnsi="Times New Roman" w:cs="Times New Roman"/>
        </w:rPr>
      </w:pPr>
    </w:p>
    <w:p w14:paraId="0CA055E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Brown, A., Fernandez, I. S., Gordiyenko, Y. and Ramakrishnan, V. (2016) 'Ribosome-dependent activation of stringent control', </w:t>
      </w:r>
      <w:r w:rsidRPr="00720DB4">
        <w:rPr>
          <w:rFonts w:ascii="Times New Roman" w:hAnsi="Times New Roman" w:cs="Times New Roman"/>
          <w:i/>
        </w:rPr>
        <w:t>Nature,</w:t>
      </w:r>
      <w:r w:rsidRPr="00720DB4">
        <w:rPr>
          <w:rFonts w:ascii="Times New Roman" w:hAnsi="Times New Roman" w:cs="Times New Roman"/>
        </w:rPr>
        <w:t xml:space="preserve"> 534(7606), pp. 277-+.</w:t>
      </w:r>
    </w:p>
    <w:p w14:paraId="35E4498E" w14:textId="77777777" w:rsidR="006A2B3E" w:rsidRPr="00720DB4" w:rsidRDefault="006A2B3E" w:rsidP="00720DB4">
      <w:pPr>
        <w:pStyle w:val="EndNoteBibliography"/>
        <w:spacing w:after="0"/>
        <w:jc w:val="both"/>
        <w:rPr>
          <w:rFonts w:ascii="Times New Roman" w:hAnsi="Times New Roman" w:cs="Times New Roman"/>
        </w:rPr>
      </w:pPr>
    </w:p>
    <w:p w14:paraId="54D6CF3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Brown, G. D., Willment, J. A. and Whitehead, L. (2018) 'C-type lectins in immunity and homeostasis', </w:t>
      </w:r>
      <w:r w:rsidRPr="00720DB4">
        <w:rPr>
          <w:rFonts w:ascii="Times New Roman" w:hAnsi="Times New Roman" w:cs="Times New Roman"/>
          <w:i/>
        </w:rPr>
        <w:t>Nature Reviews Immunology,</w:t>
      </w:r>
      <w:r w:rsidRPr="00720DB4">
        <w:rPr>
          <w:rFonts w:ascii="Times New Roman" w:hAnsi="Times New Roman" w:cs="Times New Roman"/>
        </w:rPr>
        <w:t xml:space="preserve"> 18(6), pp. 374-389.</w:t>
      </w:r>
    </w:p>
    <w:p w14:paraId="569A2BA4" w14:textId="77777777" w:rsidR="006A2B3E" w:rsidRPr="00720DB4" w:rsidRDefault="006A2B3E" w:rsidP="00720DB4">
      <w:pPr>
        <w:pStyle w:val="EndNoteBibliography"/>
        <w:spacing w:after="0"/>
        <w:jc w:val="both"/>
        <w:rPr>
          <w:rFonts w:ascii="Times New Roman" w:hAnsi="Times New Roman" w:cs="Times New Roman"/>
        </w:rPr>
      </w:pPr>
    </w:p>
    <w:p w14:paraId="57AAE8A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Bucci, C., Parton, R. G., Mather, I. H., Stunnenberg, H., Simons, K., Hoflack, B. and Zerial, M. (1992) 'THE SMALL GTPASE RAB5 FUNCTIONS AS A REGULATORY FACTOR IN THE EARLY ENDOCYTIC PATHWAY', </w:t>
      </w:r>
      <w:r w:rsidRPr="00720DB4">
        <w:rPr>
          <w:rFonts w:ascii="Times New Roman" w:hAnsi="Times New Roman" w:cs="Times New Roman"/>
          <w:i/>
        </w:rPr>
        <w:t>Cell,</w:t>
      </w:r>
      <w:r w:rsidRPr="00720DB4">
        <w:rPr>
          <w:rFonts w:ascii="Times New Roman" w:hAnsi="Times New Roman" w:cs="Times New Roman"/>
        </w:rPr>
        <w:t xml:space="preserve"> 70(5), pp. 715-728.</w:t>
      </w:r>
    </w:p>
    <w:p w14:paraId="6EF870A6" w14:textId="77777777" w:rsidR="006A2B3E" w:rsidRPr="00720DB4" w:rsidRDefault="006A2B3E" w:rsidP="00720DB4">
      <w:pPr>
        <w:pStyle w:val="EndNoteBibliography"/>
        <w:spacing w:after="0"/>
        <w:jc w:val="both"/>
        <w:rPr>
          <w:rFonts w:ascii="Times New Roman" w:hAnsi="Times New Roman" w:cs="Times New Roman"/>
        </w:rPr>
      </w:pPr>
    </w:p>
    <w:p w14:paraId="073A6E4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Buchan, K. D., Foster, S. J. and Renshaw, S. A. (2019) '</w:t>
      </w:r>
      <w:r w:rsidRPr="00720DB4">
        <w:rPr>
          <w:rFonts w:ascii="Times New Roman" w:hAnsi="Times New Roman" w:cs="Times New Roman"/>
          <w:i/>
        </w:rPr>
        <w:t>Staphylococcus aureus</w:t>
      </w:r>
      <w:r w:rsidRPr="00720DB4">
        <w:rPr>
          <w:rFonts w:ascii="Times New Roman" w:hAnsi="Times New Roman" w:cs="Times New Roman"/>
        </w:rPr>
        <w:t xml:space="preserve">: setting its sights on the human innate immune system', </w:t>
      </w:r>
      <w:r w:rsidRPr="00720DB4">
        <w:rPr>
          <w:rFonts w:ascii="Times New Roman" w:hAnsi="Times New Roman" w:cs="Times New Roman"/>
          <w:i/>
        </w:rPr>
        <w:t>Microbiology-Sgm,</w:t>
      </w:r>
      <w:r w:rsidRPr="00720DB4">
        <w:rPr>
          <w:rFonts w:ascii="Times New Roman" w:hAnsi="Times New Roman" w:cs="Times New Roman"/>
        </w:rPr>
        <w:t xml:space="preserve"> 165(4), pp. 367-385.</w:t>
      </w:r>
    </w:p>
    <w:p w14:paraId="3019BD0C" w14:textId="77777777" w:rsidR="006A2B3E" w:rsidRPr="00720DB4" w:rsidRDefault="006A2B3E" w:rsidP="00720DB4">
      <w:pPr>
        <w:pStyle w:val="EndNoteBibliography"/>
        <w:spacing w:after="0"/>
        <w:jc w:val="both"/>
        <w:rPr>
          <w:rFonts w:ascii="Times New Roman" w:hAnsi="Times New Roman" w:cs="Times New Roman"/>
        </w:rPr>
      </w:pPr>
    </w:p>
    <w:p w14:paraId="153ECB8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Burda, P., Laslo, P. and Stopka, T. (2010) 'The role of PU.1 and GATA-1 transcription factors during normal and leukemogenic hematopoiesis', </w:t>
      </w:r>
      <w:r w:rsidRPr="00720DB4">
        <w:rPr>
          <w:rFonts w:ascii="Times New Roman" w:hAnsi="Times New Roman" w:cs="Times New Roman"/>
          <w:i/>
        </w:rPr>
        <w:t>Leukemia,</w:t>
      </w:r>
      <w:r w:rsidRPr="00720DB4">
        <w:rPr>
          <w:rFonts w:ascii="Times New Roman" w:hAnsi="Times New Roman" w:cs="Times New Roman"/>
        </w:rPr>
        <w:t xml:space="preserve"> 24(7), pp. 1249-1257.</w:t>
      </w:r>
    </w:p>
    <w:p w14:paraId="62B255BE" w14:textId="77777777" w:rsidR="006A2B3E" w:rsidRPr="00720DB4" w:rsidRDefault="006A2B3E" w:rsidP="00720DB4">
      <w:pPr>
        <w:pStyle w:val="EndNoteBibliography"/>
        <w:spacing w:after="0"/>
        <w:jc w:val="both"/>
        <w:rPr>
          <w:rFonts w:ascii="Times New Roman" w:hAnsi="Times New Roman" w:cs="Times New Roman"/>
        </w:rPr>
      </w:pPr>
    </w:p>
    <w:p w14:paraId="30ACC4B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Bussmann, J. and Schulte-Merker, S. (2011) 'Rapid BAC selection for tol2-mediated transgenesis in zebrafish', </w:t>
      </w:r>
      <w:r w:rsidRPr="00720DB4">
        <w:rPr>
          <w:rFonts w:ascii="Times New Roman" w:hAnsi="Times New Roman" w:cs="Times New Roman"/>
          <w:i/>
        </w:rPr>
        <w:t>Development,</w:t>
      </w:r>
      <w:r w:rsidRPr="00720DB4">
        <w:rPr>
          <w:rFonts w:ascii="Times New Roman" w:hAnsi="Times New Roman" w:cs="Times New Roman"/>
        </w:rPr>
        <w:t xml:space="preserve"> 138(19), pp. 4327-4332.</w:t>
      </w:r>
    </w:p>
    <w:p w14:paraId="2F7B3BEE" w14:textId="77777777" w:rsidR="006A2B3E" w:rsidRPr="00720DB4" w:rsidRDefault="006A2B3E" w:rsidP="00720DB4">
      <w:pPr>
        <w:pStyle w:val="EndNoteBibliography"/>
        <w:spacing w:after="0"/>
        <w:jc w:val="both"/>
        <w:rPr>
          <w:rFonts w:ascii="Times New Roman" w:hAnsi="Times New Roman" w:cs="Times New Roman"/>
        </w:rPr>
      </w:pPr>
    </w:p>
    <w:p w14:paraId="47F5B69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Campbell, T. L., Henderson, J., Heinrichs, D. E. and Brown, E. D. (2006) 'The </w:t>
      </w:r>
      <w:r w:rsidRPr="006A2B3E">
        <w:rPr>
          <w:rFonts w:ascii="Times New Roman" w:hAnsi="Times New Roman" w:cs="Times New Roman"/>
          <w:i/>
          <w:iCs/>
        </w:rPr>
        <w:t>yjeQ</w:t>
      </w:r>
      <w:r w:rsidRPr="00720DB4">
        <w:rPr>
          <w:rFonts w:ascii="Times New Roman" w:hAnsi="Times New Roman" w:cs="Times New Roman"/>
        </w:rPr>
        <w:t xml:space="preserve"> gene is required for virulence of </w:t>
      </w:r>
      <w:r w:rsidRPr="00720DB4">
        <w:rPr>
          <w:rFonts w:ascii="Times New Roman" w:hAnsi="Times New Roman" w:cs="Times New Roman"/>
          <w:i/>
        </w:rPr>
        <w:t>Staphylococcus aureus</w:t>
      </w:r>
      <w:r w:rsidRPr="00720DB4">
        <w:rPr>
          <w:rFonts w:ascii="Times New Roman" w:hAnsi="Times New Roman" w:cs="Times New Roman"/>
        </w:rPr>
        <w:t xml:space="preserve">', </w:t>
      </w:r>
      <w:r w:rsidRPr="00720DB4">
        <w:rPr>
          <w:rFonts w:ascii="Times New Roman" w:hAnsi="Times New Roman" w:cs="Times New Roman"/>
          <w:i/>
        </w:rPr>
        <w:t>Infection and Immunity,</w:t>
      </w:r>
      <w:r w:rsidRPr="00720DB4">
        <w:rPr>
          <w:rFonts w:ascii="Times New Roman" w:hAnsi="Times New Roman" w:cs="Times New Roman"/>
        </w:rPr>
        <w:t xml:space="preserve"> 74(8), pp. 4918-4921.</w:t>
      </w:r>
    </w:p>
    <w:p w14:paraId="73FA412A" w14:textId="77777777" w:rsidR="006A2B3E" w:rsidRPr="00720DB4" w:rsidRDefault="006A2B3E" w:rsidP="00720DB4">
      <w:pPr>
        <w:pStyle w:val="EndNoteBibliography"/>
        <w:spacing w:after="0"/>
        <w:jc w:val="both"/>
        <w:rPr>
          <w:rFonts w:ascii="Times New Roman" w:hAnsi="Times New Roman" w:cs="Times New Roman"/>
        </w:rPr>
      </w:pPr>
    </w:p>
    <w:p w14:paraId="60226EE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Cantalupo, G., Alifano, P., Roberti, V., Bruni, C. B. and Bucci, C. (2001) 'Rab-interacting lysosomal protein (RILP): the Rab7 effector required for transport to lysosomes', </w:t>
      </w:r>
      <w:r w:rsidRPr="00720DB4">
        <w:rPr>
          <w:rFonts w:ascii="Times New Roman" w:hAnsi="Times New Roman" w:cs="Times New Roman"/>
          <w:i/>
        </w:rPr>
        <w:t>Embo Journal,</w:t>
      </w:r>
      <w:r w:rsidRPr="00720DB4">
        <w:rPr>
          <w:rFonts w:ascii="Times New Roman" w:hAnsi="Times New Roman" w:cs="Times New Roman"/>
        </w:rPr>
        <w:t xml:space="preserve"> 20(4), pp. 683-693.</w:t>
      </w:r>
    </w:p>
    <w:p w14:paraId="1AF13454" w14:textId="77777777" w:rsidR="006A2B3E" w:rsidRPr="00720DB4" w:rsidRDefault="006A2B3E" w:rsidP="00720DB4">
      <w:pPr>
        <w:pStyle w:val="EndNoteBibliography"/>
        <w:spacing w:after="0"/>
        <w:jc w:val="both"/>
        <w:rPr>
          <w:rFonts w:ascii="Times New Roman" w:hAnsi="Times New Roman" w:cs="Times New Roman"/>
        </w:rPr>
      </w:pPr>
    </w:p>
    <w:p w14:paraId="67D8CB7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Cantani, A., Bellioni, P., Salvinelli, F. and Businco, L. (1986) 'SERUM IMMUNOGLOBULINS AND SECRETORY IGA DEFICIENCY IN TONSILLECTOMIZED CHILDREN', </w:t>
      </w:r>
      <w:r w:rsidRPr="00720DB4">
        <w:rPr>
          <w:rFonts w:ascii="Times New Roman" w:hAnsi="Times New Roman" w:cs="Times New Roman"/>
          <w:i/>
        </w:rPr>
        <w:t>Annals of Allergy,</w:t>
      </w:r>
      <w:r w:rsidRPr="00720DB4">
        <w:rPr>
          <w:rFonts w:ascii="Times New Roman" w:hAnsi="Times New Roman" w:cs="Times New Roman"/>
        </w:rPr>
        <w:t xml:space="preserve"> 57(6), pp. 413-416.</w:t>
      </w:r>
    </w:p>
    <w:p w14:paraId="3DBE7B43" w14:textId="77777777" w:rsidR="006A2B3E" w:rsidRPr="00720DB4" w:rsidRDefault="006A2B3E" w:rsidP="00720DB4">
      <w:pPr>
        <w:pStyle w:val="EndNoteBibliography"/>
        <w:spacing w:after="0"/>
        <w:jc w:val="both"/>
        <w:rPr>
          <w:rFonts w:ascii="Times New Roman" w:hAnsi="Times New Roman" w:cs="Times New Roman"/>
        </w:rPr>
      </w:pPr>
    </w:p>
    <w:p w14:paraId="36B4533D" w14:textId="3EEA2A78" w:rsidR="006A2B3E"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Canton, J., Neculai, D. and Grinstein, S. (2013) 'Scavenger receptors in homeostasis and immunity', </w:t>
      </w:r>
      <w:r w:rsidRPr="00720DB4">
        <w:rPr>
          <w:rFonts w:ascii="Times New Roman" w:hAnsi="Times New Roman" w:cs="Times New Roman"/>
          <w:i/>
        </w:rPr>
        <w:t>Nature Reviews Immunology,</w:t>
      </w:r>
      <w:r w:rsidRPr="00720DB4">
        <w:rPr>
          <w:rFonts w:ascii="Times New Roman" w:hAnsi="Times New Roman" w:cs="Times New Roman"/>
        </w:rPr>
        <w:t xml:space="preserve"> 13(9), pp. 621-634.</w:t>
      </w:r>
    </w:p>
    <w:p w14:paraId="2610CBE5" w14:textId="77777777" w:rsidR="006A2B3E" w:rsidRPr="00720DB4" w:rsidRDefault="006A2B3E" w:rsidP="00720DB4">
      <w:pPr>
        <w:pStyle w:val="EndNoteBibliography"/>
        <w:spacing w:after="0"/>
        <w:jc w:val="both"/>
        <w:rPr>
          <w:rFonts w:ascii="Times New Roman" w:hAnsi="Times New Roman" w:cs="Times New Roman"/>
        </w:rPr>
      </w:pPr>
    </w:p>
    <w:p w14:paraId="5EB8479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Carrilero, L., Urwin, L., Ward, E., Choudhury, N., Monk, I., Turner, C., Stinear, T. and Corrigan, R. (2023) 'Stringent Response-Mediated Control of GTP Homeostasis Is Required for Long-Term Viability of  </w:t>
      </w:r>
      <w:r w:rsidRPr="006A2B3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Microbiology Spectrum</w:t>
      </w:r>
      <w:r w:rsidRPr="00720DB4">
        <w:rPr>
          <w:rFonts w:ascii="Times New Roman" w:hAnsi="Times New Roman" w:cs="Times New Roman"/>
        </w:rPr>
        <w:t>.</w:t>
      </w:r>
    </w:p>
    <w:p w14:paraId="363CEDA3" w14:textId="77777777" w:rsidR="006A2B3E" w:rsidRPr="00720DB4" w:rsidRDefault="006A2B3E" w:rsidP="00720DB4">
      <w:pPr>
        <w:pStyle w:val="EndNoteBibliography"/>
        <w:spacing w:after="0"/>
        <w:jc w:val="both"/>
        <w:rPr>
          <w:rFonts w:ascii="Times New Roman" w:hAnsi="Times New Roman" w:cs="Times New Roman"/>
        </w:rPr>
      </w:pPr>
    </w:p>
    <w:p w14:paraId="7342AB4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Carvalho, S. M., de Jong, A., Kloosterman, T. G., Kuipers, O. P. and Saraiva, L. M. (2017) 'The </w:t>
      </w:r>
      <w:r w:rsidRPr="006A2B3E">
        <w:rPr>
          <w:rFonts w:ascii="Times New Roman" w:hAnsi="Times New Roman" w:cs="Times New Roman"/>
          <w:i/>
          <w:iCs/>
        </w:rPr>
        <w:t>Staphylococcus aureus</w:t>
      </w:r>
      <w:r w:rsidRPr="00720DB4">
        <w:rPr>
          <w:rFonts w:ascii="Times New Roman" w:hAnsi="Times New Roman" w:cs="Times New Roman"/>
        </w:rPr>
        <w:t xml:space="preserve"> alpha-Acetolactate Synthase ALS Confers Resistance to Nitrosative Stress', </w:t>
      </w:r>
      <w:r w:rsidRPr="00720DB4">
        <w:rPr>
          <w:rFonts w:ascii="Times New Roman" w:hAnsi="Times New Roman" w:cs="Times New Roman"/>
          <w:i/>
        </w:rPr>
        <w:t>Frontiers in Microbiology,</w:t>
      </w:r>
      <w:r w:rsidRPr="00720DB4">
        <w:rPr>
          <w:rFonts w:ascii="Times New Roman" w:hAnsi="Times New Roman" w:cs="Times New Roman"/>
        </w:rPr>
        <w:t xml:space="preserve"> 8.</w:t>
      </w:r>
    </w:p>
    <w:p w14:paraId="0AEF9CAA" w14:textId="77777777" w:rsidR="006A2B3E" w:rsidRPr="00720DB4" w:rsidRDefault="006A2B3E" w:rsidP="00720DB4">
      <w:pPr>
        <w:pStyle w:val="EndNoteBibliography"/>
        <w:spacing w:after="0"/>
        <w:jc w:val="both"/>
        <w:rPr>
          <w:rFonts w:ascii="Times New Roman" w:hAnsi="Times New Roman" w:cs="Times New Roman"/>
        </w:rPr>
      </w:pPr>
    </w:p>
    <w:p w14:paraId="18E1571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Cashel, M. (1975) 'REGULATION OF BACTERIAL PPGPP AND PPPGPP', </w:t>
      </w:r>
      <w:r w:rsidRPr="00720DB4">
        <w:rPr>
          <w:rFonts w:ascii="Times New Roman" w:hAnsi="Times New Roman" w:cs="Times New Roman"/>
          <w:i/>
        </w:rPr>
        <w:t>Annual Review of Microbiology,</w:t>
      </w:r>
      <w:r w:rsidRPr="00720DB4">
        <w:rPr>
          <w:rFonts w:ascii="Times New Roman" w:hAnsi="Times New Roman" w:cs="Times New Roman"/>
        </w:rPr>
        <w:t xml:space="preserve"> 29, pp. 301-318.</w:t>
      </w:r>
    </w:p>
    <w:p w14:paraId="045CB40C" w14:textId="77777777" w:rsidR="006A2B3E" w:rsidRPr="00720DB4" w:rsidRDefault="006A2B3E" w:rsidP="00720DB4">
      <w:pPr>
        <w:pStyle w:val="EndNoteBibliography"/>
        <w:spacing w:after="0"/>
        <w:jc w:val="both"/>
        <w:rPr>
          <w:rFonts w:ascii="Times New Roman" w:hAnsi="Times New Roman" w:cs="Times New Roman"/>
        </w:rPr>
      </w:pPr>
    </w:p>
    <w:p w14:paraId="3BAC98D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Cashel, M. and Gallant, J. (1969) 'Two Compounds implicated in the Function of the </w:t>
      </w:r>
      <w:r w:rsidRPr="006A2B3E">
        <w:rPr>
          <w:rFonts w:ascii="Times New Roman" w:hAnsi="Times New Roman" w:cs="Times New Roman"/>
          <w:i/>
          <w:iCs/>
        </w:rPr>
        <w:t>R</w:t>
      </w:r>
      <w:r w:rsidRPr="00720DB4">
        <w:rPr>
          <w:rFonts w:ascii="Times New Roman" w:hAnsi="Times New Roman" w:cs="Times New Roman"/>
          <w:i/>
        </w:rPr>
        <w:t>C </w:t>
      </w:r>
      <w:r w:rsidRPr="00720DB4">
        <w:rPr>
          <w:rFonts w:ascii="Times New Roman" w:hAnsi="Times New Roman" w:cs="Times New Roman"/>
        </w:rPr>
        <w:t>Gene of </w:t>
      </w:r>
      <w:r w:rsidRPr="006A2B3E">
        <w:rPr>
          <w:rFonts w:ascii="Times New Roman" w:hAnsi="Times New Roman" w:cs="Times New Roman"/>
          <w:i/>
          <w:iCs/>
        </w:rPr>
        <w:t>E</w:t>
      </w:r>
      <w:r w:rsidRPr="00720DB4">
        <w:rPr>
          <w:rFonts w:ascii="Times New Roman" w:hAnsi="Times New Roman" w:cs="Times New Roman"/>
          <w:i/>
        </w:rPr>
        <w:t>scherichia coli</w:t>
      </w:r>
      <w:r w:rsidRPr="00720DB4">
        <w:rPr>
          <w:rFonts w:ascii="Times New Roman" w:hAnsi="Times New Roman" w:cs="Times New Roman"/>
        </w:rPr>
        <w:t xml:space="preserve">', </w:t>
      </w:r>
      <w:r w:rsidRPr="00720DB4">
        <w:rPr>
          <w:rFonts w:ascii="Times New Roman" w:hAnsi="Times New Roman" w:cs="Times New Roman"/>
          <w:i/>
        </w:rPr>
        <w:t>Nature,</w:t>
      </w:r>
      <w:r w:rsidRPr="00720DB4">
        <w:rPr>
          <w:rFonts w:ascii="Times New Roman" w:hAnsi="Times New Roman" w:cs="Times New Roman"/>
        </w:rPr>
        <w:t xml:space="preserve"> 221(5183), pp. 838-&amp;.</w:t>
      </w:r>
    </w:p>
    <w:p w14:paraId="41F52386" w14:textId="77777777" w:rsidR="006A2B3E" w:rsidRPr="00720DB4" w:rsidRDefault="006A2B3E" w:rsidP="00720DB4">
      <w:pPr>
        <w:pStyle w:val="EndNoteBibliography"/>
        <w:spacing w:after="0"/>
        <w:jc w:val="both"/>
        <w:rPr>
          <w:rFonts w:ascii="Times New Roman" w:hAnsi="Times New Roman" w:cs="Times New Roman"/>
        </w:rPr>
      </w:pPr>
    </w:p>
    <w:p w14:paraId="4A5EAC2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Cassels, R., Oliva, B. and Knowles, D. (1995) 'Occurrence of the regulatory nucleotides ppGpp and pppGpp following induction of the stringent response in staphylococci', </w:t>
      </w:r>
      <w:r w:rsidRPr="00720DB4">
        <w:rPr>
          <w:rFonts w:ascii="Times New Roman" w:hAnsi="Times New Roman" w:cs="Times New Roman"/>
          <w:i/>
        </w:rPr>
        <w:t>Journal of Bacteriology,</w:t>
      </w:r>
      <w:r w:rsidRPr="00720DB4">
        <w:rPr>
          <w:rFonts w:ascii="Times New Roman" w:hAnsi="Times New Roman" w:cs="Times New Roman"/>
        </w:rPr>
        <w:t xml:space="preserve"> 177(17), pp. 5161-5165.</w:t>
      </w:r>
    </w:p>
    <w:p w14:paraId="3A98328A" w14:textId="77777777" w:rsidR="006A2B3E" w:rsidRPr="00720DB4" w:rsidRDefault="006A2B3E" w:rsidP="00720DB4">
      <w:pPr>
        <w:pStyle w:val="EndNoteBibliography"/>
        <w:spacing w:after="0"/>
        <w:jc w:val="both"/>
        <w:rPr>
          <w:rFonts w:ascii="Times New Roman" w:hAnsi="Times New Roman" w:cs="Times New Roman"/>
        </w:rPr>
      </w:pPr>
    </w:p>
    <w:p w14:paraId="1E0420A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Cavalcanti, A. B., Goncalves, A. R., Almeida, C. S., Bugano, D. D. G. and Silva, E. (2010) 'Teicoplanin versus vancomycin for proven or suspected infection', </w:t>
      </w:r>
      <w:r w:rsidRPr="00720DB4">
        <w:rPr>
          <w:rFonts w:ascii="Times New Roman" w:hAnsi="Times New Roman" w:cs="Times New Roman"/>
          <w:i/>
        </w:rPr>
        <w:t>Cochrane Database of Systematic Reviews,</w:t>
      </w:r>
      <w:r w:rsidRPr="00720DB4">
        <w:rPr>
          <w:rFonts w:ascii="Times New Roman" w:hAnsi="Times New Roman" w:cs="Times New Roman"/>
        </w:rPr>
        <w:t xml:space="preserve"> (6).</w:t>
      </w:r>
    </w:p>
    <w:p w14:paraId="1E715C82" w14:textId="77777777" w:rsidR="006A2B3E" w:rsidRPr="00720DB4" w:rsidRDefault="006A2B3E" w:rsidP="00720DB4">
      <w:pPr>
        <w:pStyle w:val="EndNoteBibliography"/>
        <w:spacing w:after="0"/>
        <w:jc w:val="both"/>
        <w:rPr>
          <w:rFonts w:ascii="Times New Roman" w:hAnsi="Times New Roman" w:cs="Times New Roman"/>
        </w:rPr>
      </w:pPr>
    </w:p>
    <w:p w14:paraId="7CC96AD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Cavalcanti, V. P., de Camargo, L. A., Moura, F. S., de Melo Fernandes, E. J., Lamaro-Cardoso, J., da Silva Bitencourt Braga, C. A. and Porfirio Andre, M. C. (2019) '</w:t>
      </w:r>
      <w:r w:rsidRPr="006A2B3E">
        <w:rPr>
          <w:rFonts w:ascii="Times New Roman" w:hAnsi="Times New Roman" w:cs="Times New Roman"/>
          <w:i/>
          <w:iCs/>
        </w:rPr>
        <w:t>Staphylococcus aureus</w:t>
      </w:r>
      <w:r w:rsidRPr="00720DB4">
        <w:rPr>
          <w:rFonts w:ascii="Times New Roman" w:hAnsi="Times New Roman" w:cs="Times New Roman"/>
        </w:rPr>
        <w:t xml:space="preserve"> in tonsils of patients with recurrent tonsillitis: prevalence, susceptibility profile, and genotypic characterization', </w:t>
      </w:r>
      <w:r w:rsidRPr="00720DB4">
        <w:rPr>
          <w:rFonts w:ascii="Times New Roman" w:hAnsi="Times New Roman" w:cs="Times New Roman"/>
          <w:i/>
        </w:rPr>
        <w:t>Brazilian Journal of Infectious Diseases,</w:t>
      </w:r>
      <w:r w:rsidRPr="00720DB4">
        <w:rPr>
          <w:rFonts w:ascii="Times New Roman" w:hAnsi="Times New Roman" w:cs="Times New Roman"/>
        </w:rPr>
        <w:t xml:space="preserve"> 23(1), pp. 8-14.</w:t>
      </w:r>
    </w:p>
    <w:p w14:paraId="7B9C1A66" w14:textId="77777777" w:rsidR="006A2B3E" w:rsidRPr="00720DB4" w:rsidRDefault="006A2B3E" w:rsidP="00720DB4">
      <w:pPr>
        <w:pStyle w:val="EndNoteBibliography"/>
        <w:spacing w:after="0"/>
        <w:jc w:val="both"/>
        <w:rPr>
          <w:rFonts w:ascii="Times New Roman" w:hAnsi="Times New Roman" w:cs="Times New Roman"/>
        </w:rPr>
      </w:pPr>
    </w:p>
    <w:p w14:paraId="22D8D09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Cawte, A. D., Unrau, P. J. and Rueda, D. S. (2020) 'Live cell imaging of single RNA molecules with fluorogenic Mango II arrays', </w:t>
      </w:r>
      <w:r w:rsidRPr="00720DB4">
        <w:rPr>
          <w:rFonts w:ascii="Times New Roman" w:hAnsi="Times New Roman" w:cs="Times New Roman"/>
          <w:i/>
        </w:rPr>
        <w:t>Nature Communications,</w:t>
      </w:r>
      <w:r w:rsidRPr="00720DB4">
        <w:rPr>
          <w:rFonts w:ascii="Times New Roman" w:hAnsi="Times New Roman" w:cs="Times New Roman"/>
        </w:rPr>
        <w:t xml:space="preserve"> 11(1).</w:t>
      </w:r>
    </w:p>
    <w:p w14:paraId="5B209746" w14:textId="77777777" w:rsidR="006A2B3E" w:rsidRPr="00720DB4" w:rsidRDefault="006A2B3E" w:rsidP="00720DB4">
      <w:pPr>
        <w:pStyle w:val="EndNoteBibliography"/>
        <w:spacing w:after="0"/>
        <w:jc w:val="both"/>
        <w:rPr>
          <w:rFonts w:ascii="Times New Roman" w:hAnsi="Times New Roman" w:cs="Times New Roman"/>
        </w:rPr>
      </w:pPr>
    </w:p>
    <w:p w14:paraId="53B69C9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Chang, V. S., Dhaliwal, D. K., Raju, L. and Kowalski, R. P. (2015) 'Antibiotic Resistance in the Treatment of </w:t>
      </w:r>
      <w:r w:rsidRPr="006A2B3E">
        <w:rPr>
          <w:rFonts w:ascii="Times New Roman" w:hAnsi="Times New Roman" w:cs="Times New Roman"/>
          <w:i/>
          <w:iCs/>
        </w:rPr>
        <w:t>Staphylococcus aureus</w:t>
      </w:r>
      <w:r w:rsidRPr="00720DB4">
        <w:rPr>
          <w:rFonts w:ascii="Times New Roman" w:hAnsi="Times New Roman" w:cs="Times New Roman"/>
        </w:rPr>
        <w:t xml:space="preserve"> Keratitis: a 20-Year Review', </w:t>
      </w:r>
      <w:r w:rsidRPr="00720DB4">
        <w:rPr>
          <w:rFonts w:ascii="Times New Roman" w:hAnsi="Times New Roman" w:cs="Times New Roman"/>
          <w:i/>
        </w:rPr>
        <w:t>Cornea,</w:t>
      </w:r>
      <w:r w:rsidRPr="00720DB4">
        <w:rPr>
          <w:rFonts w:ascii="Times New Roman" w:hAnsi="Times New Roman" w:cs="Times New Roman"/>
        </w:rPr>
        <w:t xml:space="preserve"> 34(6), pp. 698-703.</w:t>
      </w:r>
    </w:p>
    <w:p w14:paraId="2E8A72DE" w14:textId="77777777" w:rsidR="006A2B3E" w:rsidRPr="00720DB4" w:rsidRDefault="006A2B3E" w:rsidP="00720DB4">
      <w:pPr>
        <w:pStyle w:val="EndNoteBibliography"/>
        <w:spacing w:after="0"/>
        <w:jc w:val="both"/>
        <w:rPr>
          <w:rFonts w:ascii="Times New Roman" w:hAnsi="Times New Roman" w:cs="Times New Roman"/>
        </w:rPr>
      </w:pPr>
    </w:p>
    <w:p w14:paraId="38999E1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Charpentier, E., Anton, A. I., Barry, P., Alfonso, B., Fang, Y. and Novick, R. P. (2004) 'Novel cassette-based shuttle vector system for gram-positive bacteria', </w:t>
      </w:r>
      <w:r w:rsidRPr="00720DB4">
        <w:rPr>
          <w:rFonts w:ascii="Times New Roman" w:hAnsi="Times New Roman" w:cs="Times New Roman"/>
          <w:i/>
        </w:rPr>
        <w:t>Applied and Environmental Microbiology,</w:t>
      </w:r>
      <w:r w:rsidRPr="00720DB4">
        <w:rPr>
          <w:rFonts w:ascii="Times New Roman" w:hAnsi="Times New Roman" w:cs="Times New Roman"/>
        </w:rPr>
        <w:t xml:space="preserve"> 70(10), pp. 6076-6085.</w:t>
      </w:r>
    </w:p>
    <w:p w14:paraId="22BECEBF" w14:textId="77777777" w:rsidR="006A2B3E" w:rsidRPr="00720DB4" w:rsidRDefault="006A2B3E" w:rsidP="00720DB4">
      <w:pPr>
        <w:pStyle w:val="EndNoteBibliography"/>
        <w:spacing w:after="0"/>
        <w:jc w:val="both"/>
        <w:rPr>
          <w:rFonts w:ascii="Times New Roman" w:hAnsi="Times New Roman" w:cs="Times New Roman"/>
        </w:rPr>
      </w:pPr>
    </w:p>
    <w:p w14:paraId="690835E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Chen, A. F., Heyl, A. E., Xu, P. Z., Rao, N. and Klatt, B. A. (2013) 'Preoperative Decolonization Effective at Reducing Staphylococcal Colonization in Total Joint Arthroplasty Patients', </w:t>
      </w:r>
      <w:r w:rsidRPr="00720DB4">
        <w:rPr>
          <w:rFonts w:ascii="Times New Roman" w:hAnsi="Times New Roman" w:cs="Times New Roman"/>
          <w:i/>
        </w:rPr>
        <w:t>Journal of Arthroplasty,</w:t>
      </w:r>
      <w:r w:rsidRPr="00720DB4">
        <w:rPr>
          <w:rFonts w:ascii="Times New Roman" w:hAnsi="Times New Roman" w:cs="Times New Roman"/>
        </w:rPr>
        <w:t xml:space="preserve"> 28(8), pp. 18-20.</w:t>
      </w:r>
    </w:p>
    <w:p w14:paraId="776CE7F9" w14:textId="77777777" w:rsidR="006A2B3E" w:rsidRPr="00720DB4" w:rsidRDefault="006A2B3E" w:rsidP="00720DB4">
      <w:pPr>
        <w:pStyle w:val="EndNoteBibliography"/>
        <w:spacing w:after="0"/>
        <w:jc w:val="both"/>
        <w:rPr>
          <w:rFonts w:ascii="Times New Roman" w:hAnsi="Times New Roman" w:cs="Times New Roman"/>
        </w:rPr>
      </w:pPr>
    </w:p>
    <w:p w14:paraId="0D38593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Chen, B. C., Chen, Y. H. and Lin, W. W. (1999) 'Involvement of p38 mitogen-activated protein kinase in lipopolysaccharide-induced iNOS and COX-2 expression in J774 macrophages', </w:t>
      </w:r>
      <w:r w:rsidRPr="00720DB4">
        <w:rPr>
          <w:rFonts w:ascii="Times New Roman" w:hAnsi="Times New Roman" w:cs="Times New Roman"/>
          <w:i/>
        </w:rPr>
        <w:t>Immunology,</w:t>
      </w:r>
      <w:r w:rsidRPr="00720DB4">
        <w:rPr>
          <w:rFonts w:ascii="Times New Roman" w:hAnsi="Times New Roman" w:cs="Times New Roman"/>
        </w:rPr>
        <w:t xml:space="preserve"> 97(1), pp. 124-129.</w:t>
      </w:r>
    </w:p>
    <w:p w14:paraId="791FEB24" w14:textId="77777777" w:rsidR="006A2B3E" w:rsidRPr="00720DB4" w:rsidRDefault="006A2B3E" w:rsidP="00720DB4">
      <w:pPr>
        <w:pStyle w:val="EndNoteBibliography"/>
        <w:spacing w:after="0"/>
        <w:jc w:val="both"/>
        <w:rPr>
          <w:rFonts w:ascii="Times New Roman" w:hAnsi="Times New Roman" w:cs="Times New Roman"/>
        </w:rPr>
      </w:pPr>
    </w:p>
    <w:p w14:paraId="7C63AB7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Chen, J., Huang, Y., Yang, X., Zhang, H., Li, Z., Qin, B., Chen, X. and Qiu, H. (2018) 'Highly sensitive and visual detection of guanosine 3'-diphosphate-5'di(tri)phosphate (ppGpp) in bacteria based on copper ions-mediated 4-mercaptobenzoic acid modified gold nanoparticles', </w:t>
      </w:r>
      <w:r w:rsidRPr="00720DB4">
        <w:rPr>
          <w:rFonts w:ascii="Times New Roman" w:hAnsi="Times New Roman" w:cs="Times New Roman"/>
          <w:i/>
        </w:rPr>
        <w:t>Analytica Chimica Acta,</w:t>
      </w:r>
      <w:r w:rsidRPr="00720DB4">
        <w:rPr>
          <w:rFonts w:ascii="Times New Roman" w:hAnsi="Times New Roman" w:cs="Times New Roman"/>
        </w:rPr>
        <w:t xml:space="preserve"> 1023, pp. 89-95.</w:t>
      </w:r>
    </w:p>
    <w:p w14:paraId="28E30C0B" w14:textId="77777777" w:rsidR="006A2B3E" w:rsidRPr="00720DB4" w:rsidRDefault="006A2B3E" w:rsidP="00720DB4">
      <w:pPr>
        <w:pStyle w:val="EndNoteBibliography"/>
        <w:spacing w:after="0"/>
        <w:jc w:val="both"/>
        <w:rPr>
          <w:rFonts w:ascii="Times New Roman" w:hAnsi="Times New Roman" w:cs="Times New Roman"/>
        </w:rPr>
      </w:pPr>
    </w:p>
    <w:p w14:paraId="4B93904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Chen, X. J., Niyonsaba, F., Ushio, H., Okuda, D., Nagaoka, I., Ikeda, S., Okumura, K. and Ogawa, H. (2005) 'Synergistic effect of antibacterial agents human beta-defensins, cathelicidin LL-37 and lysozyme against </w:t>
      </w:r>
      <w:r w:rsidRPr="00A90FEE">
        <w:rPr>
          <w:rFonts w:ascii="Times New Roman" w:hAnsi="Times New Roman" w:cs="Times New Roman"/>
          <w:i/>
          <w:iCs/>
        </w:rPr>
        <w:t>Staphylococcus aureus</w:t>
      </w:r>
      <w:r w:rsidRPr="00A90FEE">
        <w:rPr>
          <w:rFonts w:ascii="Times New Roman" w:hAnsi="Times New Roman" w:cs="Times New Roman"/>
        </w:rPr>
        <w:t xml:space="preserve"> and </w:t>
      </w:r>
      <w:r w:rsidRPr="00A90FEE">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Journal of Dermatological Science,</w:t>
      </w:r>
      <w:r w:rsidRPr="00720DB4">
        <w:rPr>
          <w:rFonts w:ascii="Times New Roman" w:hAnsi="Times New Roman" w:cs="Times New Roman"/>
        </w:rPr>
        <w:t xml:space="preserve"> 40(2), pp. 123-132.</w:t>
      </w:r>
    </w:p>
    <w:p w14:paraId="77E66443" w14:textId="77777777" w:rsidR="00A90FEE" w:rsidRPr="00720DB4" w:rsidRDefault="00A90FEE" w:rsidP="00720DB4">
      <w:pPr>
        <w:pStyle w:val="EndNoteBibliography"/>
        <w:spacing w:after="0"/>
        <w:jc w:val="both"/>
        <w:rPr>
          <w:rFonts w:ascii="Times New Roman" w:hAnsi="Times New Roman" w:cs="Times New Roman"/>
        </w:rPr>
      </w:pPr>
    </w:p>
    <w:p w14:paraId="1FF9A48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Cheng, A. G., McAdow, M., Kim, H. K., Bae, T., Missiakas, D. M. and Schneewind, O. (2010) 'Contribution of Coagulases towards </w:t>
      </w:r>
      <w:r w:rsidRPr="00A90FEE">
        <w:rPr>
          <w:rFonts w:ascii="Times New Roman" w:hAnsi="Times New Roman" w:cs="Times New Roman"/>
          <w:i/>
          <w:iCs/>
        </w:rPr>
        <w:t xml:space="preserve">Staphylococcus aureus </w:t>
      </w:r>
      <w:r w:rsidRPr="00720DB4">
        <w:rPr>
          <w:rFonts w:ascii="Times New Roman" w:hAnsi="Times New Roman" w:cs="Times New Roman"/>
        </w:rPr>
        <w:t xml:space="preserve">Disease and Protective Immunity', </w:t>
      </w:r>
      <w:r w:rsidRPr="00720DB4">
        <w:rPr>
          <w:rFonts w:ascii="Times New Roman" w:hAnsi="Times New Roman" w:cs="Times New Roman"/>
          <w:i/>
        </w:rPr>
        <w:t>Plos Pathogens,</w:t>
      </w:r>
      <w:r w:rsidRPr="00720DB4">
        <w:rPr>
          <w:rFonts w:ascii="Times New Roman" w:hAnsi="Times New Roman" w:cs="Times New Roman"/>
        </w:rPr>
        <w:t xml:space="preserve"> 6(8).</w:t>
      </w:r>
    </w:p>
    <w:p w14:paraId="32C68E13" w14:textId="77777777" w:rsidR="00A90FEE" w:rsidRPr="00720DB4" w:rsidRDefault="00A90FEE" w:rsidP="00720DB4">
      <w:pPr>
        <w:pStyle w:val="EndNoteBibliography"/>
        <w:spacing w:after="0"/>
        <w:jc w:val="both"/>
        <w:rPr>
          <w:rFonts w:ascii="Times New Roman" w:hAnsi="Times New Roman" w:cs="Times New Roman"/>
        </w:rPr>
      </w:pPr>
    </w:p>
    <w:p w14:paraId="70B0C98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Cheung, A. L., Bayer, M. G. and Heinrichs, J. H. (1997) 'sar genetic determinants necessary for transcription of RNAII and RNAIII in the </w:t>
      </w:r>
      <w:r w:rsidRPr="00A90FEE">
        <w:rPr>
          <w:rFonts w:ascii="Times New Roman" w:hAnsi="Times New Roman" w:cs="Times New Roman"/>
          <w:i/>
          <w:iCs/>
        </w:rPr>
        <w:t>agr</w:t>
      </w:r>
      <w:r w:rsidRPr="00720DB4">
        <w:rPr>
          <w:rFonts w:ascii="Times New Roman" w:hAnsi="Times New Roman" w:cs="Times New Roman"/>
        </w:rPr>
        <w:t xml:space="preserve"> locus of </w:t>
      </w:r>
      <w:r w:rsidRPr="00A90FE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179(12), pp. 3963-3971.</w:t>
      </w:r>
    </w:p>
    <w:p w14:paraId="2780BB2D" w14:textId="77777777" w:rsidR="00A90FEE" w:rsidRPr="00720DB4" w:rsidRDefault="00A90FEE" w:rsidP="00720DB4">
      <w:pPr>
        <w:pStyle w:val="EndNoteBibliography"/>
        <w:spacing w:after="0"/>
        <w:jc w:val="both"/>
        <w:rPr>
          <w:rFonts w:ascii="Times New Roman" w:hAnsi="Times New Roman" w:cs="Times New Roman"/>
        </w:rPr>
      </w:pPr>
    </w:p>
    <w:p w14:paraId="1B8261E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Cheung, G. Y. C., Joo, H.-S., Chatterjee, S. S. and Otto, M. (2014) 'Phenol-soluble modulins - critical determinants of staphylococcal virulence', </w:t>
      </w:r>
      <w:r w:rsidRPr="00720DB4">
        <w:rPr>
          <w:rFonts w:ascii="Times New Roman" w:hAnsi="Times New Roman" w:cs="Times New Roman"/>
          <w:i/>
        </w:rPr>
        <w:t>Fems Microbiology Reviews,</w:t>
      </w:r>
      <w:r w:rsidRPr="00720DB4">
        <w:rPr>
          <w:rFonts w:ascii="Times New Roman" w:hAnsi="Times New Roman" w:cs="Times New Roman"/>
        </w:rPr>
        <w:t xml:space="preserve"> 38(4), pp. 698-719.</w:t>
      </w:r>
    </w:p>
    <w:p w14:paraId="6AA807D8" w14:textId="77777777" w:rsidR="00A90FEE" w:rsidRPr="00720DB4" w:rsidRDefault="00A90FEE" w:rsidP="00720DB4">
      <w:pPr>
        <w:pStyle w:val="EndNoteBibliography"/>
        <w:spacing w:after="0"/>
        <w:jc w:val="both"/>
        <w:rPr>
          <w:rFonts w:ascii="Times New Roman" w:hAnsi="Times New Roman" w:cs="Times New Roman"/>
        </w:rPr>
      </w:pPr>
    </w:p>
    <w:p w14:paraId="6835124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Choe, C. P., Choi, S. Y., Kee, Y., Kim, M. J., Kim, S. H., Lee, Y., Park, H. C. and Ro, H. (2021) 'Transgenic fluorescent zebrafish lines that have revolutionized biomedical research', </w:t>
      </w:r>
      <w:r w:rsidRPr="00720DB4">
        <w:rPr>
          <w:rFonts w:ascii="Times New Roman" w:hAnsi="Times New Roman" w:cs="Times New Roman"/>
          <w:i/>
        </w:rPr>
        <w:t>Laboratory Animal Research,</w:t>
      </w:r>
      <w:r w:rsidRPr="00720DB4">
        <w:rPr>
          <w:rFonts w:ascii="Times New Roman" w:hAnsi="Times New Roman" w:cs="Times New Roman"/>
        </w:rPr>
        <w:t xml:space="preserve"> 37(1).</w:t>
      </w:r>
    </w:p>
    <w:p w14:paraId="37080730" w14:textId="77777777" w:rsidR="00A90FEE" w:rsidRPr="00720DB4" w:rsidRDefault="00A90FEE" w:rsidP="00720DB4">
      <w:pPr>
        <w:pStyle w:val="EndNoteBibliography"/>
        <w:spacing w:after="0"/>
        <w:jc w:val="both"/>
        <w:rPr>
          <w:rFonts w:ascii="Times New Roman" w:hAnsi="Times New Roman" w:cs="Times New Roman"/>
        </w:rPr>
      </w:pPr>
    </w:p>
    <w:p w14:paraId="5D2DC3A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Christoforidis, S., McBride, H. M., Burgoyne, R. D. and Zerial, M. (1999a) 'The Rab5 effector EEA1 is a core component of endosome docking', </w:t>
      </w:r>
      <w:r w:rsidRPr="00720DB4">
        <w:rPr>
          <w:rFonts w:ascii="Times New Roman" w:hAnsi="Times New Roman" w:cs="Times New Roman"/>
          <w:i/>
        </w:rPr>
        <w:t>Nature,</w:t>
      </w:r>
      <w:r w:rsidRPr="00720DB4">
        <w:rPr>
          <w:rFonts w:ascii="Times New Roman" w:hAnsi="Times New Roman" w:cs="Times New Roman"/>
        </w:rPr>
        <w:t xml:space="preserve"> 397(6720), pp. 621-625.</w:t>
      </w:r>
    </w:p>
    <w:p w14:paraId="45E75A0F" w14:textId="77777777" w:rsidR="00A90FEE" w:rsidRPr="00720DB4" w:rsidRDefault="00A90FEE" w:rsidP="00720DB4">
      <w:pPr>
        <w:pStyle w:val="EndNoteBibliography"/>
        <w:spacing w:after="0"/>
        <w:jc w:val="both"/>
        <w:rPr>
          <w:rFonts w:ascii="Times New Roman" w:hAnsi="Times New Roman" w:cs="Times New Roman"/>
        </w:rPr>
      </w:pPr>
    </w:p>
    <w:p w14:paraId="0F06E09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Christoforidis, S., Miaczynska, M., Ashman, K., Wilm, M., Zhao, L. Y., Yip, S. C., Waterfield, M. D., Backer, J. M. and Zerial, M. (1999b) 'Phosphatidylinositol-3-OH kinases are Rab5 effectors', </w:t>
      </w:r>
      <w:r w:rsidRPr="00720DB4">
        <w:rPr>
          <w:rFonts w:ascii="Times New Roman" w:hAnsi="Times New Roman" w:cs="Times New Roman"/>
          <w:i/>
        </w:rPr>
        <w:t>Nature Cell Biology,</w:t>
      </w:r>
      <w:r w:rsidRPr="00720DB4">
        <w:rPr>
          <w:rFonts w:ascii="Times New Roman" w:hAnsi="Times New Roman" w:cs="Times New Roman"/>
        </w:rPr>
        <w:t xml:space="preserve"> 1(4), pp. 249-252.</w:t>
      </w:r>
    </w:p>
    <w:p w14:paraId="0610A8A6" w14:textId="77777777" w:rsidR="00A90FEE" w:rsidRPr="00720DB4" w:rsidRDefault="00A90FEE" w:rsidP="00720DB4">
      <w:pPr>
        <w:pStyle w:val="EndNoteBibliography"/>
        <w:spacing w:after="0"/>
        <w:jc w:val="both"/>
        <w:rPr>
          <w:rFonts w:ascii="Times New Roman" w:hAnsi="Times New Roman" w:cs="Times New Roman"/>
        </w:rPr>
      </w:pPr>
    </w:p>
    <w:p w14:paraId="27605B8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Chuang, Y. M., Dutta, N. K., Gordy, J. T., Campodonico, V. L., Pinn, M. L., Markham, R. B., Hung, C. F. and Karakousis, P. C. (2020) 'Antibiotic Treatment Shapes the Antigenic Environment During Chronic TB Infection, Offering Novel Targets for Therapeutic Vaccination', </w:t>
      </w:r>
      <w:r w:rsidRPr="00720DB4">
        <w:rPr>
          <w:rFonts w:ascii="Times New Roman" w:hAnsi="Times New Roman" w:cs="Times New Roman"/>
          <w:i/>
        </w:rPr>
        <w:t>Frontiers in Immunology,</w:t>
      </w:r>
      <w:r w:rsidRPr="00720DB4">
        <w:rPr>
          <w:rFonts w:ascii="Times New Roman" w:hAnsi="Times New Roman" w:cs="Times New Roman"/>
        </w:rPr>
        <w:t xml:space="preserve"> 11.</w:t>
      </w:r>
    </w:p>
    <w:p w14:paraId="748DE481" w14:textId="77777777" w:rsidR="00A90FEE" w:rsidRPr="00720DB4" w:rsidRDefault="00A90FEE" w:rsidP="00720DB4">
      <w:pPr>
        <w:pStyle w:val="EndNoteBibliography"/>
        <w:spacing w:after="0"/>
        <w:jc w:val="both"/>
        <w:rPr>
          <w:rFonts w:ascii="Times New Roman" w:hAnsi="Times New Roman" w:cs="Times New Roman"/>
        </w:rPr>
      </w:pPr>
    </w:p>
    <w:p w14:paraId="3764D94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Clatworthy, A. E., Lee, J. S. W., Leibman, M., Kostun, Z., Davidson, A. J. and Hung, D. T. (2009) '</w:t>
      </w:r>
      <w:r w:rsidRPr="00A90FEE">
        <w:rPr>
          <w:rFonts w:ascii="Times New Roman" w:hAnsi="Times New Roman" w:cs="Times New Roman"/>
          <w:i/>
          <w:iCs/>
        </w:rPr>
        <w:t>Pseudomonas aeruginosa</w:t>
      </w:r>
      <w:r w:rsidRPr="00720DB4">
        <w:rPr>
          <w:rFonts w:ascii="Times New Roman" w:hAnsi="Times New Roman" w:cs="Times New Roman"/>
        </w:rPr>
        <w:t xml:space="preserve"> Infection of Zebrafish Involves both Host and Pathogen Determinants', </w:t>
      </w:r>
      <w:r w:rsidRPr="00720DB4">
        <w:rPr>
          <w:rFonts w:ascii="Times New Roman" w:hAnsi="Times New Roman" w:cs="Times New Roman"/>
          <w:i/>
        </w:rPr>
        <w:t>Infection and Immunity,</w:t>
      </w:r>
      <w:r w:rsidRPr="00720DB4">
        <w:rPr>
          <w:rFonts w:ascii="Times New Roman" w:hAnsi="Times New Roman" w:cs="Times New Roman"/>
        </w:rPr>
        <w:t xml:space="preserve"> 77(4), pp. 1293-1303.</w:t>
      </w:r>
    </w:p>
    <w:p w14:paraId="2164F74E" w14:textId="77777777" w:rsidR="00A90FEE" w:rsidRPr="00720DB4" w:rsidRDefault="00A90FEE" w:rsidP="00720DB4">
      <w:pPr>
        <w:pStyle w:val="EndNoteBibliography"/>
        <w:spacing w:after="0"/>
        <w:jc w:val="both"/>
        <w:rPr>
          <w:rFonts w:ascii="Times New Roman" w:hAnsi="Times New Roman" w:cs="Times New Roman"/>
        </w:rPr>
      </w:pPr>
    </w:p>
    <w:p w14:paraId="06FBAFB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Clauditz, A., Resch, A., Wieland, K. P., Peschel, A. and Gotz, F. (2006) 'Staphyloxanthin plays a role in the fitness of </w:t>
      </w:r>
      <w:r w:rsidRPr="00A90FEE">
        <w:rPr>
          <w:rFonts w:ascii="Times New Roman" w:hAnsi="Times New Roman" w:cs="Times New Roman"/>
          <w:i/>
          <w:iCs/>
        </w:rPr>
        <w:t>Staphylococcus aureus</w:t>
      </w:r>
      <w:r w:rsidRPr="00720DB4">
        <w:rPr>
          <w:rFonts w:ascii="Times New Roman" w:hAnsi="Times New Roman" w:cs="Times New Roman"/>
        </w:rPr>
        <w:t xml:space="preserve"> and its ability to cope with oxidative stress', </w:t>
      </w:r>
      <w:r w:rsidRPr="00720DB4">
        <w:rPr>
          <w:rFonts w:ascii="Times New Roman" w:hAnsi="Times New Roman" w:cs="Times New Roman"/>
          <w:i/>
        </w:rPr>
        <w:t>Infection and Immunity,</w:t>
      </w:r>
      <w:r w:rsidRPr="00720DB4">
        <w:rPr>
          <w:rFonts w:ascii="Times New Roman" w:hAnsi="Times New Roman" w:cs="Times New Roman"/>
        </w:rPr>
        <w:t xml:space="preserve"> 74(8), pp. 4950-4953.</w:t>
      </w:r>
    </w:p>
    <w:p w14:paraId="1E9A0BE2" w14:textId="77777777" w:rsidR="00A90FEE" w:rsidRPr="00720DB4" w:rsidRDefault="00A90FEE" w:rsidP="00720DB4">
      <w:pPr>
        <w:pStyle w:val="EndNoteBibliography"/>
        <w:spacing w:after="0"/>
        <w:jc w:val="both"/>
        <w:rPr>
          <w:rFonts w:ascii="Times New Roman" w:hAnsi="Times New Roman" w:cs="Times New Roman"/>
        </w:rPr>
      </w:pPr>
    </w:p>
    <w:p w14:paraId="1516A43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Cohen, T. S., Boland, M. L., Boland, B. B., Takahashi, V., Tovchigrechko, A., Lee, Y., Wilde, A. D., Mazaitis, M. J., Jones-Nelson, O., Tkaczyk, C., Raja, R., Stover, C. K. and Sellman, B. R. (2018) 'S. aureus Evades Macrophage Killing through NLRP3-Dependent Effects on Mitochondrial Trafficking', </w:t>
      </w:r>
      <w:r w:rsidRPr="00720DB4">
        <w:rPr>
          <w:rFonts w:ascii="Times New Roman" w:hAnsi="Times New Roman" w:cs="Times New Roman"/>
          <w:i/>
        </w:rPr>
        <w:t>Cell Reports,</w:t>
      </w:r>
      <w:r w:rsidRPr="00720DB4">
        <w:rPr>
          <w:rFonts w:ascii="Times New Roman" w:hAnsi="Times New Roman" w:cs="Times New Roman"/>
        </w:rPr>
        <w:t xml:space="preserve"> 22(9), pp. 2431-2441.</w:t>
      </w:r>
    </w:p>
    <w:p w14:paraId="5F68189A" w14:textId="77777777" w:rsidR="00A90FEE" w:rsidRPr="00720DB4" w:rsidRDefault="00A90FEE" w:rsidP="00720DB4">
      <w:pPr>
        <w:pStyle w:val="EndNoteBibliography"/>
        <w:spacing w:after="0"/>
        <w:jc w:val="both"/>
        <w:rPr>
          <w:rFonts w:ascii="Times New Roman" w:hAnsi="Times New Roman" w:cs="Times New Roman"/>
        </w:rPr>
      </w:pPr>
    </w:p>
    <w:p w14:paraId="06EDA32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Colomer-Winter, C., Flores-Mireles, A. L., Kundra, S., Hultgren, S. J. and Lemos, J. A. (2019) '(p)ppGpp and CodY Promote </w:t>
      </w:r>
      <w:r w:rsidRPr="00A90FEE">
        <w:rPr>
          <w:rFonts w:ascii="Times New Roman" w:hAnsi="Times New Roman" w:cs="Times New Roman"/>
          <w:i/>
          <w:iCs/>
        </w:rPr>
        <w:t xml:space="preserve">Enterococcus faecalis </w:t>
      </w:r>
      <w:r w:rsidRPr="00720DB4">
        <w:rPr>
          <w:rFonts w:ascii="Times New Roman" w:hAnsi="Times New Roman" w:cs="Times New Roman"/>
        </w:rPr>
        <w:t xml:space="preserve">Virulence in a Murine Model of Catheter-Associated Urinary Tract Infection', </w:t>
      </w:r>
      <w:r w:rsidRPr="00720DB4">
        <w:rPr>
          <w:rFonts w:ascii="Times New Roman" w:hAnsi="Times New Roman" w:cs="Times New Roman"/>
          <w:i/>
        </w:rPr>
        <w:t>Msphere,</w:t>
      </w:r>
      <w:r w:rsidRPr="00720DB4">
        <w:rPr>
          <w:rFonts w:ascii="Times New Roman" w:hAnsi="Times New Roman" w:cs="Times New Roman"/>
        </w:rPr>
        <w:t xml:space="preserve"> 4(4).</w:t>
      </w:r>
    </w:p>
    <w:p w14:paraId="79628476" w14:textId="77777777" w:rsidR="00A90FEE" w:rsidRPr="00720DB4" w:rsidRDefault="00A90FEE" w:rsidP="00720DB4">
      <w:pPr>
        <w:pStyle w:val="EndNoteBibliography"/>
        <w:spacing w:after="0"/>
        <w:jc w:val="both"/>
        <w:rPr>
          <w:rFonts w:ascii="Times New Roman" w:hAnsi="Times New Roman" w:cs="Times New Roman"/>
        </w:rPr>
      </w:pPr>
    </w:p>
    <w:p w14:paraId="3F81980F" w14:textId="32BB3754"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Colomer-Winter, C.</w:t>
      </w:r>
      <w:r w:rsidR="00556234">
        <w:rPr>
          <w:rFonts w:ascii="Times New Roman" w:hAnsi="Times New Roman" w:cs="Times New Roman"/>
        </w:rPr>
        <w:t>,</w:t>
      </w:r>
      <w:r w:rsidRPr="00720DB4">
        <w:rPr>
          <w:rFonts w:ascii="Times New Roman" w:hAnsi="Times New Roman" w:cs="Times New Roman"/>
        </w:rPr>
        <w:t xml:space="preserve"> G</w:t>
      </w:r>
      <w:r w:rsidR="00556234">
        <w:rPr>
          <w:rFonts w:ascii="Times New Roman" w:hAnsi="Times New Roman" w:cs="Times New Roman"/>
        </w:rPr>
        <w:t>aca</w:t>
      </w:r>
      <w:r w:rsidRPr="00720DB4">
        <w:rPr>
          <w:rFonts w:ascii="Times New Roman" w:hAnsi="Times New Roman" w:cs="Times New Roman"/>
        </w:rPr>
        <w:t>. A. O.</w:t>
      </w:r>
      <w:r w:rsidR="00556234">
        <w:rPr>
          <w:rFonts w:ascii="Times New Roman" w:hAnsi="Times New Roman" w:cs="Times New Roman"/>
        </w:rPr>
        <w:t xml:space="preserve"> and</w:t>
      </w:r>
      <w:r w:rsidRPr="00720DB4">
        <w:rPr>
          <w:rFonts w:ascii="Times New Roman" w:hAnsi="Times New Roman" w:cs="Times New Roman"/>
        </w:rPr>
        <w:t xml:space="preserve"> L</w:t>
      </w:r>
      <w:r w:rsidR="00556234">
        <w:rPr>
          <w:rFonts w:ascii="Times New Roman" w:hAnsi="Times New Roman" w:cs="Times New Roman"/>
        </w:rPr>
        <w:t>emos</w:t>
      </w:r>
      <w:r w:rsidRPr="00720DB4">
        <w:rPr>
          <w:rFonts w:ascii="Times New Roman" w:hAnsi="Times New Roman" w:cs="Times New Roman"/>
        </w:rPr>
        <w:t xml:space="preserve">. J. A. (2017) 'Association of metal homeostasis and (p)ppGpp regulation in the pathophysiology of </w:t>
      </w:r>
      <w:r w:rsidRPr="00A90FEE">
        <w:rPr>
          <w:rFonts w:ascii="Times New Roman" w:hAnsi="Times New Roman" w:cs="Times New Roman"/>
          <w:i/>
          <w:iCs/>
        </w:rPr>
        <w:t>Enterococcus faecalis</w:t>
      </w:r>
      <w:r w:rsidRPr="00720DB4">
        <w:rPr>
          <w:rFonts w:ascii="Times New Roman" w:hAnsi="Times New Roman" w:cs="Times New Roman"/>
        </w:rPr>
        <w:t xml:space="preserve">', </w:t>
      </w:r>
      <w:r w:rsidRPr="00720DB4">
        <w:rPr>
          <w:rFonts w:ascii="Times New Roman" w:hAnsi="Times New Roman" w:cs="Times New Roman"/>
          <w:i/>
        </w:rPr>
        <w:t>Infection and Immunity</w:t>
      </w:r>
      <w:r w:rsidRPr="00720DB4">
        <w:rPr>
          <w:rFonts w:ascii="Times New Roman" w:hAnsi="Times New Roman" w:cs="Times New Roman"/>
        </w:rPr>
        <w:t>.</w:t>
      </w:r>
    </w:p>
    <w:p w14:paraId="07534E6E" w14:textId="77777777" w:rsidR="00A90FEE" w:rsidRPr="00720DB4" w:rsidRDefault="00A90FEE" w:rsidP="00720DB4">
      <w:pPr>
        <w:pStyle w:val="EndNoteBibliography"/>
        <w:spacing w:after="0"/>
        <w:jc w:val="both"/>
        <w:rPr>
          <w:rFonts w:ascii="Times New Roman" w:hAnsi="Times New Roman" w:cs="Times New Roman"/>
        </w:rPr>
      </w:pPr>
    </w:p>
    <w:p w14:paraId="66A49B9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Colucci-Guyon, E., Tinevez, J. Y., Renshaw, S. A. and Herbomel, P. (2011) 'Strategies of professional phagocytes in vivo: unlike macrophages, neutrophils engulf only surface-associated microbes', </w:t>
      </w:r>
      <w:r w:rsidRPr="00720DB4">
        <w:rPr>
          <w:rFonts w:ascii="Times New Roman" w:hAnsi="Times New Roman" w:cs="Times New Roman"/>
          <w:i/>
        </w:rPr>
        <w:t>Journal of Cell Science,</w:t>
      </w:r>
      <w:r w:rsidRPr="00720DB4">
        <w:rPr>
          <w:rFonts w:ascii="Times New Roman" w:hAnsi="Times New Roman" w:cs="Times New Roman"/>
        </w:rPr>
        <w:t xml:space="preserve"> 124(18), pp. 3053-3059.</w:t>
      </w:r>
    </w:p>
    <w:p w14:paraId="3D1486D5" w14:textId="77777777" w:rsidR="00A90FEE" w:rsidRPr="00720DB4" w:rsidRDefault="00A90FEE" w:rsidP="00720DB4">
      <w:pPr>
        <w:pStyle w:val="EndNoteBibliography"/>
        <w:spacing w:after="0"/>
        <w:jc w:val="both"/>
        <w:rPr>
          <w:rFonts w:ascii="Times New Roman" w:hAnsi="Times New Roman" w:cs="Times New Roman"/>
        </w:rPr>
      </w:pPr>
    </w:p>
    <w:p w14:paraId="0F358EC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Connolly, J., Boldock, E., Prince, L. R., Renshaw, S. A., Whyte, M. K. and Foster, S. J. (2017) 'Identification of </w:t>
      </w:r>
      <w:r w:rsidRPr="00A90FEE">
        <w:rPr>
          <w:rFonts w:ascii="Times New Roman" w:hAnsi="Times New Roman" w:cs="Times New Roman"/>
          <w:i/>
          <w:iCs/>
        </w:rPr>
        <w:t>Staphylococcus aureus</w:t>
      </w:r>
      <w:r w:rsidRPr="00720DB4">
        <w:rPr>
          <w:rFonts w:ascii="Times New Roman" w:hAnsi="Times New Roman" w:cs="Times New Roman"/>
        </w:rPr>
        <w:t xml:space="preserve"> Factors Required for Pathogenicity and Growth in Human Blood', </w:t>
      </w:r>
      <w:r w:rsidRPr="00720DB4">
        <w:rPr>
          <w:rFonts w:ascii="Times New Roman" w:hAnsi="Times New Roman" w:cs="Times New Roman"/>
          <w:i/>
        </w:rPr>
        <w:t>Infection and Immunity,</w:t>
      </w:r>
      <w:r w:rsidRPr="00720DB4">
        <w:rPr>
          <w:rFonts w:ascii="Times New Roman" w:hAnsi="Times New Roman" w:cs="Times New Roman"/>
        </w:rPr>
        <w:t xml:space="preserve"> 85(11).</w:t>
      </w:r>
    </w:p>
    <w:p w14:paraId="36F24DE3" w14:textId="77777777" w:rsidR="00A90FEE" w:rsidRPr="00720DB4" w:rsidRDefault="00A90FEE" w:rsidP="00720DB4">
      <w:pPr>
        <w:pStyle w:val="EndNoteBibliography"/>
        <w:spacing w:after="0"/>
        <w:jc w:val="both"/>
        <w:rPr>
          <w:rFonts w:ascii="Times New Roman" w:hAnsi="Times New Roman" w:cs="Times New Roman"/>
        </w:rPr>
      </w:pPr>
    </w:p>
    <w:p w14:paraId="0D3255C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Conti, G., Minneci, M. and Sattin, S. (2019) 'Optimised Synthesis of the Bacterial Magic Spot (p)ppGpp Chemosensor PyDPA', </w:t>
      </w:r>
      <w:r w:rsidRPr="00720DB4">
        <w:rPr>
          <w:rFonts w:ascii="Times New Roman" w:hAnsi="Times New Roman" w:cs="Times New Roman"/>
          <w:i/>
        </w:rPr>
        <w:t>Chembiochem,</w:t>
      </w:r>
      <w:r w:rsidRPr="00720DB4">
        <w:rPr>
          <w:rFonts w:ascii="Times New Roman" w:hAnsi="Times New Roman" w:cs="Times New Roman"/>
        </w:rPr>
        <w:t xml:space="preserve"> 20(13), pp. 1717-1721.</w:t>
      </w:r>
    </w:p>
    <w:p w14:paraId="66D4E36A" w14:textId="77777777" w:rsidR="00A90FEE" w:rsidRPr="00720DB4" w:rsidRDefault="00A90FEE" w:rsidP="00720DB4">
      <w:pPr>
        <w:pStyle w:val="EndNoteBibliography"/>
        <w:spacing w:after="0"/>
        <w:jc w:val="both"/>
        <w:rPr>
          <w:rFonts w:ascii="Times New Roman" w:hAnsi="Times New Roman" w:cs="Times New Roman"/>
        </w:rPr>
      </w:pPr>
    </w:p>
    <w:p w14:paraId="75A37D2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Corkery, D. P., Dellaire, G. and Berman, J. N. (2011) 'Leukaemia xenotransplantation in zebrafish - chemotherapy response assay in vivo', </w:t>
      </w:r>
      <w:r w:rsidRPr="00720DB4">
        <w:rPr>
          <w:rFonts w:ascii="Times New Roman" w:hAnsi="Times New Roman" w:cs="Times New Roman"/>
          <w:i/>
        </w:rPr>
        <w:t>British Journal of Haematology,</w:t>
      </w:r>
      <w:r w:rsidRPr="00720DB4">
        <w:rPr>
          <w:rFonts w:ascii="Times New Roman" w:hAnsi="Times New Roman" w:cs="Times New Roman"/>
        </w:rPr>
        <w:t xml:space="preserve"> 153(6), pp. 786-789.</w:t>
      </w:r>
    </w:p>
    <w:p w14:paraId="035153E8" w14:textId="77777777" w:rsidR="00A90FEE" w:rsidRPr="00720DB4" w:rsidRDefault="00A90FEE" w:rsidP="00720DB4">
      <w:pPr>
        <w:pStyle w:val="EndNoteBibliography"/>
        <w:spacing w:after="0"/>
        <w:jc w:val="both"/>
        <w:rPr>
          <w:rFonts w:ascii="Times New Roman" w:hAnsi="Times New Roman" w:cs="Times New Roman"/>
        </w:rPr>
      </w:pPr>
    </w:p>
    <w:p w14:paraId="7B00177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Corrigan, R. M., Bellows, L. E., Wood, A. and Gruendling, A. (2016) 'ppGpp negatively impacts ribosome assembly affecting growth and antimicrobial tolerance in Gram-positive bacteria',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113(12), pp. E1710-E1719.</w:t>
      </w:r>
    </w:p>
    <w:p w14:paraId="189AF102" w14:textId="77777777" w:rsidR="00A90FEE" w:rsidRPr="00720DB4" w:rsidRDefault="00A90FEE" w:rsidP="00720DB4">
      <w:pPr>
        <w:pStyle w:val="EndNoteBibliography"/>
        <w:spacing w:after="0"/>
        <w:jc w:val="both"/>
        <w:rPr>
          <w:rFonts w:ascii="Times New Roman" w:hAnsi="Times New Roman" w:cs="Times New Roman"/>
        </w:rPr>
      </w:pPr>
    </w:p>
    <w:p w14:paraId="42297F9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Corrigan, R. M., Bowman, L., Willis, A. R., Kaever, V. and Gruendling, A. (2015) 'Cross-talk between Two Nucleotide-signaling Pathways in </w:t>
      </w:r>
      <w:r w:rsidRPr="00A90FE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Biological Chemistry,</w:t>
      </w:r>
      <w:r w:rsidRPr="00720DB4">
        <w:rPr>
          <w:rFonts w:ascii="Times New Roman" w:hAnsi="Times New Roman" w:cs="Times New Roman"/>
        </w:rPr>
        <w:t xml:space="preserve"> 290(9), pp. 5826-5839.</w:t>
      </w:r>
    </w:p>
    <w:p w14:paraId="62FFC2F0" w14:textId="77777777" w:rsidR="00A90FEE" w:rsidRPr="00720DB4" w:rsidRDefault="00A90FEE" w:rsidP="00720DB4">
      <w:pPr>
        <w:pStyle w:val="EndNoteBibliography"/>
        <w:spacing w:after="0"/>
        <w:jc w:val="both"/>
        <w:rPr>
          <w:rFonts w:ascii="Times New Roman" w:hAnsi="Times New Roman" w:cs="Times New Roman"/>
        </w:rPr>
      </w:pPr>
    </w:p>
    <w:p w14:paraId="5E55445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Corrigan, R. M., Campeotto, I., Jeganathan, T., Roelofs, K. G., Lee, V. T. and Gruendling, A. (2013) 'Systematic identification of conserved bacterial c-di-AMP receptor proteins',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110(22), pp. 9084-9089.</w:t>
      </w:r>
    </w:p>
    <w:p w14:paraId="08D5BAD1" w14:textId="77777777" w:rsidR="00A90FEE" w:rsidRPr="00720DB4" w:rsidRDefault="00A90FEE" w:rsidP="00720DB4">
      <w:pPr>
        <w:pStyle w:val="EndNoteBibliography"/>
        <w:spacing w:after="0"/>
        <w:jc w:val="both"/>
        <w:rPr>
          <w:rFonts w:ascii="Times New Roman" w:hAnsi="Times New Roman" w:cs="Times New Roman"/>
        </w:rPr>
      </w:pPr>
    </w:p>
    <w:p w14:paraId="03FA573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Corrigan, R. M., Rigby, D., Handley, P. and Foster, T. J. (2007) 'The role of </w:t>
      </w:r>
      <w:r w:rsidRPr="00A90FEE">
        <w:rPr>
          <w:rFonts w:ascii="Times New Roman" w:hAnsi="Times New Roman" w:cs="Times New Roman"/>
          <w:i/>
          <w:iCs/>
        </w:rPr>
        <w:t xml:space="preserve">Staphylococcus aureus </w:t>
      </w:r>
      <w:r w:rsidRPr="00720DB4">
        <w:rPr>
          <w:rFonts w:ascii="Times New Roman" w:hAnsi="Times New Roman" w:cs="Times New Roman"/>
        </w:rPr>
        <w:t xml:space="preserve">surface protein SasG in adherence and biofilm formation', </w:t>
      </w:r>
      <w:r w:rsidRPr="00720DB4">
        <w:rPr>
          <w:rFonts w:ascii="Times New Roman" w:hAnsi="Times New Roman" w:cs="Times New Roman"/>
          <w:i/>
        </w:rPr>
        <w:t>Microbiology-Sgm,</w:t>
      </w:r>
      <w:r w:rsidRPr="00720DB4">
        <w:rPr>
          <w:rFonts w:ascii="Times New Roman" w:hAnsi="Times New Roman" w:cs="Times New Roman"/>
        </w:rPr>
        <w:t xml:space="preserve"> 153, pp. 2435-2446.</w:t>
      </w:r>
    </w:p>
    <w:p w14:paraId="055A80AD" w14:textId="77777777" w:rsidR="00A90FEE" w:rsidRPr="00720DB4" w:rsidRDefault="00A90FEE" w:rsidP="00720DB4">
      <w:pPr>
        <w:pStyle w:val="EndNoteBibliography"/>
        <w:spacing w:after="0"/>
        <w:jc w:val="both"/>
        <w:rPr>
          <w:rFonts w:ascii="Times New Roman" w:hAnsi="Times New Roman" w:cs="Times New Roman"/>
        </w:rPr>
      </w:pPr>
    </w:p>
    <w:p w14:paraId="3B92E91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Cosgrove, K., Coutts, G., Jonsson, I.-M., Tarkowski, A., Kokai-Kun, J. F., Mond, J. J. and Foster, S. J. (2007) 'Catalase (KatA) and alkyl hydroperoxide reductase (AhpC) have comensatory roles in peroxide stress resistance and are required for survival, persistence, and nasal colonization in </w:t>
      </w:r>
      <w:r w:rsidRPr="00A90FE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189(3), pp. 1025-1035.</w:t>
      </w:r>
    </w:p>
    <w:p w14:paraId="39AC1399" w14:textId="77777777" w:rsidR="00A90FEE" w:rsidRPr="00720DB4" w:rsidRDefault="00A90FEE" w:rsidP="00720DB4">
      <w:pPr>
        <w:pStyle w:val="EndNoteBibliography"/>
        <w:spacing w:after="0"/>
        <w:jc w:val="both"/>
        <w:rPr>
          <w:rFonts w:ascii="Times New Roman" w:hAnsi="Times New Roman" w:cs="Times New Roman"/>
        </w:rPr>
      </w:pPr>
    </w:p>
    <w:p w14:paraId="2F188C2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Cox, R. S., 3rd, Dunlop, M. J. and Elowitz, M. B. (2010) 'A synthetic three-color scaffold for monitoring genetic regulation and noise', </w:t>
      </w:r>
      <w:r w:rsidRPr="00720DB4">
        <w:rPr>
          <w:rFonts w:ascii="Times New Roman" w:hAnsi="Times New Roman" w:cs="Times New Roman"/>
          <w:i/>
        </w:rPr>
        <w:t>Journal of biological engineering,</w:t>
      </w:r>
      <w:r w:rsidRPr="00720DB4">
        <w:rPr>
          <w:rFonts w:ascii="Times New Roman" w:hAnsi="Times New Roman" w:cs="Times New Roman"/>
        </w:rPr>
        <w:t xml:space="preserve"> 4, pp. 10-10.</w:t>
      </w:r>
    </w:p>
    <w:p w14:paraId="46C52B87" w14:textId="77777777" w:rsidR="00A90FEE" w:rsidRPr="00720DB4" w:rsidRDefault="00A90FEE" w:rsidP="00720DB4">
      <w:pPr>
        <w:pStyle w:val="EndNoteBibliography"/>
        <w:spacing w:after="0"/>
        <w:jc w:val="both"/>
        <w:rPr>
          <w:rFonts w:ascii="Times New Roman" w:hAnsi="Times New Roman" w:cs="Times New Roman"/>
        </w:rPr>
      </w:pPr>
    </w:p>
    <w:p w14:paraId="38528A1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Cruz, A. R., den Boer, M. A., Strasser, J., Zwarthoff, S. A., Beurskens, F. J., de Haas, C. J. C., Aerts, P. C., Wang, G. B., de Jong, R. N., Bagnoli, F., van Strijp, J. A. G., van Kessel, K. P. M., Schuurman, J., Preiner, J., Heck, A. J. R. and Rooijakkers, S. H. M. (2021) 'Staphylococcal protein A inhibits complement activation by interfering with IgG hexamer formation',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118(7).</w:t>
      </w:r>
    </w:p>
    <w:p w14:paraId="130C958E" w14:textId="77777777" w:rsidR="00A90FEE" w:rsidRPr="00720DB4" w:rsidRDefault="00A90FEE" w:rsidP="00720DB4">
      <w:pPr>
        <w:pStyle w:val="EndNoteBibliography"/>
        <w:spacing w:after="0"/>
        <w:jc w:val="both"/>
        <w:rPr>
          <w:rFonts w:ascii="Times New Roman" w:hAnsi="Times New Roman" w:cs="Times New Roman"/>
        </w:rPr>
      </w:pPr>
    </w:p>
    <w:p w14:paraId="6462292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Cucarella, C., Solano, C., Valle, J., Amorena, B., Lasa, I. and Penades, J. R. (2001) 'Bap, a </w:t>
      </w:r>
      <w:r w:rsidRPr="00A90FEE">
        <w:rPr>
          <w:rFonts w:ascii="Times New Roman" w:hAnsi="Times New Roman" w:cs="Times New Roman"/>
          <w:i/>
          <w:iCs/>
        </w:rPr>
        <w:t>Staphylococcus aureus</w:t>
      </w:r>
      <w:r w:rsidRPr="00720DB4">
        <w:rPr>
          <w:rFonts w:ascii="Times New Roman" w:hAnsi="Times New Roman" w:cs="Times New Roman"/>
        </w:rPr>
        <w:t xml:space="preserve"> surface protein involved in biofilm formation', </w:t>
      </w:r>
      <w:r w:rsidRPr="00720DB4">
        <w:rPr>
          <w:rFonts w:ascii="Times New Roman" w:hAnsi="Times New Roman" w:cs="Times New Roman"/>
          <w:i/>
        </w:rPr>
        <w:t>Journal of Bacteriology,</w:t>
      </w:r>
      <w:r w:rsidRPr="00720DB4">
        <w:rPr>
          <w:rFonts w:ascii="Times New Roman" w:hAnsi="Times New Roman" w:cs="Times New Roman"/>
        </w:rPr>
        <w:t xml:space="preserve"> 183(9), pp. 2888-2896.</w:t>
      </w:r>
    </w:p>
    <w:p w14:paraId="6EBBBEC1" w14:textId="77777777" w:rsidR="00A90FEE" w:rsidRPr="00720DB4" w:rsidRDefault="00A90FEE" w:rsidP="00720DB4">
      <w:pPr>
        <w:pStyle w:val="EndNoteBibliography"/>
        <w:spacing w:after="0"/>
        <w:jc w:val="both"/>
        <w:rPr>
          <w:rFonts w:ascii="Times New Roman" w:hAnsi="Times New Roman" w:cs="Times New Roman"/>
        </w:rPr>
      </w:pPr>
    </w:p>
    <w:p w14:paraId="0601ED1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Dahl, J. L., Kraus, C. N., Boshoff, H. I. M., Doan, B., Foley, K., Avarbock, D., Kaplan, G., Mizrahi, V., Rubin, H. and Barry, C. E. (2003) 'The role of Rel(</w:t>
      </w:r>
      <w:r w:rsidRPr="00FD6A85">
        <w:rPr>
          <w:rFonts w:ascii="Times New Roman" w:hAnsi="Times New Roman" w:cs="Times New Roman"/>
          <w:i/>
          <w:iCs/>
        </w:rPr>
        <w:t>Mtb</w:t>
      </w:r>
      <w:r w:rsidRPr="00720DB4">
        <w:rPr>
          <w:rFonts w:ascii="Times New Roman" w:hAnsi="Times New Roman" w:cs="Times New Roman"/>
        </w:rPr>
        <w:t>)-mediated adaptation to stationary phase in long-term persistence of</w:t>
      </w:r>
      <w:r w:rsidRPr="00720DB4">
        <w:rPr>
          <w:rFonts w:ascii="Times New Roman" w:hAnsi="Times New Roman" w:cs="Times New Roman"/>
          <w:i/>
        </w:rPr>
        <w:t xml:space="preserve"> Mycobacterium tuberculosis</w:t>
      </w:r>
      <w:r w:rsidRPr="00720DB4">
        <w:rPr>
          <w:rFonts w:ascii="Times New Roman" w:hAnsi="Times New Roman" w:cs="Times New Roman"/>
        </w:rPr>
        <w:t xml:space="preserve"> in mice',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100(17), pp. 10026-10031.</w:t>
      </w:r>
    </w:p>
    <w:p w14:paraId="7E0D4192" w14:textId="77777777" w:rsidR="00A90FEE" w:rsidRPr="00720DB4" w:rsidRDefault="00A90FEE" w:rsidP="00720DB4">
      <w:pPr>
        <w:pStyle w:val="EndNoteBibliography"/>
        <w:spacing w:after="0"/>
        <w:jc w:val="both"/>
        <w:rPr>
          <w:rFonts w:ascii="Times New Roman" w:hAnsi="Times New Roman" w:cs="Times New Roman"/>
        </w:rPr>
      </w:pPr>
    </w:p>
    <w:p w14:paraId="70F8397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Dalebroux, Z. D., Svensson, S. L., Gaynor, E. C. and Swanson, M. S. (2010) 'ppGpp Conjures Bacterial Virulence', </w:t>
      </w:r>
      <w:r w:rsidRPr="00720DB4">
        <w:rPr>
          <w:rFonts w:ascii="Times New Roman" w:hAnsi="Times New Roman" w:cs="Times New Roman"/>
          <w:i/>
        </w:rPr>
        <w:t>Microbiology and Molecular Biology Reviews,</w:t>
      </w:r>
      <w:r w:rsidRPr="00720DB4">
        <w:rPr>
          <w:rFonts w:ascii="Times New Roman" w:hAnsi="Times New Roman" w:cs="Times New Roman"/>
        </w:rPr>
        <w:t xml:space="preserve"> 74(2), pp. 171--199.</w:t>
      </w:r>
    </w:p>
    <w:p w14:paraId="63145323" w14:textId="77777777" w:rsidR="00A90FEE" w:rsidRPr="00720DB4" w:rsidRDefault="00A90FEE" w:rsidP="00720DB4">
      <w:pPr>
        <w:pStyle w:val="EndNoteBibliography"/>
        <w:spacing w:after="0"/>
        <w:jc w:val="both"/>
        <w:rPr>
          <w:rFonts w:ascii="Times New Roman" w:hAnsi="Times New Roman" w:cs="Times New Roman"/>
        </w:rPr>
      </w:pPr>
    </w:p>
    <w:p w14:paraId="1A60F90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Dalebroux, Z. D. and Swanson, M. S. (2012) 'ppGpp: magic beyond RNA polymerase', </w:t>
      </w:r>
      <w:r w:rsidRPr="00720DB4">
        <w:rPr>
          <w:rFonts w:ascii="Times New Roman" w:hAnsi="Times New Roman" w:cs="Times New Roman"/>
          <w:i/>
        </w:rPr>
        <w:t>Nature Reviews Microbiology,</w:t>
      </w:r>
      <w:r w:rsidRPr="00720DB4">
        <w:rPr>
          <w:rFonts w:ascii="Times New Roman" w:hAnsi="Times New Roman" w:cs="Times New Roman"/>
        </w:rPr>
        <w:t xml:space="preserve"> 10(3), pp. 203-212.</w:t>
      </w:r>
    </w:p>
    <w:p w14:paraId="59DA183F" w14:textId="77777777" w:rsidR="00A90FEE" w:rsidRPr="00720DB4" w:rsidRDefault="00A90FEE" w:rsidP="00720DB4">
      <w:pPr>
        <w:pStyle w:val="EndNoteBibliography"/>
        <w:spacing w:after="0"/>
        <w:jc w:val="both"/>
        <w:rPr>
          <w:rFonts w:ascii="Times New Roman" w:hAnsi="Times New Roman" w:cs="Times New Roman"/>
        </w:rPr>
      </w:pPr>
    </w:p>
    <w:p w14:paraId="576E620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Das, B., Pal, R. R., Bag, S. and Bhadra, R. K. (2009) 'Stringent response in </w:t>
      </w:r>
      <w:r w:rsidRPr="00A90FEE">
        <w:rPr>
          <w:rFonts w:ascii="Times New Roman" w:hAnsi="Times New Roman" w:cs="Times New Roman"/>
          <w:i/>
          <w:iCs/>
        </w:rPr>
        <w:t>Vibrio cholerae</w:t>
      </w:r>
      <w:r w:rsidRPr="00720DB4">
        <w:rPr>
          <w:rFonts w:ascii="Times New Roman" w:hAnsi="Times New Roman" w:cs="Times New Roman"/>
        </w:rPr>
        <w:t xml:space="preserve">: genetic analysis of </w:t>
      </w:r>
      <w:r w:rsidRPr="002153BA">
        <w:rPr>
          <w:rFonts w:ascii="Times New Roman" w:hAnsi="Times New Roman" w:cs="Times New Roman"/>
          <w:i/>
          <w:iCs/>
        </w:rPr>
        <w:t xml:space="preserve">spoT </w:t>
      </w:r>
      <w:r w:rsidRPr="00720DB4">
        <w:rPr>
          <w:rFonts w:ascii="Times New Roman" w:hAnsi="Times New Roman" w:cs="Times New Roman"/>
        </w:rPr>
        <w:t xml:space="preserve">gene function and identification of a novel (p)ppGpp synthetase gene', </w:t>
      </w:r>
      <w:r w:rsidRPr="00720DB4">
        <w:rPr>
          <w:rFonts w:ascii="Times New Roman" w:hAnsi="Times New Roman" w:cs="Times New Roman"/>
          <w:i/>
        </w:rPr>
        <w:t>Molecular Microbiology,</w:t>
      </w:r>
      <w:r w:rsidRPr="00720DB4">
        <w:rPr>
          <w:rFonts w:ascii="Times New Roman" w:hAnsi="Times New Roman" w:cs="Times New Roman"/>
        </w:rPr>
        <w:t xml:space="preserve"> 72(2), pp. 380-398.</w:t>
      </w:r>
    </w:p>
    <w:p w14:paraId="3CFB1FA9" w14:textId="77777777" w:rsidR="00A90FEE" w:rsidRPr="00720DB4" w:rsidRDefault="00A90FEE" w:rsidP="00720DB4">
      <w:pPr>
        <w:pStyle w:val="EndNoteBibliography"/>
        <w:spacing w:after="0"/>
        <w:jc w:val="both"/>
        <w:rPr>
          <w:rFonts w:ascii="Times New Roman" w:hAnsi="Times New Roman" w:cs="Times New Roman"/>
        </w:rPr>
      </w:pPr>
    </w:p>
    <w:p w14:paraId="1DE0369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Dasgupta, S., Das, S., Biswas, A., Bhadra, R. K. and Das, S. (2019) 'Small alarmones (p)ppGpp regulate virulence associated traits and pathogenesis of </w:t>
      </w:r>
      <w:r w:rsidRPr="00A90FEE">
        <w:rPr>
          <w:rFonts w:ascii="Times New Roman" w:hAnsi="Times New Roman" w:cs="Times New Roman"/>
          <w:i/>
          <w:iCs/>
        </w:rPr>
        <w:t>Salmonella</w:t>
      </w:r>
      <w:r w:rsidRPr="00720DB4">
        <w:rPr>
          <w:rFonts w:ascii="Times New Roman" w:hAnsi="Times New Roman" w:cs="Times New Roman"/>
        </w:rPr>
        <w:t xml:space="preserve"> </w:t>
      </w:r>
      <w:r w:rsidRPr="00A90FEE">
        <w:rPr>
          <w:rFonts w:ascii="Times New Roman" w:hAnsi="Times New Roman" w:cs="Times New Roman"/>
          <w:i/>
          <w:iCs/>
        </w:rPr>
        <w:t>enterica</w:t>
      </w:r>
      <w:r w:rsidRPr="00720DB4">
        <w:rPr>
          <w:rFonts w:ascii="Times New Roman" w:hAnsi="Times New Roman" w:cs="Times New Roman"/>
        </w:rPr>
        <w:t xml:space="preserve"> serovar Typhi', </w:t>
      </w:r>
      <w:r w:rsidRPr="00720DB4">
        <w:rPr>
          <w:rFonts w:ascii="Times New Roman" w:hAnsi="Times New Roman" w:cs="Times New Roman"/>
          <w:i/>
        </w:rPr>
        <w:t>Cellular Microbiology,</w:t>
      </w:r>
      <w:r w:rsidRPr="00720DB4">
        <w:rPr>
          <w:rFonts w:ascii="Times New Roman" w:hAnsi="Times New Roman" w:cs="Times New Roman"/>
        </w:rPr>
        <w:t xml:space="preserve"> 21(8).</w:t>
      </w:r>
    </w:p>
    <w:p w14:paraId="09772D92" w14:textId="77777777" w:rsidR="00A90FEE" w:rsidRPr="00720DB4" w:rsidRDefault="00A90FEE" w:rsidP="00720DB4">
      <w:pPr>
        <w:pStyle w:val="EndNoteBibliography"/>
        <w:spacing w:after="0"/>
        <w:jc w:val="both"/>
        <w:rPr>
          <w:rFonts w:ascii="Times New Roman" w:hAnsi="Times New Roman" w:cs="Times New Roman"/>
        </w:rPr>
      </w:pPr>
    </w:p>
    <w:p w14:paraId="5FAAA27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Davies, L. C., Jenkins, S. J., Allen, J. E. and Taylor, P. R. (2013) 'Tissue-resident macrophages', </w:t>
      </w:r>
      <w:r w:rsidRPr="00720DB4">
        <w:rPr>
          <w:rFonts w:ascii="Times New Roman" w:hAnsi="Times New Roman" w:cs="Times New Roman"/>
          <w:i/>
        </w:rPr>
        <w:t>Nature Immunology,</w:t>
      </w:r>
      <w:r w:rsidRPr="00720DB4">
        <w:rPr>
          <w:rFonts w:ascii="Times New Roman" w:hAnsi="Times New Roman" w:cs="Times New Roman"/>
        </w:rPr>
        <w:t xml:space="preserve"> 14(10), pp. 986-995.</w:t>
      </w:r>
    </w:p>
    <w:p w14:paraId="14B626AC" w14:textId="77777777" w:rsidR="00A90FEE" w:rsidRPr="00720DB4" w:rsidRDefault="00A90FEE" w:rsidP="00720DB4">
      <w:pPr>
        <w:pStyle w:val="EndNoteBibliography"/>
        <w:spacing w:after="0"/>
        <w:jc w:val="both"/>
        <w:rPr>
          <w:rFonts w:ascii="Times New Roman" w:hAnsi="Times New Roman" w:cs="Times New Roman"/>
        </w:rPr>
      </w:pPr>
    </w:p>
    <w:p w14:paraId="23B23AC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Davis, J. M., Clay, H., Lewis, J. L., Ghori, N., Herbomel, P. and Ramakrishnan, L. (2002) 'Real-time visualization of </w:t>
      </w:r>
      <w:r w:rsidRPr="00A90FEE">
        <w:rPr>
          <w:rFonts w:ascii="Times New Roman" w:hAnsi="Times New Roman" w:cs="Times New Roman"/>
          <w:i/>
          <w:iCs/>
        </w:rPr>
        <w:t>Mycobacterium</w:t>
      </w:r>
      <w:r w:rsidRPr="00720DB4">
        <w:rPr>
          <w:rFonts w:ascii="Times New Roman" w:hAnsi="Times New Roman" w:cs="Times New Roman"/>
        </w:rPr>
        <w:t xml:space="preserve">-macrophage interactions leading to initiation of granuloma formation in zebrafish embryos', </w:t>
      </w:r>
      <w:r w:rsidRPr="00720DB4">
        <w:rPr>
          <w:rFonts w:ascii="Times New Roman" w:hAnsi="Times New Roman" w:cs="Times New Roman"/>
          <w:i/>
        </w:rPr>
        <w:t>Immunity,</w:t>
      </w:r>
      <w:r w:rsidRPr="00720DB4">
        <w:rPr>
          <w:rFonts w:ascii="Times New Roman" w:hAnsi="Times New Roman" w:cs="Times New Roman"/>
        </w:rPr>
        <w:t xml:space="preserve"> 17(6), pp. 693-702.</w:t>
      </w:r>
    </w:p>
    <w:p w14:paraId="48DF6FC0" w14:textId="77777777" w:rsidR="00A90FEE" w:rsidRPr="00720DB4" w:rsidRDefault="00A90FEE" w:rsidP="00720DB4">
      <w:pPr>
        <w:pStyle w:val="EndNoteBibliography"/>
        <w:spacing w:after="0"/>
        <w:jc w:val="both"/>
        <w:rPr>
          <w:rFonts w:ascii="Times New Roman" w:hAnsi="Times New Roman" w:cs="Times New Roman"/>
        </w:rPr>
      </w:pPr>
    </w:p>
    <w:p w14:paraId="06BA228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de Haas, C. J. C., Veldkamp, K. E., Peschel, A., Weerkamp, F., Van Wamel, W. J. B., Heezius, E., Poppelier, M., Van Kessel, K. P. M. and van Strijp, J. A. G. (2004) 'Chemotaxis inhibitory protein of </w:t>
      </w:r>
      <w:r w:rsidRPr="00A90FEE">
        <w:rPr>
          <w:rFonts w:ascii="Times New Roman" w:hAnsi="Times New Roman" w:cs="Times New Roman"/>
          <w:i/>
          <w:iCs/>
        </w:rPr>
        <w:t>Staphylococcus aureus</w:t>
      </w:r>
      <w:r w:rsidRPr="00720DB4">
        <w:rPr>
          <w:rFonts w:ascii="Times New Roman" w:hAnsi="Times New Roman" w:cs="Times New Roman"/>
        </w:rPr>
        <w:t xml:space="preserve">, a bacterial antiinflammatory agent', </w:t>
      </w:r>
      <w:r w:rsidRPr="00720DB4">
        <w:rPr>
          <w:rFonts w:ascii="Times New Roman" w:hAnsi="Times New Roman" w:cs="Times New Roman"/>
          <w:i/>
        </w:rPr>
        <w:t>Journal of Experimental Medicine,</w:t>
      </w:r>
      <w:r w:rsidRPr="00720DB4">
        <w:rPr>
          <w:rFonts w:ascii="Times New Roman" w:hAnsi="Times New Roman" w:cs="Times New Roman"/>
        </w:rPr>
        <w:t xml:space="preserve"> 199(5), pp. 687-695.</w:t>
      </w:r>
    </w:p>
    <w:p w14:paraId="237145B6" w14:textId="77777777" w:rsidR="00A90FEE" w:rsidRPr="00720DB4" w:rsidRDefault="00A90FEE" w:rsidP="00720DB4">
      <w:pPr>
        <w:pStyle w:val="EndNoteBibliography"/>
        <w:spacing w:after="0"/>
        <w:jc w:val="both"/>
        <w:rPr>
          <w:rFonts w:ascii="Times New Roman" w:hAnsi="Times New Roman" w:cs="Times New Roman"/>
        </w:rPr>
      </w:pPr>
    </w:p>
    <w:p w14:paraId="30EDC84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de Jong, N. W. M., Ramyar, K. X., Guerra, F. E., Nijland, R., Fevre, C., Voyich, J. M., McCarthy, A. J., Garcia, B. L., van Kessel, K. P. M., van Strijp, J. A. G., Geisbrecht, B. V. and Haas, P. J. A. (2017a) 'Immune evasion by a staphylococcal inhibitor of myeloperoxidase',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114(35), pp. 9439-9444.</w:t>
      </w:r>
    </w:p>
    <w:p w14:paraId="5A08B227" w14:textId="77777777" w:rsidR="00A90FEE" w:rsidRPr="00720DB4" w:rsidRDefault="00A90FEE" w:rsidP="00720DB4">
      <w:pPr>
        <w:pStyle w:val="EndNoteBibliography"/>
        <w:spacing w:after="0"/>
        <w:jc w:val="both"/>
        <w:rPr>
          <w:rFonts w:ascii="Times New Roman" w:hAnsi="Times New Roman" w:cs="Times New Roman"/>
        </w:rPr>
      </w:pPr>
    </w:p>
    <w:p w14:paraId="079C628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de Jong, N. W. M., van der Horst, T., van Strijp, J. A. G. and Nijland, R. (2017b) 'Fluorescent reporters for markerless genomic integration in </w:t>
      </w:r>
      <w:r w:rsidRPr="00720DB4">
        <w:rPr>
          <w:rFonts w:ascii="Times New Roman" w:hAnsi="Times New Roman" w:cs="Times New Roman"/>
          <w:i/>
        </w:rPr>
        <w:t>Staphylococcus aureus</w:t>
      </w:r>
      <w:r w:rsidRPr="00720DB4">
        <w:rPr>
          <w:rFonts w:ascii="Times New Roman" w:hAnsi="Times New Roman" w:cs="Times New Roman"/>
        </w:rPr>
        <w:t xml:space="preserve">', </w:t>
      </w:r>
      <w:r w:rsidRPr="00720DB4">
        <w:rPr>
          <w:rFonts w:ascii="Times New Roman" w:hAnsi="Times New Roman" w:cs="Times New Roman"/>
          <w:i/>
        </w:rPr>
        <w:t>Scientific Reports,</w:t>
      </w:r>
      <w:r w:rsidRPr="00720DB4">
        <w:rPr>
          <w:rFonts w:ascii="Times New Roman" w:hAnsi="Times New Roman" w:cs="Times New Roman"/>
        </w:rPr>
        <w:t xml:space="preserve"> 7.</w:t>
      </w:r>
    </w:p>
    <w:p w14:paraId="225EE071" w14:textId="77777777" w:rsidR="00A90FEE" w:rsidRPr="00720DB4" w:rsidRDefault="00A90FEE" w:rsidP="00720DB4">
      <w:pPr>
        <w:pStyle w:val="EndNoteBibliography"/>
        <w:spacing w:after="0"/>
        <w:jc w:val="both"/>
        <w:rPr>
          <w:rFonts w:ascii="Times New Roman" w:hAnsi="Times New Roman" w:cs="Times New Roman"/>
        </w:rPr>
      </w:pPr>
    </w:p>
    <w:p w14:paraId="1666356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De Kleer, I., Willems, F., Lambrecht, B. and Goriely, S. (2014) 'Ontogeny of myeloid cells', </w:t>
      </w:r>
      <w:r w:rsidRPr="00720DB4">
        <w:rPr>
          <w:rFonts w:ascii="Times New Roman" w:hAnsi="Times New Roman" w:cs="Times New Roman"/>
          <w:i/>
        </w:rPr>
        <w:t>Frontiers in Immunology,</w:t>
      </w:r>
      <w:r w:rsidRPr="00720DB4">
        <w:rPr>
          <w:rFonts w:ascii="Times New Roman" w:hAnsi="Times New Roman" w:cs="Times New Roman"/>
        </w:rPr>
        <w:t xml:space="preserve"> 5.</w:t>
      </w:r>
    </w:p>
    <w:p w14:paraId="43FBBAA7" w14:textId="77777777" w:rsidR="00A90FEE" w:rsidRPr="00720DB4" w:rsidRDefault="00A90FEE" w:rsidP="00720DB4">
      <w:pPr>
        <w:pStyle w:val="EndNoteBibliography"/>
        <w:spacing w:after="0"/>
        <w:jc w:val="both"/>
        <w:rPr>
          <w:rFonts w:ascii="Times New Roman" w:hAnsi="Times New Roman" w:cs="Times New Roman"/>
        </w:rPr>
      </w:pPr>
    </w:p>
    <w:p w14:paraId="0F24C2E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de la Fuente-Núñez , C., Reffuveille, F., Haney, E. F., Straus, S. K. and Hancock, R. E. W. (2014) 'Broad-Spectrum Anti-biofilm Peptide That Targets a Cellular Stress Response', </w:t>
      </w:r>
      <w:r w:rsidRPr="00720DB4">
        <w:rPr>
          <w:rFonts w:ascii="Times New Roman" w:hAnsi="Times New Roman" w:cs="Times New Roman"/>
          <w:i/>
        </w:rPr>
        <w:t>Plos Pathogens,</w:t>
      </w:r>
      <w:r w:rsidRPr="00720DB4">
        <w:rPr>
          <w:rFonts w:ascii="Times New Roman" w:hAnsi="Times New Roman" w:cs="Times New Roman"/>
        </w:rPr>
        <w:t xml:space="preserve"> 10(5).</w:t>
      </w:r>
    </w:p>
    <w:p w14:paraId="15C65AA7" w14:textId="77777777" w:rsidR="00A90FEE" w:rsidRPr="00720DB4" w:rsidRDefault="00A90FEE" w:rsidP="00720DB4">
      <w:pPr>
        <w:pStyle w:val="EndNoteBibliography"/>
        <w:spacing w:after="0"/>
        <w:jc w:val="both"/>
        <w:rPr>
          <w:rFonts w:ascii="Times New Roman" w:hAnsi="Times New Roman" w:cs="Times New Roman"/>
        </w:rPr>
      </w:pPr>
    </w:p>
    <w:p w14:paraId="7E1A37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Del, F. C., Garcia-Rio, F., Gomez-Pina, V., Soares-Schanoski, A., Fernandez-Ruiz, I., Jurado, T., Kajiji, T., Shu, C., Marin, E., del Arroyo, A. G., Prados, C., Amalich, F., Fuentes-Prior, P., Biswas, S. K. and Lopez-Collazo, E. (2009) 'Potent phagocytic activity with impaired antigen presentation identifying lipopolysaccharide-tolerant human monocytes: demonstration in isolated monocytes from cystic fibrosis patients (vol 182, pg 6494, 2009)', </w:t>
      </w:r>
      <w:r w:rsidRPr="00720DB4">
        <w:rPr>
          <w:rFonts w:ascii="Times New Roman" w:hAnsi="Times New Roman" w:cs="Times New Roman"/>
          <w:i/>
        </w:rPr>
        <w:t>Journal of Immunology,</w:t>
      </w:r>
      <w:r w:rsidRPr="00720DB4">
        <w:rPr>
          <w:rFonts w:ascii="Times New Roman" w:hAnsi="Times New Roman" w:cs="Times New Roman"/>
        </w:rPr>
        <w:t xml:space="preserve"> 183(3), pp. 2194-2194.</w:t>
      </w:r>
    </w:p>
    <w:p w14:paraId="4129F242" w14:textId="77777777" w:rsidR="00A90FEE" w:rsidRPr="00720DB4" w:rsidRDefault="00A90FEE" w:rsidP="00720DB4">
      <w:pPr>
        <w:pStyle w:val="EndNoteBibliography"/>
        <w:spacing w:after="0"/>
        <w:jc w:val="both"/>
        <w:rPr>
          <w:rFonts w:ascii="Times New Roman" w:hAnsi="Times New Roman" w:cs="Times New Roman"/>
        </w:rPr>
      </w:pPr>
    </w:p>
    <w:p w14:paraId="5C9A523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Diaz-Salazar, C., Calero, P., Espinosa-Portero, R., Jimenez-Fernandez, A., Wirebrand, L., Velasco-Dominguez, M. G., Lopez-Sanchez, A., Shingler, V. and Govantes, F. (2017) 'The stringent response promotes biofilm dispersal in </w:t>
      </w:r>
      <w:r w:rsidRPr="00A90FEE">
        <w:rPr>
          <w:rFonts w:ascii="Times New Roman" w:hAnsi="Times New Roman" w:cs="Times New Roman"/>
          <w:i/>
          <w:iCs/>
        </w:rPr>
        <w:t>Pseudomonas putida</w:t>
      </w:r>
      <w:r w:rsidRPr="00720DB4">
        <w:rPr>
          <w:rFonts w:ascii="Times New Roman" w:hAnsi="Times New Roman" w:cs="Times New Roman"/>
        </w:rPr>
        <w:t xml:space="preserve">', </w:t>
      </w:r>
      <w:r w:rsidRPr="00720DB4">
        <w:rPr>
          <w:rFonts w:ascii="Times New Roman" w:hAnsi="Times New Roman" w:cs="Times New Roman"/>
          <w:i/>
        </w:rPr>
        <w:t>Scientific Reports,</w:t>
      </w:r>
      <w:r w:rsidRPr="00720DB4">
        <w:rPr>
          <w:rFonts w:ascii="Times New Roman" w:hAnsi="Times New Roman" w:cs="Times New Roman"/>
        </w:rPr>
        <w:t xml:space="preserve"> 7.</w:t>
      </w:r>
    </w:p>
    <w:p w14:paraId="03CABAF2" w14:textId="77777777" w:rsidR="00A90FEE" w:rsidRPr="00720DB4" w:rsidRDefault="00A90FEE" w:rsidP="00720DB4">
      <w:pPr>
        <w:pStyle w:val="EndNoteBibliography"/>
        <w:spacing w:after="0"/>
        <w:jc w:val="both"/>
        <w:rPr>
          <w:rFonts w:ascii="Times New Roman" w:hAnsi="Times New Roman" w:cs="Times New Roman"/>
        </w:rPr>
      </w:pPr>
    </w:p>
    <w:p w14:paraId="6D073B1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Ding, C.-K. C., Rose, J., Sun, T., Wu, J., Chen, P.-H., Lin, C.-C., Yang, W.-H., Chen, K.-Y., Lee, H., Xu, E., Tian, S., Akinwuntan, J., Zhao, J., Guan, Z., Zhou, P. and Chi, J.-T. (2020) 'MESH1 is a cytosolic NADPH phosphatase that regulates ferroptosis', </w:t>
      </w:r>
      <w:r w:rsidRPr="00720DB4">
        <w:rPr>
          <w:rFonts w:ascii="Times New Roman" w:hAnsi="Times New Roman" w:cs="Times New Roman"/>
          <w:i/>
        </w:rPr>
        <w:t>Nature Metabolism,</w:t>
      </w:r>
      <w:r w:rsidRPr="00720DB4">
        <w:rPr>
          <w:rFonts w:ascii="Times New Roman" w:hAnsi="Times New Roman" w:cs="Times New Roman"/>
        </w:rPr>
        <w:t xml:space="preserve"> 2(3), pp. 270-+.</w:t>
      </w:r>
    </w:p>
    <w:p w14:paraId="2A197500" w14:textId="77777777" w:rsidR="00A90FEE" w:rsidRPr="00720DB4" w:rsidRDefault="00A90FEE" w:rsidP="00720DB4">
      <w:pPr>
        <w:pStyle w:val="EndNoteBibliography"/>
        <w:spacing w:after="0"/>
        <w:jc w:val="both"/>
        <w:rPr>
          <w:rFonts w:ascii="Times New Roman" w:hAnsi="Times New Roman" w:cs="Times New Roman"/>
        </w:rPr>
      </w:pPr>
    </w:p>
    <w:p w14:paraId="02482D5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Donlan, R. M. (2002) 'Biofilms: Microbial life on surfaces', </w:t>
      </w:r>
      <w:r w:rsidRPr="00720DB4">
        <w:rPr>
          <w:rFonts w:ascii="Times New Roman" w:hAnsi="Times New Roman" w:cs="Times New Roman"/>
          <w:i/>
        </w:rPr>
        <w:t>Emerging Infectious Diseases,</w:t>
      </w:r>
      <w:r w:rsidRPr="00720DB4">
        <w:rPr>
          <w:rFonts w:ascii="Times New Roman" w:hAnsi="Times New Roman" w:cs="Times New Roman"/>
        </w:rPr>
        <w:t xml:space="preserve"> 8(9), pp. 881-890.</w:t>
      </w:r>
    </w:p>
    <w:p w14:paraId="7AA1CCE1" w14:textId="77777777" w:rsidR="00A90FEE" w:rsidRPr="00720DB4" w:rsidRDefault="00A90FEE" w:rsidP="00720DB4">
      <w:pPr>
        <w:pStyle w:val="EndNoteBibliography"/>
        <w:spacing w:after="0"/>
        <w:jc w:val="both"/>
        <w:rPr>
          <w:rFonts w:ascii="Times New Roman" w:hAnsi="Times New Roman" w:cs="Times New Roman"/>
        </w:rPr>
      </w:pPr>
    </w:p>
    <w:p w14:paraId="68CEAB7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Dow, L. E. and Lowe, S. W. (2012) 'Life in the Fast Lane: Mammalian Disease Models in the Genomics Era', </w:t>
      </w:r>
      <w:r w:rsidRPr="00720DB4">
        <w:rPr>
          <w:rFonts w:ascii="Times New Roman" w:hAnsi="Times New Roman" w:cs="Times New Roman"/>
          <w:i/>
        </w:rPr>
        <w:t>Cell,</w:t>
      </w:r>
      <w:r w:rsidRPr="00720DB4">
        <w:rPr>
          <w:rFonts w:ascii="Times New Roman" w:hAnsi="Times New Roman" w:cs="Times New Roman"/>
        </w:rPr>
        <w:t xml:space="preserve"> 148(6), pp. 1099-1109.</w:t>
      </w:r>
    </w:p>
    <w:p w14:paraId="588E9207" w14:textId="77777777" w:rsidR="00A90FEE" w:rsidRPr="00720DB4" w:rsidRDefault="00A90FEE" w:rsidP="00720DB4">
      <w:pPr>
        <w:pStyle w:val="EndNoteBibliography"/>
        <w:spacing w:after="0"/>
        <w:jc w:val="both"/>
        <w:rPr>
          <w:rFonts w:ascii="Times New Roman" w:hAnsi="Times New Roman" w:cs="Times New Roman"/>
        </w:rPr>
      </w:pPr>
    </w:p>
    <w:p w14:paraId="34BA421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DuMont, A. L., Yoong, P., Day, C. J., Alonzo, F., McDonald, W. H., Jennings, M. P. and Torres, V. J. (2013a) '</w:t>
      </w:r>
      <w:r w:rsidRPr="00A90FEE">
        <w:rPr>
          <w:rFonts w:ascii="Times New Roman" w:hAnsi="Times New Roman" w:cs="Times New Roman"/>
          <w:i/>
          <w:iCs/>
        </w:rPr>
        <w:t>Staphylococcus aureus</w:t>
      </w:r>
      <w:r w:rsidRPr="00720DB4">
        <w:rPr>
          <w:rFonts w:ascii="Times New Roman" w:hAnsi="Times New Roman" w:cs="Times New Roman"/>
        </w:rPr>
        <w:t xml:space="preserve"> LukAB cytotoxin kills human neutrophils by targeting the CD11b subunit of the integrin Mac-1',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110(26), pp. 10794-10799.</w:t>
      </w:r>
    </w:p>
    <w:p w14:paraId="37824BB7" w14:textId="77777777" w:rsidR="00A90FEE" w:rsidRPr="00720DB4" w:rsidRDefault="00A90FEE" w:rsidP="00720DB4">
      <w:pPr>
        <w:pStyle w:val="EndNoteBibliography"/>
        <w:spacing w:after="0"/>
        <w:jc w:val="both"/>
        <w:rPr>
          <w:rFonts w:ascii="Times New Roman" w:hAnsi="Times New Roman" w:cs="Times New Roman"/>
        </w:rPr>
      </w:pPr>
    </w:p>
    <w:p w14:paraId="31C78A6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DuMont, A. L., Yoong, P., Surewaard, B. G. J., Benson, M. A., Nijland, R., van Strijp, J. A. G. and Torres, V. J. (2013b) '</w:t>
      </w:r>
      <w:r w:rsidRPr="00A90FEE">
        <w:rPr>
          <w:rFonts w:ascii="Times New Roman" w:hAnsi="Times New Roman" w:cs="Times New Roman"/>
          <w:i/>
          <w:iCs/>
        </w:rPr>
        <w:t xml:space="preserve">Staphylococcus aureus </w:t>
      </w:r>
      <w:r w:rsidRPr="00720DB4">
        <w:rPr>
          <w:rFonts w:ascii="Times New Roman" w:hAnsi="Times New Roman" w:cs="Times New Roman"/>
        </w:rPr>
        <w:t xml:space="preserve">Elaborates Leukocidin AB To Mediate Escape from within Human Neutrophils', </w:t>
      </w:r>
      <w:r w:rsidRPr="00720DB4">
        <w:rPr>
          <w:rFonts w:ascii="Times New Roman" w:hAnsi="Times New Roman" w:cs="Times New Roman"/>
          <w:i/>
        </w:rPr>
        <w:t>Infection and Immunity,</w:t>
      </w:r>
      <w:r w:rsidRPr="00720DB4">
        <w:rPr>
          <w:rFonts w:ascii="Times New Roman" w:hAnsi="Times New Roman" w:cs="Times New Roman"/>
        </w:rPr>
        <w:t xml:space="preserve"> 81(5), pp. 1830-1841.</w:t>
      </w:r>
    </w:p>
    <w:p w14:paraId="2B2CD61B" w14:textId="77777777" w:rsidR="00A90FEE" w:rsidRPr="00720DB4" w:rsidRDefault="00A90FEE" w:rsidP="00720DB4">
      <w:pPr>
        <w:pStyle w:val="EndNoteBibliography"/>
        <w:spacing w:after="0"/>
        <w:jc w:val="both"/>
        <w:rPr>
          <w:rFonts w:ascii="Times New Roman" w:hAnsi="Times New Roman" w:cs="Times New Roman"/>
        </w:rPr>
      </w:pPr>
    </w:p>
    <w:p w14:paraId="490AC78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Dunman, P. M., Murphy, E., Haney, S., Palacios, D., Tucker-Kellogg, G., Wu, S., Brown, E. L., Zagursky, R. J., Shlaes, D. and Projan, S. J. (2001) 'Transcription profiling-based identification of </w:t>
      </w:r>
      <w:r w:rsidRPr="00A90FEE">
        <w:rPr>
          <w:rFonts w:ascii="Times New Roman" w:hAnsi="Times New Roman" w:cs="Times New Roman"/>
          <w:i/>
          <w:iCs/>
        </w:rPr>
        <w:t>Staphylococcus aureus</w:t>
      </w:r>
      <w:r w:rsidRPr="00720DB4">
        <w:rPr>
          <w:rFonts w:ascii="Times New Roman" w:hAnsi="Times New Roman" w:cs="Times New Roman"/>
        </w:rPr>
        <w:t xml:space="preserve"> genes regulated by the </w:t>
      </w:r>
      <w:r w:rsidRPr="00A90FEE">
        <w:rPr>
          <w:rFonts w:ascii="Times New Roman" w:hAnsi="Times New Roman" w:cs="Times New Roman"/>
          <w:i/>
          <w:iCs/>
        </w:rPr>
        <w:t>agr</w:t>
      </w:r>
      <w:r w:rsidRPr="00720DB4">
        <w:rPr>
          <w:rFonts w:ascii="Times New Roman" w:hAnsi="Times New Roman" w:cs="Times New Roman"/>
        </w:rPr>
        <w:t xml:space="preserve"> and/or </w:t>
      </w:r>
      <w:r w:rsidRPr="00A90FEE">
        <w:rPr>
          <w:rFonts w:ascii="Times New Roman" w:hAnsi="Times New Roman" w:cs="Times New Roman"/>
          <w:i/>
          <w:iCs/>
        </w:rPr>
        <w:t>sarA</w:t>
      </w:r>
      <w:r w:rsidRPr="00720DB4">
        <w:rPr>
          <w:rFonts w:ascii="Times New Roman" w:hAnsi="Times New Roman" w:cs="Times New Roman"/>
        </w:rPr>
        <w:t xml:space="preserve"> loci', </w:t>
      </w:r>
      <w:r w:rsidRPr="00720DB4">
        <w:rPr>
          <w:rFonts w:ascii="Times New Roman" w:hAnsi="Times New Roman" w:cs="Times New Roman"/>
          <w:i/>
        </w:rPr>
        <w:t>Journal of Bacteriology,</w:t>
      </w:r>
      <w:r w:rsidRPr="00720DB4">
        <w:rPr>
          <w:rFonts w:ascii="Times New Roman" w:hAnsi="Times New Roman" w:cs="Times New Roman"/>
        </w:rPr>
        <w:t xml:space="preserve"> 183(24), pp. 7341-7353.</w:t>
      </w:r>
    </w:p>
    <w:p w14:paraId="1A0C04EA" w14:textId="77777777" w:rsidR="00A90FEE" w:rsidRPr="00720DB4" w:rsidRDefault="00A90FEE" w:rsidP="00720DB4">
      <w:pPr>
        <w:pStyle w:val="EndNoteBibliography"/>
        <w:spacing w:after="0"/>
        <w:jc w:val="both"/>
        <w:rPr>
          <w:rFonts w:ascii="Times New Roman" w:hAnsi="Times New Roman" w:cs="Times New Roman"/>
        </w:rPr>
      </w:pPr>
    </w:p>
    <w:p w14:paraId="6AAC8F6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Dupre-Crochet, S., Erard, M. and Nubetae, O. (2013) 'ROS production in phagocytes: why,  when, and where?', </w:t>
      </w:r>
      <w:r w:rsidRPr="00720DB4">
        <w:rPr>
          <w:rFonts w:ascii="Times New Roman" w:hAnsi="Times New Roman" w:cs="Times New Roman"/>
          <w:i/>
        </w:rPr>
        <w:t>Journal of Leukocyte Biology,</w:t>
      </w:r>
      <w:r w:rsidRPr="00720DB4">
        <w:rPr>
          <w:rFonts w:ascii="Times New Roman" w:hAnsi="Times New Roman" w:cs="Times New Roman"/>
        </w:rPr>
        <w:t xml:space="preserve"> 94(4), pp. 657-670.</w:t>
      </w:r>
    </w:p>
    <w:p w14:paraId="621431C9" w14:textId="77777777" w:rsidR="00A90FEE" w:rsidRPr="00720DB4" w:rsidRDefault="00A90FEE" w:rsidP="00720DB4">
      <w:pPr>
        <w:pStyle w:val="EndNoteBibliography"/>
        <w:spacing w:after="0"/>
        <w:jc w:val="both"/>
        <w:rPr>
          <w:rFonts w:ascii="Times New Roman" w:hAnsi="Times New Roman" w:cs="Times New Roman"/>
        </w:rPr>
      </w:pPr>
    </w:p>
    <w:p w14:paraId="46EFF2A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Dziarski, R., Wang, Q. L., Miyake, K., Kirschning, C. J. and Gupta, D. (2001) 'MD-2 enables toll-like receptor 2 (TLR2)-mediated responses to lipopolysaccharide and enhances TLR2-mediated responses to gram-positive and gram-negative bacteria and their cell wall components', </w:t>
      </w:r>
      <w:r w:rsidRPr="00720DB4">
        <w:rPr>
          <w:rFonts w:ascii="Times New Roman" w:hAnsi="Times New Roman" w:cs="Times New Roman"/>
          <w:i/>
        </w:rPr>
        <w:t>Journal of Immunology,</w:t>
      </w:r>
      <w:r w:rsidRPr="00720DB4">
        <w:rPr>
          <w:rFonts w:ascii="Times New Roman" w:hAnsi="Times New Roman" w:cs="Times New Roman"/>
        </w:rPr>
        <w:t xml:space="preserve"> 166(3), pp. 1938-1944.</w:t>
      </w:r>
    </w:p>
    <w:p w14:paraId="550B8A4C" w14:textId="77777777" w:rsidR="00A90FEE" w:rsidRPr="00720DB4" w:rsidRDefault="00A90FEE" w:rsidP="00720DB4">
      <w:pPr>
        <w:pStyle w:val="EndNoteBibliography"/>
        <w:spacing w:after="0"/>
        <w:jc w:val="both"/>
        <w:rPr>
          <w:rFonts w:ascii="Times New Roman" w:hAnsi="Times New Roman" w:cs="Times New Roman"/>
        </w:rPr>
      </w:pPr>
    </w:p>
    <w:p w14:paraId="33CA099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Eidhin, D. N., Perkins, S., Francois, P., Vaudaux, P., Hook, M. and Foster, T. J. (1998) 'Clumping factor B (ClfB), a new surface-located fibrinogen-binding adhesin of </w:t>
      </w:r>
      <w:r w:rsidRPr="00A90FE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30(2), pp. 245-257.</w:t>
      </w:r>
    </w:p>
    <w:p w14:paraId="4F867272" w14:textId="77777777" w:rsidR="00A90FEE" w:rsidRPr="00720DB4" w:rsidRDefault="00A90FEE" w:rsidP="00720DB4">
      <w:pPr>
        <w:pStyle w:val="EndNoteBibliography"/>
        <w:spacing w:after="0"/>
        <w:jc w:val="both"/>
        <w:rPr>
          <w:rFonts w:ascii="Times New Roman" w:hAnsi="Times New Roman" w:cs="Times New Roman"/>
        </w:rPr>
      </w:pPr>
    </w:p>
    <w:p w14:paraId="7D5E3DD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Ellett, F., Pase, L., Hayman, J. W., Andrianopoulos, A. and Lieschke, G. J. (2011) '</w:t>
      </w:r>
      <w:r w:rsidRPr="00720DB4">
        <w:rPr>
          <w:rFonts w:ascii="Times New Roman" w:hAnsi="Times New Roman" w:cs="Times New Roman"/>
          <w:i/>
        </w:rPr>
        <w:t>mpeg1</w:t>
      </w:r>
      <w:r w:rsidRPr="00720DB4">
        <w:rPr>
          <w:rFonts w:ascii="Times New Roman" w:hAnsi="Times New Roman" w:cs="Times New Roman"/>
        </w:rPr>
        <w:t xml:space="preserve"> promoter transgenes direct macrophage-lineage expression in zebrafish', </w:t>
      </w:r>
      <w:r w:rsidRPr="00720DB4">
        <w:rPr>
          <w:rFonts w:ascii="Times New Roman" w:hAnsi="Times New Roman" w:cs="Times New Roman"/>
          <w:i/>
        </w:rPr>
        <w:t>Blood,</w:t>
      </w:r>
      <w:r w:rsidRPr="00720DB4">
        <w:rPr>
          <w:rFonts w:ascii="Times New Roman" w:hAnsi="Times New Roman" w:cs="Times New Roman"/>
        </w:rPr>
        <w:t xml:space="preserve"> 117(4), pp. e49-56.</w:t>
      </w:r>
    </w:p>
    <w:p w14:paraId="278B9FE4" w14:textId="77777777" w:rsidR="00A90FEE" w:rsidRPr="00720DB4" w:rsidRDefault="00A90FEE" w:rsidP="00720DB4">
      <w:pPr>
        <w:pStyle w:val="EndNoteBibliography"/>
        <w:spacing w:after="0"/>
        <w:jc w:val="both"/>
        <w:rPr>
          <w:rFonts w:ascii="Times New Roman" w:hAnsi="Times New Roman" w:cs="Times New Roman"/>
        </w:rPr>
      </w:pPr>
    </w:p>
    <w:p w14:paraId="04070EB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Fasnacht, M. and Polacek, N. (2021) 'Oxidative Stress in Bacteria and the Central Dogma of Molecular Biology', </w:t>
      </w:r>
      <w:r w:rsidRPr="00720DB4">
        <w:rPr>
          <w:rFonts w:ascii="Times New Roman" w:hAnsi="Times New Roman" w:cs="Times New Roman"/>
          <w:i/>
        </w:rPr>
        <w:t>Frontiers in Molecular Biosciences,</w:t>
      </w:r>
      <w:r w:rsidRPr="00720DB4">
        <w:rPr>
          <w:rFonts w:ascii="Times New Roman" w:hAnsi="Times New Roman" w:cs="Times New Roman"/>
        </w:rPr>
        <w:t xml:space="preserve"> 8.</w:t>
      </w:r>
    </w:p>
    <w:p w14:paraId="340468C4" w14:textId="77777777" w:rsidR="00A90FEE" w:rsidRPr="00720DB4" w:rsidRDefault="00A90FEE" w:rsidP="00720DB4">
      <w:pPr>
        <w:pStyle w:val="EndNoteBibliography"/>
        <w:spacing w:after="0"/>
        <w:jc w:val="both"/>
        <w:rPr>
          <w:rFonts w:ascii="Times New Roman" w:hAnsi="Times New Roman" w:cs="Times New Roman"/>
        </w:rPr>
      </w:pPr>
    </w:p>
    <w:p w14:paraId="38B2C99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Faurschou, M. and Borregaard, N. (2003) 'Neutrophil granules and secretory vesicles in inflammation', </w:t>
      </w:r>
      <w:r w:rsidRPr="00720DB4">
        <w:rPr>
          <w:rFonts w:ascii="Times New Roman" w:hAnsi="Times New Roman" w:cs="Times New Roman"/>
          <w:i/>
        </w:rPr>
        <w:t>Microbes and Infection,</w:t>
      </w:r>
      <w:r w:rsidRPr="00720DB4">
        <w:rPr>
          <w:rFonts w:ascii="Times New Roman" w:hAnsi="Times New Roman" w:cs="Times New Roman"/>
        </w:rPr>
        <w:t xml:space="preserve"> 5(14), pp. 1317-1327.</w:t>
      </w:r>
    </w:p>
    <w:p w14:paraId="6B4A34FF" w14:textId="77777777" w:rsidR="00A90FEE" w:rsidRPr="00720DB4" w:rsidRDefault="00A90FEE" w:rsidP="00720DB4">
      <w:pPr>
        <w:pStyle w:val="EndNoteBibliography"/>
        <w:spacing w:after="0"/>
        <w:jc w:val="both"/>
        <w:rPr>
          <w:rFonts w:ascii="Times New Roman" w:hAnsi="Times New Roman" w:cs="Times New Roman"/>
        </w:rPr>
      </w:pPr>
    </w:p>
    <w:p w14:paraId="0482567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Fauvart, M., de Groote, V. N. and Jan, M. 2011. Role of persister cells in chronic infections: Clinical relevance and perspectives on anti-persister therapies.</w:t>
      </w:r>
    </w:p>
    <w:p w14:paraId="678C8632" w14:textId="77777777" w:rsidR="00A90FEE" w:rsidRPr="00720DB4" w:rsidRDefault="00A90FEE" w:rsidP="00720DB4">
      <w:pPr>
        <w:pStyle w:val="EndNoteBibliography"/>
        <w:spacing w:after="0"/>
        <w:jc w:val="both"/>
        <w:rPr>
          <w:rFonts w:ascii="Times New Roman" w:hAnsi="Times New Roman" w:cs="Times New Roman"/>
        </w:rPr>
      </w:pPr>
    </w:p>
    <w:p w14:paraId="2F97857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Feng, B. Y., Mandava, C. S., Guo, Q., Wang, J., Cao, W., Li, N. N., Zhang, Y. X., Zhang, Y. Q., Wang, Z. X., Wu, J. W., Sanyal, S., Lei, J. L. and Gao, N. (2014) 'Structural and Functional Insights into the Mode of Action of a Universally Conserved Obg GTPase', </w:t>
      </w:r>
      <w:r w:rsidRPr="00720DB4">
        <w:rPr>
          <w:rFonts w:ascii="Times New Roman" w:hAnsi="Times New Roman" w:cs="Times New Roman"/>
          <w:i/>
        </w:rPr>
        <w:t>Plos Biology,</w:t>
      </w:r>
      <w:r w:rsidRPr="00720DB4">
        <w:rPr>
          <w:rFonts w:ascii="Times New Roman" w:hAnsi="Times New Roman" w:cs="Times New Roman"/>
        </w:rPr>
        <w:t xml:space="preserve"> 12(5).</w:t>
      </w:r>
    </w:p>
    <w:p w14:paraId="01281379" w14:textId="77777777" w:rsidR="00A90FEE" w:rsidRPr="00720DB4" w:rsidRDefault="00A90FEE" w:rsidP="00720DB4">
      <w:pPr>
        <w:pStyle w:val="EndNoteBibliography"/>
        <w:spacing w:after="0"/>
        <w:jc w:val="both"/>
        <w:rPr>
          <w:rFonts w:ascii="Times New Roman" w:hAnsi="Times New Roman" w:cs="Times New Roman"/>
        </w:rPr>
      </w:pPr>
    </w:p>
    <w:p w14:paraId="216C140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Ferwerda, B., Ferwerda, G., Plantinga, T. S., Willment, J. A., van Spriel, A. B., Venselaar, H., Elbers, C. C., Johnson, M. D., Cambi, A., Huysamen, C., Jacobs, L., Jansen, T., Verheijen, K., Masthoff, L., Morre, S. A., Vriend, G., Williams, D. L., Perfect, J. R., Joosten, L. A. B., Wijmenga, C., van der Meer, J. W. M., Adema, G. J., Kullberg, B. J., Brown, G. D. and Netea, M. G. (2009) 'Human Dectin-1 Deficiency and Mucocutaneous Fungal Infections', </w:t>
      </w:r>
      <w:r w:rsidRPr="00720DB4">
        <w:rPr>
          <w:rFonts w:ascii="Times New Roman" w:hAnsi="Times New Roman" w:cs="Times New Roman"/>
          <w:i/>
        </w:rPr>
        <w:t>New England Journal of Medicine,</w:t>
      </w:r>
      <w:r w:rsidRPr="00720DB4">
        <w:rPr>
          <w:rFonts w:ascii="Times New Roman" w:hAnsi="Times New Roman" w:cs="Times New Roman"/>
        </w:rPr>
        <w:t xml:space="preserve"> 361(18), pp. 1760-1767.</w:t>
      </w:r>
    </w:p>
    <w:p w14:paraId="3458A0E7" w14:textId="77777777" w:rsidR="00A90FEE" w:rsidRPr="00720DB4" w:rsidRDefault="00A90FEE" w:rsidP="00720DB4">
      <w:pPr>
        <w:pStyle w:val="EndNoteBibliography"/>
        <w:spacing w:after="0"/>
        <w:jc w:val="both"/>
        <w:rPr>
          <w:rFonts w:ascii="Times New Roman" w:hAnsi="Times New Roman" w:cs="Times New Roman"/>
        </w:rPr>
      </w:pPr>
    </w:p>
    <w:p w14:paraId="204E03D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Fey, P. D., Endres, J. L., Yajjala, V. K., Widhelm, T. J., Boissy, R. J., Bose, J. L. and Bayles, K. W. (2013) 'A Genetic Resource for Rapid and Comprehensive Phenotype Screening of Nonessential </w:t>
      </w:r>
      <w:r w:rsidRPr="00720DB4">
        <w:rPr>
          <w:rFonts w:ascii="Times New Roman" w:hAnsi="Times New Roman" w:cs="Times New Roman"/>
          <w:i/>
        </w:rPr>
        <w:t>Staphylococcus aureus</w:t>
      </w:r>
      <w:r w:rsidRPr="00720DB4">
        <w:rPr>
          <w:rFonts w:ascii="Times New Roman" w:hAnsi="Times New Roman" w:cs="Times New Roman"/>
        </w:rPr>
        <w:t xml:space="preserve"> Genes', </w:t>
      </w:r>
      <w:r w:rsidRPr="00720DB4">
        <w:rPr>
          <w:rFonts w:ascii="Times New Roman" w:hAnsi="Times New Roman" w:cs="Times New Roman"/>
          <w:i/>
        </w:rPr>
        <w:t>Mbio,</w:t>
      </w:r>
      <w:r w:rsidRPr="00720DB4">
        <w:rPr>
          <w:rFonts w:ascii="Times New Roman" w:hAnsi="Times New Roman" w:cs="Times New Roman"/>
        </w:rPr>
        <w:t xml:space="preserve"> 4(1).</w:t>
      </w:r>
    </w:p>
    <w:p w14:paraId="6F06FC4D" w14:textId="77777777" w:rsidR="00A90FEE" w:rsidRPr="00720DB4" w:rsidRDefault="00A90FEE" w:rsidP="00720DB4">
      <w:pPr>
        <w:pStyle w:val="EndNoteBibliography"/>
        <w:spacing w:after="0"/>
        <w:jc w:val="both"/>
        <w:rPr>
          <w:rFonts w:ascii="Times New Roman" w:hAnsi="Times New Roman" w:cs="Times New Roman"/>
        </w:rPr>
      </w:pPr>
    </w:p>
    <w:p w14:paraId="167EEFB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Filonov, G. S., Kam, C. W., Song, W. and Jaffrey, S. R. (2015) 'In-Gel Imaging of RNA Processing Using Broccoli Reveals Optimal Aptamer Expression Strategies', </w:t>
      </w:r>
      <w:r w:rsidRPr="00720DB4">
        <w:rPr>
          <w:rFonts w:ascii="Times New Roman" w:hAnsi="Times New Roman" w:cs="Times New Roman"/>
          <w:i/>
        </w:rPr>
        <w:t>Chemistry &amp; Biology,</w:t>
      </w:r>
      <w:r w:rsidRPr="00720DB4">
        <w:rPr>
          <w:rFonts w:ascii="Times New Roman" w:hAnsi="Times New Roman" w:cs="Times New Roman"/>
        </w:rPr>
        <w:t xml:space="preserve"> 22(5), pp. 649-660.</w:t>
      </w:r>
    </w:p>
    <w:p w14:paraId="6DD9A6EC" w14:textId="77777777" w:rsidR="00A90FEE" w:rsidRPr="00720DB4" w:rsidRDefault="00A90FEE" w:rsidP="00720DB4">
      <w:pPr>
        <w:pStyle w:val="EndNoteBibliography"/>
        <w:spacing w:after="0"/>
        <w:jc w:val="both"/>
        <w:rPr>
          <w:rFonts w:ascii="Times New Roman" w:hAnsi="Times New Roman" w:cs="Times New Roman"/>
        </w:rPr>
      </w:pPr>
    </w:p>
    <w:p w14:paraId="71D6F562" w14:textId="5E90978D" w:rsidR="00A90FEE"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Filonov, G. S., Moon, J. D., Svensen, N. and Jaffrey, S. R. (2014) 'Broccoli: Rapid Selection of an RNA Mimic of Green Fluorescent Protein by Fluorescence-Based Selection and Directed Evolution', </w:t>
      </w:r>
      <w:r w:rsidRPr="00720DB4">
        <w:rPr>
          <w:rFonts w:ascii="Times New Roman" w:hAnsi="Times New Roman" w:cs="Times New Roman"/>
          <w:i/>
        </w:rPr>
        <w:t>Journal of the American Chemical Society,</w:t>
      </w:r>
      <w:r w:rsidRPr="00720DB4">
        <w:rPr>
          <w:rFonts w:ascii="Times New Roman" w:hAnsi="Times New Roman" w:cs="Times New Roman"/>
        </w:rPr>
        <w:t xml:space="preserve"> 136(46), pp. 16299-16308.</w:t>
      </w:r>
    </w:p>
    <w:p w14:paraId="1825E25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Finlay, B. B. and Cossart, P. (1997) 'Exploitation of mammalian host cell functions by bacterial pathogens', </w:t>
      </w:r>
      <w:r w:rsidRPr="00720DB4">
        <w:rPr>
          <w:rFonts w:ascii="Times New Roman" w:hAnsi="Times New Roman" w:cs="Times New Roman"/>
          <w:i/>
        </w:rPr>
        <w:t>Science,</w:t>
      </w:r>
      <w:r w:rsidRPr="00720DB4">
        <w:rPr>
          <w:rFonts w:ascii="Times New Roman" w:hAnsi="Times New Roman" w:cs="Times New Roman"/>
        </w:rPr>
        <w:t xml:space="preserve"> 276(5313), pp. 718-725.</w:t>
      </w:r>
    </w:p>
    <w:p w14:paraId="2CFDCF35" w14:textId="77777777" w:rsidR="00A90FEE" w:rsidRPr="00720DB4" w:rsidRDefault="00A90FEE" w:rsidP="00720DB4">
      <w:pPr>
        <w:pStyle w:val="EndNoteBibliography"/>
        <w:spacing w:after="0"/>
        <w:jc w:val="both"/>
        <w:rPr>
          <w:rFonts w:ascii="Times New Roman" w:hAnsi="Times New Roman" w:cs="Times New Roman"/>
        </w:rPr>
      </w:pPr>
    </w:p>
    <w:p w14:paraId="05E5BD3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Flannagan, R. S., Heit, B. and Heinrichs, D. E. (2015) 'Antimicrobial Mechanisms of Macrophages and the Immune Evasion Strategies of </w:t>
      </w:r>
      <w:r w:rsidRPr="00A90FE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Pathogens,</w:t>
      </w:r>
      <w:r w:rsidRPr="00720DB4">
        <w:rPr>
          <w:rFonts w:ascii="Times New Roman" w:hAnsi="Times New Roman" w:cs="Times New Roman"/>
        </w:rPr>
        <w:t xml:space="preserve"> 4(4), pp. 826-868.</w:t>
      </w:r>
    </w:p>
    <w:p w14:paraId="293A65AD" w14:textId="77777777" w:rsidR="00A90FEE" w:rsidRPr="00720DB4" w:rsidRDefault="00A90FEE" w:rsidP="00720DB4">
      <w:pPr>
        <w:pStyle w:val="EndNoteBibliography"/>
        <w:spacing w:after="0"/>
        <w:jc w:val="both"/>
        <w:rPr>
          <w:rFonts w:ascii="Times New Roman" w:hAnsi="Times New Roman" w:cs="Times New Roman"/>
        </w:rPr>
      </w:pPr>
    </w:p>
    <w:p w14:paraId="4741C99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Flannagan, R. S., Heit, B. and Heinrichs, D. E. (2016) 'Intracellular replication of </w:t>
      </w:r>
      <w:r w:rsidRPr="00A90FEE">
        <w:rPr>
          <w:rFonts w:ascii="Times New Roman" w:hAnsi="Times New Roman" w:cs="Times New Roman"/>
          <w:i/>
          <w:iCs/>
        </w:rPr>
        <w:t xml:space="preserve">Staphylococcus aureus </w:t>
      </w:r>
      <w:r w:rsidRPr="00720DB4">
        <w:rPr>
          <w:rFonts w:ascii="Times New Roman" w:hAnsi="Times New Roman" w:cs="Times New Roman"/>
        </w:rPr>
        <w:t xml:space="preserve">in mature phagolysosomes in macrophages precedes host cell death, and bacterial escape and dissemination', </w:t>
      </w:r>
      <w:r w:rsidRPr="00720DB4">
        <w:rPr>
          <w:rFonts w:ascii="Times New Roman" w:hAnsi="Times New Roman" w:cs="Times New Roman"/>
          <w:i/>
        </w:rPr>
        <w:t>Cellular Microbiology,</w:t>
      </w:r>
      <w:r w:rsidRPr="00720DB4">
        <w:rPr>
          <w:rFonts w:ascii="Times New Roman" w:hAnsi="Times New Roman" w:cs="Times New Roman"/>
        </w:rPr>
        <w:t xml:space="preserve"> 18(4), pp. 514-535.</w:t>
      </w:r>
    </w:p>
    <w:p w14:paraId="0BB5DE88" w14:textId="77777777" w:rsidR="00A90FEE" w:rsidRPr="00720DB4" w:rsidRDefault="00A90FEE" w:rsidP="00720DB4">
      <w:pPr>
        <w:pStyle w:val="EndNoteBibliography"/>
        <w:spacing w:after="0"/>
        <w:jc w:val="both"/>
        <w:rPr>
          <w:rFonts w:ascii="Times New Roman" w:hAnsi="Times New Roman" w:cs="Times New Roman"/>
        </w:rPr>
      </w:pPr>
    </w:p>
    <w:p w14:paraId="6098197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Flannagan, R. S., Jaumouille, V. and Grinstein, S. (2012) 'The Cell Biology of Phagocytosis', </w:t>
      </w:r>
      <w:r w:rsidRPr="00720DB4">
        <w:rPr>
          <w:rFonts w:ascii="Times New Roman" w:hAnsi="Times New Roman" w:cs="Times New Roman"/>
          <w:i/>
        </w:rPr>
        <w:t>Annual Review of Pathology: Mechanisms of Disease, Vol 7,</w:t>
      </w:r>
      <w:r w:rsidRPr="00720DB4">
        <w:rPr>
          <w:rFonts w:ascii="Times New Roman" w:hAnsi="Times New Roman" w:cs="Times New Roman"/>
        </w:rPr>
        <w:t xml:space="preserve"> 7, pp. 61-98.</w:t>
      </w:r>
    </w:p>
    <w:p w14:paraId="7A7723C4" w14:textId="77777777" w:rsidR="00A90FEE" w:rsidRPr="00720DB4" w:rsidRDefault="00A90FEE" w:rsidP="00720DB4">
      <w:pPr>
        <w:pStyle w:val="EndNoteBibliography"/>
        <w:spacing w:after="0"/>
        <w:jc w:val="both"/>
        <w:rPr>
          <w:rFonts w:ascii="Times New Roman" w:hAnsi="Times New Roman" w:cs="Times New Roman"/>
        </w:rPr>
      </w:pPr>
    </w:p>
    <w:p w14:paraId="7EEA4E7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Flannagan, R. S., Kuiack, R. C., McGavin, M. J. and Heinrichs, D. E. (2018) '</w:t>
      </w:r>
      <w:r w:rsidRPr="00A90FEE">
        <w:rPr>
          <w:rFonts w:ascii="Times New Roman" w:hAnsi="Times New Roman" w:cs="Times New Roman"/>
          <w:i/>
          <w:iCs/>
        </w:rPr>
        <w:t xml:space="preserve">Staphylococcus aureus </w:t>
      </w:r>
      <w:r w:rsidRPr="00720DB4">
        <w:rPr>
          <w:rFonts w:ascii="Times New Roman" w:hAnsi="Times New Roman" w:cs="Times New Roman"/>
        </w:rPr>
        <w:t xml:space="preserve">Uses the GraXRS Regulatory System To Sense and Adapt to the Acidified Phagolysosome in Macrophages', </w:t>
      </w:r>
      <w:r w:rsidRPr="00720DB4">
        <w:rPr>
          <w:rFonts w:ascii="Times New Roman" w:hAnsi="Times New Roman" w:cs="Times New Roman"/>
          <w:i/>
        </w:rPr>
        <w:t>Mbio,</w:t>
      </w:r>
      <w:r w:rsidRPr="00720DB4">
        <w:rPr>
          <w:rFonts w:ascii="Times New Roman" w:hAnsi="Times New Roman" w:cs="Times New Roman"/>
        </w:rPr>
        <w:t xml:space="preserve"> 9(4).</w:t>
      </w:r>
    </w:p>
    <w:p w14:paraId="7D5E2121" w14:textId="77777777" w:rsidR="00A90FEE" w:rsidRPr="00720DB4" w:rsidRDefault="00A90FEE" w:rsidP="00720DB4">
      <w:pPr>
        <w:pStyle w:val="EndNoteBibliography"/>
        <w:spacing w:after="0"/>
        <w:jc w:val="both"/>
        <w:rPr>
          <w:rFonts w:ascii="Times New Roman" w:hAnsi="Times New Roman" w:cs="Times New Roman"/>
        </w:rPr>
      </w:pPr>
    </w:p>
    <w:p w14:paraId="4771109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Fleischer, B. and Schrezenmeier, H. (1988) 'T-CELL STIMULATION BY STAPHYLOCOCCAL ENTEROTOXINS - CLONALLY VARIABLE RESPONSE AND REQUIREMENT FOR MAJOR HISTOCOMPATIBILITY COMPLEX CLASS-II MOLECULES ON ACCESSORY OR TARGET-CELLS', </w:t>
      </w:r>
      <w:r w:rsidRPr="00720DB4">
        <w:rPr>
          <w:rFonts w:ascii="Times New Roman" w:hAnsi="Times New Roman" w:cs="Times New Roman"/>
          <w:i/>
        </w:rPr>
        <w:t>Journal of Experimental Medicine,</w:t>
      </w:r>
      <w:r w:rsidRPr="00720DB4">
        <w:rPr>
          <w:rFonts w:ascii="Times New Roman" w:hAnsi="Times New Roman" w:cs="Times New Roman"/>
        </w:rPr>
        <w:t xml:space="preserve"> 167(5), pp. 1697-1707.</w:t>
      </w:r>
    </w:p>
    <w:p w14:paraId="2403FC6B" w14:textId="77777777" w:rsidR="00A90FEE" w:rsidRPr="00720DB4" w:rsidRDefault="00A90FEE" w:rsidP="00720DB4">
      <w:pPr>
        <w:pStyle w:val="EndNoteBibliography"/>
        <w:spacing w:after="0"/>
        <w:jc w:val="both"/>
        <w:rPr>
          <w:rFonts w:ascii="Times New Roman" w:hAnsi="Times New Roman" w:cs="Times New Roman"/>
        </w:rPr>
      </w:pPr>
    </w:p>
    <w:p w14:paraId="408D88D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Foster, T. (1996) </w:t>
      </w:r>
      <w:r w:rsidRPr="00720DB4">
        <w:rPr>
          <w:rFonts w:ascii="Times New Roman" w:hAnsi="Times New Roman" w:cs="Times New Roman"/>
          <w:i/>
        </w:rPr>
        <w:t>Medical Microbiology, Chapter 12- Staphylococcus.</w:t>
      </w:r>
      <w:r w:rsidRPr="00720DB4">
        <w:rPr>
          <w:rFonts w:ascii="Times New Roman" w:hAnsi="Times New Roman" w:cs="Times New Roman"/>
        </w:rPr>
        <w:t xml:space="preserve"> 4th Edition edn. University of Texas Medical Branch at Galveston.</w:t>
      </w:r>
    </w:p>
    <w:p w14:paraId="779ECD79" w14:textId="77777777" w:rsidR="00A90FEE" w:rsidRPr="00720DB4" w:rsidRDefault="00A90FEE" w:rsidP="00720DB4">
      <w:pPr>
        <w:pStyle w:val="EndNoteBibliography"/>
        <w:spacing w:after="0"/>
        <w:jc w:val="both"/>
        <w:rPr>
          <w:rFonts w:ascii="Times New Roman" w:hAnsi="Times New Roman" w:cs="Times New Roman"/>
        </w:rPr>
      </w:pPr>
    </w:p>
    <w:p w14:paraId="14DDD15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Foster, T. J., Geoghegan, J. A., Ganesh, V. K. and Hook, M. (2014) 'Adhesion, invasion and evasion: the many functions of the surface proteins of </w:t>
      </w:r>
      <w:r w:rsidRPr="00A90FE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Nature Reviews Microbiology,</w:t>
      </w:r>
      <w:r w:rsidRPr="00720DB4">
        <w:rPr>
          <w:rFonts w:ascii="Times New Roman" w:hAnsi="Times New Roman" w:cs="Times New Roman"/>
        </w:rPr>
        <w:t xml:space="preserve"> 12(1), pp. 49-62.</w:t>
      </w:r>
    </w:p>
    <w:p w14:paraId="2C79D37B" w14:textId="77777777" w:rsidR="00A90FEE" w:rsidRPr="00720DB4" w:rsidRDefault="00A90FEE" w:rsidP="00720DB4">
      <w:pPr>
        <w:pStyle w:val="EndNoteBibliography"/>
        <w:spacing w:after="0"/>
        <w:jc w:val="both"/>
        <w:rPr>
          <w:rFonts w:ascii="Times New Roman" w:hAnsi="Times New Roman" w:cs="Times New Roman"/>
        </w:rPr>
      </w:pPr>
    </w:p>
    <w:p w14:paraId="0E96040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Fournier, B. and Philpott, D. J. (2005) 'Recognition of </w:t>
      </w:r>
      <w:r w:rsidRPr="00A90FEE">
        <w:rPr>
          <w:rFonts w:ascii="Times New Roman" w:hAnsi="Times New Roman" w:cs="Times New Roman"/>
          <w:i/>
          <w:iCs/>
        </w:rPr>
        <w:t>Staphylococcus aureus</w:t>
      </w:r>
      <w:r w:rsidRPr="00720DB4">
        <w:rPr>
          <w:rFonts w:ascii="Times New Roman" w:hAnsi="Times New Roman" w:cs="Times New Roman"/>
        </w:rPr>
        <w:t xml:space="preserve"> by the innate immune system', </w:t>
      </w:r>
      <w:r w:rsidRPr="00720DB4">
        <w:rPr>
          <w:rFonts w:ascii="Times New Roman" w:hAnsi="Times New Roman" w:cs="Times New Roman"/>
          <w:i/>
        </w:rPr>
        <w:t>Clinical Microbiology Reviews,</w:t>
      </w:r>
      <w:r w:rsidRPr="00720DB4">
        <w:rPr>
          <w:rFonts w:ascii="Times New Roman" w:hAnsi="Times New Roman" w:cs="Times New Roman"/>
        </w:rPr>
        <w:t xml:space="preserve"> 18(3), pp. 521-+.</w:t>
      </w:r>
    </w:p>
    <w:p w14:paraId="5E91136B" w14:textId="77777777" w:rsidR="00A90FEE" w:rsidRPr="00720DB4" w:rsidRDefault="00A90FEE" w:rsidP="00720DB4">
      <w:pPr>
        <w:pStyle w:val="EndNoteBibliography"/>
        <w:spacing w:after="0"/>
        <w:jc w:val="both"/>
        <w:rPr>
          <w:rFonts w:ascii="Times New Roman" w:hAnsi="Times New Roman" w:cs="Times New Roman"/>
        </w:rPr>
      </w:pPr>
    </w:p>
    <w:p w14:paraId="3AEB0B7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Francois, B., Mercier, E., Gonzalez, C., Asehnoune, K., Nseir, S., Fiancette, M., Desachy, A., Plantefeve, G., Meziani, F., de Lame, P.-A., Laterre, P.-F. and Grp, M. S. (2018) 'Safety and tolerability of a single administration of AR-301, a human monoclonal antibody, in ICU patients with severe pneumonia caused by </w:t>
      </w:r>
      <w:r w:rsidRPr="00A90FEE">
        <w:rPr>
          <w:rFonts w:ascii="Times New Roman" w:hAnsi="Times New Roman" w:cs="Times New Roman"/>
          <w:i/>
          <w:iCs/>
        </w:rPr>
        <w:t>Staphylococcus aureus</w:t>
      </w:r>
      <w:r w:rsidRPr="00720DB4">
        <w:rPr>
          <w:rFonts w:ascii="Times New Roman" w:hAnsi="Times New Roman" w:cs="Times New Roman"/>
        </w:rPr>
        <w:t xml:space="preserve">: first-in-human trial', </w:t>
      </w:r>
      <w:r w:rsidRPr="00720DB4">
        <w:rPr>
          <w:rFonts w:ascii="Times New Roman" w:hAnsi="Times New Roman" w:cs="Times New Roman"/>
          <w:i/>
        </w:rPr>
        <w:t>Intensive Care Medicine,</w:t>
      </w:r>
      <w:r w:rsidRPr="00720DB4">
        <w:rPr>
          <w:rFonts w:ascii="Times New Roman" w:hAnsi="Times New Roman" w:cs="Times New Roman"/>
        </w:rPr>
        <w:t xml:space="preserve"> 44(11), pp. 1787-1796.</w:t>
      </w:r>
    </w:p>
    <w:p w14:paraId="4765EE2D" w14:textId="77777777" w:rsidR="00A90FEE" w:rsidRPr="00720DB4" w:rsidRDefault="00A90FEE" w:rsidP="00720DB4">
      <w:pPr>
        <w:pStyle w:val="EndNoteBibliography"/>
        <w:spacing w:after="0"/>
        <w:jc w:val="both"/>
        <w:rPr>
          <w:rFonts w:ascii="Times New Roman" w:hAnsi="Times New Roman" w:cs="Times New Roman"/>
        </w:rPr>
      </w:pPr>
    </w:p>
    <w:p w14:paraId="1F23028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Franken, L., Schiwon, M. and Kurts, C. (2016) 'Macrophages: sentinels and regulators of the immune system', </w:t>
      </w:r>
      <w:r w:rsidRPr="00720DB4">
        <w:rPr>
          <w:rFonts w:ascii="Times New Roman" w:hAnsi="Times New Roman" w:cs="Times New Roman"/>
          <w:i/>
        </w:rPr>
        <w:t>Cellular Microbiology,</w:t>
      </w:r>
      <w:r w:rsidRPr="00720DB4">
        <w:rPr>
          <w:rFonts w:ascii="Times New Roman" w:hAnsi="Times New Roman" w:cs="Times New Roman"/>
        </w:rPr>
        <w:t xml:space="preserve"> 18(4), pp. 475-487.</w:t>
      </w:r>
    </w:p>
    <w:p w14:paraId="3AA5A2F0" w14:textId="77777777" w:rsidR="00A90FEE" w:rsidRPr="00720DB4" w:rsidRDefault="00A90FEE" w:rsidP="00720DB4">
      <w:pPr>
        <w:pStyle w:val="EndNoteBibliography"/>
        <w:spacing w:after="0"/>
        <w:jc w:val="both"/>
        <w:rPr>
          <w:rFonts w:ascii="Times New Roman" w:hAnsi="Times New Roman" w:cs="Times New Roman"/>
        </w:rPr>
      </w:pPr>
    </w:p>
    <w:p w14:paraId="5D720EB6" w14:textId="2581358E"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Fredheim, E. G. A., Flaegstad, T., Askarian, F. and Klingenberg, C. (2015) 'Colonisation and interaction between </w:t>
      </w:r>
      <w:r w:rsidRPr="00A90FEE">
        <w:rPr>
          <w:rFonts w:ascii="Times New Roman" w:hAnsi="Times New Roman" w:cs="Times New Roman"/>
          <w:i/>
          <w:iCs/>
        </w:rPr>
        <w:t>S</w:t>
      </w:r>
      <w:r w:rsidR="00A90FEE" w:rsidRPr="00A90FEE">
        <w:rPr>
          <w:rFonts w:ascii="Times New Roman" w:hAnsi="Times New Roman" w:cs="Times New Roman"/>
          <w:i/>
          <w:iCs/>
        </w:rPr>
        <w:t xml:space="preserve">. </w:t>
      </w:r>
      <w:r w:rsidRPr="00A90FEE">
        <w:rPr>
          <w:rFonts w:ascii="Times New Roman" w:hAnsi="Times New Roman" w:cs="Times New Roman"/>
          <w:i/>
          <w:iCs/>
        </w:rPr>
        <w:t xml:space="preserve">epidermidis </w:t>
      </w:r>
      <w:r w:rsidRPr="00A90FEE">
        <w:rPr>
          <w:rFonts w:ascii="Times New Roman" w:hAnsi="Times New Roman" w:cs="Times New Roman"/>
        </w:rPr>
        <w:t>and</w:t>
      </w:r>
      <w:r w:rsidRPr="00A90FEE">
        <w:rPr>
          <w:rFonts w:ascii="Times New Roman" w:hAnsi="Times New Roman" w:cs="Times New Roman"/>
          <w:i/>
          <w:iCs/>
        </w:rPr>
        <w:t xml:space="preserve"> S</w:t>
      </w:r>
      <w:r w:rsidR="00A90FEE" w:rsidRPr="00A90FEE">
        <w:rPr>
          <w:rFonts w:ascii="Times New Roman" w:hAnsi="Times New Roman" w:cs="Times New Roman"/>
          <w:i/>
          <w:iCs/>
        </w:rPr>
        <w:t xml:space="preserve">. </w:t>
      </w:r>
      <w:r w:rsidRPr="00A90FEE">
        <w:rPr>
          <w:rFonts w:ascii="Times New Roman" w:hAnsi="Times New Roman" w:cs="Times New Roman"/>
          <w:i/>
          <w:iCs/>
        </w:rPr>
        <w:t>aureus</w:t>
      </w:r>
      <w:r w:rsidRPr="00720DB4">
        <w:rPr>
          <w:rFonts w:ascii="Times New Roman" w:hAnsi="Times New Roman" w:cs="Times New Roman"/>
        </w:rPr>
        <w:t xml:space="preserve"> in the nose and throat of healthy adolescents', </w:t>
      </w:r>
      <w:r w:rsidRPr="00720DB4">
        <w:rPr>
          <w:rFonts w:ascii="Times New Roman" w:hAnsi="Times New Roman" w:cs="Times New Roman"/>
          <w:i/>
        </w:rPr>
        <w:t>European Journal of Clinical Microbiology &amp; Infectious Diseases,</w:t>
      </w:r>
      <w:r w:rsidRPr="00720DB4">
        <w:rPr>
          <w:rFonts w:ascii="Times New Roman" w:hAnsi="Times New Roman" w:cs="Times New Roman"/>
        </w:rPr>
        <w:t xml:space="preserve"> 34(1), pp. 123-129.</w:t>
      </w:r>
    </w:p>
    <w:p w14:paraId="6E563320" w14:textId="77777777" w:rsidR="00A90FEE" w:rsidRPr="00720DB4" w:rsidRDefault="00A90FEE" w:rsidP="00720DB4">
      <w:pPr>
        <w:pStyle w:val="EndNoteBibliography"/>
        <w:spacing w:after="0"/>
        <w:jc w:val="both"/>
        <w:rPr>
          <w:rFonts w:ascii="Times New Roman" w:hAnsi="Times New Roman" w:cs="Times New Roman"/>
        </w:rPr>
      </w:pPr>
    </w:p>
    <w:p w14:paraId="7516291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Freeman, S. A. and Grinstein, S. (2014) 'Phagocytosis: receptors, signal integration, and the cytoskeleton', </w:t>
      </w:r>
      <w:r w:rsidRPr="00720DB4">
        <w:rPr>
          <w:rFonts w:ascii="Times New Roman" w:hAnsi="Times New Roman" w:cs="Times New Roman"/>
          <w:i/>
        </w:rPr>
        <w:t>Immunological Reviews,</w:t>
      </w:r>
      <w:r w:rsidRPr="00720DB4">
        <w:rPr>
          <w:rFonts w:ascii="Times New Roman" w:hAnsi="Times New Roman" w:cs="Times New Roman"/>
        </w:rPr>
        <w:t xml:space="preserve"> 262(1), pp. 193-215.</w:t>
      </w:r>
    </w:p>
    <w:p w14:paraId="67C64F3C" w14:textId="77777777" w:rsidR="00A90FEE" w:rsidRPr="00720DB4" w:rsidRDefault="00A90FEE" w:rsidP="00720DB4">
      <w:pPr>
        <w:pStyle w:val="EndNoteBibliography"/>
        <w:spacing w:after="0"/>
        <w:jc w:val="both"/>
        <w:rPr>
          <w:rFonts w:ascii="Times New Roman" w:hAnsi="Times New Roman" w:cs="Times New Roman"/>
        </w:rPr>
      </w:pPr>
    </w:p>
    <w:p w14:paraId="0DD4A36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Freeman, S. A. and Grinstein, S. (2016) 'Phagocytosis: How Macrophages Tune Their Non-professional Counterparts', </w:t>
      </w:r>
      <w:r w:rsidRPr="00720DB4">
        <w:rPr>
          <w:rFonts w:ascii="Times New Roman" w:hAnsi="Times New Roman" w:cs="Times New Roman"/>
          <w:i/>
        </w:rPr>
        <w:t>Current Biology,</w:t>
      </w:r>
      <w:r w:rsidRPr="00720DB4">
        <w:rPr>
          <w:rFonts w:ascii="Times New Roman" w:hAnsi="Times New Roman" w:cs="Times New Roman"/>
        </w:rPr>
        <w:t xml:space="preserve"> 26(24), pp. R1279-R1282.</w:t>
      </w:r>
    </w:p>
    <w:p w14:paraId="076979D6" w14:textId="77777777" w:rsidR="00A90FEE" w:rsidRPr="00720DB4" w:rsidRDefault="00A90FEE" w:rsidP="00720DB4">
      <w:pPr>
        <w:pStyle w:val="EndNoteBibliography"/>
        <w:spacing w:after="0"/>
        <w:jc w:val="both"/>
        <w:rPr>
          <w:rFonts w:ascii="Times New Roman" w:hAnsi="Times New Roman" w:cs="Times New Roman"/>
        </w:rPr>
      </w:pPr>
    </w:p>
    <w:p w14:paraId="0A4A1B8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Fritsch, V. N., Vu Van, L., Busche, T., Quach Ngoc, T., Lill, R., Horvatek, P., Wolz, C., Kalinowski, J. and Antelmann, H. (2020) 'The alarmone (p)ppGpp confers tolerance to oxidative stress during the stationary phase by maintenance of redox and iron homeostasis in </w:t>
      </w:r>
      <w:r w:rsidRPr="00A90FE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Free Radical Biology and Medicine,</w:t>
      </w:r>
      <w:r w:rsidRPr="00720DB4">
        <w:rPr>
          <w:rFonts w:ascii="Times New Roman" w:hAnsi="Times New Roman" w:cs="Times New Roman"/>
        </w:rPr>
        <w:t xml:space="preserve"> 161.</w:t>
      </w:r>
    </w:p>
    <w:p w14:paraId="1420E606" w14:textId="77777777" w:rsidR="00A90FEE" w:rsidRPr="00720DB4" w:rsidRDefault="00A90FEE" w:rsidP="00720DB4">
      <w:pPr>
        <w:pStyle w:val="EndNoteBibliography"/>
        <w:spacing w:after="0"/>
        <w:jc w:val="both"/>
        <w:rPr>
          <w:rFonts w:ascii="Times New Roman" w:hAnsi="Times New Roman" w:cs="Times New Roman"/>
        </w:rPr>
      </w:pPr>
    </w:p>
    <w:p w14:paraId="53F5D18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Fuchs, T. A., Abed, U., Goosmann, C., Hurwitz, R., Schulze, I., Wahn, V., Weinrauch, Y., Brinkmann, V. and Zychlinsky, A. (2007) 'Novel cell death program leads to neutrophil extracellular traps', </w:t>
      </w:r>
      <w:r w:rsidRPr="00720DB4">
        <w:rPr>
          <w:rFonts w:ascii="Times New Roman" w:hAnsi="Times New Roman" w:cs="Times New Roman"/>
          <w:i/>
        </w:rPr>
        <w:t>Journal of Cell Biology,</w:t>
      </w:r>
      <w:r w:rsidRPr="00720DB4">
        <w:rPr>
          <w:rFonts w:ascii="Times New Roman" w:hAnsi="Times New Roman" w:cs="Times New Roman"/>
        </w:rPr>
        <w:t xml:space="preserve"> 176(2), pp. 231-241.</w:t>
      </w:r>
    </w:p>
    <w:p w14:paraId="24F0AF65" w14:textId="77777777" w:rsidR="00A90FEE" w:rsidRPr="00720DB4" w:rsidRDefault="00A90FEE" w:rsidP="00720DB4">
      <w:pPr>
        <w:pStyle w:val="EndNoteBibliography"/>
        <w:spacing w:after="0"/>
        <w:jc w:val="both"/>
        <w:rPr>
          <w:rFonts w:ascii="Times New Roman" w:hAnsi="Times New Roman" w:cs="Times New Roman"/>
        </w:rPr>
      </w:pPr>
    </w:p>
    <w:p w14:paraId="348653E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Fulton, D. J. R. and Barman, S. A. (2016) 'Clarity on the Isoform-Specific Roles of NADPH Oxidases and NADPH Oxidase-4 in Atherosclerosis', </w:t>
      </w:r>
      <w:r w:rsidRPr="00720DB4">
        <w:rPr>
          <w:rFonts w:ascii="Times New Roman" w:hAnsi="Times New Roman" w:cs="Times New Roman"/>
          <w:i/>
        </w:rPr>
        <w:t>Arteriosclerosis Thrombosis and Vascular Biology,</w:t>
      </w:r>
      <w:r w:rsidRPr="00720DB4">
        <w:rPr>
          <w:rFonts w:ascii="Times New Roman" w:hAnsi="Times New Roman" w:cs="Times New Roman"/>
        </w:rPr>
        <w:t xml:space="preserve"> 36(4), pp. 579-581.</w:t>
      </w:r>
    </w:p>
    <w:p w14:paraId="5D3C78F5" w14:textId="77777777" w:rsidR="00A90FEE" w:rsidRPr="00720DB4" w:rsidRDefault="00A90FEE" w:rsidP="00720DB4">
      <w:pPr>
        <w:pStyle w:val="EndNoteBibliography"/>
        <w:spacing w:after="0"/>
        <w:jc w:val="both"/>
        <w:rPr>
          <w:rFonts w:ascii="Times New Roman" w:hAnsi="Times New Roman" w:cs="Times New Roman"/>
        </w:rPr>
      </w:pPr>
    </w:p>
    <w:p w14:paraId="260B44D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Fung, D. K. C., Chan, E. W. C., Chin, M. L. and Chan, R. C. Y. (2010) 'Delineation of a Bacterial Starvation Stress Response Network Which Can Mediate Antibiotic Tolerance Development', </w:t>
      </w:r>
      <w:r w:rsidRPr="00720DB4">
        <w:rPr>
          <w:rFonts w:ascii="Times New Roman" w:hAnsi="Times New Roman" w:cs="Times New Roman"/>
          <w:i/>
        </w:rPr>
        <w:t>Antimicrobial Agents and Chemotherapy,</w:t>
      </w:r>
      <w:r w:rsidRPr="00720DB4">
        <w:rPr>
          <w:rFonts w:ascii="Times New Roman" w:hAnsi="Times New Roman" w:cs="Times New Roman"/>
        </w:rPr>
        <w:t xml:space="preserve"> 54(3), pp. 1082-1093.</w:t>
      </w:r>
    </w:p>
    <w:p w14:paraId="3C7D8BA7" w14:textId="77777777" w:rsidR="00A90FEE" w:rsidRPr="00720DB4" w:rsidRDefault="00A90FEE" w:rsidP="00720DB4">
      <w:pPr>
        <w:pStyle w:val="EndNoteBibliography"/>
        <w:spacing w:after="0"/>
        <w:jc w:val="both"/>
        <w:rPr>
          <w:rFonts w:ascii="Times New Roman" w:hAnsi="Times New Roman" w:cs="Times New Roman"/>
        </w:rPr>
      </w:pPr>
    </w:p>
    <w:p w14:paraId="7A104EA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Furman, R., Danhart, E. M., NandyMazumdar, M., Yuan, C., Foster, M. P. and Artsimovitch, I. (2015) 'pH Dependence of the Stress Regulator DksA', </w:t>
      </w:r>
      <w:r w:rsidRPr="00720DB4">
        <w:rPr>
          <w:rFonts w:ascii="Times New Roman" w:hAnsi="Times New Roman" w:cs="Times New Roman"/>
          <w:i/>
        </w:rPr>
        <w:t>Plos One,</w:t>
      </w:r>
      <w:r w:rsidRPr="00720DB4">
        <w:rPr>
          <w:rFonts w:ascii="Times New Roman" w:hAnsi="Times New Roman" w:cs="Times New Roman"/>
        </w:rPr>
        <w:t xml:space="preserve"> 10(3).</w:t>
      </w:r>
    </w:p>
    <w:p w14:paraId="7A8D4D4F" w14:textId="77777777" w:rsidR="00A90FEE" w:rsidRPr="00720DB4" w:rsidRDefault="00A90FEE" w:rsidP="00720DB4">
      <w:pPr>
        <w:pStyle w:val="EndNoteBibliography"/>
        <w:spacing w:after="0"/>
        <w:jc w:val="both"/>
        <w:rPr>
          <w:rFonts w:ascii="Times New Roman" w:hAnsi="Times New Roman" w:cs="Times New Roman"/>
        </w:rPr>
      </w:pPr>
    </w:p>
    <w:p w14:paraId="19DAA74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Gaca, A. O., Kudrin, P., Colomer-Winter, C., Beljantseva, J., Liu, K. Q., Anderson, B., Wang, J. D., Rejman, D., Potrykus, K., Cashel, M., Hauryliuk, V. and Lemos, J. A. (2015) 'From (p)ppGpp to (pp)pGpp: Characterization of Regulatory Effects of pGpp Synthesized by the Small Alarmone Synthetase of </w:t>
      </w:r>
      <w:r w:rsidRPr="00A90FEE">
        <w:rPr>
          <w:rFonts w:ascii="Times New Roman" w:hAnsi="Times New Roman" w:cs="Times New Roman"/>
          <w:i/>
          <w:iCs/>
        </w:rPr>
        <w:t>Enterococcus faecalis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197(18), pp. 2908-2919.</w:t>
      </w:r>
    </w:p>
    <w:p w14:paraId="1FD7ED46" w14:textId="77777777" w:rsidR="00A90FEE" w:rsidRPr="00720DB4" w:rsidRDefault="00A90FEE" w:rsidP="00720DB4">
      <w:pPr>
        <w:pStyle w:val="EndNoteBibliography"/>
        <w:spacing w:after="0"/>
        <w:jc w:val="both"/>
        <w:rPr>
          <w:rFonts w:ascii="Times New Roman" w:hAnsi="Times New Roman" w:cs="Times New Roman"/>
        </w:rPr>
      </w:pPr>
    </w:p>
    <w:p w14:paraId="4BC502F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Gajdacs, M. (2019) 'The Continuing Threat of Methicillin-Resistant </w:t>
      </w:r>
      <w:r w:rsidRPr="00720DB4">
        <w:rPr>
          <w:rFonts w:ascii="Times New Roman" w:hAnsi="Times New Roman" w:cs="Times New Roman"/>
          <w:i/>
        </w:rPr>
        <w:t>Staphylococcus aureus</w:t>
      </w:r>
      <w:r w:rsidRPr="00720DB4">
        <w:rPr>
          <w:rFonts w:ascii="Times New Roman" w:hAnsi="Times New Roman" w:cs="Times New Roman"/>
        </w:rPr>
        <w:t xml:space="preserve">', </w:t>
      </w:r>
      <w:r w:rsidRPr="00720DB4">
        <w:rPr>
          <w:rFonts w:ascii="Times New Roman" w:hAnsi="Times New Roman" w:cs="Times New Roman"/>
          <w:i/>
        </w:rPr>
        <w:t>Antibiotics-Basel,</w:t>
      </w:r>
      <w:r w:rsidRPr="00720DB4">
        <w:rPr>
          <w:rFonts w:ascii="Times New Roman" w:hAnsi="Times New Roman" w:cs="Times New Roman"/>
        </w:rPr>
        <w:t xml:space="preserve"> 8(2).</w:t>
      </w:r>
    </w:p>
    <w:p w14:paraId="211E7C61" w14:textId="77777777" w:rsidR="00A90FEE" w:rsidRPr="00720DB4" w:rsidRDefault="00A90FEE" w:rsidP="00720DB4">
      <w:pPr>
        <w:pStyle w:val="EndNoteBibliography"/>
        <w:spacing w:after="0"/>
        <w:jc w:val="both"/>
        <w:rPr>
          <w:rFonts w:ascii="Times New Roman" w:hAnsi="Times New Roman" w:cs="Times New Roman"/>
        </w:rPr>
      </w:pPr>
    </w:p>
    <w:p w14:paraId="451EB8F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Gao, A., Vasilyev, N., Kaushik, A., Duan, W. Q. and Serganov, A. (2020) 'Principles of RNA and nucleotide discrimination by the RNA processing enzyme RppH', </w:t>
      </w:r>
      <w:r w:rsidRPr="00720DB4">
        <w:rPr>
          <w:rFonts w:ascii="Times New Roman" w:hAnsi="Times New Roman" w:cs="Times New Roman"/>
          <w:i/>
        </w:rPr>
        <w:t>Nucleic Acids Research,</w:t>
      </w:r>
      <w:r w:rsidRPr="00720DB4">
        <w:rPr>
          <w:rFonts w:ascii="Times New Roman" w:hAnsi="Times New Roman" w:cs="Times New Roman"/>
        </w:rPr>
        <w:t xml:space="preserve"> 48(7), pp. 3776-3788.</w:t>
      </w:r>
    </w:p>
    <w:p w14:paraId="066A7AE8" w14:textId="77777777" w:rsidR="00A90FEE" w:rsidRPr="00720DB4" w:rsidRDefault="00A90FEE" w:rsidP="00720DB4">
      <w:pPr>
        <w:pStyle w:val="EndNoteBibliography"/>
        <w:spacing w:after="0"/>
        <w:jc w:val="both"/>
        <w:rPr>
          <w:rFonts w:ascii="Times New Roman" w:hAnsi="Times New Roman" w:cs="Times New Roman"/>
        </w:rPr>
      </w:pPr>
    </w:p>
    <w:p w14:paraId="401F04E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Gao, W., Chua, K., Davies, J. K., Newton, H. J., Seemann, T., Harrison, P. F., Holmes, N. E., Rhee, H.-W., Hong, J.-I., Hartland, E. L., Stinear, T. P. and Howden, B. P. (2010) 'Two Novel Point Mutations in Clinical </w:t>
      </w:r>
      <w:r w:rsidRPr="00720DB4">
        <w:rPr>
          <w:rFonts w:ascii="Times New Roman" w:hAnsi="Times New Roman" w:cs="Times New Roman"/>
          <w:i/>
        </w:rPr>
        <w:t>Staphylococcus aureus</w:t>
      </w:r>
      <w:r w:rsidRPr="00720DB4">
        <w:rPr>
          <w:rFonts w:ascii="Times New Roman" w:hAnsi="Times New Roman" w:cs="Times New Roman"/>
        </w:rPr>
        <w:t xml:space="preserve"> Reduce Linezolid Susceptibility and Switch on the Stringent Response to Promote Persistent Infection', </w:t>
      </w:r>
      <w:r w:rsidRPr="00720DB4">
        <w:rPr>
          <w:rFonts w:ascii="Times New Roman" w:hAnsi="Times New Roman" w:cs="Times New Roman"/>
          <w:i/>
        </w:rPr>
        <w:t>Plos Pathogens,</w:t>
      </w:r>
      <w:r w:rsidRPr="00720DB4">
        <w:rPr>
          <w:rFonts w:ascii="Times New Roman" w:hAnsi="Times New Roman" w:cs="Times New Roman"/>
        </w:rPr>
        <w:t xml:space="preserve"> 6(6).</w:t>
      </w:r>
    </w:p>
    <w:p w14:paraId="30AFE0D1" w14:textId="77777777" w:rsidR="00A90FEE" w:rsidRPr="00720DB4" w:rsidRDefault="00A90FEE" w:rsidP="00720DB4">
      <w:pPr>
        <w:pStyle w:val="EndNoteBibliography"/>
        <w:spacing w:after="0"/>
        <w:jc w:val="both"/>
        <w:rPr>
          <w:rFonts w:ascii="Times New Roman" w:hAnsi="Times New Roman" w:cs="Times New Roman"/>
        </w:rPr>
      </w:pPr>
    </w:p>
    <w:p w14:paraId="2ECCD67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Gautier, E. L., Shay, T., Miller, J., Greter, M., Jakubzick, C., Ivanov, S., Helft, J., Chow, A., Elpek, K. G., Gordonov, S., Mazloom, A. R., Ma'ayan, A., Chua, W. J., Hansen, T. H., Turley, S. J., Merad, M., Randolph, G. J. and Immunological Genome, C. (2012) 'Gene-expression profiles and transcriptional regulatory pathways that underlie the identity and diversity of mouse tissue macrophages', </w:t>
      </w:r>
      <w:r w:rsidRPr="00720DB4">
        <w:rPr>
          <w:rFonts w:ascii="Times New Roman" w:hAnsi="Times New Roman" w:cs="Times New Roman"/>
          <w:i/>
        </w:rPr>
        <w:t>Nature Immunology,</w:t>
      </w:r>
      <w:r w:rsidRPr="00720DB4">
        <w:rPr>
          <w:rFonts w:ascii="Times New Roman" w:hAnsi="Times New Roman" w:cs="Times New Roman"/>
        </w:rPr>
        <w:t xml:space="preserve"> 13(11), pp. 1118-1128.</w:t>
      </w:r>
    </w:p>
    <w:p w14:paraId="39066749" w14:textId="77777777" w:rsidR="00A90FEE" w:rsidRPr="00720DB4" w:rsidRDefault="00A90FEE" w:rsidP="00720DB4">
      <w:pPr>
        <w:pStyle w:val="EndNoteBibliography"/>
        <w:spacing w:after="0"/>
        <w:jc w:val="both"/>
        <w:rPr>
          <w:rFonts w:ascii="Times New Roman" w:hAnsi="Times New Roman" w:cs="Times New Roman"/>
        </w:rPr>
      </w:pPr>
    </w:p>
    <w:p w14:paraId="4B78061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Gawin, A., Peebo, K., Hans, S., Ertesvag, H., Irla, M., Neubauer, P. and Brautaset, T. (2019) 'Construction and characterization of broad-host-range reporter plasmid suitable for on-line analysis of bacterial host responses related to recombinant protein production', </w:t>
      </w:r>
      <w:r w:rsidRPr="00720DB4">
        <w:rPr>
          <w:rFonts w:ascii="Times New Roman" w:hAnsi="Times New Roman" w:cs="Times New Roman"/>
          <w:i/>
        </w:rPr>
        <w:t>Microbial Cell Factories,</w:t>
      </w:r>
      <w:r w:rsidRPr="00720DB4">
        <w:rPr>
          <w:rFonts w:ascii="Times New Roman" w:hAnsi="Times New Roman" w:cs="Times New Roman"/>
        </w:rPr>
        <w:t xml:space="preserve"> 18.</w:t>
      </w:r>
    </w:p>
    <w:p w14:paraId="508861BA" w14:textId="77777777" w:rsidR="00A90FEE" w:rsidRPr="00720DB4" w:rsidRDefault="00A90FEE" w:rsidP="00720DB4">
      <w:pPr>
        <w:pStyle w:val="EndNoteBibliography"/>
        <w:spacing w:after="0"/>
        <w:jc w:val="both"/>
        <w:rPr>
          <w:rFonts w:ascii="Times New Roman" w:hAnsi="Times New Roman" w:cs="Times New Roman"/>
        </w:rPr>
      </w:pPr>
    </w:p>
    <w:p w14:paraId="70BB7B7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Geiger, T., Francois, P., Liebeke, M., Goerke, C., Fraunholz, M., Krismer, B., Lalk, M., Wolz, C. and Schrenzel, J. (2012) 'The Stringent Response of </w:t>
      </w:r>
      <w:r w:rsidRPr="00A90FEE">
        <w:rPr>
          <w:rFonts w:ascii="Times New Roman" w:hAnsi="Times New Roman" w:cs="Times New Roman"/>
          <w:i/>
          <w:iCs/>
        </w:rPr>
        <w:t>Staphylococcus aureus</w:t>
      </w:r>
      <w:r w:rsidRPr="00720DB4">
        <w:rPr>
          <w:rFonts w:ascii="Times New Roman" w:hAnsi="Times New Roman" w:cs="Times New Roman"/>
        </w:rPr>
        <w:t xml:space="preserve"> and Its Impact on Survival after Phagocytosis through the Induction of Intracellular PSMs Expression', </w:t>
      </w:r>
      <w:r w:rsidRPr="00720DB4">
        <w:rPr>
          <w:rFonts w:ascii="Times New Roman" w:hAnsi="Times New Roman" w:cs="Times New Roman"/>
          <w:i/>
        </w:rPr>
        <w:t>Figshare,</w:t>
      </w:r>
      <w:r w:rsidRPr="00720DB4">
        <w:rPr>
          <w:rFonts w:ascii="Times New Roman" w:hAnsi="Times New Roman" w:cs="Times New Roman"/>
        </w:rPr>
        <w:t xml:space="preserve"> 1.</w:t>
      </w:r>
    </w:p>
    <w:p w14:paraId="4F7BFB64" w14:textId="77777777" w:rsidR="00A90FEE" w:rsidRPr="00720DB4" w:rsidRDefault="00A90FEE" w:rsidP="00720DB4">
      <w:pPr>
        <w:pStyle w:val="EndNoteBibliography"/>
        <w:spacing w:after="0"/>
        <w:jc w:val="both"/>
        <w:rPr>
          <w:rFonts w:ascii="Times New Roman" w:hAnsi="Times New Roman" w:cs="Times New Roman"/>
        </w:rPr>
      </w:pPr>
    </w:p>
    <w:p w14:paraId="22DECE7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Geiger, T., Goerke, C., Fritz, M., Schaefer, T., Ohlsen, K., Liebeke, M., Lalk, M. and Wolz, C. (2010) 'Role of the (p)ppGpp Synthase RSH, a RelA/SpoT Homolog, in Stringent Response and Virulence of </w:t>
      </w:r>
      <w:r w:rsidRPr="00720DB4">
        <w:rPr>
          <w:rFonts w:ascii="Times New Roman" w:hAnsi="Times New Roman" w:cs="Times New Roman"/>
          <w:i/>
        </w:rPr>
        <w:t>Staphylococcus aureus</w:t>
      </w:r>
      <w:r w:rsidRPr="00720DB4">
        <w:rPr>
          <w:rFonts w:ascii="Times New Roman" w:hAnsi="Times New Roman" w:cs="Times New Roman"/>
        </w:rPr>
        <w:t xml:space="preserve">', </w:t>
      </w:r>
      <w:r w:rsidRPr="00720DB4">
        <w:rPr>
          <w:rFonts w:ascii="Times New Roman" w:hAnsi="Times New Roman" w:cs="Times New Roman"/>
          <w:i/>
        </w:rPr>
        <w:t>Infection and Immunity,</w:t>
      </w:r>
      <w:r w:rsidRPr="00720DB4">
        <w:rPr>
          <w:rFonts w:ascii="Times New Roman" w:hAnsi="Times New Roman" w:cs="Times New Roman"/>
        </w:rPr>
        <w:t xml:space="preserve"> 78(5), pp. 1873-1883.</w:t>
      </w:r>
    </w:p>
    <w:p w14:paraId="4D97DD67" w14:textId="77777777" w:rsidR="00A90FEE" w:rsidRPr="00720DB4" w:rsidRDefault="00A90FEE" w:rsidP="00720DB4">
      <w:pPr>
        <w:pStyle w:val="EndNoteBibliography"/>
        <w:spacing w:after="0"/>
        <w:jc w:val="both"/>
        <w:rPr>
          <w:rFonts w:ascii="Times New Roman" w:hAnsi="Times New Roman" w:cs="Times New Roman"/>
        </w:rPr>
      </w:pPr>
    </w:p>
    <w:p w14:paraId="1832EE23" w14:textId="77777777" w:rsidR="00F33866"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Geiger, T., Kaestle, B., Gratani, F. L., Goerke, C. and Wolz, C. (2014) 'Two Small (p)ppGpp Synthases in </w:t>
      </w:r>
      <w:r w:rsidRPr="00720DB4">
        <w:rPr>
          <w:rFonts w:ascii="Times New Roman" w:hAnsi="Times New Roman" w:cs="Times New Roman"/>
          <w:i/>
        </w:rPr>
        <w:t>Staphylococcus aureus</w:t>
      </w:r>
      <w:r w:rsidRPr="00720DB4">
        <w:rPr>
          <w:rFonts w:ascii="Times New Roman" w:hAnsi="Times New Roman" w:cs="Times New Roman"/>
        </w:rPr>
        <w:t xml:space="preserve"> Mediate Tolerance against Cell Envelope Stress Conditions', </w:t>
      </w:r>
      <w:r w:rsidRPr="00720DB4">
        <w:rPr>
          <w:rFonts w:ascii="Times New Roman" w:hAnsi="Times New Roman" w:cs="Times New Roman"/>
          <w:i/>
        </w:rPr>
        <w:t>Journal of Bacteriology,</w:t>
      </w:r>
      <w:r w:rsidRPr="00720DB4">
        <w:rPr>
          <w:rFonts w:ascii="Times New Roman" w:hAnsi="Times New Roman" w:cs="Times New Roman"/>
        </w:rPr>
        <w:t xml:space="preserve"> 196(4), pp. 894-902.</w:t>
      </w:r>
    </w:p>
    <w:p w14:paraId="14BCB82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Geisinger, E., Adhikari, R. P., Jin, R. Z., Ross, H. F. and Novick, R. P. (2006) 'Inhibition of rot translation by RNAIII, a key feature of </w:t>
      </w:r>
      <w:r w:rsidRPr="00A90FEE">
        <w:rPr>
          <w:rFonts w:ascii="Times New Roman" w:hAnsi="Times New Roman" w:cs="Times New Roman"/>
          <w:i/>
          <w:iCs/>
        </w:rPr>
        <w:t>agr</w:t>
      </w:r>
      <w:r w:rsidRPr="00720DB4">
        <w:rPr>
          <w:rFonts w:ascii="Times New Roman" w:hAnsi="Times New Roman" w:cs="Times New Roman"/>
        </w:rPr>
        <w:t xml:space="preserve"> function', </w:t>
      </w:r>
      <w:r w:rsidRPr="00720DB4">
        <w:rPr>
          <w:rFonts w:ascii="Times New Roman" w:hAnsi="Times New Roman" w:cs="Times New Roman"/>
          <w:i/>
        </w:rPr>
        <w:t>Molecular Microbiology,</w:t>
      </w:r>
      <w:r w:rsidRPr="00720DB4">
        <w:rPr>
          <w:rFonts w:ascii="Times New Roman" w:hAnsi="Times New Roman" w:cs="Times New Roman"/>
        </w:rPr>
        <w:t xml:space="preserve"> 61(4), pp. 1038-1048.</w:t>
      </w:r>
    </w:p>
    <w:p w14:paraId="58629441" w14:textId="77777777" w:rsidR="00A90FEE" w:rsidRPr="00720DB4" w:rsidRDefault="00A90FEE" w:rsidP="00720DB4">
      <w:pPr>
        <w:pStyle w:val="EndNoteBibliography"/>
        <w:spacing w:after="0"/>
        <w:jc w:val="both"/>
        <w:rPr>
          <w:rFonts w:ascii="Times New Roman" w:hAnsi="Times New Roman" w:cs="Times New Roman"/>
        </w:rPr>
      </w:pPr>
    </w:p>
    <w:p w14:paraId="1B569FC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Gentry, D., Li, T., Rosenberg, M. and McDevitt, D. (2000) 'The </w:t>
      </w:r>
      <w:r w:rsidRPr="00A90FEE">
        <w:rPr>
          <w:rFonts w:ascii="Times New Roman" w:hAnsi="Times New Roman" w:cs="Times New Roman"/>
          <w:i/>
          <w:iCs/>
        </w:rPr>
        <w:t>rel</w:t>
      </w:r>
      <w:r w:rsidRPr="00720DB4">
        <w:rPr>
          <w:rFonts w:ascii="Times New Roman" w:hAnsi="Times New Roman" w:cs="Times New Roman"/>
        </w:rPr>
        <w:t xml:space="preserve"> gene is essential for in vitro growth of </w:t>
      </w:r>
      <w:r w:rsidRPr="00720DB4">
        <w:rPr>
          <w:rFonts w:ascii="Times New Roman" w:hAnsi="Times New Roman" w:cs="Times New Roman"/>
          <w:i/>
        </w:rPr>
        <w:t>Staphylococcus aureus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182(17), pp. 4995-4997.</w:t>
      </w:r>
    </w:p>
    <w:p w14:paraId="14736155" w14:textId="77777777" w:rsidR="00A90FEE" w:rsidRPr="00720DB4" w:rsidRDefault="00A90FEE" w:rsidP="00720DB4">
      <w:pPr>
        <w:pStyle w:val="EndNoteBibliography"/>
        <w:spacing w:after="0"/>
        <w:jc w:val="both"/>
        <w:rPr>
          <w:rFonts w:ascii="Times New Roman" w:hAnsi="Times New Roman" w:cs="Times New Roman"/>
        </w:rPr>
      </w:pPr>
    </w:p>
    <w:p w14:paraId="2C70FD2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Geoghegan, J. A., Corrigan, R. M., Gruszka, D. T., Speziale, P., O'Gara, J. P., Potts, J. R. and Foster, T. J. (2010) 'Role of Surface Protein SasG in Biofilm Formation by Staphylococcus aureus', </w:t>
      </w:r>
      <w:r w:rsidRPr="00720DB4">
        <w:rPr>
          <w:rFonts w:ascii="Times New Roman" w:hAnsi="Times New Roman" w:cs="Times New Roman"/>
          <w:i/>
        </w:rPr>
        <w:t>Journal of Bacteriology,</w:t>
      </w:r>
      <w:r w:rsidRPr="00720DB4">
        <w:rPr>
          <w:rFonts w:ascii="Times New Roman" w:hAnsi="Times New Roman" w:cs="Times New Roman"/>
        </w:rPr>
        <w:t xml:space="preserve"> 192(21), pp. 5663-5673.</w:t>
      </w:r>
    </w:p>
    <w:p w14:paraId="64676E52" w14:textId="77777777" w:rsidR="00A90FEE" w:rsidRPr="00720DB4" w:rsidRDefault="00A90FEE" w:rsidP="00720DB4">
      <w:pPr>
        <w:pStyle w:val="EndNoteBibliography"/>
        <w:spacing w:after="0"/>
        <w:jc w:val="both"/>
        <w:rPr>
          <w:rFonts w:ascii="Times New Roman" w:hAnsi="Times New Roman" w:cs="Times New Roman"/>
        </w:rPr>
      </w:pPr>
    </w:p>
    <w:p w14:paraId="5FA57E2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George, S., Leasure, A. R. and Horstmanshof, D. (2016) 'Effectiveness of Decolonization With Chlorhexidine and Mupirocin in Reducing Surgical Site Infections: A Systematic Review', </w:t>
      </w:r>
      <w:r w:rsidRPr="00720DB4">
        <w:rPr>
          <w:rFonts w:ascii="Times New Roman" w:hAnsi="Times New Roman" w:cs="Times New Roman"/>
          <w:i/>
        </w:rPr>
        <w:t>Dimensions of Critical Care Nursing,</w:t>
      </w:r>
      <w:r w:rsidRPr="00720DB4">
        <w:rPr>
          <w:rFonts w:ascii="Times New Roman" w:hAnsi="Times New Roman" w:cs="Times New Roman"/>
        </w:rPr>
        <w:t xml:space="preserve"> 35(4), pp. 204-222.</w:t>
      </w:r>
    </w:p>
    <w:p w14:paraId="750BC2D1" w14:textId="77777777" w:rsidR="00A90FEE" w:rsidRPr="00720DB4" w:rsidRDefault="00A90FEE" w:rsidP="00720DB4">
      <w:pPr>
        <w:pStyle w:val="EndNoteBibliography"/>
        <w:spacing w:after="0"/>
        <w:jc w:val="both"/>
        <w:rPr>
          <w:rFonts w:ascii="Times New Roman" w:hAnsi="Times New Roman" w:cs="Times New Roman"/>
        </w:rPr>
      </w:pPr>
    </w:p>
    <w:p w14:paraId="2D2BF29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Geraghty, R. J., Capes-Davis, A., Davis, J. M., Downward, J., Freshney, R. I., Knezevic, I., Lovell-Badge, R., Masters, J. R. W., Meredith, J., Stacey, G. N., Thraves, P. and Vias, M. (2014) 'Guidelines for the use of cell lines in biomedical research', </w:t>
      </w:r>
      <w:r w:rsidRPr="00720DB4">
        <w:rPr>
          <w:rFonts w:ascii="Times New Roman" w:hAnsi="Times New Roman" w:cs="Times New Roman"/>
          <w:i/>
        </w:rPr>
        <w:t>British Journal of Cancer,</w:t>
      </w:r>
      <w:r w:rsidRPr="00720DB4">
        <w:rPr>
          <w:rFonts w:ascii="Times New Roman" w:hAnsi="Times New Roman" w:cs="Times New Roman"/>
        </w:rPr>
        <w:t xml:space="preserve"> 111(6), pp. 1021-1046.</w:t>
      </w:r>
    </w:p>
    <w:p w14:paraId="5FAD6CAB" w14:textId="77777777" w:rsidR="00A90FEE" w:rsidRPr="00720DB4" w:rsidRDefault="00A90FEE" w:rsidP="00720DB4">
      <w:pPr>
        <w:pStyle w:val="EndNoteBibliography"/>
        <w:spacing w:after="0"/>
        <w:jc w:val="both"/>
        <w:rPr>
          <w:rFonts w:ascii="Times New Roman" w:hAnsi="Times New Roman" w:cs="Times New Roman"/>
        </w:rPr>
      </w:pPr>
    </w:p>
    <w:p w14:paraId="1E8A3B5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Germain, E., Guiraud, P., Byrne, D., Douzi, B., Djendli, M. and Maisonneuve, E. (2019) 'YtfK activates the stringent response by triggering the alarmone synthetase SpoT in </w:t>
      </w:r>
      <w:r w:rsidRPr="00A90FEE">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Nature Communications,</w:t>
      </w:r>
      <w:r w:rsidRPr="00720DB4">
        <w:rPr>
          <w:rFonts w:ascii="Times New Roman" w:hAnsi="Times New Roman" w:cs="Times New Roman"/>
        </w:rPr>
        <w:t xml:space="preserve"> 10.</w:t>
      </w:r>
    </w:p>
    <w:p w14:paraId="698615DB" w14:textId="77777777" w:rsidR="00A90FEE" w:rsidRPr="00720DB4" w:rsidRDefault="00A90FEE" w:rsidP="00720DB4">
      <w:pPr>
        <w:pStyle w:val="EndNoteBibliography"/>
        <w:spacing w:after="0"/>
        <w:jc w:val="both"/>
        <w:rPr>
          <w:rFonts w:ascii="Times New Roman" w:hAnsi="Times New Roman" w:cs="Times New Roman"/>
        </w:rPr>
      </w:pPr>
    </w:p>
    <w:p w14:paraId="4E20D21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Gibson, G. W., Kreuser, S. C., Riley, J. M., Rosebury-Smith, W. S., Courtney, C. L., Juneau, P. L., Hollembaek, J. M., Zhu, T., Huband, M. D., Brammer, D. W., Brieland, J. K. and Sulavik, M. C. (2007) 'Development of a mouse model of induced</w:t>
      </w:r>
      <w:r w:rsidRPr="00A90FEE">
        <w:rPr>
          <w:rFonts w:ascii="Times New Roman" w:hAnsi="Times New Roman" w:cs="Times New Roman"/>
          <w:i/>
          <w:iCs/>
        </w:rPr>
        <w:t xml:space="preserve"> Staphylococcus aureus</w:t>
      </w:r>
      <w:r w:rsidRPr="00720DB4">
        <w:rPr>
          <w:rFonts w:ascii="Times New Roman" w:hAnsi="Times New Roman" w:cs="Times New Roman"/>
        </w:rPr>
        <w:t xml:space="preserve"> infective endocarditis', </w:t>
      </w:r>
      <w:r w:rsidRPr="00720DB4">
        <w:rPr>
          <w:rFonts w:ascii="Times New Roman" w:hAnsi="Times New Roman" w:cs="Times New Roman"/>
          <w:i/>
        </w:rPr>
        <w:t>Comparative Medicine,</w:t>
      </w:r>
      <w:r w:rsidRPr="00720DB4">
        <w:rPr>
          <w:rFonts w:ascii="Times New Roman" w:hAnsi="Times New Roman" w:cs="Times New Roman"/>
        </w:rPr>
        <w:t xml:space="preserve"> 57(6), pp. 563-569.</w:t>
      </w:r>
    </w:p>
    <w:p w14:paraId="34245F3C" w14:textId="77777777" w:rsidR="00A90FEE" w:rsidRPr="00720DB4" w:rsidRDefault="00A90FEE" w:rsidP="00720DB4">
      <w:pPr>
        <w:pStyle w:val="EndNoteBibliography"/>
        <w:spacing w:after="0"/>
        <w:jc w:val="both"/>
        <w:rPr>
          <w:rFonts w:ascii="Times New Roman" w:hAnsi="Times New Roman" w:cs="Times New Roman"/>
        </w:rPr>
      </w:pPr>
    </w:p>
    <w:p w14:paraId="3DD41E9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Giese, B., Glowinski, F., Paprotka, K., Dittmann, S., Steiner, T., Sinha, B. and Fraunholz, M. J. (2011) 'Expression of delta-toxin by </w:t>
      </w:r>
      <w:r w:rsidRPr="00A90FEE">
        <w:rPr>
          <w:rFonts w:ascii="Times New Roman" w:hAnsi="Times New Roman" w:cs="Times New Roman"/>
          <w:i/>
          <w:iCs/>
        </w:rPr>
        <w:t>Staphylococcus aureus</w:t>
      </w:r>
      <w:r w:rsidRPr="00720DB4">
        <w:rPr>
          <w:rFonts w:ascii="Times New Roman" w:hAnsi="Times New Roman" w:cs="Times New Roman"/>
        </w:rPr>
        <w:t xml:space="preserve"> mediates escape from phago-endosomes of human epithelial and endothelial cells in the presence of beta-toxin', </w:t>
      </w:r>
      <w:r w:rsidRPr="00720DB4">
        <w:rPr>
          <w:rFonts w:ascii="Times New Roman" w:hAnsi="Times New Roman" w:cs="Times New Roman"/>
          <w:i/>
        </w:rPr>
        <w:t>Cellular Microbiology,</w:t>
      </w:r>
      <w:r w:rsidRPr="00720DB4">
        <w:rPr>
          <w:rFonts w:ascii="Times New Roman" w:hAnsi="Times New Roman" w:cs="Times New Roman"/>
        </w:rPr>
        <w:t xml:space="preserve"> 13(2), pp. 316-329.</w:t>
      </w:r>
    </w:p>
    <w:p w14:paraId="598DC975" w14:textId="77777777" w:rsidR="00A90FEE" w:rsidRPr="00720DB4" w:rsidRDefault="00A90FEE" w:rsidP="00720DB4">
      <w:pPr>
        <w:pStyle w:val="EndNoteBibliography"/>
        <w:spacing w:after="0"/>
        <w:jc w:val="both"/>
        <w:rPr>
          <w:rFonts w:ascii="Times New Roman" w:hAnsi="Times New Roman" w:cs="Times New Roman"/>
        </w:rPr>
      </w:pPr>
    </w:p>
    <w:p w14:paraId="05D3021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Gillet, Y., Issartel, B., Vanhems, P., Fournet, J. C., Lina, G., Bes, M., Vandenesch, F., Piemont, Y., Brousse, N., Floret, D. and Etienne, J. (2002) 'Association between </w:t>
      </w:r>
      <w:r w:rsidRPr="00A90FEE">
        <w:rPr>
          <w:rFonts w:ascii="Times New Roman" w:hAnsi="Times New Roman" w:cs="Times New Roman"/>
          <w:i/>
          <w:iCs/>
        </w:rPr>
        <w:t xml:space="preserve">Staphylococcus aureus </w:t>
      </w:r>
      <w:r w:rsidRPr="00720DB4">
        <w:rPr>
          <w:rFonts w:ascii="Times New Roman" w:hAnsi="Times New Roman" w:cs="Times New Roman"/>
        </w:rPr>
        <w:t xml:space="preserve">strains carrying gene for Panton-Valentine leukocidin and highly lethal necrotising pneumonia in young immunocompetent patients', </w:t>
      </w:r>
      <w:r w:rsidRPr="00720DB4">
        <w:rPr>
          <w:rFonts w:ascii="Times New Roman" w:hAnsi="Times New Roman" w:cs="Times New Roman"/>
          <w:i/>
        </w:rPr>
        <w:t>Lancet,</w:t>
      </w:r>
      <w:r w:rsidRPr="00720DB4">
        <w:rPr>
          <w:rFonts w:ascii="Times New Roman" w:hAnsi="Times New Roman" w:cs="Times New Roman"/>
        </w:rPr>
        <w:t xml:space="preserve"> 359(9308), pp. 753-759.</w:t>
      </w:r>
    </w:p>
    <w:p w14:paraId="6EB1D241" w14:textId="77777777" w:rsidR="00A90FEE" w:rsidRPr="00720DB4" w:rsidRDefault="00A90FEE" w:rsidP="00720DB4">
      <w:pPr>
        <w:pStyle w:val="EndNoteBibliography"/>
        <w:spacing w:after="0"/>
        <w:jc w:val="both"/>
        <w:rPr>
          <w:rFonts w:ascii="Times New Roman" w:hAnsi="Times New Roman" w:cs="Times New Roman"/>
        </w:rPr>
      </w:pPr>
    </w:p>
    <w:p w14:paraId="51400C4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Gongora, R., Figueroa, F. and Klein, J. (1998) 'Independent duplications of Bf and C3 complement genes in the zebrafish', </w:t>
      </w:r>
      <w:r w:rsidRPr="00720DB4">
        <w:rPr>
          <w:rFonts w:ascii="Times New Roman" w:hAnsi="Times New Roman" w:cs="Times New Roman"/>
          <w:i/>
        </w:rPr>
        <w:t>Scandinavian Journal of Immunology,</w:t>
      </w:r>
      <w:r w:rsidRPr="00720DB4">
        <w:rPr>
          <w:rFonts w:ascii="Times New Roman" w:hAnsi="Times New Roman" w:cs="Times New Roman"/>
        </w:rPr>
        <w:t xml:space="preserve"> 48(6), pp. 651-658.</w:t>
      </w:r>
    </w:p>
    <w:p w14:paraId="3291E9C2" w14:textId="77777777" w:rsidR="00A90FEE" w:rsidRPr="00720DB4" w:rsidRDefault="00A90FEE" w:rsidP="00720DB4">
      <w:pPr>
        <w:pStyle w:val="EndNoteBibliography"/>
        <w:spacing w:after="0"/>
        <w:jc w:val="both"/>
        <w:rPr>
          <w:rFonts w:ascii="Times New Roman" w:hAnsi="Times New Roman" w:cs="Times New Roman"/>
        </w:rPr>
      </w:pPr>
    </w:p>
    <w:p w14:paraId="5C835B3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González-Zorn, B., Senna, J. P. M., Fiette, L., Shorte, S., Testard, A., Chignard, M., Courvalin, P. and Grillot-Courvalin, C. (2005) 'Bacterial and host factors implicated in nasal carriage of methicillin-resistant </w:t>
      </w:r>
      <w:r w:rsidRPr="00A90FEE">
        <w:rPr>
          <w:rFonts w:ascii="Times New Roman" w:hAnsi="Times New Roman" w:cs="Times New Roman"/>
          <w:i/>
          <w:iCs/>
        </w:rPr>
        <w:t>Staphylococcus aureus</w:t>
      </w:r>
      <w:r w:rsidRPr="00720DB4">
        <w:rPr>
          <w:rFonts w:ascii="Times New Roman" w:hAnsi="Times New Roman" w:cs="Times New Roman"/>
        </w:rPr>
        <w:t xml:space="preserve"> in mice', </w:t>
      </w:r>
      <w:r w:rsidRPr="00720DB4">
        <w:rPr>
          <w:rFonts w:ascii="Times New Roman" w:hAnsi="Times New Roman" w:cs="Times New Roman"/>
          <w:i/>
        </w:rPr>
        <w:t>Infection and Immunity,</w:t>
      </w:r>
      <w:r w:rsidRPr="00720DB4">
        <w:rPr>
          <w:rFonts w:ascii="Times New Roman" w:hAnsi="Times New Roman" w:cs="Times New Roman"/>
        </w:rPr>
        <w:t xml:space="preserve"> 73(3), pp. 1847-1851.</w:t>
      </w:r>
    </w:p>
    <w:p w14:paraId="7771FC46" w14:textId="77777777" w:rsidR="00A90FEE" w:rsidRPr="00720DB4" w:rsidRDefault="00A90FEE" w:rsidP="00720DB4">
      <w:pPr>
        <w:pStyle w:val="EndNoteBibliography"/>
        <w:spacing w:after="0"/>
        <w:jc w:val="both"/>
        <w:rPr>
          <w:rFonts w:ascii="Times New Roman" w:hAnsi="Times New Roman" w:cs="Times New Roman"/>
        </w:rPr>
      </w:pPr>
    </w:p>
    <w:p w14:paraId="74F8110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Goormaghtigh, F., Fraikin, N., Putrins, M., Hallaert, T., Hauryliuk, V., Garcia-Pino, A., Sjodin, A., Kasvandik, S., Udekwu, K., Tenson, T., Kaldalu, N. and Van Melderen, L. (2018) 'Reassessing the Role of Type II Toxin-Antitoxin Systems in Formation of </w:t>
      </w:r>
      <w:r w:rsidRPr="00720DB4">
        <w:rPr>
          <w:rFonts w:ascii="Times New Roman" w:hAnsi="Times New Roman" w:cs="Times New Roman"/>
          <w:i/>
        </w:rPr>
        <w:t>Escherichia coli</w:t>
      </w:r>
      <w:r w:rsidRPr="00720DB4">
        <w:rPr>
          <w:rFonts w:ascii="Times New Roman" w:hAnsi="Times New Roman" w:cs="Times New Roman"/>
        </w:rPr>
        <w:t xml:space="preserve"> Type II Persister Cells', </w:t>
      </w:r>
      <w:r w:rsidRPr="00720DB4">
        <w:rPr>
          <w:rFonts w:ascii="Times New Roman" w:hAnsi="Times New Roman" w:cs="Times New Roman"/>
          <w:i/>
        </w:rPr>
        <w:t>Mbio,</w:t>
      </w:r>
      <w:r w:rsidRPr="00720DB4">
        <w:rPr>
          <w:rFonts w:ascii="Times New Roman" w:hAnsi="Times New Roman" w:cs="Times New Roman"/>
        </w:rPr>
        <w:t xml:space="preserve"> 9(3).</w:t>
      </w:r>
    </w:p>
    <w:p w14:paraId="63A97374" w14:textId="77777777" w:rsidR="00A90FEE" w:rsidRPr="00720DB4" w:rsidRDefault="00A90FEE" w:rsidP="00720DB4">
      <w:pPr>
        <w:pStyle w:val="EndNoteBibliography"/>
        <w:spacing w:after="0"/>
        <w:jc w:val="both"/>
        <w:rPr>
          <w:rFonts w:ascii="Times New Roman" w:hAnsi="Times New Roman" w:cs="Times New Roman"/>
        </w:rPr>
      </w:pPr>
    </w:p>
    <w:p w14:paraId="505495E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Gordy, J. T., Luo, K., Zhang, H., Biragyn, A. and Markham, R. B. (2016) 'Fusion of the dendritic cell-targeting chemokine MIP3 alpha to melanoma antigen Gp100 in a therapeutic DNA vaccine significantly enhances immunogenicity and survival in a mouse melanoma model', </w:t>
      </w:r>
      <w:r w:rsidRPr="00720DB4">
        <w:rPr>
          <w:rFonts w:ascii="Times New Roman" w:hAnsi="Times New Roman" w:cs="Times New Roman"/>
          <w:i/>
        </w:rPr>
        <w:t>Journal for Immunotherapy of Cancer,</w:t>
      </w:r>
      <w:r w:rsidRPr="00720DB4">
        <w:rPr>
          <w:rFonts w:ascii="Times New Roman" w:hAnsi="Times New Roman" w:cs="Times New Roman"/>
        </w:rPr>
        <w:t xml:space="preserve"> 4.</w:t>
      </w:r>
    </w:p>
    <w:p w14:paraId="1DDE6F70" w14:textId="77777777" w:rsidR="00A90FEE" w:rsidRPr="00720DB4" w:rsidRDefault="00A90FEE" w:rsidP="00720DB4">
      <w:pPr>
        <w:pStyle w:val="EndNoteBibliography"/>
        <w:spacing w:after="0"/>
        <w:jc w:val="both"/>
        <w:rPr>
          <w:rFonts w:ascii="Times New Roman" w:hAnsi="Times New Roman" w:cs="Times New Roman"/>
        </w:rPr>
      </w:pPr>
    </w:p>
    <w:p w14:paraId="7CB8F47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Gosbell, I. B. and van Hal, S. J. (2013) '</w:t>
      </w:r>
      <w:r w:rsidRPr="00A90FEE">
        <w:rPr>
          <w:rFonts w:ascii="Times New Roman" w:hAnsi="Times New Roman" w:cs="Times New Roman"/>
          <w:i/>
          <w:iCs/>
        </w:rPr>
        <w:t>Staphylococcus aureus</w:t>
      </w:r>
      <w:r w:rsidRPr="00720DB4">
        <w:rPr>
          <w:rFonts w:ascii="Times New Roman" w:hAnsi="Times New Roman" w:cs="Times New Roman"/>
        </w:rPr>
        <w:t xml:space="preserve"> colonisation: some questions answered', </w:t>
      </w:r>
      <w:r w:rsidRPr="00720DB4">
        <w:rPr>
          <w:rFonts w:ascii="Times New Roman" w:hAnsi="Times New Roman" w:cs="Times New Roman"/>
          <w:i/>
        </w:rPr>
        <w:t>Lancet Infectious Diseases,</w:t>
      </w:r>
      <w:r w:rsidRPr="00720DB4">
        <w:rPr>
          <w:rFonts w:ascii="Times New Roman" w:hAnsi="Times New Roman" w:cs="Times New Roman"/>
        </w:rPr>
        <w:t xml:space="preserve"> 13(5), pp. 380-381.</w:t>
      </w:r>
    </w:p>
    <w:p w14:paraId="537E3C45" w14:textId="77777777" w:rsidR="00A90FEE" w:rsidRPr="00720DB4" w:rsidRDefault="00A90FEE" w:rsidP="00720DB4">
      <w:pPr>
        <w:pStyle w:val="EndNoteBibliography"/>
        <w:spacing w:after="0"/>
        <w:jc w:val="both"/>
        <w:rPr>
          <w:rFonts w:ascii="Times New Roman" w:hAnsi="Times New Roman" w:cs="Times New Roman"/>
        </w:rPr>
      </w:pPr>
    </w:p>
    <w:p w14:paraId="66CEFD1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Grant, B. D. and Donaldson, J. G. (2009) 'Pathways and mechanisms of endocytic recycling', </w:t>
      </w:r>
      <w:r w:rsidRPr="00720DB4">
        <w:rPr>
          <w:rFonts w:ascii="Times New Roman" w:hAnsi="Times New Roman" w:cs="Times New Roman"/>
          <w:i/>
        </w:rPr>
        <w:t>Nature Reviews Molecular Cell Biology,</w:t>
      </w:r>
      <w:r w:rsidRPr="00720DB4">
        <w:rPr>
          <w:rFonts w:ascii="Times New Roman" w:hAnsi="Times New Roman" w:cs="Times New Roman"/>
        </w:rPr>
        <w:t xml:space="preserve"> 10(9), pp. 597-608.</w:t>
      </w:r>
    </w:p>
    <w:p w14:paraId="6BF675FB" w14:textId="77777777" w:rsidR="00A90FEE" w:rsidRPr="00720DB4" w:rsidRDefault="00A90FEE" w:rsidP="00720DB4">
      <w:pPr>
        <w:pStyle w:val="EndNoteBibliography"/>
        <w:spacing w:after="0"/>
        <w:jc w:val="both"/>
        <w:rPr>
          <w:rFonts w:ascii="Times New Roman" w:hAnsi="Times New Roman" w:cs="Times New Roman"/>
        </w:rPr>
      </w:pPr>
    </w:p>
    <w:p w14:paraId="2BB56FD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Gratani, F. L., Horvatek, P., Geiger, T., Borisova, M., Mayer, C., Grin, I., Wagner, S., Steinchen, W., Bange, G., Velic, A., Macek, B. and Wolz, C. (2018) 'Regulation of the opposing (p)ppGpp synthetase and hydrolase activities in a bifunctional RelA/SpoT homologue from </w:t>
      </w:r>
      <w:r w:rsidRPr="00A90FEE">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Plos Genetics,</w:t>
      </w:r>
      <w:r w:rsidRPr="00720DB4">
        <w:rPr>
          <w:rFonts w:ascii="Times New Roman" w:hAnsi="Times New Roman" w:cs="Times New Roman"/>
        </w:rPr>
        <w:t xml:space="preserve"> 14(7).</w:t>
      </w:r>
    </w:p>
    <w:p w14:paraId="009BF127" w14:textId="77777777" w:rsidR="00A90FEE" w:rsidRPr="00720DB4" w:rsidRDefault="00A90FEE" w:rsidP="00720DB4">
      <w:pPr>
        <w:pStyle w:val="EndNoteBibliography"/>
        <w:spacing w:after="0"/>
        <w:jc w:val="both"/>
        <w:rPr>
          <w:rFonts w:ascii="Times New Roman" w:hAnsi="Times New Roman" w:cs="Times New Roman"/>
        </w:rPr>
      </w:pPr>
    </w:p>
    <w:p w14:paraId="58C8BAD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Grein, F., Mueller, A., Scherer, K. M., Liu, X., Ludwig, K. C., Kloeckner, A., Strach, M., Sahl, H.-G., Kubitscheck, U. and Schneider, T. (2020) 'Ca2+-Daptomycin targets cell wall biosynthesis by forming a tripartite complex with undecaprenyl-coupled intermediates and membrane lipids', </w:t>
      </w:r>
      <w:r w:rsidRPr="00720DB4">
        <w:rPr>
          <w:rFonts w:ascii="Times New Roman" w:hAnsi="Times New Roman" w:cs="Times New Roman"/>
          <w:i/>
        </w:rPr>
        <w:t>Nature Communications,</w:t>
      </w:r>
      <w:r w:rsidRPr="00720DB4">
        <w:rPr>
          <w:rFonts w:ascii="Times New Roman" w:hAnsi="Times New Roman" w:cs="Times New Roman"/>
        </w:rPr>
        <w:t xml:space="preserve"> 11(1).</w:t>
      </w:r>
    </w:p>
    <w:p w14:paraId="1999BDDF" w14:textId="77777777" w:rsidR="00A90FEE" w:rsidRPr="00720DB4" w:rsidRDefault="00A90FEE" w:rsidP="00720DB4">
      <w:pPr>
        <w:pStyle w:val="EndNoteBibliography"/>
        <w:spacing w:after="0"/>
        <w:jc w:val="both"/>
        <w:rPr>
          <w:rFonts w:ascii="Times New Roman" w:hAnsi="Times New Roman" w:cs="Times New Roman"/>
        </w:rPr>
      </w:pPr>
    </w:p>
    <w:p w14:paraId="2FAE148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Gresham, H. D., Lowrance, J. H., Caver, T. E., Wilson, B. S., Cheung, A. L. and Lindberg, F. P. (2000) 'Survival of </w:t>
      </w:r>
      <w:r w:rsidRPr="00720DB4">
        <w:rPr>
          <w:rFonts w:ascii="Times New Roman" w:hAnsi="Times New Roman" w:cs="Times New Roman"/>
          <w:i/>
        </w:rPr>
        <w:t>Staphylococcus aureus</w:t>
      </w:r>
      <w:r w:rsidRPr="00720DB4">
        <w:rPr>
          <w:rFonts w:ascii="Times New Roman" w:hAnsi="Times New Roman" w:cs="Times New Roman"/>
        </w:rPr>
        <w:t xml:space="preserve"> inside neutrophils contributes to infection', </w:t>
      </w:r>
      <w:r w:rsidRPr="00720DB4">
        <w:rPr>
          <w:rFonts w:ascii="Times New Roman" w:hAnsi="Times New Roman" w:cs="Times New Roman"/>
          <w:i/>
        </w:rPr>
        <w:t>Journal of Immunology,</w:t>
      </w:r>
      <w:r w:rsidRPr="00720DB4">
        <w:rPr>
          <w:rFonts w:ascii="Times New Roman" w:hAnsi="Times New Roman" w:cs="Times New Roman"/>
        </w:rPr>
        <w:t xml:space="preserve"> 164(7), pp. 3713-3722.</w:t>
      </w:r>
    </w:p>
    <w:p w14:paraId="4979C6AF" w14:textId="77777777" w:rsidR="00EC083A" w:rsidRPr="00720DB4" w:rsidRDefault="00EC083A" w:rsidP="00720DB4">
      <w:pPr>
        <w:pStyle w:val="EndNoteBibliography"/>
        <w:spacing w:after="0"/>
        <w:jc w:val="both"/>
        <w:rPr>
          <w:rFonts w:ascii="Times New Roman" w:hAnsi="Times New Roman" w:cs="Times New Roman"/>
        </w:rPr>
      </w:pPr>
    </w:p>
    <w:p w14:paraId="6A43CC0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Grosz, M., Kolter, J., Paprotka, K., Winkler, A.-C., Schaefer, D., Chatterjee, S. S., Geiger, T., Wolz, C., Ohlsen, K., Otto, M., Rudel, T., Sinha, B. and Fraunholz, M. (2014) 'Cytoplasmic replication of </w:t>
      </w:r>
      <w:r w:rsidRPr="00720DB4">
        <w:rPr>
          <w:rFonts w:ascii="Times New Roman" w:hAnsi="Times New Roman" w:cs="Times New Roman"/>
          <w:i/>
        </w:rPr>
        <w:t>Staphylococcus aureus</w:t>
      </w:r>
      <w:r w:rsidRPr="00720DB4">
        <w:rPr>
          <w:rFonts w:ascii="Times New Roman" w:hAnsi="Times New Roman" w:cs="Times New Roman"/>
        </w:rPr>
        <w:t xml:space="preserve"> upon phagosomal escape triggered by phenol-soluble modulin alpha', </w:t>
      </w:r>
      <w:r w:rsidRPr="00720DB4">
        <w:rPr>
          <w:rFonts w:ascii="Times New Roman" w:hAnsi="Times New Roman" w:cs="Times New Roman"/>
          <w:i/>
        </w:rPr>
        <w:t>Cellular Microbiology,</w:t>
      </w:r>
      <w:r w:rsidRPr="00720DB4">
        <w:rPr>
          <w:rFonts w:ascii="Times New Roman" w:hAnsi="Times New Roman" w:cs="Times New Roman"/>
        </w:rPr>
        <w:t xml:space="preserve"> 16(4), pp. 451-465.</w:t>
      </w:r>
    </w:p>
    <w:p w14:paraId="198E92CA" w14:textId="77777777" w:rsidR="00EC083A" w:rsidRPr="00720DB4" w:rsidRDefault="00EC083A" w:rsidP="00720DB4">
      <w:pPr>
        <w:pStyle w:val="EndNoteBibliography"/>
        <w:spacing w:after="0"/>
        <w:jc w:val="both"/>
        <w:rPr>
          <w:rFonts w:ascii="Times New Roman" w:hAnsi="Times New Roman" w:cs="Times New Roman"/>
        </w:rPr>
      </w:pPr>
    </w:p>
    <w:p w14:paraId="23438AF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Grundling, A. and Schneewind, O. (2007) 'Synthesis of glycerol phosphate lipoteichoic acid in </w:t>
      </w:r>
      <w:r w:rsidRPr="00EC083A">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104(20), pp. 8478-8483.</w:t>
      </w:r>
    </w:p>
    <w:p w14:paraId="1F9BB253" w14:textId="77777777" w:rsidR="00EC083A" w:rsidRPr="00720DB4" w:rsidRDefault="00EC083A" w:rsidP="00720DB4">
      <w:pPr>
        <w:pStyle w:val="EndNoteBibliography"/>
        <w:spacing w:after="0"/>
        <w:jc w:val="both"/>
        <w:rPr>
          <w:rFonts w:ascii="Times New Roman" w:hAnsi="Times New Roman" w:cs="Times New Roman"/>
        </w:rPr>
      </w:pPr>
    </w:p>
    <w:p w14:paraId="5219B5D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Guenther, J. and Seyfert, H.-M. (2018) 'The first line of defence: insights into mechanisms and relevance of phagocytosis in epithelial cells', </w:t>
      </w:r>
      <w:r w:rsidRPr="00720DB4">
        <w:rPr>
          <w:rFonts w:ascii="Times New Roman" w:hAnsi="Times New Roman" w:cs="Times New Roman"/>
          <w:i/>
        </w:rPr>
        <w:t>Seminars in Immunopathology,</w:t>
      </w:r>
      <w:r w:rsidRPr="00720DB4">
        <w:rPr>
          <w:rFonts w:ascii="Times New Roman" w:hAnsi="Times New Roman" w:cs="Times New Roman"/>
        </w:rPr>
        <w:t xml:space="preserve"> 40(6), pp. 555-565.</w:t>
      </w:r>
    </w:p>
    <w:p w14:paraId="407A8727" w14:textId="77777777" w:rsidR="00EC083A" w:rsidRPr="00720DB4" w:rsidRDefault="00EC083A" w:rsidP="00720DB4">
      <w:pPr>
        <w:pStyle w:val="EndNoteBibliography"/>
        <w:spacing w:after="0"/>
        <w:jc w:val="both"/>
        <w:rPr>
          <w:rFonts w:ascii="Times New Roman" w:hAnsi="Times New Roman" w:cs="Times New Roman"/>
        </w:rPr>
      </w:pPr>
    </w:p>
    <w:p w14:paraId="42B2E4F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Guerra, F. E., Addison, C. B., De Jong, N. W. M., Azzolino, J., Pallister, K. B., van Strijp, J. A. G. and Voyich, J. M. (2016) '</w:t>
      </w:r>
      <w:r w:rsidRPr="00EC083A">
        <w:rPr>
          <w:rFonts w:ascii="Times New Roman" w:hAnsi="Times New Roman" w:cs="Times New Roman"/>
          <w:i/>
          <w:iCs/>
        </w:rPr>
        <w:t>Staphylococcus aureus</w:t>
      </w:r>
      <w:r w:rsidRPr="00720DB4">
        <w:rPr>
          <w:rFonts w:ascii="Times New Roman" w:hAnsi="Times New Roman" w:cs="Times New Roman"/>
        </w:rPr>
        <w:t xml:space="preserve"> SaeR/S-regulated factors reduce human neutrophil reactive oxygen species production', </w:t>
      </w:r>
      <w:r w:rsidRPr="00720DB4">
        <w:rPr>
          <w:rFonts w:ascii="Times New Roman" w:hAnsi="Times New Roman" w:cs="Times New Roman"/>
          <w:i/>
        </w:rPr>
        <w:t>Journal of Leukocyte Biology,</w:t>
      </w:r>
      <w:r w:rsidRPr="00720DB4">
        <w:rPr>
          <w:rFonts w:ascii="Times New Roman" w:hAnsi="Times New Roman" w:cs="Times New Roman"/>
        </w:rPr>
        <w:t xml:space="preserve"> 100(5), pp. 1005-1010.</w:t>
      </w:r>
    </w:p>
    <w:p w14:paraId="042BBE09" w14:textId="77777777" w:rsidR="00EC083A" w:rsidRPr="00720DB4" w:rsidRDefault="00EC083A" w:rsidP="00720DB4">
      <w:pPr>
        <w:pStyle w:val="EndNoteBibliography"/>
        <w:spacing w:after="0"/>
        <w:jc w:val="both"/>
        <w:rPr>
          <w:rFonts w:ascii="Times New Roman" w:hAnsi="Times New Roman" w:cs="Times New Roman"/>
        </w:rPr>
      </w:pPr>
    </w:p>
    <w:p w14:paraId="116D843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Guilliams, M. and Scott, C. L. (2017) 'Does niche competition determine the origin of tissue-resident macrophages?', </w:t>
      </w:r>
      <w:r w:rsidRPr="00720DB4">
        <w:rPr>
          <w:rFonts w:ascii="Times New Roman" w:hAnsi="Times New Roman" w:cs="Times New Roman"/>
          <w:i/>
        </w:rPr>
        <w:t>Nature Reviews Immunology,</w:t>
      </w:r>
      <w:r w:rsidRPr="00720DB4">
        <w:rPr>
          <w:rFonts w:ascii="Times New Roman" w:hAnsi="Times New Roman" w:cs="Times New Roman"/>
        </w:rPr>
        <w:t xml:space="preserve"> 17(7), pp. 451-460.</w:t>
      </w:r>
    </w:p>
    <w:p w14:paraId="5770A927" w14:textId="77777777" w:rsidR="00EC083A" w:rsidRPr="00720DB4" w:rsidRDefault="00EC083A" w:rsidP="00720DB4">
      <w:pPr>
        <w:pStyle w:val="EndNoteBibliography"/>
        <w:spacing w:after="0"/>
        <w:jc w:val="both"/>
        <w:rPr>
          <w:rFonts w:ascii="Times New Roman" w:hAnsi="Times New Roman" w:cs="Times New Roman"/>
        </w:rPr>
      </w:pPr>
    </w:p>
    <w:p w14:paraId="6A90C17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Günther, J. and Seyfert, H.-M. (2018) 'The first line of defence: insights into mechanisms and relevance of phagocytosis in epithelial cells', </w:t>
      </w:r>
      <w:r w:rsidRPr="00720DB4">
        <w:rPr>
          <w:rFonts w:ascii="Times New Roman" w:hAnsi="Times New Roman" w:cs="Times New Roman"/>
          <w:i/>
        </w:rPr>
        <w:t>Seminars in Immunopathology,</w:t>
      </w:r>
      <w:r w:rsidRPr="00720DB4">
        <w:rPr>
          <w:rFonts w:ascii="Times New Roman" w:hAnsi="Times New Roman" w:cs="Times New Roman"/>
        </w:rPr>
        <w:t xml:space="preserve"> 40(6), pp. 555-565.</w:t>
      </w:r>
    </w:p>
    <w:p w14:paraId="267FAB3B" w14:textId="77777777" w:rsidR="00EC083A" w:rsidRPr="00720DB4" w:rsidRDefault="00EC083A" w:rsidP="00720DB4">
      <w:pPr>
        <w:pStyle w:val="EndNoteBibliography"/>
        <w:spacing w:after="0"/>
        <w:jc w:val="both"/>
        <w:rPr>
          <w:rFonts w:ascii="Times New Roman" w:hAnsi="Times New Roman" w:cs="Times New Roman"/>
        </w:rPr>
      </w:pPr>
    </w:p>
    <w:p w14:paraId="4907240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Hajjar, A. M., O'Mahony, D. S., Ozinsky, A., Underhill, D. M., Aderem, A., Klebanoff, S. J. and Wilson, C. B. (2001) 'Cutting edge: Functional interactions between toll-like receptor (TLR) 2 and TLR1 or TLR6 in response to phenol-soluble modulin', </w:t>
      </w:r>
      <w:r w:rsidRPr="00720DB4">
        <w:rPr>
          <w:rFonts w:ascii="Times New Roman" w:hAnsi="Times New Roman" w:cs="Times New Roman"/>
          <w:i/>
        </w:rPr>
        <w:t>Journal of Immunology,</w:t>
      </w:r>
      <w:r w:rsidRPr="00720DB4">
        <w:rPr>
          <w:rFonts w:ascii="Times New Roman" w:hAnsi="Times New Roman" w:cs="Times New Roman"/>
        </w:rPr>
        <w:t xml:space="preserve"> 166(1), pp. 15-19.</w:t>
      </w:r>
    </w:p>
    <w:p w14:paraId="38A71707" w14:textId="77777777" w:rsidR="00EC083A" w:rsidRPr="00720DB4" w:rsidRDefault="00EC083A" w:rsidP="00720DB4">
      <w:pPr>
        <w:pStyle w:val="EndNoteBibliography"/>
        <w:spacing w:after="0"/>
        <w:jc w:val="both"/>
        <w:rPr>
          <w:rFonts w:ascii="Times New Roman" w:hAnsi="Times New Roman" w:cs="Times New Roman"/>
        </w:rPr>
      </w:pPr>
    </w:p>
    <w:p w14:paraId="5D2F422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Hamilton, N., Sabroe, I. and Renshaw, S. (2018) 'A method for transplantation of human HSCs into zebrafish, to replace humanised murine transplantation models', </w:t>
      </w:r>
      <w:r w:rsidRPr="00720DB4">
        <w:rPr>
          <w:rFonts w:ascii="Times New Roman" w:hAnsi="Times New Roman" w:cs="Times New Roman"/>
          <w:i/>
        </w:rPr>
        <w:t>F1000 Research,</w:t>
      </w:r>
      <w:r w:rsidRPr="00720DB4">
        <w:rPr>
          <w:rFonts w:ascii="Times New Roman" w:hAnsi="Times New Roman" w:cs="Times New Roman"/>
        </w:rPr>
        <w:t xml:space="preserve"> 7.</w:t>
      </w:r>
    </w:p>
    <w:p w14:paraId="7EAC0774" w14:textId="77777777" w:rsidR="00EC083A" w:rsidRPr="00720DB4" w:rsidRDefault="00EC083A" w:rsidP="00720DB4">
      <w:pPr>
        <w:pStyle w:val="EndNoteBibliography"/>
        <w:spacing w:after="0"/>
        <w:jc w:val="both"/>
        <w:rPr>
          <w:rFonts w:ascii="Times New Roman" w:hAnsi="Times New Roman" w:cs="Times New Roman"/>
        </w:rPr>
      </w:pPr>
    </w:p>
    <w:p w14:paraId="2A38DCA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Hammel, M., Sfyroera, G., Ricklin, D., Magotti, P., Lambris, J. D. and Geisbrecht, B. V. (2007) 'A structural basis for complement inhibition by </w:t>
      </w:r>
      <w:r w:rsidRPr="00EC083A">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Nature Immunology,</w:t>
      </w:r>
      <w:r w:rsidRPr="00720DB4">
        <w:rPr>
          <w:rFonts w:ascii="Times New Roman" w:hAnsi="Times New Roman" w:cs="Times New Roman"/>
        </w:rPr>
        <w:t xml:space="preserve"> 8(4), pp. 430-437.</w:t>
      </w:r>
    </w:p>
    <w:p w14:paraId="24B8B411" w14:textId="77777777" w:rsidR="00EC083A" w:rsidRPr="00720DB4" w:rsidRDefault="00EC083A" w:rsidP="00720DB4">
      <w:pPr>
        <w:pStyle w:val="EndNoteBibliography"/>
        <w:spacing w:after="0"/>
        <w:jc w:val="both"/>
        <w:rPr>
          <w:rFonts w:ascii="Times New Roman" w:hAnsi="Times New Roman" w:cs="Times New Roman"/>
        </w:rPr>
      </w:pPr>
    </w:p>
    <w:p w14:paraId="0C3A9BF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Harris, L. G., Foster, S. J. and Richards, R. G. (2002) 'An introduction to </w:t>
      </w:r>
      <w:r w:rsidRPr="00EC083A">
        <w:rPr>
          <w:rFonts w:ascii="Times New Roman" w:hAnsi="Times New Roman" w:cs="Times New Roman"/>
          <w:i/>
          <w:iCs/>
        </w:rPr>
        <w:t>Staphylococcus aureus</w:t>
      </w:r>
      <w:r w:rsidRPr="00720DB4">
        <w:rPr>
          <w:rFonts w:ascii="Times New Roman" w:hAnsi="Times New Roman" w:cs="Times New Roman"/>
        </w:rPr>
        <w:t xml:space="preserve">, and techniques for identifying and quantifying </w:t>
      </w:r>
      <w:r w:rsidRPr="00EC083A">
        <w:rPr>
          <w:rFonts w:ascii="Times New Roman" w:hAnsi="Times New Roman" w:cs="Times New Roman"/>
          <w:i/>
          <w:iCs/>
        </w:rPr>
        <w:t>S. aureus</w:t>
      </w:r>
      <w:r w:rsidRPr="00720DB4">
        <w:rPr>
          <w:rFonts w:ascii="Times New Roman" w:hAnsi="Times New Roman" w:cs="Times New Roman"/>
        </w:rPr>
        <w:t xml:space="preserve"> adhesins in relation to adhesion to biomaterials: Review', </w:t>
      </w:r>
      <w:r w:rsidRPr="00720DB4">
        <w:rPr>
          <w:rFonts w:ascii="Times New Roman" w:hAnsi="Times New Roman" w:cs="Times New Roman"/>
          <w:i/>
        </w:rPr>
        <w:t>European Cells &amp; Materials,</w:t>
      </w:r>
      <w:r w:rsidRPr="00720DB4">
        <w:rPr>
          <w:rFonts w:ascii="Times New Roman" w:hAnsi="Times New Roman" w:cs="Times New Roman"/>
        </w:rPr>
        <w:t xml:space="preserve"> 4(Cited March 7, 2003), pp. 39-60.</w:t>
      </w:r>
    </w:p>
    <w:p w14:paraId="323DA078" w14:textId="77777777" w:rsidR="00EC083A" w:rsidRPr="00720DB4" w:rsidRDefault="00EC083A" w:rsidP="00720DB4">
      <w:pPr>
        <w:pStyle w:val="EndNoteBibliography"/>
        <w:spacing w:after="0"/>
        <w:jc w:val="both"/>
        <w:rPr>
          <w:rFonts w:ascii="Times New Roman" w:hAnsi="Times New Roman" w:cs="Times New Roman"/>
        </w:rPr>
      </w:pPr>
    </w:p>
    <w:p w14:paraId="01133EF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Harrison, R. E., Bucci, C., Vieira, O. V., Schroer, T. A. and Grinstein, S. (2003) 'Phagosomes fuse with late endosomes and/or lysosomes by extension of membrane protrusions along microtubules: Role of Rab7 and RILP', </w:t>
      </w:r>
      <w:r w:rsidRPr="00720DB4">
        <w:rPr>
          <w:rFonts w:ascii="Times New Roman" w:hAnsi="Times New Roman" w:cs="Times New Roman"/>
          <w:i/>
        </w:rPr>
        <w:t>Molecular and Cellular Biology,</w:t>
      </w:r>
      <w:r w:rsidRPr="00720DB4">
        <w:rPr>
          <w:rFonts w:ascii="Times New Roman" w:hAnsi="Times New Roman" w:cs="Times New Roman"/>
        </w:rPr>
        <w:t xml:space="preserve"> 23(18), pp. 6494-6506.</w:t>
      </w:r>
    </w:p>
    <w:p w14:paraId="5857ED2E" w14:textId="77777777" w:rsidR="00EC083A" w:rsidRPr="00720DB4" w:rsidRDefault="00EC083A" w:rsidP="00720DB4">
      <w:pPr>
        <w:pStyle w:val="EndNoteBibliography"/>
        <w:spacing w:after="0"/>
        <w:jc w:val="both"/>
        <w:rPr>
          <w:rFonts w:ascii="Times New Roman" w:hAnsi="Times New Roman" w:cs="Times New Roman"/>
        </w:rPr>
      </w:pPr>
    </w:p>
    <w:p w14:paraId="629F089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Haseltine, W. A. and Block, R. (1973a) 'Synthesis of guanosine tetra- and pentaphosphate requires the presence of a codon-specific, uncharged transfer ribonucleic acid in the acceptor site of ribosomes',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70(5), pp. 1564-1568.</w:t>
      </w:r>
    </w:p>
    <w:p w14:paraId="79F43450" w14:textId="77777777" w:rsidR="00EC083A" w:rsidRPr="00720DB4" w:rsidRDefault="00EC083A" w:rsidP="00720DB4">
      <w:pPr>
        <w:pStyle w:val="EndNoteBibliography"/>
        <w:spacing w:after="0"/>
        <w:jc w:val="both"/>
        <w:rPr>
          <w:rFonts w:ascii="Times New Roman" w:hAnsi="Times New Roman" w:cs="Times New Roman"/>
        </w:rPr>
      </w:pPr>
    </w:p>
    <w:p w14:paraId="18D739B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Haseltine, W. A. and Block, R. (1973b) 'SYNTHESIS OF GUANOSINE TETRAPHOSPHATE AND PENTAPHOSPHATE REQUIRES PRESENCE OF A CODON-SPECIFIC, UNCHARGED TRANSFER RIBONUCLEIC-ACID IN ACCEPTOR SITE OF RIBOSOMES - (STRINGENT CONTROL PPGPP (MSI) AND PPPGPP (MSII) PROTEIN SYNTHESIS </w:t>
      </w:r>
      <w:r w:rsidRPr="00EC083A">
        <w:rPr>
          <w:rFonts w:ascii="Times New Roman" w:hAnsi="Times New Roman" w:cs="Times New Roman"/>
          <w:i/>
          <w:iCs/>
        </w:rPr>
        <w:t>ESCHERICHIA-COLI</w:t>
      </w:r>
      <w:r w:rsidRPr="00720DB4">
        <w:rPr>
          <w:rFonts w:ascii="Times New Roman" w:hAnsi="Times New Roman" w:cs="Times New Roman"/>
        </w:rPr>
        <w:t xml:space="preserv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70(5), pp. 1564-1568.</w:t>
      </w:r>
    </w:p>
    <w:p w14:paraId="7D7E1A9B" w14:textId="77777777" w:rsidR="00EC083A" w:rsidRPr="00720DB4" w:rsidRDefault="00EC083A" w:rsidP="00720DB4">
      <w:pPr>
        <w:pStyle w:val="EndNoteBibliography"/>
        <w:spacing w:after="0"/>
        <w:jc w:val="both"/>
        <w:rPr>
          <w:rFonts w:ascii="Times New Roman" w:hAnsi="Times New Roman" w:cs="Times New Roman"/>
        </w:rPr>
      </w:pPr>
    </w:p>
    <w:p w14:paraId="7354997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Hashimoto, D., Chow, A., Noizat, C., Teo, P., Beasley, M. B., Leboeuf, M., Becker, C. D., See, P., Price, J., Lucas, D., Greter, M., Mortha, A., Boyer, S. W., Forsberg, E. C., Tanaka, M., van Rooijen, N., Garcia-Sastre, A., Stanley, E. R., Ginhoux, F., Frenette, P. S. and Merad, M. (2013) 'Tissue-Resident Macrophages Self-Maintain Locally throughout Adult Life with Minimal Contribution from Circulating Monocytes', </w:t>
      </w:r>
      <w:r w:rsidRPr="00720DB4">
        <w:rPr>
          <w:rFonts w:ascii="Times New Roman" w:hAnsi="Times New Roman" w:cs="Times New Roman"/>
          <w:i/>
        </w:rPr>
        <w:t>Immunity,</w:t>
      </w:r>
      <w:r w:rsidRPr="00720DB4">
        <w:rPr>
          <w:rFonts w:ascii="Times New Roman" w:hAnsi="Times New Roman" w:cs="Times New Roman"/>
        </w:rPr>
        <w:t xml:space="preserve"> 38(4), pp. 792-804.</w:t>
      </w:r>
    </w:p>
    <w:p w14:paraId="5D8A613D" w14:textId="77777777" w:rsidR="00EC083A" w:rsidRPr="00720DB4" w:rsidRDefault="00EC083A" w:rsidP="00720DB4">
      <w:pPr>
        <w:pStyle w:val="EndNoteBibliography"/>
        <w:spacing w:after="0"/>
        <w:jc w:val="both"/>
        <w:rPr>
          <w:rFonts w:ascii="Times New Roman" w:hAnsi="Times New Roman" w:cs="Times New Roman"/>
        </w:rPr>
      </w:pPr>
    </w:p>
    <w:p w14:paraId="65772AC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Hauryliuk, V., Atkinson, G. C., Murakami, K. S., Tenson, T. and Gerdes, K. (2015) 'Recent functional insights into the role of (p)ppGpp in bacterial physiology', </w:t>
      </w:r>
      <w:r w:rsidRPr="00720DB4">
        <w:rPr>
          <w:rFonts w:ascii="Times New Roman" w:hAnsi="Times New Roman" w:cs="Times New Roman"/>
          <w:i/>
        </w:rPr>
        <w:t>Nature Reviews Microbiology,</w:t>
      </w:r>
      <w:r w:rsidRPr="00720DB4">
        <w:rPr>
          <w:rFonts w:ascii="Times New Roman" w:hAnsi="Times New Roman" w:cs="Times New Roman"/>
        </w:rPr>
        <w:t xml:space="preserve"> 13(5), pp. 298-309.</w:t>
      </w:r>
    </w:p>
    <w:p w14:paraId="2F8B65FA" w14:textId="77777777" w:rsidR="00EC083A" w:rsidRPr="00720DB4" w:rsidRDefault="00EC083A" w:rsidP="00720DB4">
      <w:pPr>
        <w:pStyle w:val="EndNoteBibliography"/>
        <w:spacing w:after="0"/>
        <w:jc w:val="both"/>
        <w:rPr>
          <w:rFonts w:ascii="Times New Roman" w:hAnsi="Times New Roman" w:cs="Times New Roman"/>
        </w:rPr>
      </w:pPr>
    </w:p>
    <w:p w14:paraId="7782101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Hawkey, P. M. (1998) 'The origins and molecular basis of antibiotic resistance', </w:t>
      </w:r>
      <w:r w:rsidRPr="00720DB4">
        <w:rPr>
          <w:rFonts w:ascii="Times New Roman" w:hAnsi="Times New Roman" w:cs="Times New Roman"/>
          <w:i/>
        </w:rPr>
        <w:t>British Medical Journal,</w:t>
      </w:r>
      <w:r w:rsidRPr="00720DB4">
        <w:rPr>
          <w:rFonts w:ascii="Times New Roman" w:hAnsi="Times New Roman" w:cs="Times New Roman"/>
        </w:rPr>
        <w:t xml:space="preserve"> 317(7159), pp. 657-660.</w:t>
      </w:r>
    </w:p>
    <w:p w14:paraId="09D28A4A" w14:textId="77777777" w:rsidR="00EC083A" w:rsidRPr="00720DB4" w:rsidRDefault="00EC083A" w:rsidP="00720DB4">
      <w:pPr>
        <w:pStyle w:val="EndNoteBibliography"/>
        <w:spacing w:after="0"/>
        <w:jc w:val="both"/>
        <w:rPr>
          <w:rFonts w:ascii="Times New Roman" w:hAnsi="Times New Roman" w:cs="Times New Roman"/>
        </w:rPr>
      </w:pPr>
    </w:p>
    <w:p w14:paraId="6D83669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Hayashi, F., Smith, K. D., Ozinsky, A., Hawn, T. R., Yi, E. C., Goodlett, D. R., Eng, J. K., Akira, S., Underhill, D. M. and Aderem, A. (2001) 'The innate immune response to bacterial flagellin is mediated by Toll-like receptor 5', </w:t>
      </w:r>
      <w:r w:rsidRPr="00720DB4">
        <w:rPr>
          <w:rFonts w:ascii="Times New Roman" w:hAnsi="Times New Roman" w:cs="Times New Roman"/>
          <w:i/>
        </w:rPr>
        <w:t>Nature,</w:t>
      </w:r>
      <w:r w:rsidRPr="00720DB4">
        <w:rPr>
          <w:rFonts w:ascii="Times New Roman" w:hAnsi="Times New Roman" w:cs="Times New Roman"/>
        </w:rPr>
        <w:t xml:space="preserve"> 410(6832), pp. 1099-1103.</w:t>
      </w:r>
    </w:p>
    <w:p w14:paraId="1932DCD8" w14:textId="77777777" w:rsidR="00EC083A" w:rsidRPr="00720DB4" w:rsidRDefault="00EC083A" w:rsidP="00720DB4">
      <w:pPr>
        <w:pStyle w:val="EndNoteBibliography"/>
        <w:spacing w:after="0"/>
        <w:jc w:val="both"/>
        <w:rPr>
          <w:rFonts w:ascii="Times New Roman" w:hAnsi="Times New Roman" w:cs="Times New Roman"/>
        </w:rPr>
      </w:pPr>
    </w:p>
    <w:p w14:paraId="1E873B8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Hecker, M., Reder, A., Fuchs, S., Pagels, M. and Engelmann, S. (2009) 'Physiological proteomics and stress/starvation responses in </w:t>
      </w:r>
      <w:r w:rsidRPr="00EC083A">
        <w:rPr>
          <w:rFonts w:ascii="Times New Roman" w:hAnsi="Times New Roman" w:cs="Times New Roman"/>
          <w:i/>
          <w:iCs/>
        </w:rPr>
        <w:t xml:space="preserve">Bacillus subtilis </w:t>
      </w:r>
      <w:r w:rsidRPr="00EC083A">
        <w:rPr>
          <w:rFonts w:ascii="Times New Roman" w:hAnsi="Times New Roman" w:cs="Times New Roman"/>
        </w:rPr>
        <w:t xml:space="preserve">and </w:t>
      </w:r>
      <w:r w:rsidRPr="00EC083A">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Research in Microbiology,</w:t>
      </w:r>
      <w:r w:rsidRPr="00720DB4">
        <w:rPr>
          <w:rFonts w:ascii="Times New Roman" w:hAnsi="Times New Roman" w:cs="Times New Roman"/>
        </w:rPr>
        <w:t xml:space="preserve"> 160(4), pp. 245-258.</w:t>
      </w:r>
    </w:p>
    <w:p w14:paraId="257F326E" w14:textId="77777777" w:rsidR="00EC083A" w:rsidRPr="00720DB4" w:rsidRDefault="00EC083A" w:rsidP="00720DB4">
      <w:pPr>
        <w:pStyle w:val="EndNoteBibliography"/>
        <w:spacing w:after="0"/>
        <w:jc w:val="both"/>
        <w:rPr>
          <w:rFonts w:ascii="Times New Roman" w:hAnsi="Times New Roman" w:cs="Times New Roman"/>
        </w:rPr>
      </w:pPr>
    </w:p>
    <w:p w14:paraId="2AE0FC2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Heidary, M., Khosravi, A. D., Khoshnood, S., Nasiri, M. J., Soleimani, S. and Goudarzi, M. (2018) 'Daptomycin', </w:t>
      </w:r>
      <w:r w:rsidRPr="00720DB4">
        <w:rPr>
          <w:rFonts w:ascii="Times New Roman" w:hAnsi="Times New Roman" w:cs="Times New Roman"/>
          <w:i/>
        </w:rPr>
        <w:t>Journal of Antimicrobial Chemotherapy,</w:t>
      </w:r>
      <w:r w:rsidRPr="00720DB4">
        <w:rPr>
          <w:rFonts w:ascii="Times New Roman" w:hAnsi="Times New Roman" w:cs="Times New Roman"/>
        </w:rPr>
        <w:t xml:space="preserve"> 73(1), pp. 1-11.</w:t>
      </w:r>
    </w:p>
    <w:p w14:paraId="7598B462" w14:textId="77777777" w:rsidR="00EC083A" w:rsidRPr="00720DB4" w:rsidRDefault="00EC083A" w:rsidP="00720DB4">
      <w:pPr>
        <w:pStyle w:val="EndNoteBibliography"/>
        <w:spacing w:after="0"/>
        <w:jc w:val="both"/>
        <w:rPr>
          <w:rFonts w:ascii="Times New Roman" w:hAnsi="Times New Roman" w:cs="Times New Roman"/>
        </w:rPr>
      </w:pPr>
    </w:p>
    <w:p w14:paraId="73FA8E6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Herbomel, P., Thisse, B. and Thisse, C. (1999) 'Ontogeny and behaviour of early macrophages in the zebrafish embryo', </w:t>
      </w:r>
      <w:r w:rsidRPr="00720DB4">
        <w:rPr>
          <w:rFonts w:ascii="Times New Roman" w:hAnsi="Times New Roman" w:cs="Times New Roman"/>
          <w:i/>
        </w:rPr>
        <w:t>Development,</w:t>
      </w:r>
      <w:r w:rsidRPr="00720DB4">
        <w:rPr>
          <w:rFonts w:ascii="Times New Roman" w:hAnsi="Times New Roman" w:cs="Times New Roman"/>
        </w:rPr>
        <w:t xml:space="preserve"> 126(17), pp. 3735-3745.</w:t>
      </w:r>
    </w:p>
    <w:p w14:paraId="6E035752" w14:textId="77777777" w:rsidR="00EC083A" w:rsidRPr="00720DB4" w:rsidRDefault="00EC083A" w:rsidP="00720DB4">
      <w:pPr>
        <w:pStyle w:val="EndNoteBibliography"/>
        <w:spacing w:after="0"/>
        <w:jc w:val="both"/>
        <w:rPr>
          <w:rFonts w:ascii="Times New Roman" w:hAnsi="Times New Roman" w:cs="Times New Roman"/>
        </w:rPr>
      </w:pPr>
    </w:p>
    <w:p w14:paraId="4473D56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Herbomel, P., Thisse, B. and Thisse, C. (2001) 'Zebrafish early macrophages colonize cephalic mesenchyme and developing brain, retina, and epidermis through, a M-CSF receptor-dependent invasive process', </w:t>
      </w:r>
      <w:r w:rsidRPr="00720DB4">
        <w:rPr>
          <w:rFonts w:ascii="Times New Roman" w:hAnsi="Times New Roman" w:cs="Times New Roman"/>
          <w:i/>
        </w:rPr>
        <w:t>Developmental Biology,</w:t>
      </w:r>
      <w:r w:rsidRPr="00720DB4">
        <w:rPr>
          <w:rFonts w:ascii="Times New Roman" w:hAnsi="Times New Roman" w:cs="Times New Roman"/>
        </w:rPr>
        <w:t xml:space="preserve"> 238(2), pp. 274-288.</w:t>
      </w:r>
    </w:p>
    <w:p w14:paraId="74D378DD" w14:textId="77777777" w:rsidR="00EC083A" w:rsidRPr="00720DB4" w:rsidRDefault="00EC083A" w:rsidP="00720DB4">
      <w:pPr>
        <w:pStyle w:val="EndNoteBibliography"/>
        <w:spacing w:after="0"/>
        <w:jc w:val="both"/>
        <w:rPr>
          <w:rFonts w:ascii="Times New Roman" w:hAnsi="Times New Roman" w:cs="Times New Roman"/>
        </w:rPr>
      </w:pPr>
    </w:p>
    <w:p w14:paraId="3246A9FE" w14:textId="5BF44239" w:rsidR="00EC083A"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Hermann, A. C., Millard, P. J., Blake, S. L. and Kim, C. H. (2004) 'Development of a respiratory burst assay using zebrafish kidneys and embryos', </w:t>
      </w:r>
      <w:r w:rsidRPr="00720DB4">
        <w:rPr>
          <w:rFonts w:ascii="Times New Roman" w:hAnsi="Times New Roman" w:cs="Times New Roman"/>
          <w:i/>
        </w:rPr>
        <w:t>Journal of Immunological Methods,</w:t>
      </w:r>
      <w:r w:rsidRPr="00720DB4">
        <w:rPr>
          <w:rFonts w:ascii="Times New Roman" w:hAnsi="Times New Roman" w:cs="Times New Roman"/>
        </w:rPr>
        <w:t xml:space="preserve"> 292(1-2), pp. 119-129.</w:t>
      </w:r>
    </w:p>
    <w:p w14:paraId="6762EE72" w14:textId="77777777" w:rsidR="00EC083A" w:rsidRPr="00720DB4" w:rsidRDefault="00EC083A" w:rsidP="00720DB4">
      <w:pPr>
        <w:pStyle w:val="EndNoteBibliography"/>
        <w:spacing w:after="0"/>
        <w:jc w:val="both"/>
        <w:rPr>
          <w:rFonts w:ascii="Times New Roman" w:hAnsi="Times New Roman" w:cs="Times New Roman"/>
        </w:rPr>
      </w:pPr>
    </w:p>
    <w:p w14:paraId="111EC01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Himeno, H., Hanawa-Suetsugu, K., Kimura, T., Takagi, K., Sugiyama, W., Shirata, S., Mikami, T., Odagiri, F., Osanai, Y., Watanabe, D., Goto, S., Kalachnyuk, L., Ushida, C. and Muto, A. (2004) 'A novel GTPase activated by the small subunit of ribosome', </w:t>
      </w:r>
      <w:r w:rsidRPr="00720DB4">
        <w:rPr>
          <w:rFonts w:ascii="Times New Roman" w:hAnsi="Times New Roman" w:cs="Times New Roman"/>
          <w:i/>
        </w:rPr>
        <w:t>Nucleic Acids Research,</w:t>
      </w:r>
      <w:r w:rsidRPr="00720DB4">
        <w:rPr>
          <w:rFonts w:ascii="Times New Roman" w:hAnsi="Times New Roman" w:cs="Times New Roman"/>
        </w:rPr>
        <w:t xml:space="preserve"> 32(17), pp. 5303-5309.</w:t>
      </w:r>
    </w:p>
    <w:p w14:paraId="34ACDCE8" w14:textId="77777777" w:rsidR="00EC083A" w:rsidRPr="00720DB4" w:rsidRDefault="00EC083A" w:rsidP="00720DB4">
      <w:pPr>
        <w:pStyle w:val="EndNoteBibliography"/>
        <w:spacing w:after="0"/>
        <w:jc w:val="both"/>
        <w:rPr>
          <w:rFonts w:ascii="Times New Roman" w:hAnsi="Times New Roman" w:cs="Times New Roman"/>
        </w:rPr>
      </w:pPr>
    </w:p>
    <w:p w14:paraId="6DA95C4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Hirsch, J. G. and Cohn, Z. A. (1960) 'DEGRANULATION OF POLYMORPHONUCLEAR LEUCOCYTES FOLLOWING PHAGOCYTOSIS OF MICROORGANISMS', </w:t>
      </w:r>
      <w:r w:rsidRPr="00720DB4">
        <w:rPr>
          <w:rFonts w:ascii="Times New Roman" w:hAnsi="Times New Roman" w:cs="Times New Roman"/>
          <w:i/>
        </w:rPr>
        <w:t>Journal of Experimental Medicine,</w:t>
      </w:r>
      <w:r w:rsidRPr="00720DB4">
        <w:rPr>
          <w:rFonts w:ascii="Times New Roman" w:hAnsi="Times New Roman" w:cs="Times New Roman"/>
        </w:rPr>
        <w:t xml:space="preserve"> 112(6), pp. 1005-&amp;.</w:t>
      </w:r>
    </w:p>
    <w:p w14:paraId="2B163783" w14:textId="77777777" w:rsidR="00EC083A" w:rsidRPr="00720DB4" w:rsidRDefault="00EC083A" w:rsidP="00720DB4">
      <w:pPr>
        <w:pStyle w:val="EndNoteBibliography"/>
        <w:spacing w:after="0"/>
        <w:jc w:val="both"/>
        <w:rPr>
          <w:rFonts w:ascii="Times New Roman" w:hAnsi="Times New Roman" w:cs="Times New Roman"/>
        </w:rPr>
      </w:pPr>
    </w:p>
    <w:p w14:paraId="66C5AC4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Hirschho, R. and Weissman, G. (1965) 'ISOLATION AND PROPERTIES OF HUMAN LEUKOCYTE LYSOSOMES IN VITRO', </w:t>
      </w:r>
      <w:r w:rsidRPr="00720DB4">
        <w:rPr>
          <w:rFonts w:ascii="Times New Roman" w:hAnsi="Times New Roman" w:cs="Times New Roman"/>
          <w:i/>
        </w:rPr>
        <w:t>Proceedings of the Society for Experimental Biology and Medicine,</w:t>
      </w:r>
      <w:r w:rsidRPr="00720DB4">
        <w:rPr>
          <w:rFonts w:ascii="Times New Roman" w:hAnsi="Times New Roman" w:cs="Times New Roman"/>
        </w:rPr>
        <w:t xml:space="preserve"> 119(1), pp. 36-+.</w:t>
      </w:r>
    </w:p>
    <w:p w14:paraId="0B1B9871" w14:textId="77777777" w:rsidR="00EC083A" w:rsidRPr="00720DB4" w:rsidRDefault="00EC083A" w:rsidP="00720DB4">
      <w:pPr>
        <w:pStyle w:val="EndNoteBibliography"/>
        <w:spacing w:after="0"/>
        <w:jc w:val="both"/>
        <w:rPr>
          <w:rFonts w:ascii="Times New Roman" w:hAnsi="Times New Roman" w:cs="Times New Roman"/>
        </w:rPr>
      </w:pPr>
    </w:p>
    <w:p w14:paraId="11D4028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Hobbs, J. K. and Boraston, A. B. (2019) '(p)ppGpp and the Stringent Response: An Emerging Threat to Antibiotic Therapy', </w:t>
      </w:r>
      <w:r w:rsidRPr="00720DB4">
        <w:rPr>
          <w:rFonts w:ascii="Times New Roman" w:hAnsi="Times New Roman" w:cs="Times New Roman"/>
          <w:i/>
        </w:rPr>
        <w:t>Acs Infectious Diseases,</w:t>
      </w:r>
      <w:r w:rsidRPr="00720DB4">
        <w:rPr>
          <w:rFonts w:ascii="Times New Roman" w:hAnsi="Times New Roman" w:cs="Times New Roman"/>
        </w:rPr>
        <w:t xml:space="preserve"> 5(9), pp. 1505-1517.</w:t>
      </w:r>
    </w:p>
    <w:p w14:paraId="58A877AC" w14:textId="77777777" w:rsidR="00EC083A" w:rsidRPr="00720DB4" w:rsidRDefault="00EC083A" w:rsidP="00720DB4">
      <w:pPr>
        <w:pStyle w:val="EndNoteBibliography"/>
        <w:spacing w:after="0"/>
        <w:jc w:val="both"/>
        <w:rPr>
          <w:rFonts w:ascii="Times New Roman" w:hAnsi="Times New Roman" w:cs="Times New Roman"/>
        </w:rPr>
      </w:pPr>
    </w:p>
    <w:p w14:paraId="5368722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Hobbs, J. K., Miller, K., O'Neill, A. J. and Chopra, I. (2008) 'Consequences of daptomycin-mediated membrane damage in </w:t>
      </w:r>
      <w:r w:rsidRPr="00EC083A">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Antimicrobial Chemotherapy,</w:t>
      </w:r>
      <w:r w:rsidRPr="00720DB4">
        <w:rPr>
          <w:rFonts w:ascii="Times New Roman" w:hAnsi="Times New Roman" w:cs="Times New Roman"/>
        </w:rPr>
        <w:t xml:space="preserve"> 62(5), pp. 1003-1008.</w:t>
      </w:r>
    </w:p>
    <w:p w14:paraId="7D268119" w14:textId="77777777" w:rsidR="00EC083A" w:rsidRPr="00720DB4" w:rsidRDefault="00EC083A" w:rsidP="00720DB4">
      <w:pPr>
        <w:pStyle w:val="EndNoteBibliography"/>
        <w:spacing w:after="0"/>
        <w:jc w:val="both"/>
        <w:rPr>
          <w:rFonts w:ascii="Times New Roman" w:hAnsi="Times New Roman" w:cs="Times New Roman"/>
        </w:rPr>
      </w:pPr>
    </w:p>
    <w:p w14:paraId="08B34AB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Hochstadt-Ozer, J. and Cashel, M. (1972) 'REGULATION OF PURINE UTILIZATION IN BACTERIA .5. INHIBITION OF PURINE PHOSPHORIBOSYLTRANSFERASE ACTIVITIES AND PURINE UPTAKE IN ISOLATED MEMBRANE VESICLES BY GUANOSINE TETRAPHOSPHATE', </w:t>
      </w:r>
      <w:r w:rsidRPr="00720DB4">
        <w:rPr>
          <w:rFonts w:ascii="Times New Roman" w:hAnsi="Times New Roman" w:cs="Times New Roman"/>
          <w:i/>
        </w:rPr>
        <w:t>Journal of Biological Chemistry,</w:t>
      </w:r>
      <w:r w:rsidRPr="00720DB4">
        <w:rPr>
          <w:rFonts w:ascii="Times New Roman" w:hAnsi="Times New Roman" w:cs="Times New Roman"/>
        </w:rPr>
        <w:t xml:space="preserve"> 247(21), pp. 7067-+.</w:t>
      </w:r>
    </w:p>
    <w:p w14:paraId="5E01F731" w14:textId="77777777" w:rsidR="00EC083A" w:rsidRPr="00720DB4" w:rsidRDefault="00EC083A" w:rsidP="00720DB4">
      <w:pPr>
        <w:pStyle w:val="EndNoteBibliography"/>
        <w:spacing w:after="0"/>
        <w:jc w:val="both"/>
        <w:rPr>
          <w:rFonts w:ascii="Times New Roman" w:hAnsi="Times New Roman" w:cs="Times New Roman"/>
        </w:rPr>
      </w:pPr>
    </w:p>
    <w:p w14:paraId="2E6E791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Hoebe, K., Georgel, P., Rutschmann, S., Du, X., Mudd, S., Crozat, K., Sovath, S., Shamel, L., Hartung, T., Zahringer, U. and Beutler, B. (2005) 'CD36 is a sensor of diacylglycerides', </w:t>
      </w:r>
      <w:r w:rsidRPr="00720DB4">
        <w:rPr>
          <w:rFonts w:ascii="Times New Roman" w:hAnsi="Times New Roman" w:cs="Times New Roman"/>
          <w:i/>
        </w:rPr>
        <w:t>Nature,</w:t>
      </w:r>
      <w:r w:rsidRPr="00720DB4">
        <w:rPr>
          <w:rFonts w:ascii="Times New Roman" w:hAnsi="Times New Roman" w:cs="Times New Roman"/>
        </w:rPr>
        <w:t xml:space="preserve"> 433(7025), pp. 523-527.</w:t>
      </w:r>
    </w:p>
    <w:p w14:paraId="7D5C3919" w14:textId="77777777" w:rsidR="00EC083A" w:rsidRPr="00720DB4" w:rsidRDefault="00EC083A" w:rsidP="00720DB4">
      <w:pPr>
        <w:pStyle w:val="EndNoteBibliography"/>
        <w:spacing w:after="0"/>
        <w:jc w:val="both"/>
        <w:rPr>
          <w:rFonts w:ascii="Times New Roman" w:hAnsi="Times New Roman" w:cs="Times New Roman"/>
        </w:rPr>
      </w:pPr>
    </w:p>
    <w:p w14:paraId="51F3434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Hoepelman, I. M., Bezemer, W. A., Vandenbrouckegrauls, C., Marx, J. J. M. and Verhoef, J. (1990) 'BACTERIAL IRON ENHANCES OXYGEN RADICAL-MEDIATED KILLING OF STAPHYLOCOCCUS-AUREUS BY PHAGOCYTES', </w:t>
      </w:r>
      <w:r w:rsidRPr="00720DB4">
        <w:rPr>
          <w:rFonts w:ascii="Times New Roman" w:hAnsi="Times New Roman" w:cs="Times New Roman"/>
          <w:i/>
        </w:rPr>
        <w:t>Infection and Immunity,</w:t>
      </w:r>
      <w:r w:rsidRPr="00720DB4">
        <w:rPr>
          <w:rFonts w:ascii="Times New Roman" w:hAnsi="Times New Roman" w:cs="Times New Roman"/>
        </w:rPr>
        <w:t xml:space="preserve"> 58(1), pp. 26-31.</w:t>
      </w:r>
    </w:p>
    <w:p w14:paraId="7849B793" w14:textId="77777777" w:rsidR="00EC083A" w:rsidRPr="00720DB4" w:rsidRDefault="00EC083A" w:rsidP="00720DB4">
      <w:pPr>
        <w:pStyle w:val="EndNoteBibliography"/>
        <w:spacing w:after="0"/>
        <w:jc w:val="both"/>
        <w:rPr>
          <w:rFonts w:ascii="Times New Roman" w:hAnsi="Times New Roman" w:cs="Times New Roman"/>
        </w:rPr>
      </w:pPr>
    </w:p>
    <w:p w14:paraId="7770412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Hogg, T., Mechold, U., Malke, H., Cashel, M. and Hilgenfeld, R. (2004) 'Conformational antagonism between opposing active sites in a bifunctional Re1A/SpoT homolog modulates (p)ppGpp metabolism during the stringent response', </w:t>
      </w:r>
      <w:r w:rsidRPr="00720DB4">
        <w:rPr>
          <w:rFonts w:ascii="Times New Roman" w:hAnsi="Times New Roman" w:cs="Times New Roman"/>
          <w:i/>
        </w:rPr>
        <w:t>Cell,</w:t>
      </w:r>
      <w:r w:rsidRPr="00720DB4">
        <w:rPr>
          <w:rFonts w:ascii="Times New Roman" w:hAnsi="Times New Roman" w:cs="Times New Roman"/>
        </w:rPr>
        <w:t xml:space="preserve"> 117(1), pp. 57-68.</w:t>
      </w:r>
    </w:p>
    <w:p w14:paraId="1005F017" w14:textId="77777777" w:rsidR="00EC083A" w:rsidRPr="00720DB4" w:rsidRDefault="00EC083A" w:rsidP="00720DB4">
      <w:pPr>
        <w:pStyle w:val="EndNoteBibliography"/>
        <w:spacing w:after="0"/>
        <w:jc w:val="both"/>
        <w:rPr>
          <w:rFonts w:ascii="Times New Roman" w:hAnsi="Times New Roman" w:cs="Times New Roman"/>
        </w:rPr>
      </w:pPr>
    </w:p>
    <w:p w14:paraId="198AD76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Holley, C., Gangaiah, D., Li, W., Fortney, K. R., Janowicz, D. M., Ellinger, S., Zwickl, B., Katz, B. P. and Spinola, S. M. (2014) 'A (p)ppGpp-Null Mutant of </w:t>
      </w:r>
      <w:r w:rsidRPr="00EC083A">
        <w:rPr>
          <w:rFonts w:ascii="Times New Roman" w:hAnsi="Times New Roman" w:cs="Times New Roman"/>
          <w:i/>
          <w:iCs/>
        </w:rPr>
        <w:t xml:space="preserve">Haemophilus ducreyi </w:t>
      </w:r>
      <w:r w:rsidRPr="00720DB4">
        <w:rPr>
          <w:rFonts w:ascii="Times New Roman" w:hAnsi="Times New Roman" w:cs="Times New Roman"/>
        </w:rPr>
        <w:t xml:space="preserve">Is Partially Attenuated in Humans Due to Multiple Conflicting Phenotypes', </w:t>
      </w:r>
      <w:r w:rsidRPr="00720DB4">
        <w:rPr>
          <w:rFonts w:ascii="Times New Roman" w:hAnsi="Times New Roman" w:cs="Times New Roman"/>
          <w:i/>
        </w:rPr>
        <w:t>Infection and Immunity,</w:t>
      </w:r>
      <w:r w:rsidRPr="00720DB4">
        <w:rPr>
          <w:rFonts w:ascii="Times New Roman" w:hAnsi="Times New Roman" w:cs="Times New Roman"/>
        </w:rPr>
        <w:t xml:space="preserve"> 82(8), pp. 3492-3502.</w:t>
      </w:r>
    </w:p>
    <w:p w14:paraId="5FF694CB" w14:textId="77777777" w:rsidR="00EC083A" w:rsidRPr="00720DB4" w:rsidRDefault="00EC083A" w:rsidP="00720DB4">
      <w:pPr>
        <w:pStyle w:val="EndNoteBibliography"/>
        <w:spacing w:after="0"/>
        <w:jc w:val="both"/>
        <w:rPr>
          <w:rFonts w:ascii="Times New Roman" w:hAnsi="Times New Roman" w:cs="Times New Roman"/>
        </w:rPr>
      </w:pPr>
    </w:p>
    <w:p w14:paraId="2D514DA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Honsa, E. S., Cooper, V. S., Mhaissen, M. N., Frank, M., Shaker, J., Iverson, A., Rubnitz, J., Hayden, R. T., Lee, R. E., Rock, C. O., Tuomanen, E. I., Wolf, J. and Rosch, J. W. (2017) 'RelA Mutant </w:t>
      </w:r>
      <w:r w:rsidRPr="00EC083A">
        <w:rPr>
          <w:rFonts w:ascii="Times New Roman" w:hAnsi="Times New Roman" w:cs="Times New Roman"/>
          <w:i/>
          <w:iCs/>
        </w:rPr>
        <w:t>Enterococcus faecium</w:t>
      </w:r>
      <w:r w:rsidRPr="00720DB4">
        <w:rPr>
          <w:rFonts w:ascii="Times New Roman" w:hAnsi="Times New Roman" w:cs="Times New Roman"/>
        </w:rPr>
        <w:t xml:space="preserve"> with Multiantibiotic Tolerance Arising in an Immunocompromised Host', </w:t>
      </w:r>
      <w:r w:rsidRPr="00720DB4">
        <w:rPr>
          <w:rFonts w:ascii="Times New Roman" w:hAnsi="Times New Roman" w:cs="Times New Roman"/>
          <w:i/>
        </w:rPr>
        <w:t>Mbio,</w:t>
      </w:r>
      <w:r w:rsidRPr="00720DB4">
        <w:rPr>
          <w:rFonts w:ascii="Times New Roman" w:hAnsi="Times New Roman" w:cs="Times New Roman"/>
        </w:rPr>
        <w:t xml:space="preserve"> 8(1).</w:t>
      </w:r>
    </w:p>
    <w:p w14:paraId="3A1C4172" w14:textId="77777777" w:rsidR="00EC083A" w:rsidRPr="00720DB4" w:rsidRDefault="00EC083A" w:rsidP="00720DB4">
      <w:pPr>
        <w:pStyle w:val="EndNoteBibliography"/>
        <w:spacing w:after="0"/>
        <w:jc w:val="both"/>
        <w:rPr>
          <w:rFonts w:ascii="Times New Roman" w:hAnsi="Times New Roman" w:cs="Times New Roman"/>
        </w:rPr>
      </w:pPr>
    </w:p>
    <w:p w14:paraId="6286F24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Horn, J., Stelzner, K., Rudel, T. and Fraunholz, M. (2018) 'Inside job: </w:t>
      </w:r>
      <w:r w:rsidRPr="00EC083A">
        <w:rPr>
          <w:rFonts w:ascii="Times New Roman" w:hAnsi="Times New Roman" w:cs="Times New Roman"/>
          <w:i/>
          <w:iCs/>
        </w:rPr>
        <w:t>Staphylococcus aureus</w:t>
      </w:r>
      <w:r w:rsidRPr="00720DB4">
        <w:rPr>
          <w:rFonts w:ascii="Times New Roman" w:hAnsi="Times New Roman" w:cs="Times New Roman"/>
        </w:rPr>
        <w:t xml:space="preserve"> host-pathogen interactions', </w:t>
      </w:r>
      <w:r w:rsidRPr="00720DB4">
        <w:rPr>
          <w:rFonts w:ascii="Times New Roman" w:hAnsi="Times New Roman" w:cs="Times New Roman"/>
          <w:i/>
        </w:rPr>
        <w:t>International Journal of Medical Microbiology,</w:t>
      </w:r>
      <w:r w:rsidRPr="00720DB4">
        <w:rPr>
          <w:rFonts w:ascii="Times New Roman" w:hAnsi="Times New Roman" w:cs="Times New Roman"/>
        </w:rPr>
        <w:t xml:space="preserve"> 308(6), pp. 607-624.</w:t>
      </w:r>
    </w:p>
    <w:p w14:paraId="5DDF3659" w14:textId="77777777" w:rsidR="00EC083A" w:rsidRPr="00720DB4" w:rsidRDefault="00EC083A" w:rsidP="00720DB4">
      <w:pPr>
        <w:pStyle w:val="EndNoteBibliography"/>
        <w:spacing w:after="0"/>
        <w:jc w:val="both"/>
        <w:rPr>
          <w:rFonts w:ascii="Times New Roman" w:hAnsi="Times New Roman" w:cs="Times New Roman"/>
        </w:rPr>
      </w:pPr>
    </w:p>
    <w:p w14:paraId="4C818156" w14:textId="1F4B9729" w:rsidR="00EC083A"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Horner, C., Utsi, L., Coole, L. and Denton, M. (2017) 'Epidemiology and microbiological characterization of clinical isolates of </w:t>
      </w:r>
      <w:r w:rsidRPr="00EC083A">
        <w:rPr>
          <w:rFonts w:ascii="Times New Roman" w:hAnsi="Times New Roman" w:cs="Times New Roman"/>
          <w:i/>
          <w:iCs/>
        </w:rPr>
        <w:t>Staphylococcus aureus</w:t>
      </w:r>
      <w:r w:rsidRPr="00720DB4">
        <w:rPr>
          <w:rFonts w:ascii="Times New Roman" w:hAnsi="Times New Roman" w:cs="Times New Roman"/>
        </w:rPr>
        <w:t xml:space="preserve"> in a single healthcare region of the UK, 2015', </w:t>
      </w:r>
      <w:r w:rsidRPr="00720DB4">
        <w:rPr>
          <w:rFonts w:ascii="Times New Roman" w:hAnsi="Times New Roman" w:cs="Times New Roman"/>
          <w:i/>
        </w:rPr>
        <w:t>Epidemiology and Infection,</w:t>
      </w:r>
      <w:r w:rsidRPr="00720DB4">
        <w:rPr>
          <w:rFonts w:ascii="Times New Roman" w:hAnsi="Times New Roman" w:cs="Times New Roman"/>
        </w:rPr>
        <w:t xml:space="preserve"> 145(2), pp. 386-396.</w:t>
      </w:r>
    </w:p>
    <w:p w14:paraId="4AE2E6A0" w14:textId="77777777" w:rsidR="00EC083A" w:rsidRPr="00720DB4" w:rsidRDefault="00EC083A" w:rsidP="00720DB4">
      <w:pPr>
        <w:pStyle w:val="EndNoteBibliography"/>
        <w:spacing w:after="0"/>
        <w:jc w:val="both"/>
        <w:rPr>
          <w:rFonts w:ascii="Times New Roman" w:hAnsi="Times New Roman" w:cs="Times New Roman"/>
        </w:rPr>
      </w:pPr>
    </w:p>
    <w:p w14:paraId="375A259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Horvatek, P., Salzer, A., Hanna, A. M. F., Gratani, F. L., Keinhoerster, D., Korn, N., Borisova, M., Mayer, C., Rejman, D., Maeder, U. and Wolz, C. (2020) 'Inducible expression of (pp)pGpp synthetases in </w:t>
      </w:r>
      <w:r w:rsidRPr="00EC083A">
        <w:rPr>
          <w:rFonts w:ascii="Times New Roman" w:hAnsi="Times New Roman" w:cs="Times New Roman"/>
          <w:i/>
          <w:iCs/>
        </w:rPr>
        <w:t>Staphylococcus aureus</w:t>
      </w:r>
      <w:r w:rsidRPr="00720DB4">
        <w:rPr>
          <w:rFonts w:ascii="Times New Roman" w:hAnsi="Times New Roman" w:cs="Times New Roman"/>
        </w:rPr>
        <w:t xml:space="preserve"> is associated with activation of stress response genes', </w:t>
      </w:r>
      <w:r w:rsidRPr="00720DB4">
        <w:rPr>
          <w:rFonts w:ascii="Times New Roman" w:hAnsi="Times New Roman" w:cs="Times New Roman"/>
          <w:i/>
        </w:rPr>
        <w:t>Plos Genetics,</w:t>
      </w:r>
      <w:r w:rsidRPr="00720DB4">
        <w:rPr>
          <w:rFonts w:ascii="Times New Roman" w:hAnsi="Times New Roman" w:cs="Times New Roman"/>
        </w:rPr>
        <w:t xml:space="preserve"> 16(12).</w:t>
      </w:r>
    </w:p>
    <w:p w14:paraId="5AAABD73" w14:textId="77777777" w:rsidR="00EC083A" w:rsidRPr="00720DB4" w:rsidRDefault="00EC083A" w:rsidP="00720DB4">
      <w:pPr>
        <w:pStyle w:val="EndNoteBibliography"/>
        <w:spacing w:after="0"/>
        <w:jc w:val="both"/>
        <w:rPr>
          <w:rFonts w:ascii="Times New Roman" w:hAnsi="Times New Roman" w:cs="Times New Roman"/>
        </w:rPr>
      </w:pPr>
    </w:p>
    <w:p w14:paraId="124194B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Howe, K. and Clark, M. D. and Torroja, C. F. and Torrance, J. and Berthelot, C. and Muffato, M. and Collins, J. E. and Humphray, S. and McLaren, K. and Matthews, L. and McLaren, S. and Sealy, I. and Caccamo, M. and Churcher, C. and Scott, C. and Barrett, J. C. and Koch, R. and Rauch, G. J. and White, S. and Chow, W. and Kilian, B. and Quintais, L. T. and Guerra-Assuncao, J. A. and Zhou, Y. and Gu, Y. and Yen, J. and Vogel, J. H. and Eyre, T. and Redmond, S. and Banerjee, R. and Chi, J. X. and Fu, B. Y. and Langley, E. and Maguire, S. F. and Laird, G. K. and Lloyd, D. and Kenyon, E. and Donaldson, S. and Sehra, H. and Almeida-King, J. and Loveland, J. and Trevanion, S. and Jones, M. and Quail, M. and Willey, D. and Hunt, A. and Burton, J. and Sims, S. and McLay, K. and Plumb, B. and Davis, J. and Clee, C. and Oliver, K. and Clark, R. and Riddle, C. and Eliott, D. and Threadgold, G. and Harden, G. and Ware, D. and Mortimer, B. and Kerry, G. and Heath, P. and Phillimore, B. and Tracey, A. and Corby, N. and Dunn, M. and Johnson, C. and Wood, J. and Clark, S. and Pelan, S. and Griffiths, G. and Smith, M. and Glithero, R. and Howden, P. and Barker, N. and Stevens, C. and Harley, J. and Holt, K. and Panagiotidis, G. and Lovell, J. and Beasley, H. and Henderson, C. and Gordon, D. and Auger, K. and Wright, D. and Collins, J. and Raisen, C. and Dyer, L. and Leung, K. and Robertson, L. and Ambridge, K. and Leongamornlert, D. and McGuire, S. and Gilderthorp, R. and Griffiths, C. and Manthravadi, D. and Nichol, S. and Barker, G. and Whitehead, S. and Kay, M. and Brown, J. and Murnane, C. and Gray, E. and Humphries, M. and Sycamore, N. and Barker, D. and Saunders, D. and Wallis, J. and Babbage, A. and Hammond, S. and Mashreghi-Mohammadi, M. and Barr, L. and Martin, S. and Wray, P. and Ellington, A. and Matthews, N. and Ellwood, M. and Woodmansey, R. and Clark, G. and Cooper, J. and Tromans, A. and Grafham, D. and Skuce, C. and Pandian, R. and Andrews, R. and Harrison, E. and Kimberley, A. and Garnett, J. and Fosker, N. and Hall, R. and Garner, P. and Kelly, D. and Bird, C. and Palmer, S. and Gehring, I. and Berger, A. and Dooley, C. M. and Ersan-Urun, Z. and Eser, C. and Geiger, H. and Geisler, M. and Karotki, L. and Kirn, A. and Konantz, J. and Konantz, M. and Oberlander, M. and Rudolph-Geiger, S. and Teucke, M. and Osoegawa, K. and Zhu, B. L. and Rapp, A. and Widaa, S. and Langford, C. and Yang, F. T. and Carter, N. P. and Harrow, J. and Ning, Z. M. and Herrero, J. and Searle, S. M. J. and Enright, A. and Geisler, R. and Plasterk, R. H. A. and Lee, C. and Westerfield, M. and de Jong, P. J. and Zon, L. I. and Postlethwait, J. H. and Nusslein-Volhard, C. and Hubbard, T. J. P. and Roest Crollius, H. and Rogers, J. and Stemple, D. L. (2013) 'The zebrafish reference genome sequence and its relationship to the human genome', </w:t>
      </w:r>
      <w:r w:rsidRPr="00720DB4">
        <w:rPr>
          <w:rFonts w:ascii="Times New Roman" w:hAnsi="Times New Roman" w:cs="Times New Roman"/>
          <w:i/>
        </w:rPr>
        <w:t>Nature,</w:t>
      </w:r>
      <w:r w:rsidRPr="00720DB4">
        <w:rPr>
          <w:rFonts w:ascii="Times New Roman" w:hAnsi="Times New Roman" w:cs="Times New Roman"/>
        </w:rPr>
        <w:t xml:space="preserve"> 496(7446), pp. 498-503.</w:t>
      </w:r>
    </w:p>
    <w:p w14:paraId="3025DE46" w14:textId="77777777" w:rsidR="00EC083A" w:rsidRPr="00720DB4" w:rsidRDefault="00EC083A" w:rsidP="00720DB4">
      <w:pPr>
        <w:pStyle w:val="EndNoteBibliography"/>
        <w:spacing w:after="0"/>
        <w:jc w:val="both"/>
        <w:rPr>
          <w:rFonts w:ascii="Times New Roman" w:hAnsi="Times New Roman" w:cs="Times New Roman"/>
        </w:rPr>
      </w:pPr>
    </w:p>
    <w:p w14:paraId="0B0AD65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Huntzinger, E., Boisset, S., Saveanu, C., Benito, Y., Geissmann, T., Namane, A., Lina, G., Etienne, J., Ehresmann, B., Ehresmann, C., Jacquier, A., Vandenesch, F. O. and Romby, P. (2005) '</w:t>
      </w:r>
      <w:r w:rsidRPr="00EC083A">
        <w:rPr>
          <w:rFonts w:ascii="Times New Roman" w:hAnsi="Times New Roman" w:cs="Times New Roman"/>
          <w:i/>
          <w:iCs/>
        </w:rPr>
        <w:t>Staphylococcus aureus</w:t>
      </w:r>
      <w:r w:rsidRPr="00720DB4">
        <w:rPr>
          <w:rFonts w:ascii="Times New Roman" w:hAnsi="Times New Roman" w:cs="Times New Roman"/>
        </w:rPr>
        <w:t xml:space="preserve"> RNAIII and the endoribonuclease III coordinately regulate </w:t>
      </w:r>
      <w:r w:rsidRPr="00EC083A">
        <w:rPr>
          <w:rFonts w:ascii="Times New Roman" w:hAnsi="Times New Roman" w:cs="Times New Roman"/>
          <w:i/>
          <w:iCs/>
        </w:rPr>
        <w:t>spa</w:t>
      </w:r>
      <w:r w:rsidRPr="00720DB4">
        <w:rPr>
          <w:rFonts w:ascii="Times New Roman" w:hAnsi="Times New Roman" w:cs="Times New Roman"/>
        </w:rPr>
        <w:t xml:space="preserve"> gene expression', </w:t>
      </w:r>
      <w:r w:rsidRPr="00720DB4">
        <w:rPr>
          <w:rFonts w:ascii="Times New Roman" w:hAnsi="Times New Roman" w:cs="Times New Roman"/>
          <w:i/>
        </w:rPr>
        <w:t>Embo Journal,</w:t>
      </w:r>
      <w:r w:rsidRPr="00720DB4">
        <w:rPr>
          <w:rFonts w:ascii="Times New Roman" w:hAnsi="Times New Roman" w:cs="Times New Roman"/>
        </w:rPr>
        <w:t xml:space="preserve"> 24(4), pp. 824-835.</w:t>
      </w:r>
    </w:p>
    <w:p w14:paraId="4CBE6184" w14:textId="77777777" w:rsidR="00EC083A" w:rsidRPr="00720DB4" w:rsidRDefault="00EC083A" w:rsidP="00720DB4">
      <w:pPr>
        <w:pStyle w:val="EndNoteBibliography"/>
        <w:spacing w:after="0"/>
        <w:jc w:val="both"/>
        <w:rPr>
          <w:rFonts w:ascii="Times New Roman" w:hAnsi="Times New Roman" w:cs="Times New Roman"/>
        </w:rPr>
      </w:pPr>
    </w:p>
    <w:p w14:paraId="58156D5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Huynh, K. K., Eskelinen, E. L., Scott, C. C., Malevanets, A., Saftig, P. and Grinstein, S. (2007) 'LAMP proteins are required for fusion of lysosomes with phagosomes', </w:t>
      </w:r>
      <w:r w:rsidRPr="00720DB4">
        <w:rPr>
          <w:rFonts w:ascii="Times New Roman" w:hAnsi="Times New Roman" w:cs="Times New Roman"/>
          <w:i/>
        </w:rPr>
        <w:t>Embo Journal,</w:t>
      </w:r>
      <w:r w:rsidRPr="00720DB4">
        <w:rPr>
          <w:rFonts w:ascii="Times New Roman" w:hAnsi="Times New Roman" w:cs="Times New Roman"/>
        </w:rPr>
        <w:t xml:space="preserve"> 26(2), pp. 313-324.</w:t>
      </w:r>
    </w:p>
    <w:p w14:paraId="7C8CDD35" w14:textId="77777777" w:rsidR="00EC083A" w:rsidRPr="00720DB4" w:rsidRDefault="00EC083A" w:rsidP="00720DB4">
      <w:pPr>
        <w:pStyle w:val="EndNoteBibliography"/>
        <w:spacing w:after="0"/>
        <w:jc w:val="both"/>
        <w:rPr>
          <w:rFonts w:ascii="Times New Roman" w:hAnsi="Times New Roman" w:cs="Times New Roman"/>
        </w:rPr>
      </w:pPr>
    </w:p>
    <w:p w14:paraId="4A1B8C0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Hyslop, P. A., Hinshaw, D. B., Scraufstatter, I. U., Cochrane, C. G., Kunz, S. and Vosbeck, K. (1995) 'HYDROGEN-PEROXIDE AS A POTENT BACTERIOSTATIC ANTIBIOTIC - IMPLICATIONS FOR HOST-DEFENSE', </w:t>
      </w:r>
      <w:r w:rsidRPr="00720DB4">
        <w:rPr>
          <w:rFonts w:ascii="Times New Roman" w:hAnsi="Times New Roman" w:cs="Times New Roman"/>
          <w:i/>
        </w:rPr>
        <w:t>Free Radical Biology and Medicine,</w:t>
      </w:r>
      <w:r w:rsidRPr="00720DB4">
        <w:rPr>
          <w:rFonts w:ascii="Times New Roman" w:hAnsi="Times New Roman" w:cs="Times New Roman"/>
        </w:rPr>
        <w:t xml:space="preserve"> 19(1), pp. 31-37.</w:t>
      </w:r>
    </w:p>
    <w:p w14:paraId="394B3760" w14:textId="77777777" w:rsidR="00EC083A" w:rsidRPr="00720DB4" w:rsidRDefault="00EC083A" w:rsidP="00720DB4">
      <w:pPr>
        <w:pStyle w:val="EndNoteBibliography"/>
        <w:spacing w:after="0"/>
        <w:jc w:val="both"/>
        <w:rPr>
          <w:rFonts w:ascii="Times New Roman" w:hAnsi="Times New Roman" w:cs="Times New Roman"/>
        </w:rPr>
      </w:pPr>
    </w:p>
    <w:p w14:paraId="789F62E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Imaizumi, A., Kojima, H. and Matsui, K. (2006) 'The effect of intracellular ppGpp levels on glutamate and lysine overproduction in </w:t>
      </w:r>
      <w:r w:rsidRPr="00EC083A">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Journal of Biotechnology,</w:t>
      </w:r>
      <w:r w:rsidRPr="00720DB4">
        <w:rPr>
          <w:rFonts w:ascii="Times New Roman" w:hAnsi="Times New Roman" w:cs="Times New Roman"/>
        </w:rPr>
        <w:t xml:space="preserve"> 125(3), pp. 328-337.</w:t>
      </w:r>
    </w:p>
    <w:p w14:paraId="08374057" w14:textId="77777777" w:rsidR="00EC083A" w:rsidRPr="00720DB4" w:rsidRDefault="00EC083A" w:rsidP="00720DB4">
      <w:pPr>
        <w:pStyle w:val="EndNoteBibliography"/>
        <w:spacing w:after="0"/>
        <w:jc w:val="both"/>
        <w:rPr>
          <w:rFonts w:ascii="Times New Roman" w:hAnsi="Times New Roman" w:cs="Times New Roman"/>
        </w:rPr>
      </w:pPr>
    </w:p>
    <w:p w14:paraId="1E724A0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Imholz, N. C. E., Noga, M. J., van den Broek, N. J. F. and Bokinsky, G. (2020) 'Calibrating the Bacterial Growth Rate Speedometer: A Re-evaluation of the Relationship Between Basal ppGpp, Growth, and RNA Synthesis inEscherichia coli', </w:t>
      </w:r>
      <w:r w:rsidRPr="00720DB4">
        <w:rPr>
          <w:rFonts w:ascii="Times New Roman" w:hAnsi="Times New Roman" w:cs="Times New Roman"/>
          <w:i/>
        </w:rPr>
        <w:t>Frontiers in Microbiology,</w:t>
      </w:r>
      <w:r w:rsidRPr="00720DB4">
        <w:rPr>
          <w:rFonts w:ascii="Times New Roman" w:hAnsi="Times New Roman" w:cs="Times New Roman"/>
        </w:rPr>
        <w:t xml:space="preserve"> 11.</w:t>
      </w:r>
    </w:p>
    <w:p w14:paraId="462F5CBC" w14:textId="77777777" w:rsidR="00EC083A" w:rsidRPr="00720DB4" w:rsidRDefault="00EC083A" w:rsidP="00720DB4">
      <w:pPr>
        <w:pStyle w:val="EndNoteBibliography"/>
        <w:spacing w:after="0"/>
        <w:jc w:val="both"/>
        <w:rPr>
          <w:rFonts w:ascii="Times New Roman" w:hAnsi="Times New Roman" w:cs="Times New Roman"/>
        </w:rPr>
      </w:pPr>
    </w:p>
    <w:p w14:paraId="0547119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Irving, S. E., Choudhury, N. R. and Corrigan, R. M. (2021) 'The stringent response and physiological roles of (pp)pGpp in bacteria', </w:t>
      </w:r>
      <w:r w:rsidRPr="00720DB4">
        <w:rPr>
          <w:rFonts w:ascii="Times New Roman" w:hAnsi="Times New Roman" w:cs="Times New Roman"/>
          <w:i/>
        </w:rPr>
        <w:t>Nature Reviews Microbiology,</w:t>
      </w:r>
      <w:r w:rsidRPr="00720DB4">
        <w:rPr>
          <w:rFonts w:ascii="Times New Roman" w:hAnsi="Times New Roman" w:cs="Times New Roman"/>
        </w:rPr>
        <w:t xml:space="preserve"> 19(4), pp. 256-271.</w:t>
      </w:r>
    </w:p>
    <w:p w14:paraId="488ABCC5" w14:textId="77777777" w:rsidR="00EC083A" w:rsidRPr="00720DB4" w:rsidRDefault="00EC083A" w:rsidP="00720DB4">
      <w:pPr>
        <w:pStyle w:val="EndNoteBibliography"/>
        <w:spacing w:after="0"/>
        <w:jc w:val="both"/>
        <w:rPr>
          <w:rFonts w:ascii="Times New Roman" w:hAnsi="Times New Roman" w:cs="Times New Roman"/>
        </w:rPr>
      </w:pPr>
    </w:p>
    <w:p w14:paraId="73BFB8E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Irving, S. E. and Corrigan, R. M. (2018) 'Triggering the stringent response: signals responsible for activating (p) ppGpp synthesis in bacteria', </w:t>
      </w:r>
      <w:r w:rsidRPr="00720DB4">
        <w:rPr>
          <w:rFonts w:ascii="Times New Roman" w:hAnsi="Times New Roman" w:cs="Times New Roman"/>
          <w:i/>
        </w:rPr>
        <w:t>Microbiology-Sgm,</w:t>
      </w:r>
      <w:r w:rsidRPr="00720DB4">
        <w:rPr>
          <w:rFonts w:ascii="Times New Roman" w:hAnsi="Times New Roman" w:cs="Times New Roman"/>
        </w:rPr>
        <w:t xml:space="preserve"> 164(3), pp. 268-276.</w:t>
      </w:r>
    </w:p>
    <w:p w14:paraId="6B908CB7" w14:textId="77777777" w:rsidR="00EC083A" w:rsidRPr="00720DB4" w:rsidRDefault="00EC083A" w:rsidP="00720DB4">
      <w:pPr>
        <w:pStyle w:val="EndNoteBibliography"/>
        <w:spacing w:after="0"/>
        <w:jc w:val="both"/>
        <w:rPr>
          <w:rFonts w:ascii="Times New Roman" w:hAnsi="Times New Roman" w:cs="Times New Roman"/>
        </w:rPr>
      </w:pPr>
    </w:p>
    <w:p w14:paraId="5900D54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Ishikawa, M. and Hori, K. (2013) 'A new simple method for introducing an unmarked mutation into a large gene of non-competent Gram-negative bacteria by FLP/FRT recombination', </w:t>
      </w:r>
      <w:r w:rsidRPr="00720DB4">
        <w:rPr>
          <w:rFonts w:ascii="Times New Roman" w:hAnsi="Times New Roman" w:cs="Times New Roman"/>
          <w:i/>
        </w:rPr>
        <w:t>Bmc Microbiology,</w:t>
      </w:r>
      <w:r w:rsidRPr="00720DB4">
        <w:rPr>
          <w:rFonts w:ascii="Times New Roman" w:hAnsi="Times New Roman" w:cs="Times New Roman"/>
        </w:rPr>
        <w:t xml:space="preserve"> 13.</w:t>
      </w:r>
    </w:p>
    <w:p w14:paraId="167C2CFC" w14:textId="77777777" w:rsidR="00EC083A" w:rsidRPr="00720DB4" w:rsidRDefault="00EC083A" w:rsidP="00720DB4">
      <w:pPr>
        <w:pStyle w:val="EndNoteBibliography"/>
        <w:spacing w:after="0"/>
        <w:jc w:val="both"/>
        <w:rPr>
          <w:rFonts w:ascii="Times New Roman" w:hAnsi="Times New Roman" w:cs="Times New Roman"/>
        </w:rPr>
      </w:pPr>
    </w:p>
    <w:p w14:paraId="07A5E6D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Italiani, P. and Boraschi, D. (2014) 'From monocytes to M1/M2 macrophages: phenotypical vs. functional differentiation', </w:t>
      </w:r>
      <w:r w:rsidRPr="00720DB4">
        <w:rPr>
          <w:rFonts w:ascii="Times New Roman" w:hAnsi="Times New Roman" w:cs="Times New Roman"/>
          <w:i/>
        </w:rPr>
        <w:t>Frontiers in Immunology,</w:t>
      </w:r>
      <w:r w:rsidRPr="00720DB4">
        <w:rPr>
          <w:rFonts w:ascii="Times New Roman" w:hAnsi="Times New Roman" w:cs="Times New Roman"/>
        </w:rPr>
        <w:t xml:space="preserve"> 5.</w:t>
      </w:r>
    </w:p>
    <w:p w14:paraId="242106AB" w14:textId="77777777" w:rsidR="00EC083A" w:rsidRPr="00720DB4" w:rsidRDefault="00EC083A" w:rsidP="00720DB4">
      <w:pPr>
        <w:pStyle w:val="EndNoteBibliography"/>
        <w:spacing w:after="0"/>
        <w:jc w:val="both"/>
        <w:rPr>
          <w:rFonts w:ascii="Times New Roman" w:hAnsi="Times New Roman" w:cs="Times New Roman"/>
        </w:rPr>
      </w:pPr>
    </w:p>
    <w:p w14:paraId="6DDBD95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Ito, T., Katayama, Y. and Hiramatsu, K. (1999) 'Cloning and nucleotide sequence determination of the entire mec DNA of pre-methicillin-resistant </w:t>
      </w:r>
      <w:r w:rsidRPr="00EC083A">
        <w:rPr>
          <w:rFonts w:ascii="Times New Roman" w:hAnsi="Times New Roman" w:cs="Times New Roman"/>
          <w:i/>
          <w:iCs/>
        </w:rPr>
        <w:t xml:space="preserve">Staphylococcus aureus </w:t>
      </w:r>
      <w:r w:rsidRPr="00720DB4">
        <w:rPr>
          <w:rFonts w:ascii="Times New Roman" w:hAnsi="Times New Roman" w:cs="Times New Roman"/>
        </w:rPr>
        <w:t xml:space="preserve">N315', </w:t>
      </w:r>
      <w:r w:rsidRPr="00720DB4">
        <w:rPr>
          <w:rFonts w:ascii="Times New Roman" w:hAnsi="Times New Roman" w:cs="Times New Roman"/>
          <w:i/>
        </w:rPr>
        <w:t>Antimicrobial Agents and Chemotherapy,</w:t>
      </w:r>
      <w:r w:rsidRPr="00720DB4">
        <w:rPr>
          <w:rFonts w:ascii="Times New Roman" w:hAnsi="Times New Roman" w:cs="Times New Roman"/>
        </w:rPr>
        <w:t xml:space="preserve"> 43(6), pp. 1449-1458.</w:t>
      </w:r>
    </w:p>
    <w:p w14:paraId="66EAC0A2" w14:textId="77777777" w:rsidR="00EC083A" w:rsidRPr="00720DB4" w:rsidRDefault="00EC083A" w:rsidP="00720DB4">
      <w:pPr>
        <w:pStyle w:val="EndNoteBibliography"/>
        <w:spacing w:after="0"/>
        <w:jc w:val="both"/>
        <w:rPr>
          <w:rFonts w:ascii="Times New Roman" w:hAnsi="Times New Roman" w:cs="Times New Roman"/>
        </w:rPr>
      </w:pPr>
    </w:p>
    <w:p w14:paraId="05F4227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Izutsu, K., Wada, A. and Wada, C. (2001) 'Expression of ribosome modulation factor (RMF) in </w:t>
      </w:r>
      <w:r w:rsidRPr="00EC083A">
        <w:rPr>
          <w:rFonts w:ascii="Times New Roman" w:hAnsi="Times New Roman" w:cs="Times New Roman"/>
          <w:i/>
          <w:iCs/>
        </w:rPr>
        <w:t xml:space="preserve">Escherichia coli </w:t>
      </w:r>
      <w:r w:rsidRPr="00720DB4">
        <w:rPr>
          <w:rFonts w:ascii="Times New Roman" w:hAnsi="Times New Roman" w:cs="Times New Roman"/>
        </w:rPr>
        <w:t xml:space="preserve">requires ppGpp', </w:t>
      </w:r>
      <w:r w:rsidRPr="00720DB4">
        <w:rPr>
          <w:rFonts w:ascii="Times New Roman" w:hAnsi="Times New Roman" w:cs="Times New Roman"/>
          <w:i/>
        </w:rPr>
        <w:t>Genes to Cells,</w:t>
      </w:r>
      <w:r w:rsidRPr="00720DB4">
        <w:rPr>
          <w:rFonts w:ascii="Times New Roman" w:hAnsi="Times New Roman" w:cs="Times New Roman"/>
        </w:rPr>
        <w:t xml:space="preserve"> 6(8), pp. 665-676.</w:t>
      </w:r>
    </w:p>
    <w:p w14:paraId="5B23B910" w14:textId="77777777" w:rsidR="00EC083A" w:rsidRPr="00720DB4" w:rsidRDefault="00EC083A" w:rsidP="00720DB4">
      <w:pPr>
        <w:pStyle w:val="EndNoteBibliography"/>
        <w:spacing w:after="0"/>
        <w:jc w:val="both"/>
        <w:rPr>
          <w:rFonts w:ascii="Times New Roman" w:hAnsi="Times New Roman" w:cs="Times New Roman"/>
        </w:rPr>
      </w:pPr>
    </w:p>
    <w:p w14:paraId="3F618C5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Jain, N., Dhimole, N., Khan, A. R., De, D., Tomar, S. K., Sajish, M., Dutta, D., Parrack, P. and Prakash, B. (2009) '</w:t>
      </w:r>
      <w:r w:rsidRPr="00EC083A">
        <w:rPr>
          <w:rFonts w:ascii="Times New Roman" w:hAnsi="Times New Roman" w:cs="Times New Roman"/>
          <w:i/>
          <w:iCs/>
        </w:rPr>
        <w:t>E. coli</w:t>
      </w:r>
      <w:r w:rsidRPr="00720DB4">
        <w:rPr>
          <w:rFonts w:ascii="Times New Roman" w:hAnsi="Times New Roman" w:cs="Times New Roman"/>
        </w:rPr>
        <w:t xml:space="preserve"> HflX interacts with 50S ribosomal subunits in presence of nucleotides', </w:t>
      </w:r>
      <w:r w:rsidRPr="00720DB4">
        <w:rPr>
          <w:rFonts w:ascii="Times New Roman" w:hAnsi="Times New Roman" w:cs="Times New Roman"/>
          <w:i/>
        </w:rPr>
        <w:t>Biochemical and Biophysical Research Communications,</w:t>
      </w:r>
      <w:r w:rsidRPr="00720DB4">
        <w:rPr>
          <w:rFonts w:ascii="Times New Roman" w:hAnsi="Times New Roman" w:cs="Times New Roman"/>
        </w:rPr>
        <w:t xml:space="preserve"> 379(2), pp. 201-205.</w:t>
      </w:r>
    </w:p>
    <w:p w14:paraId="2A79C785" w14:textId="77777777" w:rsidR="00EC083A" w:rsidRPr="00720DB4" w:rsidRDefault="00EC083A" w:rsidP="00720DB4">
      <w:pPr>
        <w:pStyle w:val="EndNoteBibliography"/>
        <w:spacing w:after="0"/>
        <w:jc w:val="both"/>
        <w:rPr>
          <w:rFonts w:ascii="Times New Roman" w:hAnsi="Times New Roman" w:cs="Times New Roman"/>
        </w:rPr>
      </w:pPr>
    </w:p>
    <w:p w14:paraId="24772E0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Janzon, L., Lofdahl, S. and Arvidson, S. (1989) 'IDENTIFICATION AND NUCLEOTIDE-SEQUENCE OF THE DELTA-LYSIN GENE, </w:t>
      </w:r>
      <w:r w:rsidRPr="00EC083A">
        <w:rPr>
          <w:rFonts w:ascii="Times New Roman" w:hAnsi="Times New Roman" w:cs="Times New Roman"/>
          <w:i/>
          <w:iCs/>
        </w:rPr>
        <w:t>HLD</w:t>
      </w:r>
      <w:r w:rsidRPr="00720DB4">
        <w:rPr>
          <w:rFonts w:ascii="Times New Roman" w:hAnsi="Times New Roman" w:cs="Times New Roman"/>
        </w:rPr>
        <w:t>, ADJACENT TO THE ACCESSORY GENE REGULATOR (</w:t>
      </w:r>
      <w:r w:rsidRPr="00EC083A">
        <w:rPr>
          <w:rFonts w:ascii="Times New Roman" w:hAnsi="Times New Roman" w:cs="Times New Roman"/>
          <w:i/>
          <w:iCs/>
        </w:rPr>
        <w:t>AGR</w:t>
      </w:r>
      <w:r w:rsidRPr="00720DB4">
        <w:rPr>
          <w:rFonts w:ascii="Times New Roman" w:hAnsi="Times New Roman" w:cs="Times New Roman"/>
        </w:rPr>
        <w:t xml:space="preserve">) OF </w:t>
      </w:r>
      <w:r w:rsidRPr="00EC083A">
        <w:rPr>
          <w:rFonts w:ascii="Times New Roman" w:hAnsi="Times New Roman" w:cs="Times New Roman"/>
          <w:i/>
          <w:iCs/>
        </w:rPr>
        <w:t>STAPHYLOCOCCUS-AUREUS</w:t>
      </w:r>
      <w:r w:rsidRPr="00720DB4">
        <w:rPr>
          <w:rFonts w:ascii="Times New Roman" w:hAnsi="Times New Roman" w:cs="Times New Roman"/>
        </w:rPr>
        <w:t xml:space="preserve">', </w:t>
      </w:r>
      <w:r w:rsidRPr="00720DB4">
        <w:rPr>
          <w:rFonts w:ascii="Times New Roman" w:hAnsi="Times New Roman" w:cs="Times New Roman"/>
          <w:i/>
        </w:rPr>
        <w:t>Molecular &amp; General Genetics,</w:t>
      </w:r>
      <w:r w:rsidRPr="00720DB4">
        <w:rPr>
          <w:rFonts w:ascii="Times New Roman" w:hAnsi="Times New Roman" w:cs="Times New Roman"/>
        </w:rPr>
        <w:t xml:space="preserve"> 219(3), pp. 480-485.</w:t>
      </w:r>
    </w:p>
    <w:p w14:paraId="0C706B83" w14:textId="77777777" w:rsidR="00EC083A" w:rsidRPr="00720DB4" w:rsidRDefault="00EC083A" w:rsidP="00720DB4">
      <w:pPr>
        <w:pStyle w:val="EndNoteBibliography"/>
        <w:spacing w:after="0"/>
        <w:jc w:val="both"/>
        <w:rPr>
          <w:rFonts w:ascii="Times New Roman" w:hAnsi="Times New Roman" w:cs="Times New Roman"/>
        </w:rPr>
      </w:pPr>
    </w:p>
    <w:p w14:paraId="22A12AF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Jessen, J. R., Meng, A. M., McFarlane, R. J., Paw, B. H., Zon, L. I., Smith, G. R. and Lin, S. (1998) 'Modification of bacterial artificial chromosomes through Chi-stimulated homologous recombination and its application in zebrafish transgenesis',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95(9), pp. 5121-5126.</w:t>
      </w:r>
    </w:p>
    <w:p w14:paraId="59D7AB8C" w14:textId="77777777" w:rsidR="00EC083A" w:rsidRPr="00720DB4" w:rsidRDefault="00EC083A" w:rsidP="00720DB4">
      <w:pPr>
        <w:pStyle w:val="EndNoteBibliography"/>
        <w:spacing w:after="0"/>
        <w:jc w:val="both"/>
        <w:rPr>
          <w:rFonts w:ascii="Times New Roman" w:hAnsi="Times New Roman" w:cs="Times New Roman"/>
        </w:rPr>
      </w:pPr>
    </w:p>
    <w:p w14:paraId="5A29E3F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Ji, N., Yang, J. and Ji, Y. (2020) 'Determining Impact of Growth Phases on Capacity of </w:t>
      </w:r>
      <w:r w:rsidRPr="00EC083A">
        <w:rPr>
          <w:rFonts w:ascii="Times New Roman" w:hAnsi="Times New Roman" w:cs="Times New Roman"/>
          <w:i/>
          <w:iCs/>
        </w:rPr>
        <w:t xml:space="preserve">Staphylococcus aureus </w:t>
      </w:r>
      <w:r w:rsidRPr="00720DB4">
        <w:rPr>
          <w:rFonts w:ascii="Times New Roman" w:hAnsi="Times New Roman" w:cs="Times New Roman"/>
        </w:rPr>
        <w:t xml:space="preserve">to Adhere to and Invade Host Cells', in Ji, Y. (ed.) </w:t>
      </w:r>
      <w:r w:rsidRPr="00720DB4">
        <w:rPr>
          <w:rFonts w:ascii="Times New Roman" w:hAnsi="Times New Roman" w:cs="Times New Roman"/>
          <w:i/>
        </w:rPr>
        <w:t>Methicillin-Resistant Staphylococcus Aureus Methods in Molecular Biology</w:t>
      </w:r>
      <w:r w:rsidRPr="00720DB4">
        <w:rPr>
          <w:rFonts w:ascii="Times New Roman" w:hAnsi="Times New Roman" w:cs="Times New Roman"/>
        </w:rPr>
        <w:t>, pp. 187-195.</w:t>
      </w:r>
    </w:p>
    <w:p w14:paraId="54C008B9" w14:textId="77777777" w:rsidR="00EC083A" w:rsidRPr="00720DB4" w:rsidRDefault="00EC083A" w:rsidP="00720DB4">
      <w:pPr>
        <w:pStyle w:val="EndNoteBibliography"/>
        <w:spacing w:after="0"/>
        <w:jc w:val="both"/>
        <w:rPr>
          <w:rFonts w:ascii="Times New Roman" w:hAnsi="Times New Roman" w:cs="Times New Roman"/>
        </w:rPr>
      </w:pPr>
    </w:p>
    <w:p w14:paraId="256F899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Jiale, Z., Jian, J., Xinyi, T., Haoji, X., Xueqin, H. and Xiao, W. (2021) 'Design of a novel antimicrobial peptide 1018M targeted ppGpp to inhibit MRSA biofilm formation', </w:t>
      </w:r>
      <w:r w:rsidRPr="00720DB4">
        <w:rPr>
          <w:rFonts w:ascii="Times New Roman" w:hAnsi="Times New Roman" w:cs="Times New Roman"/>
          <w:i/>
        </w:rPr>
        <w:t>Amb Express,</w:t>
      </w:r>
      <w:r w:rsidRPr="00720DB4">
        <w:rPr>
          <w:rFonts w:ascii="Times New Roman" w:hAnsi="Times New Roman" w:cs="Times New Roman"/>
        </w:rPr>
        <w:t xml:space="preserve"> 11(1).</w:t>
      </w:r>
    </w:p>
    <w:p w14:paraId="4A460AC2" w14:textId="77777777" w:rsidR="00EC083A" w:rsidRPr="00720DB4" w:rsidRDefault="00EC083A" w:rsidP="00720DB4">
      <w:pPr>
        <w:pStyle w:val="EndNoteBibliography"/>
        <w:spacing w:after="0"/>
        <w:jc w:val="both"/>
        <w:rPr>
          <w:rFonts w:ascii="Times New Roman" w:hAnsi="Times New Roman" w:cs="Times New Roman"/>
        </w:rPr>
      </w:pPr>
    </w:p>
    <w:p w14:paraId="3A2E985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Jimmy, S., Saha, C. K., Kurata, T., Stavropoulos, C., Oliveira, S. R. A., Koh, A., Cepauskas, A., Takada, H., Rejman, D., Tenson, T., Strahl, H., Garcia-Pino, A., Hauryliuk, V. and Atkinson, G. C. (2020) 'A widespread toxin-antitoxin system exploiting growth control via alarmone signaling',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117(19), pp. 10500-10510.</w:t>
      </w:r>
    </w:p>
    <w:p w14:paraId="31BB0892" w14:textId="77777777" w:rsidR="00EC083A" w:rsidRPr="00720DB4" w:rsidRDefault="00EC083A" w:rsidP="00720DB4">
      <w:pPr>
        <w:pStyle w:val="EndNoteBibliography"/>
        <w:spacing w:after="0"/>
        <w:jc w:val="both"/>
        <w:rPr>
          <w:rFonts w:ascii="Times New Roman" w:hAnsi="Times New Roman" w:cs="Times New Roman"/>
        </w:rPr>
      </w:pPr>
    </w:p>
    <w:p w14:paraId="2A74901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Jin, H., Lao, Y. M., Zhou, J., Zhang, H. J. and Cai, Z. H. (2018) 'A rapid UHPLC-HILIC method for algal guanosine 5 '-diphosphate 3 '-diphosphate (ppGpp) and the potential separation mechanism', </w:t>
      </w:r>
      <w:r w:rsidRPr="00720DB4">
        <w:rPr>
          <w:rFonts w:ascii="Times New Roman" w:hAnsi="Times New Roman" w:cs="Times New Roman"/>
          <w:i/>
        </w:rPr>
        <w:t>Journal of Chromatography B-Analytical Technologies in the Biomedical and Life Sciences,</w:t>
      </w:r>
      <w:r w:rsidRPr="00720DB4">
        <w:rPr>
          <w:rFonts w:ascii="Times New Roman" w:hAnsi="Times New Roman" w:cs="Times New Roman"/>
        </w:rPr>
        <w:t xml:space="preserve"> 1096, pp. 143-153.</w:t>
      </w:r>
    </w:p>
    <w:p w14:paraId="332FD131" w14:textId="77777777" w:rsidR="00EC083A" w:rsidRPr="00720DB4" w:rsidRDefault="00EC083A" w:rsidP="00720DB4">
      <w:pPr>
        <w:pStyle w:val="EndNoteBibliography"/>
        <w:spacing w:after="0"/>
        <w:jc w:val="both"/>
        <w:rPr>
          <w:rFonts w:ascii="Times New Roman" w:hAnsi="Times New Roman" w:cs="Times New Roman"/>
        </w:rPr>
      </w:pPr>
    </w:p>
    <w:p w14:paraId="6522D4C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Johansson, M., Rocha, N., Zwart, W., Jordens, I., Janssen, L., Kuijl, C., Olkkonen, V. M. and Neefjes, J. (2007) 'Activation of endosomal dynein motors by stepwise assembly of Rab7-RILP-p150(Glued), ORP1L, and the receptor beta III spectrin', </w:t>
      </w:r>
      <w:r w:rsidRPr="00720DB4">
        <w:rPr>
          <w:rFonts w:ascii="Times New Roman" w:hAnsi="Times New Roman" w:cs="Times New Roman"/>
          <w:i/>
        </w:rPr>
        <w:t>Journal of Cell Biology,</w:t>
      </w:r>
      <w:r w:rsidRPr="00720DB4">
        <w:rPr>
          <w:rFonts w:ascii="Times New Roman" w:hAnsi="Times New Roman" w:cs="Times New Roman"/>
        </w:rPr>
        <w:t xml:space="preserve"> 176(4), pp. 459-471.</w:t>
      </w:r>
    </w:p>
    <w:p w14:paraId="5DB04A37" w14:textId="77777777" w:rsidR="00EC083A" w:rsidRPr="00720DB4" w:rsidRDefault="00EC083A" w:rsidP="00720DB4">
      <w:pPr>
        <w:pStyle w:val="EndNoteBibliography"/>
        <w:spacing w:after="0"/>
        <w:jc w:val="both"/>
        <w:rPr>
          <w:rFonts w:ascii="Times New Roman" w:hAnsi="Times New Roman" w:cs="Times New Roman"/>
        </w:rPr>
      </w:pPr>
    </w:p>
    <w:p w14:paraId="04A5F14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Johnson, R., Byrne, A., Berger, C. N., Klemm, E., Crepin, V. F., Dougan, G. and Frankel, G. (2017) 'The Type III Secretion System Effector SptP of </w:t>
      </w:r>
      <w:r w:rsidRPr="00EC083A">
        <w:rPr>
          <w:rFonts w:ascii="Times New Roman" w:hAnsi="Times New Roman" w:cs="Times New Roman"/>
          <w:i/>
          <w:iCs/>
        </w:rPr>
        <w:t>Salmonella enterica</w:t>
      </w:r>
      <w:r w:rsidRPr="00720DB4">
        <w:rPr>
          <w:rFonts w:ascii="Times New Roman" w:hAnsi="Times New Roman" w:cs="Times New Roman"/>
        </w:rPr>
        <w:t xml:space="preserve"> Serovar Typhi', </w:t>
      </w:r>
      <w:r w:rsidRPr="00720DB4">
        <w:rPr>
          <w:rFonts w:ascii="Times New Roman" w:hAnsi="Times New Roman" w:cs="Times New Roman"/>
          <w:i/>
        </w:rPr>
        <w:t>Journal of Bacteriology,</w:t>
      </w:r>
      <w:r w:rsidRPr="00720DB4">
        <w:rPr>
          <w:rFonts w:ascii="Times New Roman" w:hAnsi="Times New Roman" w:cs="Times New Roman"/>
        </w:rPr>
        <w:t xml:space="preserve"> 199(4).</w:t>
      </w:r>
    </w:p>
    <w:p w14:paraId="0009766E" w14:textId="77777777" w:rsidR="00EC083A" w:rsidRPr="00720DB4" w:rsidRDefault="00EC083A" w:rsidP="00720DB4">
      <w:pPr>
        <w:pStyle w:val="EndNoteBibliography"/>
        <w:spacing w:after="0"/>
        <w:jc w:val="both"/>
        <w:rPr>
          <w:rFonts w:ascii="Times New Roman" w:hAnsi="Times New Roman" w:cs="Times New Roman"/>
        </w:rPr>
      </w:pPr>
    </w:p>
    <w:p w14:paraId="637079A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Jubrail, J., Morris, P., Bewley, M. A., Stoneham, S., Johnston, S. A., Foster, S. J., Peden, A. A., Read, R. C., Marriott, H. M. and Dockrell, D. H. (2016) 'Inability to sustain intraphagolysosomal killing of </w:t>
      </w:r>
      <w:r w:rsidRPr="00EC083A">
        <w:rPr>
          <w:rFonts w:ascii="Times New Roman" w:hAnsi="Times New Roman" w:cs="Times New Roman"/>
          <w:i/>
          <w:iCs/>
        </w:rPr>
        <w:t>Staphylococcus aureus</w:t>
      </w:r>
      <w:r w:rsidRPr="00720DB4">
        <w:rPr>
          <w:rFonts w:ascii="Times New Roman" w:hAnsi="Times New Roman" w:cs="Times New Roman"/>
        </w:rPr>
        <w:t xml:space="preserve"> predisposes to bacterial persistence in macrophages', </w:t>
      </w:r>
      <w:r w:rsidRPr="00720DB4">
        <w:rPr>
          <w:rFonts w:ascii="Times New Roman" w:hAnsi="Times New Roman" w:cs="Times New Roman"/>
          <w:i/>
        </w:rPr>
        <w:t>Cellular Microbiology,</w:t>
      </w:r>
      <w:r w:rsidRPr="00720DB4">
        <w:rPr>
          <w:rFonts w:ascii="Times New Roman" w:hAnsi="Times New Roman" w:cs="Times New Roman"/>
        </w:rPr>
        <w:t xml:space="preserve"> 18(1), pp. 80-96.</w:t>
      </w:r>
    </w:p>
    <w:p w14:paraId="56A7DA16" w14:textId="77777777" w:rsidR="00EC083A" w:rsidRPr="00720DB4" w:rsidRDefault="00EC083A" w:rsidP="00720DB4">
      <w:pPr>
        <w:pStyle w:val="EndNoteBibliography"/>
        <w:spacing w:after="0"/>
        <w:jc w:val="both"/>
        <w:rPr>
          <w:rFonts w:ascii="Times New Roman" w:hAnsi="Times New Roman" w:cs="Times New Roman"/>
        </w:rPr>
      </w:pPr>
    </w:p>
    <w:p w14:paraId="5948F3B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Kahlenberg, J. M. and Kaplan, M. J. (2013) 'Little Peptide, Big Effects: The Role of LL-37 in Inflammation and Autoimmune Disease', </w:t>
      </w:r>
      <w:r w:rsidRPr="00720DB4">
        <w:rPr>
          <w:rFonts w:ascii="Times New Roman" w:hAnsi="Times New Roman" w:cs="Times New Roman"/>
          <w:i/>
        </w:rPr>
        <w:t>Journal of Immunology,</w:t>
      </w:r>
      <w:r w:rsidRPr="00720DB4">
        <w:rPr>
          <w:rFonts w:ascii="Times New Roman" w:hAnsi="Times New Roman" w:cs="Times New Roman"/>
        </w:rPr>
        <w:t xml:space="preserve"> 191(10), pp. 4895-4901.</w:t>
      </w:r>
    </w:p>
    <w:p w14:paraId="0B7A931B" w14:textId="77777777" w:rsidR="00EC083A" w:rsidRPr="00720DB4" w:rsidRDefault="00EC083A" w:rsidP="00720DB4">
      <w:pPr>
        <w:pStyle w:val="EndNoteBibliography"/>
        <w:spacing w:after="0"/>
        <w:jc w:val="both"/>
        <w:rPr>
          <w:rFonts w:ascii="Times New Roman" w:hAnsi="Times New Roman" w:cs="Times New Roman"/>
        </w:rPr>
      </w:pPr>
    </w:p>
    <w:p w14:paraId="0543279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Kaito, C., Saito, Y., Ikuo, M., Omae, Y., Mao, H., Nagano, G., Fujiyuki, T., Numata, S., Han, X., Obata, K., Hasegawa, S., Yamaguchi, H., Inokuchi, K., Ito, T., Hiramatsu, K. and Sekimizu, K. (2013) 'Mobile Genetic Element SCC</w:t>
      </w:r>
      <w:r w:rsidRPr="00EC083A">
        <w:rPr>
          <w:rFonts w:ascii="Times New Roman" w:hAnsi="Times New Roman" w:cs="Times New Roman"/>
          <w:i/>
          <w:iCs/>
        </w:rPr>
        <w:t>mec</w:t>
      </w:r>
      <w:r w:rsidRPr="00720DB4">
        <w:rPr>
          <w:rFonts w:ascii="Times New Roman" w:hAnsi="Times New Roman" w:cs="Times New Roman"/>
        </w:rPr>
        <w:t xml:space="preserve">-encoded </w:t>
      </w:r>
      <w:r w:rsidRPr="00EC083A">
        <w:rPr>
          <w:rFonts w:ascii="Times New Roman" w:hAnsi="Times New Roman" w:cs="Times New Roman"/>
          <w:i/>
          <w:iCs/>
        </w:rPr>
        <w:t>psm-mec</w:t>
      </w:r>
      <w:r w:rsidRPr="00720DB4">
        <w:rPr>
          <w:rFonts w:ascii="Times New Roman" w:hAnsi="Times New Roman" w:cs="Times New Roman"/>
        </w:rPr>
        <w:t xml:space="preserve"> RNA Suppresses Translation of </w:t>
      </w:r>
      <w:r w:rsidRPr="00EC083A">
        <w:rPr>
          <w:rFonts w:ascii="Times New Roman" w:hAnsi="Times New Roman" w:cs="Times New Roman"/>
          <w:i/>
          <w:iCs/>
        </w:rPr>
        <w:t xml:space="preserve">agrA </w:t>
      </w:r>
      <w:r w:rsidRPr="00720DB4">
        <w:rPr>
          <w:rFonts w:ascii="Times New Roman" w:hAnsi="Times New Roman" w:cs="Times New Roman"/>
        </w:rPr>
        <w:t xml:space="preserve">and Attenuates MRSA Virulence', </w:t>
      </w:r>
      <w:r w:rsidRPr="00720DB4">
        <w:rPr>
          <w:rFonts w:ascii="Times New Roman" w:hAnsi="Times New Roman" w:cs="Times New Roman"/>
          <w:i/>
        </w:rPr>
        <w:t>Plos Pathogens,</w:t>
      </w:r>
      <w:r w:rsidRPr="00720DB4">
        <w:rPr>
          <w:rFonts w:ascii="Times New Roman" w:hAnsi="Times New Roman" w:cs="Times New Roman"/>
        </w:rPr>
        <w:t xml:space="preserve"> 9(4).</w:t>
      </w:r>
    </w:p>
    <w:p w14:paraId="1ADE551C" w14:textId="77777777" w:rsidR="00EC083A" w:rsidRPr="00720DB4" w:rsidRDefault="00EC083A" w:rsidP="00720DB4">
      <w:pPr>
        <w:pStyle w:val="EndNoteBibliography"/>
        <w:spacing w:after="0"/>
        <w:jc w:val="both"/>
        <w:rPr>
          <w:rFonts w:ascii="Times New Roman" w:hAnsi="Times New Roman" w:cs="Times New Roman"/>
        </w:rPr>
      </w:pPr>
    </w:p>
    <w:p w14:paraId="0E18B3F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Kaito, C., Saito, Y., Nagano, G., Ikuo, M., Omae, Y., Hanada, Y., Han, X. A., Kuwahara-Arai, K., Hishinuma, T., Baba, T., Ito, T., Hiramatsu, K. and Sekimizu, K. (2011) 'Transcription and Translation Products of the Cytolysin Gene </w:t>
      </w:r>
      <w:r w:rsidRPr="00EC083A">
        <w:rPr>
          <w:rFonts w:ascii="Times New Roman" w:hAnsi="Times New Roman" w:cs="Times New Roman"/>
          <w:i/>
          <w:iCs/>
        </w:rPr>
        <w:t>psm-mec</w:t>
      </w:r>
      <w:r w:rsidRPr="00720DB4">
        <w:rPr>
          <w:rFonts w:ascii="Times New Roman" w:hAnsi="Times New Roman" w:cs="Times New Roman"/>
        </w:rPr>
        <w:t xml:space="preserve"> on the Mobile Genetic Element SCC</w:t>
      </w:r>
      <w:r w:rsidRPr="00EC083A">
        <w:rPr>
          <w:rFonts w:ascii="Times New Roman" w:hAnsi="Times New Roman" w:cs="Times New Roman"/>
          <w:i/>
          <w:iCs/>
        </w:rPr>
        <w:t xml:space="preserve">mec </w:t>
      </w:r>
      <w:r w:rsidRPr="00720DB4">
        <w:rPr>
          <w:rFonts w:ascii="Times New Roman" w:hAnsi="Times New Roman" w:cs="Times New Roman"/>
        </w:rPr>
        <w:t xml:space="preserve">Regulate </w:t>
      </w:r>
      <w:r w:rsidRPr="00EC083A">
        <w:rPr>
          <w:rFonts w:ascii="Times New Roman" w:hAnsi="Times New Roman" w:cs="Times New Roman"/>
          <w:i/>
          <w:iCs/>
        </w:rPr>
        <w:t>Staphylococcus aureus</w:t>
      </w:r>
      <w:r w:rsidRPr="00720DB4">
        <w:rPr>
          <w:rFonts w:ascii="Times New Roman" w:hAnsi="Times New Roman" w:cs="Times New Roman"/>
        </w:rPr>
        <w:t xml:space="preserve"> Virulence', </w:t>
      </w:r>
      <w:r w:rsidRPr="00720DB4">
        <w:rPr>
          <w:rFonts w:ascii="Times New Roman" w:hAnsi="Times New Roman" w:cs="Times New Roman"/>
          <w:i/>
        </w:rPr>
        <w:t>Plos Pathogens,</w:t>
      </w:r>
      <w:r w:rsidRPr="00720DB4">
        <w:rPr>
          <w:rFonts w:ascii="Times New Roman" w:hAnsi="Times New Roman" w:cs="Times New Roman"/>
        </w:rPr>
        <w:t xml:space="preserve"> 7(2).</w:t>
      </w:r>
    </w:p>
    <w:p w14:paraId="41B1542B" w14:textId="77777777" w:rsidR="00EC083A" w:rsidRPr="00720DB4" w:rsidRDefault="00EC083A" w:rsidP="00720DB4">
      <w:pPr>
        <w:pStyle w:val="EndNoteBibliography"/>
        <w:spacing w:after="0"/>
        <w:jc w:val="both"/>
        <w:rPr>
          <w:rFonts w:ascii="Times New Roman" w:hAnsi="Times New Roman" w:cs="Times New Roman"/>
        </w:rPr>
      </w:pPr>
    </w:p>
    <w:p w14:paraId="10587FE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Kanjee, U., Gutsche, I., Alexopoulos, E., Zhao, B., El Bakkouri, M., Thibault, G., Liu, K., Ramachandran, S., Snider, J., Pai, E. F. and Houry, W. A. (2011) 'Linkage between the bacterial acid stress and stringent responses: the structure of the inducible lysine decarboxylase', </w:t>
      </w:r>
      <w:r w:rsidRPr="00720DB4">
        <w:rPr>
          <w:rFonts w:ascii="Times New Roman" w:hAnsi="Times New Roman" w:cs="Times New Roman"/>
          <w:i/>
        </w:rPr>
        <w:t>Embo Journal,</w:t>
      </w:r>
      <w:r w:rsidRPr="00720DB4">
        <w:rPr>
          <w:rFonts w:ascii="Times New Roman" w:hAnsi="Times New Roman" w:cs="Times New Roman"/>
        </w:rPr>
        <w:t xml:space="preserve"> 30(5), pp. 931-944.</w:t>
      </w:r>
    </w:p>
    <w:p w14:paraId="77C9E753" w14:textId="77777777" w:rsidR="00EC083A" w:rsidRPr="00720DB4" w:rsidRDefault="00EC083A" w:rsidP="00720DB4">
      <w:pPr>
        <w:pStyle w:val="EndNoteBibliography"/>
        <w:spacing w:after="0"/>
        <w:jc w:val="both"/>
        <w:rPr>
          <w:rFonts w:ascii="Times New Roman" w:hAnsi="Times New Roman" w:cs="Times New Roman"/>
        </w:rPr>
      </w:pPr>
    </w:p>
    <w:p w14:paraId="26BE656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Karanika, S., Gordy, J. T., Neupane, P., Karantanos, T., Castillo, J. R., Quijada, D., Comstock, K., Sandhu, A. K., Kapoor, A. R., Hui, Y. A., Ayeh, S. K., Tasneen, R., Krug, S., Danchik, C., Wang, T. Y., Schill, C., Markham, R. B. and Karakousis, P. C. (2022) 'An intranasal stringent response vaccine targeting dendritic cells as a novel adjunctive therapy against tuberculosis', </w:t>
      </w:r>
      <w:r w:rsidRPr="00720DB4">
        <w:rPr>
          <w:rFonts w:ascii="Times New Roman" w:hAnsi="Times New Roman" w:cs="Times New Roman"/>
          <w:i/>
        </w:rPr>
        <w:t>Frontiers in Immunology,</w:t>
      </w:r>
      <w:r w:rsidRPr="00720DB4">
        <w:rPr>
          <w:rFonts w:ascii="Times New Roman" w:hAnsi="Times New Roman" w:cs="Times New Roman"/>
        </w:rPr>
        <w:t xml:space="preserve"> 13.</w:t>
      </w:r>
    </w:p>
    <w:p w14:paraId="2CB989E2" w14:textId="77777777" w:rsidR="00EC083A" w:rsidRPr="00720DB4" w:rsidRDefault="00EC083A" w:rsidP="00720DB4">
      <w:pPr>
        <w:pStyle w:val="EndNoteBibliography"/>
        <w:spacing w:after="0"/>
        <w:jc w:val="both"/>
        <w:rPr>
          <w:rFonts w:ascii="Times New Roman" w:hAnsi="Times New Roman" w:cs="Times New Roman"/>
        </w:rPr>
      </w:pPr>
    </w:p>
    <w:p w14:paraId="4127CCF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Karavolos, M. H., Horsburgh, M. J., Ingham, E. and Foster, S. J. (2003) 'Role and regulation of the superoxide dismutases of </w:t>
      </w:r>
      <w:r w:rsidRPr="00EC083A">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Microbiology-Sgm,</w:t>
      </w:r>
      <w:r w:rsidRPr="00720DB4">
        <w:rPr>
          <w:rFonts w:ascii="Times New Roman" w:hAnsi="Times New Roman" w:cs="Times New Roman"/>
        </w:rPr>
        <w:t xml:space="preserve"> 149, pp. 2749-2758.</w:t>
      </w:r>
    </w:p>
    <w:p w14:paraId="374AB090" w14:textId="77777777" w:rsidR="00EC083A" w:rsidRPr="00720DB4" w:rsidRDefault="00EC083A" w:rsidP="00720DB4">
      <w:pPr>
        <w:pStyle w:val="EndNoteBibliography"/>
        <w:spacing w:after="0"/>
        <w:jc w:val="both"/>
        <w:rPr>
          <w:rFonts w:ascii="Times New Roman" w:hAnsi="Times New Roman" w:cs="Times New Roman"/>
        </w:rPr>
      </w:pPr>
    </w:p>
    <w:p w14:paraId="4557C83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Karczewska, M., Strzelecki, P., Bogucka, K., Potrykus, K., Szalewska-Pałasz, A. and Nowicki, D. (2023) 'Increased Levels of (p)ppGpp Correlate with Virulence and Biofilm Formation, but Not with Growth, in Strains of Uropathogenic </w:t>
      </w:r>
      <w:r w:rsidRPr="00720DB4">
        <w:rPr>
          <w:rFonts w:ascii="Times New Roman" w:hAnsi="Times New Roman" w:cs="Times New Roman"/>
          <w:i/>
        </w:rPr>
        <w:t>Escherichia coli</w:t>
      </w:r>
      <w:r w:rsidRPr="00720DB4">
        <w:rPr>
          <w:rFonts w:ascii="Times New Roman" w:hAnsi="Times New Roman" w:cs="Times New Roman"/>
        </w:rPr>
        <w:t xml:space="preserve">', </w:t>
      </w:r>
      <w:r w:rsidRPr="00720DB4">
        <w:rPr>
          <w:rFonts w:ascii="Times New Roman" w:hAnsi="Times New Roman" w:cs="Times New Roman"/>
          <w:i/>
        </w:rPr>
        <w:t>International Journal of Molecular Sciences,</w:t>
      </w:r>
      <w:r w:rsidRPr="00720DB4">
        <w:rPr>
          <w:rFonts w:ascii="Times New Roman" w:hAnsi="Times New Roman" w:cs="Times New Roman"/>
        </w:rPr>
        <w:t xml:space="preserve"> 24(4).</w:t>
      </w:r>
    </w:p>
    <w:p w14:paraId="6ED642D9" w14:textId="77777777" w:rsidR="00EC083A" w:rsidRPr="00720DB4" w:rsidRDefault="00EC083A" w:rsidP="00720DB4">
      <w:pPr>
        <w:pStyle w:val="EndNoteBibliography"/>
        <w:spacing w:after="0"/>
        <w:jc w:val="both"/>
        <w:rPr>
          <w:rFonts w:ascii="Times New Roman" w:hAnsi="Times New Roman" w:cs="Times New Roman"/>
        </w:rPr>
      </w:pPr>
    </w:p>
    <w:p w14:paraId="4E56A20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Katayama, Y., Ito, T. and Hiramatsu, K. (2000) 'A new class of genetic element, </w:t>
      </w:r>
      <w:r w:rsidRPr="00EC083A">
        <w:rPr>
          <w:rFonts w:ascii="Times New Roman" w:hAnsi="Times New Roman" w:cs="Times New Roman"/>
          <w:i/>
          <w:iCs/>
        </w:rPr>
        <w:t>staphylococcus</w:t>
      </w:r>
      <w:r w:rsidRPr="00720DB4">
        <w:rPr>
          <w:rFonts w:ascii="Times New Roman" w:hAnsi="Times New Roman" w:cs="Times New Roman"/>
        </w:rPr>
        <w:t xml:space="preserve"> cassette chromosome </w:t>
      </w:r>
      <w:r w:rsidRPr="00EC083A">
        <w:rPr>
          <w:rFonts w:ascii="Times New Roman" w:hAnsi="Times New Roman" w:cs="Times New Roman"/>
          <w:i/>
          <w:iCs/>
        </w:rPr>
        <w:t>mec</w:t>
      </w:r>
      <w:r w:rsidRPr="00720DB4">
        <w:rPr>
          <w:rFonts w:ascii="Times New Roman" w:hAnsi="Times New Roman" w:cs="Times New Roman"/>
        </w:rPr>
        <w:t xml:space="preserve">, encodes methicillin resistance in </w:t>
      </w:r>
      <w:r w:rsidRPr="00EC083A">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Antimicrobial Agents and Chemotherapy,</w:t>
      </w:r>
      <w:r w:rsidRPr="00720DB4">
        <w:rPr>
          <w:rFonts w:ascii="Times New Roman" w:hAnsi="Times New Roman" w:cs="Times New Roman"/>
        </w:rPr>
        <w:t xml:space="preserve"> 44(6), pp. 1549-1555.</w:t>
      </w:r>
    </w:p>
    <w:p w14:paraId="2E047CB5" w14:textId="77777777" w:rsidR="00EC083A" w:rsidRPr="00720DB4" w:rsidRDefault="00EC083A" w:rsidP="00720DB4">
      <w:pPr>
        <w:pStyle w:val="EndNoteBibliography"/>
        <w:spacing w:after="0"/>
        <w:jc w:val="both"/>
        <w:rPr>
          <w:rFonts w:ascii="Times New Roman" w:hAnsi="Times New Roman" w:cs="Times New Roman"/>
        </w:rPr>
      </w:pPr>
    </w:p>
    <w:p w14:paraId="13CC3BC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Katkowska, M., Garbacz, K. and Stromkowski, J. (2017) '</w:t>
      </w:r>
      <w:r w:rsidRPr="00EC083A">
        <w:rPr>
          <w:rFonts w:ascii="Times New Roman" w:hAnsi="Times New Roman" w:cs="Times New Roman"/>
          <w:i/>
          <w:iCs/>
        </w:rPr>
        <w:t>Staphylococcus aureus</w:t>
      </w:r>
      <w:r w:rsidRPr="00720DB4">
        <w:rPr>
          <w:rFonts w:ascii="Times New Roman" w:hAnsi="Times New Roman" w:cs="Times New Roman"/>
        </w:rPr>
        <w:t xml:space="preserve"> isolated from tonsillectomized adult patients with recurrent tonsillitis', </w:t>
      </w:r>
      <w:r w:rsidRPr="00720DB4">
        <w:rPr>
          <w:rFonts w:ascii="Times New Roman" w:hAnsi="Times New Roman" w:cs="Times New Roman"/>
          <w:i/>
        </w:rPr>
        <w:t>Apmis,</w:t>
      </w:r>
      <w:r w:rsidRPr="00720DB4">
        <w:rPr>
          <w:rFonts w:ascii="Times New Roman" w:hAnsi="Times New Roman" w:cs="Times New Roman"/>
        </w:rPr>
        <w:t xml:space="preserve"> 125(1), pp. 46-51.</w:t>
      </w:r>
    </w:p>
    <w:p w14:paraId="59C22BA5" w14:textId="77777777" w:rsidR="00EC083A" w:rsidRPr="00720DB4" w:rsidRDefault="00EC083A" w:rsidP="00720DB4">
      <w:pPr>
        <w:pStyle w:val="EndNoteBibliography"/>
        <w:spacing w:after="0"/>
        <w:jc w:val="both"/>
        <w:rPr>
          <w:rFonts w:ascii="Times New Roman" w:hAnsi="Times New Roman" w:cs="Times New Roman"/>
        </w:rPr>
      </w:pPr>
    </w:p>
    <w:p w14:paraId="09CF296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Kato, F. and Sugai, M. (2011) 'A simple method of markerless gene deletion in </w:t>
      </w:r>
      <w:r w:rsidRPr="00EC083A">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Microbiological Methods,</w:t>
      </w:r>
      <w:r w:rsidRPr="00720DB4">
        <w:rPr>
          <w:rFonts w:ascii="Times New Roman" w:hAnsi="Times New Roman" w:cs="Times New Roman"/>
        </w:rPr>
        <w:t xml:space="preserve"> 87(1), pp. 76-81.</w:t>
      </w:r>
    </w:p>
    <w:p w14:paraId="73FE3284" w14:textId="77777777" w:rsidR="00EC083A" w:rsidRPr="00720DB4" w:rsidRDefault="00EC083A" w:rsidP="00720DB4">
      <w:pPr>
        <w:pStyle w:val="EndNoteBibliography"/>
        <w:spacing w:after="0"/>
        <w:jc w:val="both"/>
        <w:rPr>
          <w:rFonts w:ascii="Times New Roman" w:hAnsi="Times New Roman" w:cs="Times New Roman"/>
        </w:rPr>
      </w:pPr>
    </w:p>
    <w:p w14:paraId="4FE6F4C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Kavanaugh, J. S., Leidal, K. G., Nauseef, W. M. and Horswill, A. R. (2021) 'Cathepsin G Degrades </w:t>
      </w:r>
      <w:r w:rsidRPr="00EC083A">
        <w:rPr>
          <w:rFonts w:ascii="Times New Roman" w:hAnsi="Times New Roman" w:cs="Times New Roman"/>
          <w:i/>
          <w:iCs/>
        </w:rPr>
        <w:t>Staphylococcus aureus</w:t>
      </w:r>
      <w:r w:rsidRPr="00720DB4">
        <w:rPr>
          <w:rFonts w:ascii="Times New Roman" w:hAnsi="Times New Roman" w:cs="Times New Roman"/>
        </w:rPr>
        <w:t xml:space="preserve"> Biofilms', </w:t>
      </w:r>
      <w:r w:rsidRPr="00720DB4">
        <w:rPr>
          <w:rFonts w:ascii="Times New Roman" w:hAnsi="Times New Roman" w:cs="Times New Roman"/>
          <w:i/>
        </w:rPr>
        <w:t>Journal of Infectious Diseases,</w:t>
      </w:r>
      <w:r w:rsidRPr="00720DB4">
        <w:rPr>
          <w:rFonts w:ascii="Times New Roman" w:hAnsi="Times New Roman" w:cs="Times New Roman"/>
        </w:rPr>
        <w:t xml:space="preserve"> 223(11), pp. 1865-1869.</w:t>
      </w:r>
    </w:p>
    <w:p w14:paraId="5C33DC6B" w14:textId="77777777" w:rsidR="00EC083A" w:rsidRPr="00720DB4" w:rsidRDefault="00EC083A" w:rsidP="00720DB4">
      <w:pPr>
        <w:pStyle w:val="EndNoteBibliography"/>
        <w:spacing w:after="0"/>
        <w:jc w:val="both"/>
        <w:rPr>
          <w:rFonts w:ascii="Times New Roman" w:hAnsi="Times New Roman" w:cs="Times New Roman"/>
        </w:rPr>
      </w:pPr>
    </w:p>
    <w:p w14:paraId="1363CA9E" w14:textId="7660BA08" w:rsidR="00EC083A"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Kawakami, K. (2007) 'Tol2: a versatile gene transfer vector in vertebrates', </w:t>
      </w:r>
      <w:r w:rsidRPr="00720DB4">
        <w:rPr>
          <w:rFonts w:ascii="Times New Roman" w:hAnsi="Times New Roman" w:cs="Times New Roman"/>
          <w:i/>
        </w:rPr>
        <w:t>Genome Biology,</w:t>
      </w:r>
      <w:r w:rsidRPr="00720DB4">
        <w:rPr>
          <w:rFonts w:ascii="Times New Roman" w:hAnsi="Times New Roman" w:cs="Times New Roman"/>
        </w:rPr>
        <w:t xml:space="preserve"> 8.</w:t>
      </w:r>
    </w:p>
    <w:p w14:paraId="501986B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Keasling, J. D., Bertsch, L. and Kornberg, A. (1993) 'GUANOSINE PENTAPHOSPHATE PHOSPHOHYDROLASE OF </w:t>
      </w:r>
      <w:r w:rsidRPr="00EC083A">
        <w:rPr>
          <w:rFonts w:ascii="Times New Roman" w:hAnsi="Times New Roman" w:cs="Times New Roman"/>
          <w:i/>
          <w:iCs/>
        </w:rPr>
        <w:t>ESCHERICHIA-COLI</w:t>
      </w:r>
      <w:r w:rsidRPr="00720DB4">
        <w:rPr>
          <w:rFonts w:ascii="Times New Roman" w:hAnsi="Times New Roman" w:cs="Times New Roman"/>
        </w:rPr>
        <w:t xml:space="preserve"> IS A LONG-CHAIN EXOPOLYPHOSPHATASE',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90(15), pp. 7029-7033.</w:t>
      </w:r>
    </w:p>
    <w:p w14:paraId="28581FA7" w14:textId="77777777" w:rsidR="00EC083A" w:rsidRPr="00720DB4" w:rsidRDefault="00EC083A" w:rsidP="00720DB4">
      <w:pPr>
        <w:pStyle w:val="EndNoteBibliography"/>
        <w:spacing w:after="0"/>
        <w:jc w:val="both"/>
        <w:rPr>
          <w:rFonts w:ascii="Times New Roman" w:hAnsi="Times New Roman" w:cs="Times New Roman"/>
        </w:rPr>
      </w:pPr>
    </w:p>
    <w:p w14:paraId="58AAFF1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Kellenberger, C. A., Chen, C., Whiteley, A. T., Portnoy, D. A. and Hammond, M. C. (2015) 'RNA-Based Fluorescent Biosensors for Live Cell Imaging of Second Messenger Cyclic di-AMP', </w:t>
      </w:r>
      <w:r w:rsidRPr="00720DB4">
        <w:rPr>
          <w:rFonts w:ascii="Times New Roman" w:hAnsi="Times New Roman" w:cs="Times New Roman"/>
          <w:i/>
        </w:rPr>
        <w:t>Journal of the American Chemical Society,</w:t>
      </w:r>
      <w:r w:rsidRPr="00720DB4">
        <w:rPr>
          <w:rFonts w:ascii="Times New Roman" w:hAnsi="Times New Roman" w:cs="Times New Roman"/>
        </w:rPr>
        <w:t xml:space="preserve"> 137(20), pp. 6432-6435.</w:t>
      </w:r>
    </w:p>
    <w:p w14:paraId="719B21E6" w14:textId="77777777" w:rsidR="00EC083A" w:rsidRPr="00720DB4" w:rsidRDefault="00EC083A" w:rsidP="00720DB4">
      <w:pPr>
        <w:pStyle w:val="EndNoteBibliography"/>
        <w:spacing w:after="0"/>
        <w:jc w:val="both"/>
        <w:rPr>
          <w:rFonts w:ascii="Times New Roman" w:hAnsi="Times New Roman" w:cs="Times New Roman"/>
        </w:rPr>
      </w:pPr>
    </w:p>
    <w:p w14:paraId="1E65528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Keyer, K. and Imlay, J. A. (1996) 'Superoxide accelerates DNA damage by elevating free-iron levels',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93(24), pp. 13635-13640.</w:t>
      </w:r>
    </w:p>
    <w:p w14:paraId="5FB7CE2C" w14:textId="77777777" w:rsidR="00EC083A" w:rsidRPr="00720DB4" w:rsidRDefault="00EC083A" w:rsidP="00720DB4">
      <w:pPr>
        <w:pStyle w:val="EndNoteBibliography"/>
        <w:spacing w:after="0"/>
        <w:jc w:val="both"/>
        <w:rPr>
          <w:rFonts w:ascii="Times New Roman" w:hAnsi="Times New Roman" w:cs="Times New Roman"/>
        </w:rPr>
      </w:pPr>
    </w:p>
    <w:p w14:paraId="43EB446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Khakimova, M., Ahlgren, H. G., Harrison, J. J., English, A. M. and Dao, N. (2013) 'The Stringent Response Controls Catalases in </w:t>
      </w:r>
      <w:r w:rsidRPr="00EC083A">
        <w:rPr>
          <w:rFonts w:ascii="Times New Roman" w:hAnsi="Times New Roman" w:cs="Times New Roman"/>
          <w:i/>
          <w:iCs/>
        </w:rPr>
        <w:t>Pseudomonas aeruginosa</w:t>
      </w:r>
      <w:r w:rsidRPr="00720DB4">
        <w:rPr>
          <w:rFonts w:ascii="Times New Roman" w:hAnsi="Times New Roman" w:cs="Times New Roman"/>
        </w:rPr>
        <w:t xml:space="preserve"> and Is Required for Hydrogen Peroxide and Antibiotic Tolerance', </w:t>
      </w:r>
      <w:r w:rsidRPr="00720DB4">
        <w:rPr>
          <w:rFonts w:ascii="Times New Roman" w:hAnsi="Times New Roman" w:cs="Times New Roman"/>
          <w:i/>
        </w:rPr>
        <w:t>Journal of Bacteriology,</w:t>
      </w:r>
      <w:r w:rsidRPr="00720DB4">
        <w:rPr>
          <w:rFonts w:ascii="Times New Roman" w:hAnsi="Times New Roman" w:cs="Times New Roman"/>
        </w:rPr>
        <w:t xml:space="preserve"> 195(9), pp. 2011-2020.</w:t>
      </w:r>
    </w:p>
    <w:p w14:paraId="610D13F3" w14:textId="77777777" w:rsidR="00EC083A" w:rsidRPr="00720DB4" w:rsidRDefault="00EC083A" w:rsidP="00720DB4">
      <w:pPr>
        <w:pStyle w:val="EndNoteBibliography"/>
        <w:spacing w:after="0"/>
        <w:jc w:val="both"/>
        <w:rPr>
          <w:rFonts w:ascii="Times New Roman" w:hAnsi="Times New Roman" w:cs="Times New Roman"/>
        </w:rPr>
      </w:pPr>
    </w:p>
    <w:p w14:paraId="7C99B1A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Kiedrowski, M. R. and Horswill, A. R. (2011) 'New approaches for treating staphylococcal biofilm infections', </w:t>
      </w:r>
      <w:r w:rsidRPr="00720DB4">
        <w:rPr>
          <w:rFonts w:ascii="Times New Roman" w:hAnsi="Times New Roman" w:cs="Times New Roman"/>
          <w:i/>
        </w:rPr>
        <w:t>Antimicrobial Therapeutics Reviews: Antibiotics That Target the Ribosome,</w:t>
      </w:r>
      <w:r w:rsidRPr="00720DB4">
        <w:rPr>
          <w:rFonts w:ascii="Times New Roman" w:hAnsi="Times New Roman" w:cs="Times New Roman"/>
        </w:rPr>
        <w:t xml:space="preserve"> 1241, pp. 104-121.</w:t>
      </w:r>
    </w:p>
    <w:p w14:paraId="58535647" w14:textId="77777777" w:rsidR="00EC083A" w:rsidRPr="00720DB4" w:rsidRDefault="00EC083A" w:rsidP="00720DB4">
      <w:pPr>
        <w:pStyle w:val="EndNoteBibliography"/>
        <w:spacing w:after="0"/>
        <w:jc w:val="both"/>
        <w:rPr>
          <w:rFonts w:ascii="Times New Roman" w:hAnsi="Times New Roman" w:cs="Times New Roman"/>
        </w:rPr>
      </w:pPr>
    </w:p>
    <w:p w14:paraId="3D91D70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Kihira, K., Shimizu, Y., Shomura, Y., Shibata, N., Kitamura, M., Nakagawa, A., Ueda, T., Ochi, K. and Higuchi, Y. (2012) 'Crystal structure analysis of the translation factor RF3 (release factor 3)', </w:t>
      </w:r>
      <w:r w:rsidRPr="00720DB4">
        <w:rPr>
          <w:rFonts w:ascii="Times New Roman" w:hAnsi="Times New Roman" w:cs="Times New Roman"/>
          <w:i/>
        </w:rPr>
        <w:t>Febs Letters,</w:t>
      </w:r>
      <w:r w:rsidRPr="00720DB4">
        <w:rPr>
          <w:rFonts w:ascii="Times New Roman" w:hAnsi="Times New Roman" w:cs="Times New Roman"/>
        </w:rPr>
        <w:t xml:space="preserve"> 586(20), pp. 3705-3709.</w:t>
      </w:r>
    </w:p>
    <w:p w14:paraId="7B754D02" w14:textId="77777777" w:rsidR="00EC083A" w:rsidRPr="00720DB4" w:rsidRDefault="00EC083A" w:rsidP="00720DB4">
      <w:pPr>
        <w:pStyle w:val="EndNoteBibliography"/>
        <w:spacing w:after="0"/>
        <w:jc w:val="both"/>
        <w:rPr>
          <w:rFonts w:ascii="Times New Roman" w:hAnsi="Times New Roman" w:cs="Times New Roman"/>
        </w:rPr>
      </w:pPr>
    </w:p>
    <w:p w14:paraId="0B68CD9D" w14:textId="226EE258"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Kim, C., Mwangi, M., Chung, M., Milheirico, C., de Lencastre, H. and Tomasz, A. (2013) 'The Mechanism of Heterogeneous Beta-Lactam Resistance in MRSA: Key Role of the Stringent Stress Response', </w:t>
      </w:r>
      <w:r w:rsidRPr="00720DB4">
        <w:rPr>
          <w:rFonts w:ascii="Times New Roman" w:hAnsi="Times New Roman" w:cs="Times New Roman"/>
          <w:i/>
        </w:rPr>
        <w:t>Plos One,</w:t>
      </w:r>
      <w:r w:rsidRPr="00720DB4">
        <w:rPr>
          <w:rFonts w:ascii="Times New Roman" w:hAnsi="Times New Roman" w:cs="Times New Roman"/>
        </w:rPr>
        <w:t xml:space="preserve"> 8(12).</w:t>
      </w:r>
    </w:p>
    <w:p w14:paraId="50F27B22" w14:textId="77777777" w:rsidR="00EC083A" w:rsidRPr="00720DB4" w:rsidRDefault="00EC083A" w:rsidP="00720DB4">
      <w:pPr>
        <w:pStyle w:val="EndNoteBibliography"/>
        <w:spacing w:after="0"/>
        <w:jc w:val="both"/>
        <w:rPr>
          <w:rFonts w:ascii="Times New Roman" w:hAnsi="Times New Roman" w:cs="Times New Roman"/>
        </w:rPr>
      </w:pPr>
    </w:p>
    <w:p w14:paraId="627DDC1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Kim, H. M. and Davey, M. E. (2020) 'Synthesis of ppGpp impacts type IX secretion and biofilm matrix formation in </w:t>
      </w:r>
      <w:r w:rsidRPr="00EC083A">
        <w:rPr>
          <w:rFonts w:ascii="Times New Roman" w:hAnsi="Times New Roman" w:cs="Times New Roman"/>
          <w:i/>
          <w:iCs/>
        </w:rPr>
        <w:t>Porphyromonas gingivalis</w:t>
      </w:r>
      <w:r w:rsidRPr="00720DB4">
        <w:rPr>
          <w:rFonts w:ascii="Times New Roman" w:hAnsi="Times New Roman" w:cs="Times New Roman"/>
        </w:rPr>
        <w:t xml:space="preserve">', </w:t>
      </w:r>
      <w:r w:rsidRPr="00720DB4">
        <w:rPr>
          <w:rFonts w:ascii="Times New Roman" w:hAnsi="Times New Roman" w:cs="Times New Roman"/>
          <w:i/>
        </w:rPr>
        <w:t>Npj Biofilms and Microbiomes,</w:t>
      </w:r>
      <w:r w:rsidRPr="00720DB4">
        <w:rPr>
          <w:rFonts w:ascii="Times New Roman" w:hAnsi="Times New Roman" w:cs="Times New Roman"/>
        </w:rPr>
        <w:t xml:space="preserve"> 6(1).</w:t>
      </w:r>
    </w:p>
    <w:p w14:paraId="7614FFAC" w14:textId="77777777" w:rsidR="00EC083A" w:rsidRPr="00720DB4" w:rsidRDefault="00EC083A" w:rsidP="00720DB4">
      <w:pPr>
        <w:pStyle w:val="EndNoteBibliography"/>
        <w:spacing w:after="0"/>
        <w:jc w:val="both"/>
        <w:rPr>
          <w:rFonts w:ascii="Times New Roman" w:hAnsi="Times New Roman" w:cs="Times New Roman"/>
        </w:rPr>
      </w:pPr>
    </w:p>
    <w:p w14:paraId="6DA054D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Kinchen, J. M. and Ravichandran, K. S. (2010) 'Identification of two evolutionarily conserved genes regulating processing of engulfed apoptotic cells', </w:t>
      </w:r>
      <w:r w:rsidRPr="00720DB4">
        <w:rPr>
          <w:rFonts w:ascii="Times New Roman" w:hAnsi="Times New Roman" w:cs="Times New Roman"/>
          <w:i/>
        </w:rPr>
        <w:t>Nature,</w:t>
      </w:r>
      <w:r w:rsidRPr="00720DB4">
        <w:rPr>
          <w:rFonts w:ascii="Times New Roman" w:hAnsi="Times New Roman" w:cs="Times New Roman"/>
        </w:rPr>
        <w:t xml:space="preserve"> 464(7289), pp. 778-U157.</w:t>
      </w:r>
    </w:p>
    <w:p w14:paraId="3001B201" w14:textId="77777777" w:rsidR="00EC083A" w:rsidRPr="00720DB4" w:rsidRDefault="00EC083A" w:rsidP="00720DB4">
      <w:pPr>
        <w:pStyle w:val="EndNoteBibliography"/>
        <w:spacing w:after="0"/>
        <w:jc w:val="both"/>
        <w:rPr>
          <w:rFonts w:ascii="Times New Roman" w:hAnsi="Times New Roman" w:cs="Times New Roman"/>
        </w:rPr>
      </w:pPr>
    </w:p>
    <w:p w14:paraId="0A607E7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King, C. C., Jefferson, M. M. and Thomas, E. L. (1997) 'Secretion and inactivation of myeloperoxidase by isolated neutrophils', </w:t>
      </w:r>
      <w:r w:rsidRPr="00720DB4">
        <w:rPr>
          <w:rFonts w:ascii="Times New Roman" w:hAnsi="Times New Roman" w:cs="Times New Roman"/>
          <w:i/>
        </w:rPr>
        <w:t>Journal of Leukocyte Biology,</w:t>
      </w:r>
      <w:r w:rsidRPr="00720DB4">
        <w:rPr>
          <w:rFonts w:ascii="Times New Roman" w:hAnsi="Times New Roman" w:cs="Times New Roman"/>
        </w:rPr>
        <w:t xml:space="preserve"> 61(3), pp. 293-302.</w:t>
      </w:r>
    </w:p>
    <w:p w14:paraId="1839B05B" w14:textId="77777777" w:rsidR="00EC083A" w:rsidRPr="00720DB4" w:rsidRDefault="00EC083A" w:rsidP="00720DB4">
      <w:pPr>
        <w:pStyle w:val="EndNoteBibliography"/>
        <w:spacing w:after="0"/>
        <w:jc w:val="both"/>
        <w:rPr>
          <w:rFonts w:ascii="Times New Roman" w:hAnsi="Times New Roman" w:cs="Times New Roman"/>
        </w:rPr>
      </w:pPr>
    </w:p>
    <w:p w14:paraId="439D952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Kitano, M., Nakaya, M., Nakamura, T., Nagata, S. and Matsuda, M. (2008) 'Imaging of Rab5 activity identifies essential regulators for phagosome maturation', </w:t>
      </w:r>
      <w:r w:rsidRPr="00720DB4">
        <w:rPr>
          <w:rFonts w:ascii="Times New Roman" w:hAnsi="Times New Roman" w:cs="Times New Roman"/>
          <w:i/>
        </w:rPr>
        <w:t>Nature,</w:t>
      </w:r>
      <w:r w:rsidRPr="00720DB4">
        <w:rPr>
          <w:rFonts w:ascii="Times New Roman" w:hAnsi="Times New Roman" w:cs="Times New Roman"/>
        </w:rPr>
        <w:t xml:space="preserve"> 453(7192), pp. 241-U15.</w:t>
      </w:r>
    </w:p>
    <w:p w14:paraId="4AAE908D" w14:textId="77777777" w:rsidR="00EC083A" w:rsidRPr="00720DB4" w:rsidRDefault="00EC083A" w:rsidP="00720DB4">
      <w:pPr>
        <w:pStyle w:val="EndNoteBibliography"/>
        <w:spacing w:after="0"/>
        <w:jc w:val="both"/>
        <w:rPr>
          <w:rFonts w:ascii="Times New Roman" w:hAnsi="Times New Roman" w:cs="Times New Roman"/>
        </w:rPr>
      </w:pPr>
    </w:p>
    <w:p w14:paraId="20BC0D7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Kjeldsen, L., Bainton, D. F., Sengelov, H. and Borregaard, N. (1993) 'STRUCTURAL AND FUNCTIONAL-HETEROGENEITY AMONG PEROXIDASE-NEGATIVE GRANULES IN HUMAN NEUTROPHILS - IDENTIFICATION OF A DISTINCT GELATINASE-CONTAINING GRANULE SUBSET BY COMBINED IMMUNOCYTOCHEMISTRY AND SUBCELLULAR FRACTIONATION', </w:t>
      </w:r>
      <w:r w:rsidRPr="00720DB4">
        <w:rPr>
          <w:rFonts w:ascii="Times New Roman" w:hAnsi="Times New Roman" w:cs="Times New Roman"/>
          <w:i/>
        </w:rPr>
        <w:t>Blood,</w:t>
      </w:r>
      <w:r w:rsidRPr="00720DB4">
        <w:rPr>
          <w:rFonts w:ascii="Times New Roman" w:hAnsi="Times New Roman" w:cs="Times New Roman"/>
        </w:rPr>
        <w:t xml:space="preserve"> 82(10), pp. 3183-3191.</w:t>
      </w:r>
    </w:p>
    <w:p w14:paraId="74E5F809" w14:textId="77777777" w:rsidR="00EC083A" w:rsidRPr="00720DB4" w:rsidRDefault="00EC083A" w:rsidP="00720DB4">
      <w:pPr>
        <w:pStyle w:val="EndNoteBibliography"/>
        <w:spacing w:after="0"/>
        <w:jc w:val="both"/>
        <w:rPr>
          <w:rFonts w:ascii="Times New Roman" w:hAnsi="Times New Roman" w:cs="Times New Roman"/>
        </w:rPr>
      </w:pPr>
    </w:p>
    <w:p w14:paraId="1FF92A9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Kloppot, P., Selle, M., Kohler, C., Stentzel, S., Fuchs, S., Liebscher, V., Muller, E., Kale, D., Ohlsen, K., Broker, B. M., Zipfel, P. F., Kahl, B. C., Ehricht, R., Hecker, M. and Engelmann, S. (2015) 'Microarray-based identification of human antibodies against </w:t>
      </w:r>
      <w:r w:rsidRPr="00EC083A">
        <w:rPr>
          <w:rFonts w:ascii="Times New Roman" w:hAnsi="Times New Roman" w:cs="Times New Roman"/>
          <w:i/>
          <w:iCs/>
        </w:rPr>
        <w:t>Staphylococcus aureus</w:t>
      </w:r>
      <w:r w:rsidRPr="00720DB4">
        <w:rPr>
          <w:rFonts w:ascii="Times New Roman" w:hAnsi="Times New Roman" w:cs="Times New Roman"/>
        </w:rPr>
        <w:t xml:space="preserve"> antigens', </w:t>
      </w:r>
      <w:r w:rsidRPr="00720DB4">
        <w:rPr>
          <w:rFonts w:ascii="Times New Roman" w:hAnsi="Times New Roman" w:cs="Times New Roman"/>
          <w:i/>
        </w:rPr>
        <w:t>Proteomics Clinical Applications,</w:t>
      </w:r>
      <w:r w:rsidRPr="00720DB4">
        <w:rPr>
          <w:rFonts w:ascii="Times New Roman" w:hAnsi="Times New Roman" w:cs="Times New Roman"/>
        </w:rPr>
        <w:t xml:space="preserve"> 9(11-12), pp. 1003-1011.</w:t>
      </w:r>
    </w:p>
    <w:p w14:paraId="250B708E" w14:textId="77777777" w:rsidR="00EC083A" w:rsidRPr="00720DB4" w:rsidRDefault="00EC083A" w:rsidP="00720DB4">
      <w:pPr>
        <w:pStyle w:val="EndNoteBibliography"/>
        <w:spacing w:after="0"/>
        <w:jc w:val="both"/>
        <w:rPr>
          <w:rFonts w:ascii="Times New Roman" w:hAnsi="Times New Roman" w:cs="Times New Roman"/>
        </w:rPr>
      </w:pPr>
    </w:p>
    <w:p w14:paraId="3B246C3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Kobayashi, S. D., Braughton, K. R., Palazzolo-Ballance, A. M., Kennedy, A. D., Sampaio, E., Kristosturyan, E., Whitney, A. R., Sturdevant, D. E., Dorward, D. W., Holland, S. M., Kreiswirth, B. N., Musser, J. M. and Deleo, F. R. (2010) 'Rapid Neutrophil Destruction following Phagocytosis of </w:t>
      </w:r>
      <w:r w:rsidRPr="00EC083A">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Innate Immunity,</w:t>
      </w:r>
      <w:r w:rsidRPr="00720DB4">
        <w:rPr>
          <w:rFonts w:ascii="Times New Roman" w:hAnsi="Times New Roman" w:cs="Times New Roman"/>
        </w:rPr>
        <w:t xml:space="preserve"> 2(6), pp. 560-575.</w:t>
      </w:r>
    </w:p>
    <w:p w14:paraId="1E9879D5" w14:textId="77777777" w:rsidR="00EC083A" w:rsidRPr="00720DB4" w:rsidRDefault="00EC083A" w:rsidP="00720DB4">
      <w:pPr>
        <w:pStyle w:val="EndNoteBibliography"/>
        <w:spacing w:after="0"/>
        <w:jc w:val="both"/>
        <w:rPr>
          <w:rFonts w:ascii="Times New Roman" w:hAnsi="Times New Roman" w:cs="Times New Roman"/>
        </w:rPr>
      </w:pPr>
    </w:p>
    <w:p w14:paraId="157AAE0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Kostic, M., Ivanov, M., Babic, S. S., Tepavcevic, Z., Radanovic, O., Sokovic, M. and Ciric, A. (2022) 'Analysis of Tonsil Tissues from Patients Diagnosed with Chronic Tonsillitis-Microbiological Profile, Biofilm-Forming Capacity and Histology', </w:t>
      </w:r>
      <w:r w:rsidRPr="00720DB4">
        <w:rPr>
          <w:rFonts w:ascii="Times New Roman" w:hAnsi="Times New Roman" w:cs="Times New Roman"/>
          <w:i/>
        </w:rPr>
        <w:t>Antibiotics-Basel,</w:t>
      </w:r>
      <w:r w:rsidRPr="00720DB4">
        <w:rPr>
          <w:rFonts w:ascii="Times New Roman" w:hAnsi="Times New Roman" w:cs="Times New Roman"/>
        </w:rPr>
        <w:t xml:space="preserve"> 11(12).</w:t>
      </w:r>
    </w:p>
    <w:p w14:paraId="7B610202" w14:textId="77777777" w:rsidR="00EC083A" w:rsidRPr="00720DB4" w:rsidRDefault="00EC083A" w:rsidP="00720DB4">
      <w:pPr>
        <w:pStyle w:val="EndNoteBibliography"/>
        <w:spacing w:after="0"/>
        <w:jc w:val="both"/>
        <w:rPr>
          <w:rFonts w:ascii="Times New Roman" w:hAnsi="Times New Roman" w:cs="Times New Roman"/>
        </w:rPr>
      </w:pPr>
    </w:p>
    <w:p w14:paraId="2955CEA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Kozlova, A. A., Verkhovskii, R. A., Ermakov, A. V. and Bratashov, D. N. (2020) 'Changes in Autofluorescence Level of Live and Dead Cells for Mouse Cell Lines', </w:t>
      </w:r>
      <w:r w:rsidRPr="00720DB4">
        <w:rPr>
          <w:rFonts w:ascii="Times New Roman" w:hAnsi="Times New Roman" w:cs="Times New Roman"/>
          <w:i/>
        </w:rPr>
        <w:t>Journal of Fluorescence,</w:t>
      </w:r>
      <w:r w:rsidRPr="00720DB4">
        <w:rPr>
          <w:rFonts w:ascii="Times New Roman" w:hAnsi="Times New Roman" w:cs="Times New Roman"/>
        </w:rPr>
        <w:t xml:space="preserve"> 30(6), pp. 1483-1489.</w:t>
      </w:r>
    </w:p>
    <w:p w14:paraId="6187A5F0" w14:textId="77777777" w:rsidR="00EC083A" w:rsidRPr="00720DB4" w:rsidRDefault="00EC083A" w:rsidP="00720DB4">
      <w:pPr>
        <w:pStyle w:val="EndNoteBibliography"/>
        <w:spacing w:after="0"/>
        <w:jc w:val="both"/>
        <w:rPr>
          <w:rFonts w:ascii="Times New Roman" w:hAnsi="Times New Roman" w:cs="Times New Roman"/>
        </w:rPr>
      </w:pPr>
    </w:p>
    <w:p w14:paraId="0286A15C" w14:textId="6E6CB447" w:rsidR="00F33866" w:rsidRPr="00720DB4" w:rsidRDefault="00F33866" w:rsidP="00EC083A">
      <w:pPr>
        <w:pStyle w:val="EndNoteBibliography"/>
        <w:jc w:val="both"/>
        <w:rPr>
          <w:rFonts w:ascii="Times New Roman" w:hAnsi="Times New Roman" w:cs="Times New Roman"/>
        </w:rPr>
      </w:pPr>
      <w:r w:rsidRPr="00720DB4">
        <w:rPr>
          <w:rFonts w:ascii="Times New Roman" w:hAnsi="Times New Roman" w:cs="Times New Roman"/>
        </w:rPr>
        <w:t>Kreiswirth, B. N., Lofdahl, S., Betley, M. J., O'Reilly, M., Schlievert, P. M., Bergdoll, M. S. and Novick, R. P. (1983) 'The toxic shock syndrome exotoxin structural</w:t>
      </w:r>
      <w:r w:rsidR="00EC083A">
        <w:rPr>
          <w:rFonts w:ascii="Times New Roman" w:hAnsi="Times New Roman" w:cs="Times New Roman"/>
        </w:rPr>
        <w:t xml:space="preserve"> </w:t>
      </w:r>
      <w:r w:rsidRPr="00720DB4">
        <w:rPr>
          <w:rFonts w:ascii="Times New Roman" w:hAnsi="Times New Roman" w:cs="Times New Roman"/>
        </w:rPr>
        <w:t xml:space="preserve">gene is not detectably transmitted by a prophage. ', </w:t>
      </w:r>
      <w:r w:rsidRPr="00720DB4">
        <w:rPr>
          <w:rFonts w:ascii="Times New Roman" w:hAnsi="Times New Roman" w:cs="Times New Roman"/>
          <w:i/>
        </w:rPr>
        <w:t>Nature,</w:t>
      </w:r>
      <w:r w:rsidRPr="00720DB4">
        <w:rPr>
          <w:rFonts w:ascii="Times New Roman" w:hAnsi="Times New Roman" w:cs="Times New Roman"/>
        </w:rPr>
        <w:t xml:space="preserve"> 305, pp. 709-712.</w:t>
      </w:r>
    </w:p>
    <w:p w14:paraId="19C4E9D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Kretschmer, D., Breitmeyer, R., Gekeler, C., Lebtig, M., Schlatterer, K., Nega, M., Stahl, M., Stapels, D., Rooijakkers, S. and Peschel, A. (2021) '</w:t>
      </w:r>
      <w:r w:rsidRPr="00EC083A">
        <w:rPr>
          <w:rFonts w:ascii="Times New Roman" w:hAnsi="Times New Roman" w:cs="Times New Roman"/>
          <w:i/>
          <w:iCs/>
        </w:rPr>
        <w:t>Staphylococcus aureus</w:t>
      </w:r>
      <w:r w:rsidRPr="00720DB4">
        <w:rPr>
          <w:rFonts w:ascii="Times New Roman" w:hAnsi="Times New Roman" w:cs="Times New Roman"/>
        </w:rPr>
        <w:t xml:space="preserve"> Depends on Eap Proteins for Preventing Degradation of Its Phenol-Soluble Modulin Toxins by Neutrophil Serine Proteases', </w:t>
      </w:r>
      <w:r w:rsidRPr="00720DB4">
        <w:rPr>
          <w:rFonts w:ascii="Times New Roman" w:hAnsi="Times New Roman" w:cs="Times New Roman"/>
          <w:i/>
        </w:rPr>
        <w:t>Frontiers in Immunology,</w:t>
      </w:r>
      <w:r w:rsidRPr="00720DB4">
        <w:rPr>
          <w:rFonts w:ascii="Times New Roman" w:hAnsi="Times New Roman" w:cs="Times New Roman"/>
        </w:rPr>
        <w:t xml:space="preserve"> 12.</w:t>
      </w:r>
    </w:p>
    <w:p w14:paraId="329DB163" w14:textId="77777777" w:rsidR="00EC083A" w:rsidRPr="00720DB4" w:rsidRDefault="00EC083A" w:rsidP="00720DB4">
      <w:pPr>
        <w:pStyle w:val="EndNoteBibliography"/>
        <w:spacing w:after="0"/>
        <w:jc w:val="both"/>
        <w:rPr>
          <w:rFonts w:ascii="Times New Roman" w:hAnsi="Times New Roman" w:cs="Times New Roman"/>
        </w:rPr>
      </w:pPr>
    </w:p>
    <w:p w14:paraId="7C62E3E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Kriel, A., Bittner, A. N., Kim, S. H., Liu, K. Q., Tehranchi, A. K., Zou, W. Y., Rendon, S., Chen, R., Tu, B. P. and Wang, J. D. (2012) 'Direct Regulation of GTP Homeostasis by (p)ppGpp: A Critical Component of Viability and Stress Resistance', </w:t>
      </w:r>
      <w:r w:rsidRPr="00720DB4">
        <w:rPr>
          <w:rFonts w:ascii="Times New Roman" w:hAnsi="Times New Roman" w:cs="Times New Roman"/>
          <w:i/>
        </w:rPr>
        <w:t>Molecular Cell,</w:t>
      </w:r>
      <w:r w:rsidRPr="00720DB4">
        <w:rPr>
          <w:rFonts w:ascii="Times New Roman" w:hAnsi="Times New Roman" w:cs="Times New Roman"/>
        </w:rPr>
        <w:t xml:space="preserve"> 48(2), pp. 231-241.</w:t>
      </w:r>
    </w:p>
    <w:p w14:paraId="4938566E" w14:textId="77777777" w:rsidR="00EC083A" w:rsidRPr="00720DB4" w:rsidRDefault="00EC083A" w:rsidP="00720DB4">
      <w:pPr>
        <w:pStyle w:val="EndNoteBibliography"/>
        <w:spacing w:after="0"/>
        <w:jc w:val="both"/>
        <w:rPr>
          <w:rFonts w:ascii="Times New Roman" w:hAnsi="Times New Roman" w:cs="Times New Roman"/>
        </w:rPr>
      </w:pPr>
    </w:p>
    <w:p w14:paraId="7F8C398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Krishnan, S., Petchiappan, A., Singh, A., Bhatt, A. and Chatterji, D. (2016) 'R-loop induced stress response by second (p)ppGpp synthetase in </w:t>
      </w:r>
      <w:r w:rsidRPr="00EC083A">
        <w:rPr>
          <w:rFonts w:ascii="Times New Roman" w:hAnsi="Times New Roman" w:cs="Times New Roman"/>
          <w:i/>
          <w:iCs/>
        </w:rPr>
        <w:t>Mycobacterium smegmatis</w:t>
      </w:r>
      <w:r w:rsidRPr="00720DB4">
        <w:rPr>
          <w:rFonts w:ascii="Times New Roman" w:hAnsi="Times New Roman" w:cs="Times New Roman"/>
        </w:rPr>
        <w:t xml:space="preserve">: functional and domain interdependence', </w:t>
      </w:r>
      <w:r w:rsidRPr="00720DB4">
        <w:rPr>
          <w:rFonts w:ascii="Times New Roman" w:hAnsi="Times New Roman" w:cs="Times New Roman"/>
          <w:i/>
        </w:rPr>
        <w:t>Molecular Microbiology,</w:t>
      </w:r>
      <w:r w:rsidRPr="00720DB4">
        <w:rPr>
          <w:rFonts w:ascii="Times New Roman" w:hAnsi="Times New Roman" w:cs="Times New Roman"/>
        </w:rPr>
        <w:t xml:space="preserve"> 102(1), pp. 168-182.</w:t>
      </w:r>
    </w:p>
    <w:p w14:paraId="0DD1D528" w14:textId="77777777" w:rsidR="00EC083A" w:rsidRPr="00720DB4" w:rsidRDefault="00EC083A" w:rsidP="00720DB4">
      <w:pPr>
        <w:pStyle w:val="EndNoteBibliography"/>
        <w:spacing w:after="0"/>
        <w:jc w:val="both"/>
        <w:rPr>
          <w:rFonts w:ascii="Times New Roman" w:hAnsi="Times New Roman" w:cs="Times New Roman"/>
        </w:rPr>
      </w:pPr>
    </w:p>
    <w:p w14:paraId="03FD83F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Krásný, L. and Gourse, R. L. (2004) 'An alternative strategy for bacterial ribosome synthesis: </w:t>
      </w:r>
      <w:r w:rsidRPr="00EC083A">
        <w:rPr>
          <w:rFonts w:ascii="Times New Roman" w:hAnsi="Times New Roman" w:cs="Times New Roman"/>
          <w:i/>
          <w:iCs/>
        </w:rPr>
        <w:t>Bacillus subtilis</w:t>
      </w:r>
      <w:r w:rsidRPr="00720DB4">
        <w:rPr>
          <w:rFonts w:ascii="Times New Roman" w:hAnsi="Times New Roman" w:cs="Times New Roman"/>
        </w:rPr>
        <w:t xml:space="preserve"> rRNA transcription regulation', </w:t>
      </w:r>
      <w:r w:rsidRPr="00720DB4">
        <w:rPr>
          <w:rFonts w:ascii="Times New Roman" w:hAnsi="Times New Roman" w:cs="Times New Roman"/>
          <w:i/>
        </w:rPr>
        <w:t>Embo Journal,</w:t>
      </w:r>
      <w:r w:rsidRPr="00720DB4">
        <w:rPr>
          <w:rFonts w:ascii="Times New Roman" w:hAnsi="Times New Roman" w:cs="Times New Roman"/>
        </w:rPr>
        <w:t xml:space="preserve"> 23(22), pp. 4473-4483.</w:t>
      </w:r>
    </w:p>
    <w:p w14:paraId="68199051" w14:textId="77777777" w:rsidR="00EC083A" w:rsidRPr="00720DB4" w:rsidRDefault="00EC083A" w:rsidP="00720DB4">
      <w:pPr>
        <w:pStyle w:val="EndNoteBibliography"/>
        <w:spacing w:after="0"/>
        <w:jc w:val="both"/>
        <w:rPr>
          <w:rFonts w:ascii="Times New Roman" w:hAnsi="Times New Roman" w:cs="Times New Roman"/>
        </w:rPr>
      </w:pPr>
    </w:p>
    <w:p w14:paraId="2E6FCAA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Krásný, L., Tiserova, H., Jonak, J., Rejman, D. and Sanderova, H. (2008) 'The identity of the transcription+1 position is crucial for changes in gene expression in response to amino acid starvation in </w:t>
      </w:r>
      <w:r w:rsidRPr="00EC083A">
        <w:rPr>
          <w:rFonts w:ascii="Times New Roman" w:hAnsi="Times New Roman" w:cs="Times New Roman"/>
          <w:i/>
          <w:iCs/>
        </w:rPr>
        <w:t>Bacillus subtilis</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69(1), pp. 42-54.</w:t>
      </w:r>
    </w:p>
    <w:p w14:paraId="36DB3BB1" w14:textId="77777777" w:rsidR="00EC083A" w:rsidRPr="00720DB4" w:rsidRDefault="00EC083A" w:rsidP="00720DB4">
      <w:pPr>
        <w:pStyle w:val="EndNoteBibliography"/>
        <w:spacing w:after="0"/>
        <w:jc w:val="both"/>
        <w:rPr>
          <w:rFonts w:ascii="Times New Roman" w:hAnsi="Times New Roman" w:cs="Times New Roman"/>
        </w:rPr>
      </w:pPr>
    </w:p>
    <w:p w14:paraId="590DC57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Krüger, L., Herzberg, C., Wicke, D., Baehre, H., Heidemann, J. L., Dickmanns, A., Schmitt, K., Ficner, R. and Stuelke, J. (2021) 'A meet-up of two second messengers: the c-di-AMP receptor DarB controls (p)ppGpp synthesis in </w:t>
      </w:r>
      <w:r w:rsidRPr="00EC083A">
        <w:rPr>
          <w:rFonts w:ascii="Times New Roman" w:hAnsi="Times New Roman" w:cs="Times New Roman"/>
          <w:i/>
          <w:iCs/>
        </w:rPr>
        <w:t>Bacillus subtilis</w:t>
      </w:r>
      <w:r w:rsidRPr="00720DB4">
        <w:rPr>
          <w:rFonts w:ascii="Times New Roman" w:hAnsi="Times New Roman" w:cs="Times New Roman"/>
        </w:rPr>
        <w:t xml:space="preserve">', </w:t>
      </w:r>
      <w:r w:rsidRPr="00720DB4">
        <w:rPr>
          <w:rFonts w:ascii="Times New Roman" w:hAnsi="Times New Roman" w:cs="Times New Roman"/>
          <w:i/>
        </w:rPr>
        <w:t>Nature Communications,</w:t>
      </w:r>
      <w:r w:rsidRPr="00720DB4">
        <w:rPr>
          <w:rFonts w:ascii="Times New Roman" w:hAnsi="Times New Roman" w:cs="Times New Roman"/>
        </w:rPr>
        <w:t xml:space="preserve"> 12(1).</w:t>
      </w:r>
    </w:p>
    <w:p w14:paraId="406A9F9B" w14:textId="77777777" w:rsidR="00EC083A" w:rsidRPr="00720DB4" w:rsidRDefault="00EC083A" w:rsidP="00720DB4">
      <w:pPr>
        <w:pStyle w:val="EndNoteBibliography"/>
        <w:spacing w:after="0"/>
        <w:jc w:val="both"/>
        <w:rPr>
          <w:rFonts w:ascii="Times New Roman" w:hAnsi="Times New Roman" w:cs="Times New Roman"/>
        </w:rPr>
      </w:pPr>
    </w:p>
    <w:p w14:paraId="7B1F006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Kubica, M., Guzik, K., Koziel, J., Zarebski, M., Richter, W., Gajkowska, B., Golda, A., Maciag-Gudowska, A., Brix, K., Shaw, L., Foster, T. and Potempa, J. (2008) 'A Potential New Pathway for </w:t>
      </w:r>
      <w:r w:rsidRPr="00EC083A">
        <w:rPr>
          <w:rFonts w:ascii="Times New Roman" w:hAnsi="Times New Roman" w:cs="Times New Roman"/>
          <w:i/>
          <w:iCs/>
        </w:rPr>
        <w:t xml:space="preserve">Staphylococcus aureus </w:t>
      </w:r>
      <w:r w:rsidRPr="00720DB4">
        <w:rPr>
          <w:rFonts w:ascii="Times New Roman" w:hAnsi="Times New Roman" w:cs="Times New Roman"/>
        </w:rPr>
        <w:t xml:space="preserve">Dissemination: The Silent Survival of </w:t>
      </w:r>
      <w:r w:rsidRPr="00EC083A">
        <w:rPr>
          <w:rFonts w:ascii="Times New Roman" w:hAnsi="Times New Roman" w:cs="Times New Roman"/>
          <w:i/>
          <w:iCs/>
        </w:rPr>
        <w:t>S. aureus</w:t>
      </w:r>
      <w:r w:rsidRPr="00720DB4">
        <w:rPr>
          <w:rFonts w:ascii="Times New Roman" w:hAnsi="Times New Roman" w:cs="Times New Roman"/>
        </w:rPr>
        <w:t xml:space="preserve"> Phagocytosed by Human Monocyte-Derived Macrophages', </w:t>
      </w:r>
      <w:r w:rsidRPr="00720DB4">
        <w:rPr>
          <w:rFonts w:ascii="Times New Roman" w:hAnsi="Times New Roman" w:cs="Times New Roman"/>
          <w:i/>
        </w:rPr>
        <w:t>Plos One,</w:t>
      </w:r>
      <w:r w:rsidRPr="00720DB4">
        <w:rPr>
          <w:rFonts w:ascii="Times New Roman" w:hAnsi="Times New Roman" w:cs="Times New Roman"/>
        </w:rPr>
        <w:t xml:space="preserve"> 3(1).</w:t>
      </w:r>
    </w:p>
    <w:p w14:paraId="3F117509" w14:textId="77777777" w:rsidR="00EC083A" w:rsidRPr="00720DB4" w:rsidRDefault="00EC083A" w:rsidP="00720DB4">
      <w:pPr>
        <w:pStyle w:val="EndNoteBibliography"/>
        <w:spacing w:after="0"/>
        <w:jc w:val="both"/>
        <w:rPr>
          <w:rFonts w:ascii="Times New Roman" w:hAnsi="Times New Roman" w:cs="Times New Roman"/>
        </w:rPr>
      </w:pPr>
    </w:p>
    <w:p w14:paraId="1031BA0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Kudrin, P., Dzhygyr, I., Ishiguro, K., Beljantseva, J., Maksimova, E., Oliveira, S. R. A., Varik, V., Payoe, R., Konevega, A. L., Tenson, T., Suzuki, T. and Hauryliuk, V. (2018) 'The ribosomal A-site finger is crucial for binding and activation of the stringent factor RelA', </w:t>
      </w:r>
      <w:r w:rsidRPr="00720DB4">
        <w:rPr>
          <w:rFonts w:ascii="Times New Roman" w:hAnsi="Times New Roman" w:cs="Times New Roman"/>
          <w:i/>
        </w:rPr>
        <w:t>Nucleic Acids Research,</w:t>
      </w:r>
      <w:r w:rsidRPr="00720DB4">
        <w:rPr>
          <w:rFonts w:ascii="Times New Roman" w:hAnsi="Times New Roman" w:cs="Times New Roman"/>
        </w:rPr>
        <w:t xml:space="preserve"> 46(4), pp. 1973-1983.</w:t>
      </w:r>
    </w:p>
    <w:p w14:paraId="3EB8FE25" w14:textId="77777777" w:rsidR="00EC083A" w:rsidRPr="00720DB4" w:rsidRDefault="00EC083A" w:rsidP="00720DB4">
      <w:pPr>
        <w:pStyle w:val="EndNoteBibliography"/>
        <w:spacing w:after="0"/>
        <w:jc w:val="both"/>
        <w:rPr>
          <w:rFonts w:ascii="Times New Roman" w:hAnsi="Times New Roman" w:cs="Times New Roman"/>
        </w:rPr>
      </w:pPr>
    </w:p>
    <w:p w14:paraId="4EDC76B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Kuroda, K., Okumura, K., Isogai, H. and Isogai, E. (2015) 'The human cathelicidin antimicrobial peptide LL-37 and mimics are potential anticancer drugs', </w:t>
      </w:r>
      <w:r w:rsidRPr="00720DB4">
        <w:rPr>
          <w:rFonts w:ascii="Times New Roman" w:hAnsi="Times New Roman" w:cs="Times New Roman"/>
          <w:i/>
        </w:rPr>
        <w:t>Frontiers in Oncology,</w:t>
      </w:r>
      <w:r w:rsidRPr="00720DB4">
        <w:rPr>
          <w:rFonts w:ascii="Times New Roman" w:hAnsi="Times New Roman" w:cs="Times New Roman"/>
        </w:rPr>
        <w:t xml:space="preserve"> 5.</w:t>
      </w:r>
    </w:p>
    <w:p w14:paraId="00251F5C" w14:textId="77777777" w:rsidR="00EC083A" w:rsidRPr="00720DB4" w:rsidRDefault="00EC083A" w:rsidP="00720DB4">
      <w:pPr>
        <w:pStyle w:val="EndNoteBibliography"/>
        <w:spacing w:after="0"/>
        <w:jc w:val="both"/>
        <w:rPr>
          <w:rFonts w:ascii="Times New Roman" w:hAnsi="Times New Roman" w:cs="Times New Roman"/>
        </w:rPr>
      </w:pPr>
    </w:p>
    <w:p w14:paraId="06CBDCEA" w14:textId="5DD967E0" w:rsidR="00EC083A"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Kwak, Y. K., Vikstrom, E., Magnusson, K. E., Vecsey-Semjen, B., Colque-Navarro, P. and Mollby, R. (2012) 'The </w:t>
      </w:r>
      <w:r w:rsidRPr="00EC083A">
        <w:rPr>
          <w:rFonts w:ascii="Times New Roman" w:hAnsi="Times New Roman" w:cs="Times New Roman"/>
          <w:i/>
          <w:iCs/>
        </w:rPr>
        <w:t>Staphylococcus aureus</w:t>
      </w:r>
      <w:r w:rsidRPr="00720DB4">
        <w:rPr>
          <w:rFonts w:ascii="Times New Roman" w:hAnsi="Times New Roman" w:cs="Times New Roman"/>
        </w:rPr>
        <w:t xml:space="preserve"> Alpha-Toxin Perturbs the Barrier Function in Caco-2 Epithelial Cell Monolayers by Altering Junctional Integrity', </w:t>
      </w:r>
      <w:r w:rsidRPr="00720DB4">
        <w:rPr>
          <w:rFonts w:ascii="Times New Roman" w:hAnsi="Times New Roman" w:cs="Times New Roman"/>
          <w:i/>
        </w:rPr>
        <w:t>Infection and Immunity,</w:t>
      </w:r>
      <w:r w:rsidRPr="00720DB4">
        <w:rPr>
          <w:rFonts w:ascii="Times New Roman" w:hAnsi="Times New Roman" w:cs="Times New Roman"/>
        </w:rPr>
        <w:t xml:space="preserve"> 80(5), pp. 1670-1680.</w:t>
      </w:r>
    </w:p>
    <w:p w14:paraId="3001209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Lahoz-Beneytez, J., Elemans, M., Zhang, Y., Ahmed, R., Salam, A., Block, M., Niederalt, C., Asquith, B. and Macallan, D. (2016) 'Human neutrophil kinetics: modeling of stable isotope labeling data supports short blood neutrophil half-lives', </w:t>
      </w:r>
      <w:r w:rsidRPr="00720DB4">
        <w:rPr>
          <w:rFonts w:ascii="Times New Roman" w:hAnsi="Times New Roman" w:cs="Times New Roman"/>
          <w:i/>
        </w:rPr>
        <w:t>Blood,</w:t>
      </w:r>
      <w:r w:rsidRPr="00720DB4">
        <w:rPr>
          <w:rFonts w:ascii="Times New Roman" w:hAnsi="Times New Roman" w:cs="Times New Roman"/>
        </w:rPr>
        <w:t xml:space="preserve"> 127(26), pp. 3431-3438.</w:t>
      </w:r>
    </w:p>
    <w:p w14:paraId="6D2B58A0" w14:textId="77777777" w:rsidR="00EC083A" w:rsidRPr="00720DB4" w:rsidRDefault="00EC083A" w:rsidP="00720DB4">
      <w:pPr>
        <w:pStyle w:val="EndNoteBibliography"/>
        <w:spacing w:after="0"/>
        <w:jc w:val="both"/>
        <w:rPr>
          <w:rFonts w:ascii="Times New Roman" w:hAnsi="Times New Roman" w:cs="Times New Roman"/>
        </w:rPr>
      </w:pPr>
    </w:p>
    <w:p w14:paraId="43618B6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Lam, J. C. and Stokes, W. (2023) 'The Golden Grapes of Wrath - </w:t>
      </w:r>
      <w:r w:rsidRPr="00EC083A">
        <w:rPr>
          <w:rFonts w:ascii="Times New Roman" w:hAnsi="Times New Roman" w:cs="Times New Roman"/>
          <w:i/>
          <w:iCs/>
        </w:rPr>
        <w:t>Staphylococcus aureus</w:t>
      </w:r>
      <w:r w:rsidRPr="00720DB4">
        <w:rPr>
          <w:rFonts w:ascii="Times New Roman" w:hAnsi="Times New Roman" w:cs="Times New Roman"/>
        </w:rPr>
        <w:t xml:space="preserve"> Bacteremia: A Clinical Review', </w:t>
      </w:r>
      <w:r w:rsidRPr="00720DB4">
        <w:rPr>
          <w:rFonts w:ascii="Times New Roman" w:hAnsi="Times New Roman" w:cs="Times New Roman"/>
          <w:i/>
        </w:rPr>
        <w:t>American Journal of Medicine,</w:t>
      </w:r>
      <w:r w:rsidRPr="00720DB4">
        <w:rPr>
          <w:rFonts w:ascii="Times New Roman" w:hAnsi="Times New Roman" w:cs="Times New Roman"/>
        </w:rPr>
        <w:t xml:space="preserve"> 136(1), pp. 19-26.</w:t>
      </w:r>
    </w:p>
    <w:p w14:paraId="5353D5E2" w14:textId="77777777" w:rsidR="00EC083A" w:rsidRPr="00720DB4" w:rsidRDefault="00EC083A" w:rsidP="00720DB4">
      <w:pPr>
        <w:pStyle w:val="EndNoteBibliography"/>
        <w:spacing w:after="0"/>
        <w:jc w:val="both"/>
        <w:rPr>
          <w:rFonts w:ascii="Times New Roman" w:hAnsi="Times New Roman" w:cs="Times New Roman"/>
        </w:rPr>
      </w:pPr>
    </w:p>
    <w:p w14:paraId="33FC982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Lam, S. H., Chua, H. L., Gong, Z., Lam, T. J. and Sin, Y. M. (2004) 'Development and maturation of the immune system in zebrafish, </w:t>
      </w:r>
      <w:r w:rsidRPr="00EC083A">
        <w:rPr>
          <w:rFonts w:ascii="Times New Roman" w:hAnsi="Times New Roman" w:cs="Times New Roman"/>
          <w:i/>
          <w:iCs/>
        </w:rPr>
        <w:t>Danio rerio</w:t>
      </w:r>
      <w:r w:rsidRPr="00720DB4">
        <w:rPr>
          <w:rFonts w:ascii="Times New Roman" w:hAnsi="Times New Roman" w:cs="Times New Roman"/>
        </w:rPr>
        <w:t xml:space="preserve">: a gene expression profiling, in situ hybridization and immunological study', </w:t>
      </w:r>
      <w:r w:rsidRPr="00720DB4">
        <w:rPr>
          <w:rFonts w:ascii="Times New Roman" w:hAnsi="Times New Roman" w:cs="Times New Roman"/>
          <w:i/>
        </w:rPr>
        <w:t>Developmental and Comparative Immunology,</w:t>
      </w:r>
      <w:r w:rsidRPr="00720DB4">
        <w:rPr>
          <w:rFonts w:ascii="Times New Roman" w:hAnsi="Times New Roman" w:cs="Times New Roman"/>
        </w:rPr>
        <w:t xml:space="preserve"> 28(1), pp. 9-28.</w:t>
      </w:r>
    </w:p>
    <w:p w14:paraId="276C3B75" w14:textId="77777777" w:rsidR="00EC083A" w:rsidRPr="00720DB4" w:rsidRDefault="00EC083A" w:rsidP="00720DB4">
      <w:pPr>
        <w:pStyle w:val="EndNoteBibliography"/>
        <w:spacing w:after="0"/>
        <w:jc w:val="both"/>
        <w:rPr>
          <w:rFonts w:ascii="Times New Roman" w:hAnsi="Times New Roman" w:cs="Times New Roman"/>
        </w:rPr>
      </w:pPr>
    </w:p>
    <w:p w14:paraId="47C747E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Lam, T.-T., Giese, B., Chikkaballi, D., Kuehn, A., Wolber, W., Pane-Farre, J., Schaefer, D., Engelmann, S., Fraunholz, M. and Sinha, B. (2010) 'Phagolysosomal Integrity Is Generally Maintained after </w:t>
      </w:r>
      <w:r w:rsidRPr="00EC083A">
        <w:rPr>
          <w:rFonts w:ascii="Times New Roman" w:hAnsi="Times New Roman" w:cs="Times New Roman"/>
          <w:i/>
          <w:iCs/>
        </w:rPr>
        <w:t>Staphylococcus aureus</w:t>
      </w:r>
      <w:r w:rsidRPr="00720DB4">
        <w:rPr>
          <w:rFonts w:ascii="Times New Roman" w:hAnsi="Times New Roman" w:cs="Times New Roman"/>
        </w:rPr>
        <w:t xml:space="preserve"> Invasion of Nonprofessional Phagocytes but Is Modulated by Strain 6850', </w:t>
      </w:r>
      <w:r w:rsidRPr="00720DB4">
        <w:rPr>
          <w:rFonts w:ascii="Times New Roman" w:hAnsi="Times New Roman" w:cs="Times New Roman"/>
          <w:i/>
        </w:rPr>
        <w:t>Infection and Immunity,</w:t>
      </w:r>
      <w:r w:rsidRPr="00720DB4">
        <w:rPr>
          <w:rFonts w:ascii="Times New Roman" w:hAnsi="Times New Roman" w:cs="Times New Roman"/>
        </w:rPr>
        <w:t xml:space="preserve"> 78(8), pp. 3392-3403.</w:t>
      </w:r>
    </w:p>
    <w:p w14:paraId="53B282C2" w14:textId="77777777" w:rsidR="00EC083A" w:rsidRPr="00720DB4" w:rsidRDefault="00EC083A" w:rsidP="00720DB4">
      <w:pPr>
        <w:pStyle w:val="EndNoteBibliography"/>
        <w:spacing w:after="0"/>
        <w:jc w:val="both"/>
        <w:rPr>
          <w:rFonts w:ascii="Times New Roman" w:hAnsi="Times New Roman" w:cs="Times New Roman"/>
        </w:rPr>
      </w:pPr>
    </w:p>
    <w:p w14:paraId="764F082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Leclercq, R., Derlot, E., Duval, J. and Courvalin, P. (1988) 'PLASMID-MEDIATED RESISTANCE TO VANCOMYCIN AND TEICOPLANIN IN </w:t>
      </w:r>
      <w:r w:rsidRPr="00EC083A">
        <w:rPr>
          <w:rFonts w:ascii="Times New Roman" w:hAnsi="Times New Roman" w:cs="Times New Roman"/>
          <w:i/>
          <w:iCs/>
        </w:rPr>
        <w:t>ENTEROCOCCUS-FAECIUM</w:t>
      </w:r>
      <w:r w:rsidRPr="00720DB4">
        <w:rPr>
          <w:rFonts w:ascii="Times New Roman" w:hAnsi="Times New Roman" w:cs="Times New Roman"/>
        </w:rPr>
        <w:t xml:space="preserve">', </w:t>
      </w:r>
      <w:r w:rsidRPr="00720DB4">
        <w:rPr>
          <w:rFonts w:ascii="Times New Roman" w:hAnsi="Times New Roman" w:cs="Times New Roman"/>
          <w:i/>
        </w:rPr>
        <w:t>New England Journal of Medicine,</w:t>
      </w:r>
      <w:r w:rsidRPr="00720DB4">
        <w:rPr>
          <w:rFonts w:ascii="Times New Roman" w:hAnsi="Times New Roman" w:cs="Times New Roman"/>
        </w:rPr>
        <w:t xml:space="preserve"> 319(3), pp. 157-161.</w:t>
      </w:r>
    </w:p>
    <w:p w14:paraId="331BB07A" w14:textId="77777777" w:rsidR="00EC083A" w:rsidRPr="00720DB4" w:rsidRDefault="00EC083A" w:rsidP="00720DB4">
      <w:pPr>
        <w:pStyle w:val="EndNoteBibliography"/>
        <w:spacing w:after="0"/>
        <w:jc w:val="both"/>
        <w:rPr>
          <w:rFonts w:ascii="Times New Roman" w:hAnsi="Times New Roman" w:cs="Times New Roman"/>
        </w:rPr>
      </w:pPr>
    </w:p>
    <w:p w14:paraId="2099DFE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Lee, C. Y., Buranen, S. L. and Ye, Z. H. (1991) 'CONSTRUCTION OF SINGLE-COPY INTEGRATION VECTORS FOR </w:t>
      </w:r>
      <w:r w:rsidRPr="00EC083A">
        <w:rPr>
          <w:rFonts w:ascii="Times New Roman" w:hAnsi="Times New Roman" w:cs="Times New Roman"/>
          <w:i/>
          <w:iCs/>
        </w:rPr>
        <w:t>STAPHYLOCOCCUS-AUREUS</w:t>
      </w:r>
      <w:r w:rsidRPr="00720DB4">
        <w:rPr>
          <w:rFonts w:ascii="Times New Roman" w:hAnsi="Times New Roman" w:cs="Times New Roman"/>
        </w:rPr>
        <w:t xml:space="preserve">', </w:t>
      </w:r>
      <w:r w:rsidRPr="00720DB4">
        <w:rPr>
          <w:rFonts w:ascii="Times New Roman" w:hAnsi="Times New Roman" w:cs="Times New Roman"/>
          <w:i/>
        </w:rPr>
        <w:t>Gene,</w:t>
      </w:r>
      <w:r w:rsidRPr="00720DB4">
        <w:rPr>
          <w:rFonts w:ascii="Times New Roman" w:hAnsi="Times New Roman" w:cs="Times New Roman"/>
        </w:rPr>
        <w:t xml:space="preserve"> 103(1), pp. 101-105.</w:t>
      </w:r>
    </w:p>
    <w:p w14:paraId="73587761" w14:textId="77777777" w:rsidR="00EC083A" w:rsidRPr="00720DB4" w:rsidRDefault="00EC083A" w:rsidP="00720DB4">
      <w:pPr>
        <w:pStyle w:val="EndNoteBibliography"/>
        <w:spacing w:after="0"/>
        <w:jc w:val="both"/>
        <w:rPr>
          <w:rFonts w:ascii="Times New Roman" w:hAnsi="Times New Roman" w:cs="Times New Roman"/>
        </w:rPr>
      </w:pPr>
    </w:p>
    <w:p w14:paraId="4B2EB3E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Lee, C. Y. and Iandolo, J. J. (1986) 'INTEGRATION OF STAPHYLOCOCCAL PHAGE L54A OCCURS BY SITE-SPECIFIC RECOMBINATION - STRUCTURAL-ANALYSIS OF THE ATTACHMENT SITES',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83(15), pp. 5474-5478.</w:t>
      </w:r>
    </w:p>
    <w:p w14:paraId="34CA891B" w14:textId="77777777" w:rsidR="00EC083A" w:rsidRPr="00720DB4" w:rsidRDefault="00EC083A" w:rsidP="00720DB4">
      <w:pPr>
        <w:pStyle w:val="EndNoteBibliography"/>
        <w:spacing w:after="0"/>
        <w:jc w:val="both"/>
        <w:rPr>
          <w:rFonts w:ascii="Times New Roman" w:hAnsi="Times New Roman" w:cs="Times New Roman"/>
        </w:rPr>
      </w:pPr>
    </w:p>
    <w:p w14:paraId="2146FCF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Lee, J. W., Park, Y. H. and Seok, Y. J. (2018) 'Rsd balances (p)ppGpp level by stimulating the hydrolase activity of SpoT during carbon source downshift in </w:t>
      </w:r>
      <w:r w:rsidRPr="00EC083A">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115(29), pp. E6845-E6854.</w:t>
      </w:r>
    </w:p>
    <w:p w14:paraId="2101B00B" w14:textId="77777777" w:rsidR="00EC083A" w:rsidRPr="00720DB4" w:rsidRDefault="00EC083A" w:rsidP="00720DB4">
      <w:pPr>
        <w:pStyle w:val="EndNoteBibliography"/>
        <w:spacing w:after="0"/>
        <w:jc w:val="both"/>
        <w:rPr>
          <w:rFonts w:ascii="Times New Roman" w:hAnsi="Times New Roman" w:cs="Times New Roman"/>
        </w:rPr>
      </w:pPr>
    </w:p>
    <w:p w14:paraId="5D2C6EA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Legault, L., Gros, F. and Jeantet, C. (1972) 'INHIBITION OF IN-VITRO PROTEIN-SYNTHESIS BY PPGPP', </w:t>
      </w:r>
      <w:r w:rsidRPr="00720DB4">
        <w:rPr>
          <w:rFonts w:ascii="Times New Roman" w:hAnsi="Times New Roman" w:cs="Times New Roman"/>
          <w:i/>
        </w:rPr>
        <w:t>Febs Letters,</w:t>
      </w:r>
      <w:r w:rsidRPr="00720DB4">
        <w:rPr>
          <w:rFonts w:ascii="Times New Roman" w:hAnsi="Times New Roman" w:cs="Times New Roman"/>
        </w:rPr>
        <w:t xml:space="preserve"> 27(1), pp. 71-+.</w:t>
      </w:r>
    </w:p>
    <w:p w14:paraId="5827E491" w14:textId="77777777" w:rsidR="009B49DF" w:rsidRPr="00720DB4" w:rsidRDefault="009B49DF" w:rsidP="00720DB4">
      <w:pPr>
        <w:pStyle w:val="EndNoteBibliography"/>
        <w:spacing w:after="0"/>
        <w:jc w:val="both"/>
        <w:rPr>
          <w:rFonts w:ascii="Times New Roman" w:hAnsi="Times New Roman" w:cs="Times New Roman"/>
        </w:rPr>
      </w:pPr>
    </w:p>
    <w:p w14:paraId="3F01059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Lehrer, R. I. and Ganz, T. (1999) 'Antimicrobial peptides in mammalian and insect host defence', </w:t>
      </w:r>
      <w:r w:rsidRPr="00720DB4">
        <w:rPr>
          <w:rFonts w:ascii="Times New Roman" w:hAnsi="Times New Roman" w:cs="Times New Roman"/>
          <w:i/>
        </w:rPr>
        <w:t>Current Opinion in Immunology,</w:t>
      </w:r>
      <w:r w:rsidRPr="00720DB4">
        <w:rPr>
          <w:rFonts w:ascii="Times New Roman" w:hAnsi="Times New Roman" w:cs="Times New Roman"/>
        </w:rPr>
        <w:t xml:space="preserve"> 11(1), pp. 23-27.</w:t>
      </w:r>
    </w:p>
    <w:p w14:paraId="5F51417E" w14:textId="77777777" w:rsidR="009B49DF" w:rsidRPr="00720DB4" w:rsidRDefault="009B49DF" w:rsidP="00720DB4">
      <w:pPr>
        <w:pStyle w:val="EndNoteBibliography"/>
        <w:spacing w:after="0"/>
        <w:jc w:val="both"/>
        <w:rPr>
          <w:rFonts w:ascii="Times New Roman" w:hAnsi="Times New Roman" w:cs="Times New Roman"/>
        </w:rPr>
      </w:pPr>
    </w:p>
    <w:p w14:paraId="41E73E2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Lemos, J. A., Lin, V. K., Nascimento, M. M., Abranches, J. and Burne, R. A. (2007) 'Three gene products govern (p)ppGpp production by </w:t>
      </w:r>
      <w:r w:rsidRPr="009B49DF">
        <w:rPr>
          <w:rFonts w:ascii="Times New Roman" w:hAnsi="Times New Roman" w:cs="Times New Roman"/>
          <w:i/>
          <w:iCs/>
        </w:rPr>
        <w:t>Streptococcus mutans</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65(6), pp. 1568-1581.</w:t>
      </w:r>
    </w:p>
    <w:p w14:paraId="0346B663" w14:textId="77777777" w:rsidR="009B49DF" w:rsidRPr="00720DB4" w:rsidRDefault="009B49DF" w:rsidP="00720DB4">
      <w:pPr>
        <w:pStyle w:val="EndNoteBibliography"/>
        <w:spacing w:after="0"/>
        <w:jc w:val="both"/>
        <w:rPr>
          <w:rFonts w:ascii="Times New Roman" w:hAnsi="Times New Roman" w:cs="Times New Roman"/>
        </w:rPr>
      </w:pPr>
    </w:p>
    <w:p w14:paraId="22F3558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 L., Bayer, A. S., Cheung, A., Lu, L., Abdelhady, W., Donegan, N. P., Hong, J.-I., Yeaman, M. R. and Xiong, Y. Q. (2020) 'The Stringent Response Contributes to Persistent Methicillin-Resistant </w:t>
      </w:r>
      <w:r w:rsidRPr="009B49DF">
        <w:rPr>
          <w:rFonts w:ascii="Times New Roman" w:hAnsi="Times New Roman" w:cs="Times New Roman"/>
          <w:i/>
          <w:iCs/>
        </w:rPr>
        <w:t>Staphylococcus aureus</w:t>
      </w:r>
      <w:r w:rsidRPr="00720DB4">
        <w:rPr>
          <w:rFonts w:ascii="Times New Roman" w:hAnsi="Times New Roman" w:cs="Times New Roman"/>
        </w:rPr>
        <w:t xml:space="preserve"> Endovascular Infection Through the Purine Biosynthetic Pathway', </w:t>
      </w:r>
      <w:r w:rsidRPr="00720DB4">
        <w:rPr>
          <w:rFonts w:ascii="Times New Roman" w:hAnsi="Times New Roman" w:cs="Times New Roman"/>
          <w:i/>
        </w:rPr>
        <w:t>Journal of Infectious Diseases,</w:t>
      </w:r>
      <w:r w:rsidRPr="00720DB4">
        <w:rPr>
          <w:rFonts w:ascii="Times New Roman" w:hAnsi="Times New Roman" w:cs="Times New Roman"/>
        </w:rPr>
        <w:t xml:space="preserve"> 222(7), pp. 1188-1198.</w:t>
      </w:r>
    </w:p>
    <w:p w14:paraId="18B3EA1F" w14:textId="77777777" w:rsidR="009B49DF" w:rsidRPr="00720DB4" w:rsidRDefault="009B49DF" w:rsidP="00720DB4">
      <w:pPr>
        <w:pStyle w:val="EndNoteBibliography"/>
        <w:spacing w:after="0"/>
        <w:jc w:val="both"/>
        <w:rPr>
          <w:rFonts w:ascii="Times New Roman" w:hAnsi="Times New Roman" w:cs="Times New Roman"/>
        </w:rPr>
      </w:pPr>
    </w:p>
    <w:p w14:paraId="1B03D8C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 M., Diep, B. A., Villaruz, A. E., Braughton, K. R., Jiang, X., DeLeo, F. R., Chambers, H. F., Lu, Y. and Otto, M. (2009) 'Evolution of virulence in epidemic community-associated methicillin-resistant </w:t>
      </w:r>
      <w:r w:rsidRPr="009B49DF">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106(14), pp. 5883-5888.</w:t>
      </w:r>
    </w:p>
    <w:p w14:paraId="5193A174" w14:textId="77777777" w:rsidR="009B49DF" w:rsidRPr="00720DB4" w:rsidRDefault="009B49DF" w:rsidP="00720DB4">
      <w:pPr>
        <w:pStyle w:val="EndNoteBibliography"/>
        <w:spacing w:after="0"/>
        <w:jc w:val="both"/>
        <w:rPr>
          <w:rFonts w:ascii="Times New Roman" w:hAnsi="Times New Roman" w:cs="Times New Roman"/>
        </w:rPr>
      </w:pPr>
    </w:p>
    <w:p w14:paraId="7426A1F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Lieschke, G. J. and Currie, P. D. (2007) 'Animal models of human disease: zebrafish swim into view', </w:t>
      </w:r>
      <w:r w:rsidRPr="00720DB4">
        <w:rPr>
          <w:rFonts w:ascii="Times New Roman" w:hAnsi="Times New Roman" w:cs="Times New Roman"/>
          <w:i/>
        </w:rPr>
        <w:t>Nature Reviews Genetics,</w:t>
      </w:r>
      <w:r w:rsidRPr="00720DB4">
        <w:rPr>
          <w:rFonts w:ascii="Times New Roman" w:hAnsi="Times New Roman" w:cs="Times New Roman"/>
        </w:rPr>
        <w:t xml:space="preserve"> 8(5), pp. 353-367.</w:t>
      </w:r>
    </w:p>
    <w:p w14:paraId="1D03B7DB" w14:textId="77777777" w:rsidR="009B49DF" w:rsidRPr="00720DB4" w:rsidRDefault="009B49DF" w:rsidP="00720DB4">
      <w:pPr>
        <w:pStyle w:val="EndNoteBibliography"/>
        <w:spacing w:after="0"/>
        <w:jc w:val="both"/>
        <w:rPr>
          <w:rFonts w:ascii="Times New Roman" w:hAnsi="Times New Roman" w:cs="Times New Roman"/>
        </w:rPr>
      </w:pPr>
    </w:p>
    <w:p w14:paraId="41E32B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Lieschke, G. J., Oates, A. C., Crowhurst, M. O., Ward, A. C. and Layton, J. E. (2001) 'Morphologic and functional characterization of granulocytes and macrophages in embryonic and adult zebrafish', </w:t>
      </w:r>
      <w:r w:rsidRPr="00720DB4">
        <w:rPr>
          <w:rFonts w:ascii="Times New Roman" w:hAnsi="Times New Roman" w:cs="Times New Roman"/>
          <w:i/>
        </w:rPr>
        <w:t>Blood,</w:t>
      </w:r>
      <w:r w:rsidRPr="00720DB4">
        <w:rPr>
          <w:rFonts w:ascii="Times New Roman" w:hAnsi="Times New Roman" w:cs="Times New Roman"/>
        </w:rPr>
        <w:t xml:space="preserve"> 98(10), pp. 3087-3096.</w:t>
      </w:r>
    </w:p>
    <w:p w14:paraId="4E634806" w14:textId="77777777" w:rsidR="009B49DF" w:rsidRPr="00720DB4" w:rsidRDefault="009B49DF" w:rsidP="00720DB4">
      <w:pPr>
        <w:pStyle w:val="EndNoteBibliography"/>
        <w:spacing w:after="0"/>
        <w:jc w:val="both"/>
        <w:rPr>
          <w:rFonts w:ascii="Times New Roman" w:hAnsi="Times New Roman" w:cs="Times New Roman"/>
        </w:rPr>
      </w:pPr>
    </w:p>
    <w:p w14:paraId="2A67C2E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Lim, J. S., Shin, M., Kim, H. J., Kim, K. S., Choy, H. E. and Cho, K. A. (2014) 'Caveolin-1 Mediates </w:t>
      </w:r>
      <w:r w:rsidRPr="009B49DF">
        <w:rPr>
          <w:rFonts w:ascii="Times New Roman" w:hAnsi="Times New Roman" w:cs="Times New Roman"/>
          <w:i/>
          <w:iCs/>
        </w:rPr>
        <w:t>Salmonella</w:t>
      </w:r>
      <w:r w:rsidRPr="00720DB4">
        <w:rPr>
          <w:rFonts w:ascii="Times New Roman" w:hAnsi="Times New Roman" w:cs="Times New Roman"/>
        </w:rPr>
        <w:t xml:space="preserve"> Invasion via the Regulation of SopE-dependent Rac1 Activation and Actin Reorganization', </w:t>
      </w:r>
      <w:r w:rsidRPr="00720DB4">
        <w:rPr>
          <w:rFonts w:ascii="Times New Roman" w:hAnsi="Times New Roman" w:cs="Times New Roman"/>
          <w:i/>
        </w:rPr>
        <w:t>Journal of Infectious Diseases,</w:t>
      </w:r>
      <w:r w:rsidRPr="00720DB4">
        <w:rPr>
          <w:rFonts w:ascii="Times New Roman" w:hAnsi="Times New Roman" w:cs="Times New Roman"/>
        </w:rPr>
        <w:t xml:space="preserve"> 210(5), pp. 793-802.</w:t>
      </w:r>
    </w:p>
    <w:p w14:paraId="0990DA87" w14:textId="77777777" w:rsidR="009B49DF" w:rsidRPr="00720DB4" w:rsidRDefault="009B49DF" w:rsidP="00720DB4">
      <w:pPr>
        <w:pStyle w:val="EndNoteBibliography"/>
        <w:spacing w:after="0"/>
        <w:jc w:val="both"/>
        <w:rPr>
          <w:rFonts w:ascii="Times New Roman" w:hAnsi="Times New Roman" w:cs="Times New Roman"/>
        </w:rPr>
      </w:pPr>
    </w:p>
    <w:p w14:paraId="0A5A7D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Lin, S., Gaiano, N., Culp, P., Burns, J. C., Friedmann, T., Yee, J. K. and Hopkins, N. (1994) 'INTEGRATION AND GERM-LINE TRANSMISSION OF A PSEUDOTYPED RETROVIRAL VECTOR IN ZEBRAFISH', </w:t>
      </w:r>
      <w:r w:rsidRPr="00720DB4">
        <w:rPr>
          <w:rFonts w:ascii="Times New Roman" w:hAnsi="Times New Roman" w:cs="Times New Roman"/>
          <w:i/>
        </w:rPr>
        <w:t>Science,</w:t>
      </w:r>
      <w:r w:rsidRPr="00720DB4">
        <w:rPr>
          <w:rFonts w:ascii="Times New Roman" w:hAnsi="Times New Roman" w:cs="Times New Roman"/>
        </w:rPr>
        <w:t xml:space="preserve"> 265(5172), pp. 666-669.</w:t>
      </w:r>
    </w:p>
    <w:p w14:paraId="72382A13" w14:textId="77777777" w:rsidR="009B49DF" w:rsidRPr="00720DB4" w:rsidRDefault="009B49DF" w:rsidP="00720DB4">
      <w:pPr>
        <w:pStyle w:val="EndNoteBibliography"/>
        <w:spacing w:after="0"/>
        <w:jc w:val="both"/>
        <w:rPr>
          <w:rFonts w:ascii="Times New Roman" w:hAnsi="Times New Roman" w:cs="Times New Roman"/>
        </w:rPr>
      </w:pPr>
    </w:p>
    <w:p w14:paraId="49D48DD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Lina, G., Piemont, Y., Godail-Gamot, F., Bes, M., Peter, M. O., Gauduchon, V., Vandenesch, F. and Etienne, J. (1999) 'Involvement of Panton-Valentine leukocidin-producing</w:t>
      </w:r>
      <w:r w:rsidRPr="009B49DF">
        <w:rPr>
          <w:rFonts w:ascii="Times New Roman" w:hAnsi="Times New Roman" w:cs="Times New Roman"/>
          <w:i/>
          <w:iCs/>
        </w:rPr>
        <w:t xml:space="preserve"> Staphylococcus aureus</w:t>
      </w:r>
      <w:r w:rsidRPr="00720DB4">
        <w:rPr>
          <w:rFonts w:ascii="Times New Roman" w:hAnsi="Times New Roman" w:cs="Times New Roman"/>
        </w:rPr>
        <w:t xml:space="preserve"> in primary skin infections and pneumonia', </w:t>
      </w:r>
      <w:r w:rsidRPr="00720DB4">
        <w:rPr>
          <w:rFonts w:ascii="Times New Roman" w:hAnsi="Times New Roman" w:cs="Times New Roman"/>
          <w:i/>
        </w:rPr>
        <w:t>Clinical Infectious Diseases,</w:t>
      </w:r>
      <w:r w:rsidRPr="00720DB4">
        <w:rPr>
          <w:rFonts w:ascii="Times New Roman" w:hAnsi="Times New Roman" w:cs="Times New Roman"/>
        </w:rPr>
        <w:t xml:space="preserve"> 29(5), pp. 1128-1132.</w:t>
      </w:r>
    </w:p>
    <w:p w14:paraId="41805675" w14:textId="77777777" w:rsidR="009B49DF" w:rsidRPr="00720DB4" w:rsidRDefault="009B49DF" w:rsidP="00720DB4">
      <w:pPr>
        <w:pStyle w:val="EndNoteBibliography"/>
        <w:spacing w:after="0"/>
        <w:jc w:val="both"/>
        <w:rPr>
          <w:rFonts w:ascii="Times New Roman" w:hAnsi="Times New Roman" w:cs="Times New Roman"/>
        </w:rPr>
      </w:pPr>
    </w:p>
    <w:p w14:paraId="139D28C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Lincoln, R. A., Leigh, J. A. and Jones, N. C. (1995) 'THE AMINO-ACID-REQUIREMENTS OF </w:t>
      </w:r>
      <w:r w:rsidRPr="009B49DF">
        <w:rPr>
          <w:rFonts w:ascii="Times New Roman" w:hAnsi="Times New Roman" w:cs="Times New Roman"/>
          <w:i/>
          <w:iCs/>
        </w:rPr>
        <w:t xml:space="preserve">STAPHYLOCOCCUS-AUREUS </w:t>
      </w:r>
      <w:r w:rsidRPr="00720DB4">
        <w:rPr>
          <w:rFonts w:ascii="Times New Roman" w:hAnsi="Times New Roman" w:cs="Times New Roman"/>
        </w:rPr>
        <w:t xml:space="preserve">ISOLATED FROM CASES OF BOVINE MASTITIS', </w:t>
      </w:r>
      <w:r w:rsidRPr="00720DB4">
        <w:rPr>
          <w:rFonts w:ascii="Times New Roman" w:hAnsi="Times New Roman" w:cs="Times New Roman"/>
          <w:i/>
        </w:rPr>
        <w:t>Veterinary Microbiology,</w:t>
      </w:r>
      <w:r w:rsidRPr="00720DB4">
        <w:rPr>
          <w:rFonts w:ascii="Times New Roman" w:hAnsi="Times New Roman" w:cs="Times New Roman"/>
        </w:rPr>
        <w:t xml:space="preserve"> 45(2-3), pp. 275-279.</w:t>
      </w:r>
    </w:p>
    <w:p w14:paraId="4ECEA331" w14:textId="77777777" w:rsidR="009B49DF" w:rsidRPr="00720DB4" w:rsidRDefault="009B49DF" w:rsidP="00720DB4">
      <w:pPr>
        <w:pStyle w:val="EndNoteBibliography"/>
        <w:spacing w:after="0"/>
        <w:jc w:val="both"/>
        <w:rPr>
          <w:rFonts w:ascii="Times New Roman" w:hAnsi="Times New Roman" w:cs="Times New Roman"/>
        </w:rPr>
      </w:pPr>
    </w:p>
    <w:p w14:paraId="51B2EA4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Lineback, C. B., Nkemngong, C. A., Wu, S. T., Li, X. B., Teska, P. J. and Oliver, H. F. (2018) 'Hydrogen peroxide and sodium hypochlorite disinfectants are more effective against </w:t>
      </w:r>
      <w:r w:rsidRPr="009B49DF">
        <w:rPr>
          <w:rFonts w:ascii="Times New Roman" w:hAnsi="Times New Roman" w:cs="Times New Roman"/>
          <w:i/>
          <w:iCs/>
        </w:rPr>
        <w:t xml:space="preserve">Staphylococcus aureus </w:t>
      </w:r>
      <w:r w:rsidRPr="00720DB4">
        <w:rPr>
          <w:rFonts w:ascii="Times New Roman" w:hAnsi="Times New Roman" w:cs="Times New Roman"/>
        </w:rPr>
        <w:t xml:space="preserve">and </w:t>
      </w:r>
      <w:r w:rsidRPr="009B49DF">
        <w:rPr>
          <w:rFonts w:ascii="Times New Roman" w:hAnsi="Times New Roman" w:cs="Times New Roman"/>
          <w:i/>
          <w:iCs/>
        </w:rPr>
        <w:t xml:space="preserve">Pseudomonas aeruginosa </w:t>
      </w:r>
      <w:r w:rsidRPr="00720DB4">
        <w:rPr>
          <w:rFonts w:ascii="Times New Roman" w:hAnsi="Times New Roman" w:cs="Times New Roman"/>
        </w:rPr>
        <w:t xml:space="preserve">biofilms than quaternary ammonium compounds', </w:t>
      </w:r>
      <w:r w:rsidRPr="00720DB4">
        <w:rPr>
          <w:rFonts w:ascii="Times New Roman" w:hAnsi="Times New Roman" w:cs="Times New Roman"/>
          <w:i/>
        </w:rPr>
        <w:t>Antimicrobial Resistance and Infection Control,</w:t>
      </w:r>
      <w:r w:rsidRPr="00720DB4">
        <w:rPr>
          <w:rFonts w:ascii="Times New Roman" w:hAnsi="Times New Roman" w:cs="Times New Roman"/>
        </w:rPr>
        <w:t xml:space="preserve"> 7.</w:t>
      </w:r>
    </w:p>
    <w:p w14:paraId="7DF41AA0" w14:textId="77777777" w:rsidR="009B49DF" w:rsidRPr="00720DB4" w:rsidRDefault="009B49DF" w:rsidP="00720DB4">
      <w:pPr>
        <w:pStyle w:val="EndNoteBibliography"/>
        <w:spacing w:after="0"/>
        <w:jc w:val="both"/>
        <w:rPr>
          <w:rFonts w:ascii="Times New Roman" w:hAnsi="Times New Roman" w:cs="Times New Roman"/>
        </w:rPr>
      </w:pPr>
    </w:p>
    <w:p w14:paraId="1D1D808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Lishko, V. K., Moreno, B., Podolnikova, N. P. and Ugarova, T. P. (2016) 'Identification of human cathelicidin peptide LL-37 as a ligand for macrophage integrin alpha(M)beta(2) (Mac-1, CD11b/CD18) that promotes phagocytosis by opsonizing bacteria', </w:t>
      </w:r>
      <w:r w:rsidRPr="00720DB4">
        <w:rPr>
          <w:rFonts w:ascii="Times New Roman" w:hAnsi="Times New Roman" w:cs="Times New Roman"/>
          <w:i/>
        </w:rPr>
        <w:t>Research and Reports in Biochemistry,</w:t>
      </w:r>
      <w:r w:rsidRPr="00720DB4">
        <w:rPr>
          <w:rFonts w:ascii="Times New Roman" w:hAnsi="Times New Roman" w:cs="Times New Roman"/>
        </w:rPr>
        <w:t xml:space="preserve"> 6, pp. 39-55.</w:t>
      </w:r>
    </w:p>
    <w:p w14:paraId="73BB8413" w14:textId="77777777" w:rsidR="009B49DF" w:rsidRPr="00720DB4" w:rsidRDefault="009B49DF" w:rsidP="00720DB4">
      <w:pPr>
        <w:pStyle w:val="EndNoteBibliography"/>
        <w:spacing w:after="0"/>
        <w:jc w:val="both"/>
        <w:rPr>
          <w:rFonts w:ascii="Times New Roman" w:hAnsi="Times New Roman" w:cs="Times New Roman"/>
        </w:rPr>
      </w:pPr>
    </w:p>
    <w:p w14:paraId="620E17C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Liu, C., Sun, D., Zhu, J. R. and Liu, W. J. (2019) 'Two-Component Signal Transduction Systems: A Major Strategy for Connecting Input Stimuli to Biofilm Formation', </w:t>
      </w:r>
      <w:r w:rsidRPr="00720DB4">
        <w:rPr>
          <w:rFonts w:ascii="Times New Roman" w:hAnsi="Times New Roman" w:cs="Times New Roman"/>
          <w:i/>
        </w:rPr>
        <w:t>Frontiers in Microbiology,</w:t>
      </w:r>
      <w:r w:rsidRPr="00720DB4">
        <w:rPr>
          <w:rFonts w:ascii="Times New Roman" w:hAnsi="Times New Roman" w:cs="Times New Roman"/>
        </w:rPr>
        <w:t xml:space="preserve"> 9.</w:t>
      </w:r>
    </w:p>
    <w:p w14:paraId="12645141" w14:textId="77777777" w:rsidR="009B49DF" w:rsidRPr="00720DB4" w:rsidRDefault="009B49DF" w:rsidP="00720DB4">
      <w:pPr>
        <w:pStyle w:val="EndNoteBibliography"/>
        <w:spacing w:after="0"/>
        <w:jc w:val="both"/>
        <w:rPr>
          <w:rFonts w:ascii="Times New Roman" w:hAnsi="Times New Roman" w:cs="Times New Roman"/>
        </w:rPr>
      </w:pPr>
    </w:p>
    <w:p w14:paraId="318C756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Liu, G. Y., Essex, A., Buchanan, J. T., Datta, V., Hoffman, H. M., Bastian, J. F., Fierer, J. and Nizet, V. (2005) '</w:t>
      </w:r>
      <w:r w:rsidRPr="009B49DF">
        <w:rPr>
          <w:rFonts w:ascii="Times New Roman" w:hAnsi="Times New Roman" w:cs="Times New Roman"/>
          <w:i/>
          <w:iCs/>
        </w:rPr>
        <w:t>Staphylococcus aureus</w:t>
      </w:r>
      <w:r w:rsidRPr="00720DB4">
        <w:rPr>
          <w:rFonts w:ascii="Times New Roman" w:hAnsi="Times New Roman" w:cs="Times New Roman"/>
        </w:rPr>
        <w:t xml:space="preserve"> golden pigment impairs neutrophil killing and promotes virulence through its antioxidant activity', </w:t>
      </w:r>
      <w:r w:rsidRPr="00720DB4">
        <w:rPr>
          <w:rFonts w:ascii="Times New Roman" w:hAnsi="Times New Roman" w:cs="Times New Roman"/>
          <w:i/>
        </w:rPr>
        <w:t>Journal of Experimental Medicine,</w:t>
      </w:r>
      <w:r w:rsidRPr="00720DB4">
        <w:rPr>
          <w:rFonts w:ascii="Times New Roman" w:hAnsi="Times New Roman" w:cs="Times New Roman"/>
        </w:rPr>
        <w:t xml:space="preserve"> 202(2), pp. 209-215.</w:t>
      </w:r>
    </w:p>
    <w:p w14:paraId="37DB5B07" w14:textId="77777777" w:rsidR="009B49DF" w:rsidRPr="00720DB4" w:rsidRDefault="009B49DF" w:rsidP="00720DB4">
      <w:pPr>
        <w:pStyle w:val="EndNoteBibliography"/>
        <w:spacing w:after="0"/>
        <w:jc w:val="both"/>
        <w:rPr>
          <w:rFonts w:ascii="Times New Roman" w:hAnsi="Times New Roman" w:cs="Times New Roman"/>
        </w:rPr>
      </w:pPr>
    </w:p>
    <w:p w14:paraId="3B82F87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Liu, L., Beck, C., Nohr-Meldgaard, K., Peschel, A., Kretschmer, D., Ingmer, H. and Vestergaard, M. (2020) 'Inhibition of the ATP synthase sensitizes </w:t>
      </w:r>
      <w:r w:rsidRPr="009B49DF">
        <w:rPr>
          <w:rFonts w:ascii="Times New Roman" w:hAnsi="Times New Roman" w:cs="Times New Roman"/>
          <w:i/>
          <w:iCs/>
        </w:rPr>
        <w:t>Staphylococcus aureus</w:t>
      </w:r>
      <w:r w:rsidRPr="00720DB4">
        <w:rPr>
          <w:rFonts w:ascii="Times New Roman" w:hAnsi="Times New Roman" w:cs="Times New Roman"/>
        </w:rPr>
        <w:t xml:space="preserve"> towards human antimicrobial peptides', </w:t>
      </w:r>
      <w:r w:rsidRPr="00720DB4">
        <w:rPr>
          <w:rFonts w:ascii="Times New Roman" w:hAnsi="Times New Roman" w:cs="Times New Roman"/>
          <w:i/>
        </w:rPr>
        <w:t>Scientific Reports,</w:t>
      </w:r>
      <w:r w:rsidRPr="00720DB4">
        <w:rPr>
          <w:rFonts w:ascii="Times New Roman" w:hAnsi="Times New Roman" w:cs="Times New Roman"/>
        </w:rPr>
        <w:t xml:space="preserve"> 10(1).</w:t>
      </w:r>
    </w:p>
    <w:p w14:paraId="2EFDE192" w14:textId="77777777" w:rsidR="009B49DF" w:rsidRPr="00720DB4" w:rsidRDefault="009B49DF" w:rsidP="00720DB4">
      <w:pPr>
        <w:pStyle w:val="EndNoteBibliography"/>
        <w:spacing w:after="0"/>
        <w:jc w:val="both"/>
        <w:rPr>
          <w:rFonts w:ascii="Times New Roman" w:hAnsi="Times New Roman" w:cs="Times New Roman"/>
        </w:rPr>
      </w:pPr>
    </w:p>
    <w:p w14:paraId="050DC31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Liu, Q., Yeo, W. S. and Bae, T. (2016) 'The SaeRS Two-Component System of </w:t>
      </w:r>
      <w:r w:rsidRPr="009B49DF">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Genes,</w:t>
      </w:r>
      <w:r w:rsidRPr="00720DB4">
        <w:rPr>
          <w:rFonts w:ascii="Times New Roman" w:hAnsi="Times New Roman" w:cs="Times New Roman"/>
        </w:rPr>
        <w:t xml:space="preserve"> 7(10).</w:t>
      </w:r>
    </w:p>
    <w:p w14:paraId="478F8BFC" w14:textId="77777777" w:rsidR="009B49DF" w:rsidRPr="00720DB4" w:rsidRDefault="009B49DF" w:rsidP="00720DB4">
      <w:pPr>
        <w:pStyle w:val="EndNoteBibliography"/>
        <w:spacing w:after="0"/>
        <w:jc w:val="both"/>
        <w:rPr>
          <w:rFonts w:ascii="Times New Roman" w:hAnsi="Times New Roman" w:cs="Times New Roman"/>
        </w:rPr>
      </w:pPr>
    </w:p>
    <w:p w14:paraId="04B0D29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Lollike, K., Kjeldsen, L., Sengelov, H. and Borregaard, N. (1995) 'LYSOZYME IN HUMAN NEUTROPHILS AND PLASMA - A PARAMETER OF MYELOPOIETIC ACTIVITY', </w:t>
      </w:r>
      <w:r w:rsidRPr="00720DB4">
        <w:rPr>
          <w:rFonts w:ascii="Times New Roman" w:hAnsi="Times New Roman" w:cs="Times New Roman"/>
          <w:i/>
        </w:rPr>
        <w:t>Leukemia,</w:t>
      </w:r>
      <w:r w:rsidRPr="00720DB4">
        <w:rPr>
          <w:rFonts w:ascii="Times New Roman" w:hAnsi="Times New Roman" w:cs="Times New Roman"/>
        </w:rPr>
        <w:t xml:space="preserve"> 9(1), pp. 159-164.</w:t>
      </w:r>
    </w:p>
    <w:p w14:paraId="5B70D28B" w14:textId="77777777" w:rsidR="009B49DF" w:rsidRPr="00720DB4" w:rsidRDefault="009B49DF" w:rsidP="00720DB4">
      <w:pPr>
        <w:pStyle w:val="EndNoteBibliography"/>
        <w:spacing w:after="0"/>
        <w:jc w:val="both"/>
        <w:rPr>
          <w:rFonts w:ascii="Times New Roman" w:hAnsi="Times New Roman" w:cs="Times New Roman"/>
        </w:rPr>
      </w:pPr>
    </w:p>
    <w:p w14:paraId="62E570B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Lorenz, M. C. and Fink, G. R. (2001) 'The glyoxylate cycle is required for fungal virulence', </w:t>
      </w:r>
      <w:r w:rsidRPr="00720DB4">
        <w:rPr>
          <w:rFonts w:ascii="Times New Roman" w:hAnsi="Times New Roman" w:cs="Times New Roman"/>
          <w:i/>
        </w:rPr>
        <w:t>Nature,</w:t>
      </w:r>
      <w:r w:rsidRPr="00720DB4">
        <w:rPr>
          <w:rFonts w:ascii="Times New Roman" w:hAnsi="Times New Roman" w:cs="Times New Roman"/>
        </w:rPr>
        <w:t xml:space="preserve"> 412(6842), pp. 83-86.</w:t>
      </w:r>
    </w:p>
    <w:p w14:paraId="3E974113" w14:textId="77777777" w:rsidR="009B49DF" w:rsidRPr="00720DB4" w:rsidRDefault="009B49DF" w:rsidP="00720DB4">
      <w:pPr>
        <w:pStyle w:val="EndNoteBibliography"/>
        <w:spacing w:after="0"/>
        <w:jc w:val="both"/>
        <w:rPr>
          <w:rFonts w:ascii="Times New Roman" w:hAnsi="Times New Roman" w:cs="Times New Roman"/>
        </w:rPr>
      </w:pPr>
    </w:p>
    <w:p w14:paraId="2BA0982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Loveland, A. B., Bah, E., Madireddy, R., Zhang, Y., Brilot, A. F., Grigorieff, N. and Korostelev, A. A. (2016) 'Ribosome ۰ RelA structures reveal the mechanism of stringent response activation', </w:t>
      </w:r>
      <w:r w:rsidRPr="00720DB4">
        <w:rPr>
          <w:rFonts w:ascii="Times New Roman" w:hAnsi="Times New Roman" w:cs="Times New Roman"/>
          <w:i/>
        </w:rPr>
        <w:t>Elife,</w:t>
      </w:r>
      <w:r w:rsidRPr="00720DB4">
        <w:rPr>
          <w:rFonts w:ascii="Times New Roman" w:hAnsi="Times New Roman" w:cs="Times New Roman"/>
        </w:rPr>
        <w:t xml:space="preserve"> 5.</w:t>
      </w:r>
    </w:p>
    <w:p w14:paraId="04661366" w14:textId="77777777" w:rsidR="009B49DF" w:rsidRDefault="009B49DF" w:rsidP="00720DB4">
      <w:pPr>
        <w:pStyle w:val="EndNoteBibliography"/>
        <w:spacing w:after="0"/>
        <w:jc w:val="both"/>
        <w:rPr>
          <w:rFonts w:ascii="Times New Roman" w:hAnsi="Times New Roman" w:cs="Times New Roman"/>
        </w:rPr>
      </w:pPr>
    </w:p>
    <w:p w14:paraId="10927A05" w14:textId="77777777" w:rsidR="009B49DF" w:rsidRPr="00720DB4" w:rsidRDefault="009B49DF" w:rsidP="00720DB4">
      <w:pPr>
        <w:pStyle w:val="EndNoteBibliography"/>
        <w:spacing w:after="0"/>
        <w:jc w:val="both"/>
        <w:rPr>
          <w:rFonts w:ascii="Times New Roman" w:hAnsi="Times New Roman" w:cs="Times New Roman"/>
        </w:rPr>
      </w:pPr>
    </w:p>
    <w:p w14:paraId="0CE3C9B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Lowy, F. D. (2003) 'Antimicrobial resistance: the example of </w:t>
      </w:r>
      <w:r w:rsidRPr="009B49DF">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Clinical Investigation,</w:t>
      </w:r>
      <w:r w:rsidRPr="00720DB4">
        <w:rPr>
          <w:rFonts w:ascii="Times New Roman" w:hAnsi="Times New Roman" w:cs="Times New Roman"/>
        </w:rPr>
        <w:t xml:space="preserve"> 111(9), pp. 1265-1273.</w:t>
      </w:r>
    </w:p>
    <w:p w14:paraId="1E149DE8" w14:textId="77777777" w:rsidR="009B49DF" w:rsidRPr="00720DB4" w:rsidRDefault="009B49DF" w:rsidP="00720DB4">
      <w:pPr>
        <w:pStyle w:val="EndNoteBibliography"/>
        <w:spacing w:after="0"/>
        <w:jc w:val="both"/>
        <w:rPr>
          <w:rFonts w:ascii="Times New Roman" w:hAnsi="Times New Roman" w:cs="Times New Roman"/>
        </w:rPr>
      </w:pPr>
    </w:p>
    <w:p w14:paraId="11061A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Lukácsi, S., Nagy-Balo, Z., Erdei, A., Sandor, N. and Bajtay, Z. (2017) 'The role of CR3 (CD11b/CD18) and CR4 (CD11c/CD18) in complement-mediated phagocytosis and podosome formation by human phagocytes', </w:t>
      </w:r>
      <w:r w:rsidRPr="00720DB4">
        <w:rPr>
          <w:rFonts w:ascii="Times New Roman" w:hAnsi="Times New Roman" w:cs="Times New Roman"/>
          <w:i/>
        </w:rPr>
        <w:t>Molecular Immunology,</w:t>
      </w:r>
      <w:r w:rsidRPr="00720DB4">
        <w:rPr>
          <w:rFonts w:ascii="Times New Roman" w:hAnsi="Times New Roman" w:cs="Times New Roman"/>
        </w:rPr>
        <w:t xml:space="preserve"> 89, pp. 144-145.</w:t>
      </w:r>
    </w:p>
    <w:p w14:paraId="15F16BD6" w14:textId="77777777" w:rsidR="009B49DF" w:rsidRPr="00720DB4" w:rsidRDefault="009B49DF" w:rsidP="00720DB4">
      <w:pPr>
        <w:pStyle w:val="EndNoteBibliography"/>
        <w:spacing w:after="0"/>
        <w:jc w:val="both"/>
        <w:rPr>
          <w:rFonts w:ascii="Times New Roman" w:hAnsi="Times New Roman" w:cs="Times New Roman"/>
        </w:rPr>
      </w:pPr>
    </w:p>
    <w:p w14:paraId="4D0B053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Luzio, J. P., Parkinson, M. D. J., Gray, S. R. and Bright, N. A. (2009) 'The delivery of endocytosed cargo to lysosomes', </w:t>
      </w:r>
      <w:r w:rsidRPr="00720DB4">
        <w:rPr>
          <w:rFonts w:ascii="Times New Roman" w:hAnsi="Times New Roman" w:cs="Times New Roman"/>
          <w:i/>
        </w:rPr>
        <w:t>Biochemical Society Transactions,</w:t>
      </w:r>
      <w:r w:rsidRPr="00720DB4">
        <w:rPr>
          <w:rFonts w:ascii="Times New Roman" w:hAnsi="Times New Roman" w:cs="Times New Roman"/>
        </w:rPr>
        <w:t xml:space="preserve"> 37, pp. 1019-1021.</w:t>
      </w:r>
    </w:p>
    <w:p w14:paraId="6B482855" w14:textId="77777777" w:rsidR="009B49DF" w:rsidRPr="00720DB4" w:rsidRDefault="009B49DF" w:rsidP="00720DB4">
      <w:pPr>
        <w:pStyle w:val="EndNoteBibliography"/>
        <w:spacing w:after="0"/>
        <w:jc w:val="both"/>
        <w:rPr>
          <w:rFonts w:ascii="Times New Roman" w:hAnsi="Times New Roman" w:cs="Times New Roman"/>
        </w:rPr>
      </w:pPr>
    </w:p>
    <w:p w14:paraId="1E167D7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Löffler , B., Hussain, M., Grundmeier, M., Brueck, M., Holzinger, D., Varga, G., Roth, J., Kahl, B. C., Proctor, R. A. and Peters, G. (2010) '</w:t>
      </w:r>
      <w:r w:rsidRPr="009B49DF">
        <w:rPr>
          <w:rFonts w:ascii="Times New Roman" w:hAnsi="Times New Roman" w:cs="Times New Roman"/>
          <w:i/>
          <w:iCs/>
        </w:rPr>
        <w:t>Staphylococcus aureus</w:t>
      </w:r>
      <w:r w:rsidRPr="00720DB4">
        <w:rPr>
          <w:rFonts w:ascii="Times New Roman" w:hAnsi="Times New Roman" w:cs="Times New Roman"/>
        </w:rPr>
        <w:t xml:space="preserve"> Panton-Valentine Leukocidin Is a Very Potent Cytotoxic Factor for Human Neutrophils', </w:t>
      </w:r>
      <w:r w:rsidRPr="00720DB4">
        <w:rPr>
          <w:rFonts w:ascii="Times New Roman" w:hAnsi="Times New Roman" w:cs="Times New Roman"/>
          <w:i/>
        </w:rPr>
        <w:t>Plos Pathogens,</w:t>
      </w:r>
      <w:r w:rsidRPr="00720DB4">
        <w:rPr>
          <w:rFonts w:ascii="Times New Roman" w:hAnsi="Times New Roman" w:cs="Times New Roman"/>
        </w:rPr>
        <w:t xml:space="preserve"> 6(1).</w:t>
      </w:r>
    </w:p>
    <w:p w14:paraId="1C4E437B" w14:textId="77777777" w:rsidR="009B49DF" w:rsidRPr="00720DB4" w:rsidRDefault="009B49DF" w:rsidP="00720DB4">
      <w:pPr>
        <w:pStyle w:val="EndNoteBibliography"/>
        <w:spacing w:after="0"/>
        <w:jc w:val="both"/>
        <w:rPr>
          <w:rFonts w:ascii="Times New Roman" w:hAnsi="Times New Roman" w:cs="Times New Roman"/>
        </w:rPr>
      </w:pPr>
    </w:p>
    <w:p w14:paraId="5B51A42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Madani, A., Garakani, K. and Mofrad, M. R. K. (2017) 'Molecular mechanics of </w:t>
      </w:r>
      <w:r w:rsidRPr="009B49DF">
        <w:rPr>
          <w:rFonts w:ascii="Times New Roman" w:hAnsi="Times New Roman" w:cs="Times New Roman"/>
          <w:i/>
          <w:iCs/>
        </w:rPr>
        <w:t xml:space="preserve">Staphylococcus aureus </w:t>
      </w:r>
      <w:r w:rsidRPr="00720DB4">
        <w:rPr>
          <w:rFonts w:ascii="Times New Roman" w:hAnsi="Times New Roman" w:cs="Times New Roman"/>
        </w:rPr>
        <w:t xml:space="preserve">adhesin, CNA, and the inhibition of bacterial adhesion by stretching collagen', </w:t>
      </w:r>
      <w:r w:rsidRPr="00720DB4">
        <w:rPr>
          <w:rFonts w:ascii="Times New Roman" w:hAnsi="Times New Roman" w:cs="Times New Roman"/>
          <w:i/>
        </w:rPr>
        <w:t>Plos One,</w:t>
      </w:r>
      <w:r w:rsidRPr="00720DB4">
        <w:rPr>
          <w:rFonts w:ascii="Times New Roman" w:hAnsi="Times New Roman" w:cs="Times New Roman"/>
        </w:rPr>
        <w:t xml:space="preserve"> 12(6).</w:t>
      </w:r>
    </w:p>
    <w:p w14:paraId="0DB9F8CE" w14:textId="77777777" w:rsidR="009B49DF" w:rsidRPr="00720DB4" w:rsidRDefault="009B49DF" w:rsidP="00720DB4">
      <w:pPr>
        <w:pStyle w:val="EndNoteBibliography"/>
        <w:spacing w:after="0"/>
        <w:jc w:val="both"/>
        <w:rPr>
          <w:rFonts w:ascii="Times New Roman" w:hAnsi="Times New Roman" w:cs="Times New Roman"/>
        </w:rPr>
      </w:pPr>
    </w:p>
    <w:p w14:paraId="2AE6BE6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Magyarics, Z., Leslie, F., Bartko, J., Rouha, H., Luperchio, S., Schoergenhofer, C., Schwameis, M., Derhaschnig, U., Lagler, H., Stiebellehner, L., Firbas, C., Weber, S., Campanaro, E., Jilma, B., Nagy, E. and Stevens, C. (2019) 'Randomized, Double-Blind, Placebo-Controlled, Single-Ascending-Dose Study of the Penetration of a Monoclonal Antibody Combination (ASN100) Targeting </w:t>
      </w:r>
      <w:r w:rsidRPr="009B49DF">
        <w:rPr>
          <w:rFonts w:ascii="Times New Roman" w:hAnsi="Times New Roman" w:cs="Times New Roman"/>
          <w:i/>
          <w:iCs/>
        </w:rPr>
        <w:t>Staphylococcus aureus</w:t>
      </w:r>
      <w:r w:rsidRPr="00720DB4">
        <w:rPr>
          <w:rFonts w:ascii="Times New Roman" w:hAnsi="Times New Roman" w:cs="Times New Roman"/>
        </w:rPr>
        <w:t xml:space="preserve"> Cytotoxins in the Lung Epithelial Lining Fluid of Healthy Volunteers', </w:t>
      </w:r>
      <w:r w:rsidRPr="00720DB4">
        <w:rPr>
          <w:rFonts w:ascii="Times New Roman" w:hAnsi="Times New Roman" w:cs="Times New Roman"/>
          <w:i/>
        </w:rPr>
        <w:t>Antimicrobial Agents and Chemotherapy,</w:t>
      </w:r>
      <w:r w:rsidRPr="00720DB4">
        <w:rPr>
          <w:rFonts w:ascii="Times New Roman" w:hAnsi="Times New Roman" w:cs="Times New Roman"/>
        </w:rPr>
        <w:t xml:space="preserve"> 63(8).</w:t>
      </w:r>
    </w:p>
    <w:p w14:paraId="0D7807F2" w14:textId="77777777" w:rsidR="009B49DF" w:rsidRPr="00720DB4" w:rsidRDefault="009B49DF" w:rsidP="00720DB4">
      <w:pPr>
        <w:pStyle w:val="EndNoteBibliography"/>
        <w:spacing w:after="0"/>
        <w:jc w:val="both"/>
        <w:rPr>
          <w:rFonts w:ascii="Times New Roman" w:hAnsi="Times New Roman" w:cs="Times New Roman"/>
        </w:rPr>
      </w:pPr>
    </w:p>
    <w:p w14:paraId="2348EAB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Majerczyk, C. D., Dunman, P. M., Luong, T. T., Lee, C. Y., Sadykov, M. R., Somerville, G. A., Bodi, K. and Sonenshein, A. L. (2010) 'Direct Targets of CodY in </w:t>
      </w:r>
      <w:r w:rsidRPr="009B49DF">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192(11), pp. 2861-2877.</w:t>
      </w:r>
    </w:p>
    <w:p w14:paraId="28265CF4" w14:textId="77777777" w:rsidR="009B49DF" w:rsidRPr="00720DB4" w:rsidRDefault="009B49DF" w:rsidP="00720DB4">
      <w:pPr>
        <w:pStyle w:val="EndNoteBibliography"/>
        <w:spacing w:after="0"/>
        <w:jc w:val="both"/>
        <w:rPr>
          <w:rFonts w:ascii="Times New Roman" w:hAnsi="Times New Roman" w:cs="Times New Roman"/>
        </w:rPr>
      </w:pPr>
    </w:p>
    <w:p w14:paraId="2BC8D64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Majerczyk, C. D., Sadykov, M. R., Luong, T. T., Lee, C., Somerville, G. A. and Sonenshein, A. L. (2008) '</w:t>
      </w:r>
      <w:r w:rsidRPr="009B49DF">
        <w:rPr>
          <w:rFonts w:ascii="Times New Roman" w:hAnsi="Times New Roman" w:cs="Times New Roman"/>
          <w:i/>
          <w:iCs/>
        </w:rPr>
        <w:t>Staphylococcus aureus</w:t>
      </w:r>
      <w:r w:rsidRPr="00720DB4">
        <w:rPr>
          <w:rFonts w:ascii="Times New Roman" w:hAnsi="Times New Roman" w:cs="Times New Roman"/>
        </w:rPr>
        <w:t xml:space="preserve"> CodY negatively regulates virulence gene expression', </w:t>
      </w:r>
      <w:r w:rsidRPr="00720DB4">
        <w:rPr>
          <w:rFonts w:ascii="Times New Roman" w:hAnsi="Times New Roman" w:cs="Times New Roman"/>
          <w:i/>
        </w:rPr>
        <w:t>Journal of Bacteriology,</w:t>
      </w:r>
      <w:r w:rsidRPr="00720DB4">
        <w:rPr>
          <w:rFonts w:ascii="Times New Roman" w:hAnsi="Times New Roman" w:cs="Times New Roman"/>
        </w:rPr>
        <w:t xml:space="preserve"> 190(7), pp. 2257-2265.</w:t>
      </w:r>
    </w:p>
    <w:p w14:paraId="4A5826B4" w14:textId="77777777" w:rsidR="009B49DF" w:rsidRPr="00720DB4" w:rsidRDefault="009B49DF" w:rsidP="00720DB4">
      <w:pPr>
        <w:pStyle w:val="EndNoteBibliography"/>
        <w:spacing w:after="0"/>
        <w:jc w:val="both"/>
        <w:rPr>
          <w:rFonts w:ascii="Times New Roman" w:hAnsi="Times New Roman" w:cs="Times New Roman"/>
        </w:rPr>
      </w:pPr>
    </w:p>
    <w:p w14:paraId="6CB026C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Malachowa, N. and DeLeo, F. R. (2010) 'Mobile genetic elements of </w:t>
      </w:r>
      <w:r w:rsidRPr="009B49DF">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Cellular and Molecular Life Sciences,</w:t>
      </w:r>
      <w:r w:rsidRPr="00720DB4">
        <w:rPr>
          <w:rFonts w:ascii="Times New Roman" w:hAnsi="Times New Roman" w:cs="Times New Roman"/>
        </w:rPr>
        <w:t xml:space="preserve"> 67(18), pp. 3057-3071.</w:t>
      </w:r>
    </w:p>
    <w:p w14:paraId="3208C4BE" w14:textId="77777777" w:rsidR="009B49DF" w:rsidRPr="00720DB4" w:rsidRDefault="009B49DF" w:rsidP="00720DB4">
      <w:pPr>
        <w:pStyle w:val="EndNoteBibliography"/>
        <w:spacing w:after="0"/>
        <w:jc w:val="both"/>
        <w:rPr>
          <w:rFonts w:ascii="Times New Roman" w:hAnsi="Times New Roman" w:cs="Times New Roman"/>
        </w:rPr>
      </w:pPr>
    </w:p>
    <w:p w14:paraId="61176A4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Manav, M. C., Beljantseva, J., Bojer, M. S., Tenson, T., Ingmer, H., Hauryliuk, V. and Brodersen, D. E. (2018) 'Structural basis for (p)ppGpp synthesis by the </w:t>
      </w:r>
      <w:r w:rsidRPr="009B49DF">
        <w:rPr>
          <w:rFonts w:ascii="Times New Roman" w:hAnsi="Times New Roman" w:cs="Times New Roman"/>
          <w:i/>
          <w:iCs/>
        </w:rPr>
        <w:t>Staphylococcus aureus</w:t>
      </w:r>
      <w:r w:rsidRPr="00720DB4">
        <w:rPr>
          <w:rFonts w:ascii="Times New Roman" w:hAnsi="Times New Roman" w:cs="Times New Roman"/>
        </w:rPr>
        <w:t xml:space="preserve"> small alarmone synthetase RelP', </w:t>
      </w:r>
      <w:r w:rsidRPr="00720DB4">
        <w:rPr>
          <w:rFonts w:ascii="Times New Roman" w:hAnsi="Times New Roman" w:cs="Times New Roman"/>
          <w:i/>
        </w:rPr>
        <w:t>Journal of Biological Chemistry,</w:t>
      </w:r>
      <w:r w:rsidRPr="00720DB4">
        <w:rPr>
          <w:rFonts w:ascii="Times New Roman" w:hAnsi="Times New Roman" w:cs="Times New Roman"/>
        </w:rPr>
        <w:t xml:space="preserve"> 293(9), pp. 3254-3264.</w:t>
      </w:r>
    </w:p>
    <w:p w14:paraId="14C54E12" w14:textId="77777777" w:rsidR="009B49DF" w:rsidRPr="00720DB4" w:rsidRDefault="009B49DF" w:rsidP="00720DB4">
      <w:pPr>
        <w:pStyle w:val="EndNoteBibliography"/>
        <w:spacing w:after="0"/>
        <w:jc w:val="both"/>
        <w:rPr>
          <w:rFonts w:ascii="Times New Roman" w:hAnsi="Times New Roman" w:cs="Times New Roman"/>
        </w:rPr>
      </w:pPr>
    </w:p>
    <w:p w14:paraId="0B62A59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Manna, A. C., Bayer, M. G. and Cheung, A. L. (1998) 'Transcriptional analysis of different promoters in the </w:t>
      </w:r>
      <w:r w:rsidRPr="009B49DF">
        <w:rPr>
          <w:rFonts w:ascii="Times New Roman" w:hAnsi="Times New Roman" w:cs="Times New Roman"/>
          <w:i/>
          <w:iCs/>
        </w:rPr>
        <w:t>sar</w:t>
      </w:r>
      <w:r w:rsidRPr="00720DB4">
        <w:rPr>
          <w:rFonts w:ascii="Times New Roman" w:hAnsi="Times New Roman" w:cs="Times New Roman"/>
        </w:rPr>
        <w:t xml:space="preserve"> locus in </w:t>
      </w:r>
      <w:r w:rsidRPr="009B49DF">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180(15), pp. 3828-3836.</w:t>
      </w:r>
    </w:p>
    <w:p w14:paraId="63FEFA7C" w14:textId="77777777" w:rsidR="009B49DF" w:rsidRPr="00720DB4" w:rsidRDefault="009B49DF" w:rsidP="00720DB4">
      <w:pPr>
        <w:pStyle w:val="EndNoteBibliography"/>
        <w:spacing w:after="0"/>
        <w:jc w:val="both"/>
        <w:rPr>
          <w:rFonts w:ascii="Times New Roman" w:hAnsi="Times New Roman" w:cs="Times New Roman"/>
        </w:rPr>
      </w:pPr>
    </w:p>
    <w:p w14:paraId="0FC2553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Mansour, S. C., Pletzer, D., de la Fuente-Nunez, C., Kim, P., Cheung, G. Y. C., Joo, H. S., Otto, M. and Hancock, R. E. W. (2016) 'Bacterial Abscess Formation Is Controlled by the Stringent Stress Response and Can Be Targeted Therapeutically', </w:t>
      </w:r>
      <w:r w:rsidRPr="00720DB4">
        <w:rPr>
          <w:rFonts w:ascii="Times New Roman" w:hAnsi="Times New Roman" w:cs="Times New Roman"/>
          <w:i/>
        </w:rPr>
        <w:t>Ebiomedicine,</w:t>
      </w:r>
      <w:r w:rsidRPr="00720DB4">
        <w:rPr>
          <w:rFonts w:ascii="Times New Roman" w:hAnsi="Times New Roman" w:cs="Times New Roman"/>
        </w:rPr>
        <w:t xml:space="preserve"> 12, pp. 219-226.</w:t>
      </w:r>
    </w:p>
    <w:p w14:paraId="6C2FE267" w14:textId="77777777" w:rsidR="009B49DF" w:rsidRPr="00720DB4" w:rsidRDefault="009B49DF" w:rsidP="00720DB4">
      <w:pPr>
        <w:pStyle w:val="EndNoteBibliography"/>
        <w:spacing w:after="0"/>
        <w:jc w:val="both"/>
        <w:rPr>
          <w:rFonts w:ascii="Times New Roman" w:hAnsi="Times New Roman" w:cs="Times New Roman"/>
        </w:rPr>
      </w:pPr>
    </w:p>
    <w:p w14:paraId="0632BD0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Martins, D., McKay, G., Sampathkumar, G., Khakimova, M., English, A. M. and Dao, N. (2018) 'Superoxide dismutase activity confers (p)ppGpp-mediated antibiotic tolerance to stationary- phase </w:t>
      </w:r>
      <w:r w:rsidRPr="009B49DF">
        <w:rPr>
          <w:rFonts w:ascii="Times New Roman" w:hAnsi="Times New Roman" w:cs="Times New Roman"/>
          <w:i/>
          <w:iCs/>
        </w:rPr>
        <w:t>Pseudomonas aeruginosa</w:t>
      </w:r>
      <w:r w:rsidRPr="00720DB4">
        <w:rPr>
          <w:rFonts w:ascii="Times New Roman" w:hAnsi="Times New Roman" w:cs="Times New Roman"/>
        </w:rPr>
        <w:t xml:space="preserv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115(39), pp. 9797-9802.</w:t>
      </w:r>
    </w:p>
    <w:p w14:paraId="16822938" w14:textId="77777777" w:rsidR="009B49DF" w:rsidRPr="00720DB4" w:rsidRDefault="009B49DF" w:rsidP="00720DB4">
      <w:pPr>
        <w:pStyle w:val="EndNoteBibliography"/>
        <w:spacing w:after="0"/>
        <w:jc w:val="both"/>
        <w:rPr>
          <w:rFonts w:ascii="Times New Roman" w:hAnsi="Times New Roman" w:cs="Times New Roman"/>
        </w:rPr>
      </w:pPr>
    </w:p>
    <w:p w14:paraId="32A4CC33" w14:textId="77777777" w:rsidR="0070327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Masson, P. L., Heremans, J. F. and Schonne, E. (1969) 'LACTOFERRIN, AN IRON-BINDING PROTEIN IN NEUTROPHILIC LEUKOCYTES', </w:t>
      </w:r>
      <w:r w:rsidRPr="00720DB4">
        <w:rPr>
          <w:rFonts w:ascii="Times New Roman" w:hAnsi="Times New Roman" w:cs="Times New Roman"/>
          <w:i/>
        </w:rPr>
        <w:t>Journal of Experimental Medicine,</w:t>
      </w:r>
      <w:r w:rsidRPr="00720DB4">
        <w:rPr>
          <w:rFonts w:ascii="Times New Roman" w:hAnsi="Times New Roman" w:cs="Times New Roman"/>
        </w:rPr>
        <w:t xml:space="preserve"> 130(3), pp. 643</w:t>
      </w:r>
      <w:r w:rsidR="009B49DF">
        <w:rPr>
          <w:rFonts w:ascii="Times New Roman" w:hAnsi="Times New Roman" w:cs="Times New Roman"/>
        </w:rPr>
        <w:t>-658</w:t>
      </w:r>
      <w:r w:rsidRPr="00720DB4">
        <w:rPr>
          <w:rFonts w:ascii="Times New Roman" w:hAnsi="Times New Roman" w:cs="Times New Roman"/>
        </w:rPr>
        <w:t>.</w:t>
      </w:r>
    </w:p>
    <w:p w14:paraId="05076A05" w14:textId="108AA9E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Mathias, J. R., Perrin, B. J., Liu, T. X., Kanki, J., Look, A. T. and Huttenlocher, A. (2006) 'Resolution of inflammation by retrograde chemotaxis of neutrophils in transgenic zebrafish', </w:t>
      </w:r>
      <w:r w:rsidRPr="00720DB4">
        <w:rPr>
          <w:rFonts w:ascii="Times New Roman" w:hAnsi="Times New Roman" w:cs="Times New Roman"/>
          <w:i/>
        </w:rPr>
        <w:t>Journal of Leukocyte Biology,</w:t>
      </w:r>
      <w:r w:rsidRPr="00720DB4">
        <w:rPr>
          <w:rFonts w:ascii="Times New Roman" w:hAnsi="Times New Roman" w:cs="Times New Roman"/>
        </w:rPr>
        <w:t xml:space="preserve"> 80(6), pp. 1281-1288.</w:t>
      </w:r>
    </w:p>
    <w:p w14:paraId="1C35B15C" w14:textId="77777777" w:rsidR="00703276" w:rsidRPr="00720DB4" w:rsidRDefault="00703276" w:rsidP="00720DB4">
      <w:pPr>
        <w:pStyle w:val="EndNoteBibliography"/>
        <w:spacing w:after="0"/>
        <w:jc w:val="both"/>
        <w:rPr>
          <w:rFonts w:ascii="Times New Roman" w:hAnsi="Times New Roman" w:cs="Times New Roman"/>
        </w:rPr>
      </w:pPr>
    </w:p>
    <w:p w14:paraId="6E77A3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Maxfield, F. R. and McGraw, T. E. (2004) 'Endocytic recycling', </w:t>
      </w:r>
      <w:r w:rsidRPr="00720DB4">
        <w:rPr>
          <w:rFonts w:ascii="Times New Roman" w:hAnsi="Times New Roman" w:cs="Times New Roman"/>
          <w:i/>
        </w:rPr>
        <w:t>Nature Reviews Molecular Cell Biology,</w:t>
      </w:r>
      <w:r w:rsidRPr="00720DB4">
        <w:rPr>
          <w:rFonts w:ascii="Times New Roman" w:hAnsi="Times New Roman" w:cs="Times New Roman"/>
        </w:rPr>
        <w:t xml:space="preserve"> 5(2), pp. 121-132.</w:t>
      </w:r>
    </w:p>
    <w:p w14:paraId="3E24AA88" w14:textId="77777777" w:rsidR="00703276" w:rsidRPr="00720DB4" w:rsidRDefault="00703276" w:rsidP="00720DB4">
      <w:pPr>
        <w:pStyle w:val="EndNoteBibliography"/>
        <w:spacing w:after="0"/>
        <w:jc w:val="both"/>
        <w:rPr>
          <w:rFonts w:ascii="Times New Roman" w:hAnsi="Times New Roman" w:cs="Times New Roman"/>
        </w:rPr>
      </w:pPr>
    </w:p>
    <w:p w14:paraId="074E1B4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Maxson, M. E. and Grinstein, S. (2014) 'The vacuolar-type H+-ATPase at a glance - more than a proton pump', </w:t>
      </w:r>
      <w:r w:rsidRPr="00720DB4">
        <w:rPr>
          <w:rFonts w:ascii="Times New Roman" w:hAnsi="Times New Roman" w:cs="Times New Roman"/>
          <w:i/>
        </w:rPr>
        <w:t>Journal of Cell Science,</w:t>
      </w:r>
      <w:r w:rsidRPr="00720DB4">
        <w:rPr>
          <w:rFonts w:ascii="Times New Roman" w:hAnsi="Times New Roman" w:cs="Times New Roman"/>
        </w:rPr>
        <w:t xml:space="preserve"> 127(23), pp. 4987-4993.</w:t>
      </w:r>
    </w:p>
    <w:p w14:paraId="192A550F" w14:textId="77777777" w:rsidR="00703276" w:rsidRPr="00720DB4" w:rsidRDefault="00703276" w:rsidP="00720DB4">
      <w:pPr>
        <w:pStyle w:val="EndNoteBibliography"/>
        <w:spacing w:after="0"/>
        <w:jc w:val="both"/>
        <w:rPr>
          <w:rFonts w:ascii="Times New Roman" w:hAnsi="Times New Roman" w:cs="Times New Roman"/>
        </w:rPr>
      </w:pPr>
    </w:p>
    <w:p w14:paraId="4B15A08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Mayadas, T. N., Cullere, X. and Lowell, C. A. (2014) 'The Multifaceted Functions of Neutrophils', in Abbas, A.K., Galli, S.J. and Howley, P.M. (eds.) </w:t>
      </w:r>
      <w:r w:rsidRPr="00720DB4">
        <w:rPr>
          <w:rFonts w:ascii="Times New Roman" w:hAnsi="Times New Roman" w:cs="Times New Roman"/>
          <w:i/>
        </w:rPr>
        <w:t>Annual Review of Pathology: Mechanisms of Disease, Vol 9 Annual Review of Pathology-Mechanisms of Disease</w:t>
      </w:r>
      <w:r w:rsidRPr="00720DB4">
        <w:rPr>
          <w:rFonts w:ascii="Times New Roman" w:hAnsi="Times New Roman" w:cs="Times New Roman"/>
        </w:rPr>
        <w:t>, pp. 181-218.</w:t>
      </w:r>
    </w:p>
    <w:p w14:paraId="173CE91D" w14:textId="77777777" w:rsidR="00703276" w:rsidRPr="00720DB4" w:rsidRDefault="00703276" w:rsidP="00720DB4">
      <w:pPr>
        <w:pStyle w:val="EndNoteBibliography"/>
        <w:spacing w:after="0"/>
        <w:jc w:val="both"/>
        <w:rPr>
          <w:rFonts w:ascii="Times New Roman" w:hAnsi="Times New Roman" w:cs="Times New Roman"/>
        </w:rPr>
      </w:pPr>
    </w:p>
    <w:p w14:paraId="6BE50FC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McAdow, M., Missiakas, D. M. and Schneewind, O. (2012) '</w:t>
      </w:r>
      <w:r w:rsidRPr="00703276">
        <w:rPr>
          <w:rFonts w:ascii="Times New Roman" w:hAnsi="Times New Roman" w:cs="Times New Roman"/>
          <w:i/>
          <w:iCs/>
        </w:rPr>
        <w:t>Staphylococcus aureus</w:t>
      </w:r>
      <w:r w:rsidRPr="00720DB4">
        <w:rPr>
          <w:rFonts w:ascii="Times New Roman" w:hAnsi="Times New Roman" w:cs="Times New Roman"/>
        </w:rPr>
        <w:t xml:space="preserve"> Secretes Coagulase and von Willebrand Factor Binding Protein to Modify the Coagulation Cascade and Establish Host Infections', </w:t>
      </w:r>
      <w:r w:rsidRPr="00720DB4">
        <w:rPr>
          <w:rFonts w:ascii="Times New Roman" w:hAnsi="Times New Roman" w:cs="Times New Roman"/>
          <w:i/>
        </w:rPr>
        <w:t>Journal of Innate Immunity,</w:t>
      </w:r>
      <w:r w:rsidRPr="00720DB4">
        <w:rPr>
          <w:rFonts w:ascii="Times New Roman" w:hAnsi="Times New Roman" w:cs="Times New Roman"/>
        </w:rPr>
        <w:t xml:space="preserve"> 4(2), pp. 141-148.</w:t>
      </w:r>
    </w:p>
    <w:p w14:paraId="09AA260E" w14:textId="77777777" w:rsidR="00703276" w:rsidRPr="00720DB4" w:rsidRDefault="00703276" w:rsidP="00720DB4">
      <w:pPr>
        <w:pStyle w:val="EndNoteBibliography"/>
        <w:spacing w:after="0"/>
        <w:jc w:val="both"/>
        <w:rPr>
          <w:rFonts w:ascii="Times New Roman" w:hAnsi="Times New Roman" w:cs="Times New Roman"/>
        </w:rPr>
      </w:pPr>
    </w:p>
    <w:p w14:paraId="064044D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McBride, H. M., Rybin, V., Murphy, C., Giner, A., Teasdale, R. and Zerial, M. (1999) 'Oligomeric complexes link Rab5 effectors with NSF and drive membrane fusion via interactions between EEA1 and syntaxin 13', </w:t>
      </w:r>
      <w:r w:rsidRPr="00720DB4">
        <w:rPr>
          <w:rFonts w:ascii="Times New Roman" w:hAnsi="Times New Roman" w:cs="Times New Roman"/>
          <w:i/>
        </w:rPr>
        <w:t>Cell,</w:t>
      </w:r>
      <w:r w:rsidRPr="00720DB4">
        <w:rPr>
          <w:rFonts w:ascii="Times New Roman" w:hAnsi="Times New Roman" w:cs="Times New Roman"/>
        </w:rPr>
        <w:t xml:space="preserve"> 98(3), pp. 377-386.</w:t>
      </w:r>
    </w:p>
    <w:p w14:paraId="2E98ED32" w14:textId="77777777" w:rsidR="00703276" w:rsidRPr="00720DB4" w:rsidRDefault="00703276" w:rsidP="00720DB4">
      <w:pPr>
        <w:pStyle w:val="EndNoteBibliography"/>
        <w:spacing w:after="0"/>
        <w:jc w:val="both"/>
        <w:rPr>
          <w:rFonts w:ascii="Times New Roman" w:hAnsi="Times New Roman" w:cs="Times New Roman"/>
        </w:rPr>
      </w:pPr>
    </w:p>
    <w:p w14:paraId="0B248C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McDevitt, D., Francois, P., Vaudaux, P. and Foster, T. J. (1994) 'MOLECULAR CHARACTERIZATION OF THE CLUMPING FACTOR (FIBRINOGEN RECEPTOR) OF </w:t>
      </w:r>
      <w:r w:rsidRPr="00703276">
        <w:rPr>
          <w:rFonts w:ascii="Times New Roman" w:hAnsi="Times New Roman" w:cs="Times New Roman"/>
          <w:i/>
          <w:iCs/>
        </w:rPr>
        <w:t>STAPHYLOCOCCUS-AUREUS</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11(2), pp. 237-248.</w:t>
      </w:r>
    </w:p>
    <w:p w14:paraId="44475F29" w14:textId="77777777" w:rsidR="00703276" w:rsidRPr="00720DB4" w:rsidRDefault="00703276" w:rsidP="00720DB4">
      <w:pPr>
        <w:pStyle w:val="EndNoteBibliography"/>
        <w:spacing w:after="0"/>
        <w:jc w:val="both"/>
        <w:rPr>
          <w:rFonts w:ascii="Times New Roman" w:hAnsi="Times New Roman" w:cs="Times New Roman"/>
        </w:rPr>
      </w:pPr>
    </w:p>
    <w:p w14:paraId="501D966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McGuinness, W. A., Kobayashi, S. D. and DeLeo, F. R. (2016) 'Evasion of Neutrophil Killing by </w:t>
      </w:r>
      <w:r w:rsidRPr="00703276">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Pathogens,</w:t>
      </w:r>
      <w:r w:rsidRPr="00720DB4">
        <w:rPr>
          <w:rFonts w:ascii="Times New Roman" w:hAnsi="Times New Roman" w:cs="Times New Roman"/>
        </w:rPr>
        <w:t xml:space="preserve"> 5(1).</w:t>
      </w:r>
    </w:p>
    <w:p w14:paraId="6F23EFA9" w14:textId="77777777" w:rsidR="00703276" w:rsidRPr="00720DB4" w:rsidRDefault="00703276" w:rsidP="00720DB4">
      <w:pPr>
        <w:pStyle w:val="EndNoteBibliography"/>
        <w:spacing w:after="0"/>
        <w:jc w:val="both"/>
        <w:rPr>
          <w:rFonts w:ascii="Times New Roman" w:hAnsi="Times New Roman" w:cs="Times New Roman"/>
        </w:rPr>
      </w:pPr>
    </w:p>
    <w:p w14:paraId="26862D4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McGuinness, W. A., Malachowa, N. and DeLeo, F. R. (2017) 'Vancomycin Resistance in </w:t>
      </w:r>
      <w:r w:rsidRPr="00703276">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Yale Journal of Biology and Medicine,</w:t>
      </w:r>
      <w:r w:rsidRPr="00720DB4">
        <w:rPr>
          <w:rFonts w:ascii="Times New Roman" w:hAnsi="Times New Roman" w:cs="Times New Roman"/>
        </w:rPr>
        <w:t xml:space="preserve"> 90(2), pp. 269-281.</w:t>
      </w:r>
    </w:p>
    <w:p w14:paraId="3F4E8F72" w14:textId="77777777" w:rsidR="00703276" w:rsidRPr="00720DB4" w:rsidRDefault="00703276" w:rsidP="00720DB4">
      <w:pPr>
        <w:pStyle w:val="EndNoteBibliography"/>
        <w:spacing w:after="0"/>
        <w:jc w:val="both"/>
        <w:rPr>
          <w:rFonts w:ascii="Times New Roman" w:hAnsi="Times New Roman" w:cs="Times New Roman"/>
        </w:rPr>
      </w:pPr>
    </w:p>
    <w:p w14:paraId="7068893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McVicker, G., Prajsnar, T. K., Williams, A., Wagner, N. L., Boots, M., Renshaw, S. A. and Foster, S. J. (2014) 'Clonal Expansion during </w:t>
      </w:r>
      <w:r w:rsidRPr="00703276">
        <w:rPr>
          <w:rFonts w:ascii="Times New Roman" w:hAnsi="Times New Roman" w:cs="Times New Roman"/>
          <w:i/>
          <w:iCs/>
        </w:rPr>
        <w:t>Staphylococcus aureus</w:t>
      </w:r>
      <w:r w:rsidRPr="00720DB4">
        <w:rPr>
          <w:rFonts w:ascii="Times New Roman" w:hAnsi="Times New Roman" w:cs="Times New Roman"/>
        </w:rPr>
        <w:t xml:space="preserve"> Infection Dynamics Reveals the Effect of Antibiotic Intervention', </w:t>
      </w:r>
      <w:r w:rsidRPr="00720DB4">
        <w:rPr>
          <w:rFonts w:ascii="Times New Roman" w:hAnsi="Times New Roman" w:cs="Times New Roman"/>
          <w:i/>
        </w:rPr>
        <w:t>Plos Pathogens,</w:t>
      </w:r>
      <w:r w:rsidRPr="00720DB4">
        <w:rPr>
          <w:rFonts w:ascii="Times New Roman" w:hAnsi="Times New Roman" w:cs="Times New Roman"/>
        </w:rPr>
        <w:t xml:space="preserve"> 10(2).</w:t>
      </w:r>
    </w:p>
    <w:p w14:paraId="48AC6C13" w14:textId="77777777" w:rsidR="00703276" w:rsidRPr="00720DB4" w:rsidRDefault="00703276" w:rsidP="00720DB4">
      <w:pPr>
        <w:pStyle w:val="EndNoteBibliography"/>
        <w:spacing w:after="0"/>
        <w:jc w:val="both"/>
        <w:rPr>
          <w:rFonts w:ascii="Times New Roman" w:hAnsi="Times New Roman" w:cs="Times New Roman"/>
        </w:rPr>
      </w:pPr>
    </w:p>
    <w:p w14:paraId="554A445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Mechold, U., Murphy, H., Brown, L. and Cashel, M. (2002) 'Intramolecular regulation of the opposing (p)ppGpp catalytic activities of Rel(</w:t>
      </w:r>
      <w:r w:rsidRPr="00703276">
        <w:rPr>
          <w:rFonts w:ascii="Times New Roman" w:hAnsi="Times New Roman" w:cs="Times New Roman"/>
          <w:i/>
          <w:iCs/>
        </w:rPr>
        <w:t>Seq</w:t>
      </w:r>
      <w:r w:rsidRPr="00720DB4">
        <w:rPr>
          <w:rFonts w:ascii="Times New Roman" w:hAnsi="Times New Roman" w:cs="Times New Roman"/>
        </w:rPr>
        <w:t xml:space="preserve">), the Rel/Spo enzyme from </w:t>
      </w:r>
      <w:r w:rsidRPr="00703276">
        <w:rPr>
          <w:rFonts w:ascii="Times New Roman" w:hAnsi="Times New Roman" w:cs="Times New Roman"/>
          <w:i/>
          <w:iCs/>
        </w:rPr>
        <w:t>Streptococcus equisimilis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184(11), pp. 2878-2888.</w:t>
      </w:r>
    </w:p>
    <w:p w14:paraId="32BC2854" w14:textId="77777777" w:rsidR="00703276" w:rsidRPr="00720DB4" w:rsidRDefault="00703276" w:rsidP="00720DB4">
      <w:pPr>
        <w:pStyle w:val="EndNoteBibliography"/>
        <w:spacing w:after="0"/>
        <w:jc w:val="both"/>
        <w:rPr>
          <w:rFonts w:ascii="Times New Roman" w:hAnsi="Times New Roman" w:cs="Times New Roman"/>
        </w:rPr>
      </w:pPr>
    </w:p>
    <w:p w14:paraId="6B76F9B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Mechold, U., Potrykus, K., Murphy, H., Murakami, K. S. and Cashel, M. (2013) 'Differential regulation by ppGpp versus pppGpp in </w:t>
      </w:r>
      <w:r w:rsidRPr="00703276">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Nucleic Acids Research,</w:t>
      </w:r>
      <w:r w:rsidRPr="00720DB4">
        <w:rPr>
          <w:rFonts w:ascii="Times New Roman" w:hAnsi="Times New Roman" w:cs="Times New Roman"/>
        </w:rPr>
        <w:t xml:space="preserve"> 41(12), pp. 6175-6189.</w:t>
      </w:r>
    </w:p>
    <w:p w14:paraId="4D5BD959" w14:textId="77777777" w:rsidR="00703276" w:rsidRPr="00720DB4" w:rsidRDefault="00703276" w:rsidP="00720DB4">
      <w:pPr>
        <w:pStyle w:val="EndNoteBibliography"/>
        <w:spacing w:after="0"/>
        <w:jc w:val="both"/>
        <w:rPr>
          <w:rFonts w:ascii="Times New Roman" w:hAnsi="Times New Roman" w:cs="Times New Roman"/>
        </w:rPr>
      </w:pPr>
    </w:p>
    <w:p w14:paraId="1CD729A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Meijer, A. H., Krens, S. F. G., Rodriguez, I. A. M., He, S. N., Bitter, W., Snaar-Jagalska, B. E. and Spaink, H. P. (2004) 'Expression analysis of the Toll-like receptor and TIR domain adaptor families of zebrafish', </w:t>
      </w:r>
      <w:r w:rsidRPr="00720DB4">
        <w:rPr>
          <w:rFonts w:ascii="Times New Roman" w:hAnsi="Times New Roman" w:cs="Times New Roman"/>
          <w:i/>
        </w:rPr>
        <w:t>Molecular Immunology,</w:t>
      </w:r>
      <w:r w:rsidRPr="00720DB4">
        <w:rPr>
          <w:rFonts w:ascii="Times New Roman" w:hAnsi="Times New Roman" w:cs="Times New Roman"/>
        </w:rPr>
        <w:t xml:space="preserve"> 40(11), pp. 773-783.</w:t>
      </w:r>
    </w:p>
    <w:p w14:paraId="4A53F74B" w14:textId="77777777" w:rsidR="00703276" w:rsidRPr="00720DB4" w:rsidRDefault="00703276" w:rsidP="00720DB4">
      <w:pPr>
        <w:pStyle w:val="EndNoteBibliography"/>
        <w:spacing w:after="0"/>
        <w:jc w:val="both"/>
        <w:rPr>
          <w:rFonts w:ascii="Times New Roman" w:hAnsi="Times New Roman" w:cs="Times New Roman"/>
        </w:rPr>
      </w:pPr>
    </w:p>
    <w:p w14:paraId="3E03525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Mellman, I., Koch, T., Healey, G., Hunziker, W., Lewis, V., Plutner, H., Miettinen, H., Vaux, D., Moore, K. and Stuart, S. (1988) 'STRUCTURE AND FUNCTION OF FC-RECEPTORS ON MACROPHAGES AND LYMPHOCYTES', </w:t>
      </w:r>
      <w:r w:rsidRPr="00720DB4">
        <w:rPr>
          <w:rFonts w:ascii="Times New Roman" w:hAnsi="Times New Roman" w:cs="Times New Roman"/>
          <w:i/>
        </w:rPr>
        <w:t>Journal of Cell Science</w:t>
      </w:r>
      <w:r w:rsidRPr="00720DB4">
        <w:rPr>
          <w:rFonts w:ascii="Times New Roman" w:hAnsi="Times New Roman" w:cs="Times New Roman"/>
        </w:rPr>
        <w:t>, pp. 45-65.</w:t>
      </w:r>
    </w:p>
    <w:p w14:paraId="29A1DABC" w14:textId="77777777" w:rsidR="00703276" w:rsidRPr="00720DB4" w:rsidRDefault="00703276" w:rsidP="00720DB4">
      <w:pPr>
        <w:pStyle w:val="EndNoteBibliography"/>
        <w:spacing w:after="0"/>
        <w:jc w:val="both"/>
        <w:rPr>
          <w:rFonts w:ascii="Times New Roman" w:hAnsi="Times New Roman" w:cs="Times New Roman"/>
        </w:rPr>
      </w:pPr>
    </w:p>
    <w:p w14:paraId="7EBAA51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Mesureur, J., Feliciano, J. R., Wagner, N., Gomes, M. C., Zhang, L. L., Blanco-Gonzalez, M., van der Vaart, M., O'Callaghan, D., Meijer, A. H. and Vergunst, A. C. (2017) 'Macrophages, but not neutrophils, are critical for proliferation of Burkholderia cenocepacia and ensuing host-damaging inflammation', </w:t>
      </w:r>
      <w:r w:rsidRPr="00720DB4">
        <w:rPr>
          <w:rFonts w:ascii="Times New Roman" w:hAnsi="Times New Roman" w:cs="Times New Roman"/>
          <w:i/>
        </w:rPr>
        <w:t>Plos Pathogens,</w:t>
      </w:r>
      <w:r w:rsidRPr="00720DB4">
        <w:rPr>
          <w:rFonts w:ascii="Times New Roman" w:hAnsi="Times New Roman" w:cs="Times New Roman"/>
        </w:rPr>
        <w:t xml:space="preserve"> 13(6).</w:t>
      </w:r>
    </w:p>
    <w:p w14:paraId="5F8DDA4E" w14:textId="77777777" w:rsidR="00703276" w:rsidRPr="00720DB4" w:rsidRDefault="00703276" w:rsidP="00720DB4">
      <w:pPr>
        <w:pStyle w:val="EndNoteBibliography"/>
        <w:spacing w:after="0"/>
        <w:jc w:val="both"/>
        <w:rPr>
          <w:rFonts w:ascii="Times New Roman" w:hAnsi="Times New Roman" w:cs="Times New Roman"/>
        </w:rPr>
      </w:pPr>
    </w:p>
    <w:p w14:paraId="651370D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Miller, L. S., Fowler, V. G., Jr., Shukla, S. K., Rose, W. E. and Proctor, R. A. (2020) 'Development of a vaccine against </w:t>
      </w:r>
      <w:r w:rsidRPr="00703276">
        <w:rPr>
          <w:rFonts w:ascii="Times New Roman" w:hAnsi="Times New Roman" w:cs="Times New Roman"/>
          <w:i/>
          <w:iCs/>
        </w:rPr>
        <w:t>Staphylococcus aureus</w:t>
      </w:r>
      <w:r w:rsidRPr="00720DB4">
        <w:rPr>
          <w:rFonts w:ascii="Times New Roman" w:hAnsi="Times New Roman" w:cs="Times New Roman"/>
        </w:rPr>
        <w:t xml:space="preserve"> invasive infections: Evidence based on human immunity, genetics and bacterial evasion mechanisms', </w:t>
      </w:r>
      <w:r w:rsidRPr="00720DB4">
        <w:rPr>
          <w:rFonts w:ascii="Times New Roman" w:hAnsi="Times New Roman" w:cs="Times New Roman"/>
          <w:i/>
        </w:rPr>
        <w:t>Fems Microbiology Reviews,</w:t>
      </w:r>
      <w:r w:rsidRPr="00720DB4">
        <w:rPr>
          <w:rFonts w:ascii="Times New Roman" w:hAnsi="Times New Roman" w:cs="Times New Roman"/>
        </w:rPr>
        <w:t xml:space="preserve"> 44(1), pp. 123-153.</w:t>
      </w:r>
    </w:p>
    <w:p w14:paraId="0066BE05" w14:textId="77777777" w:rsidR="00703276" w:rsidRPr="00720DB4" w:rsidRDefault="00703276" w:rsidP="00720DB4">
      <w:pPr>
        <w:pStyle w:val="EndNoteBibliography"/>
        <w:spacing w:after="0"/>
        <w:jc w:val="both"/>
        <w:rPr>
          <w:rFonts w:ascii="Times New Roman" w:hAnsi="Times New Roman" w:cs="Times New Roman"/>
        </w:rPr>
      </w:pPr>
    </w:p>
    <w:p w14:paraId="19D135E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Mills, C. D. (2001) 'Macrophage arginine metabolism to ornithine/urea or nitric oxide/citrulline: A life or death issue', </w:t>
      </w:r>
      <w:r w:rsidRPr="00720DB4">
        <w:rPr>
          <w:rFonts w:ascii="Times New Roman" w:hAnsi="Times New Roman" w:cs="Times New Roman"/>
          <w:i/>
        </w:rPr>
        <w:t>Critical Reviews in Immunology,</w:t>
      </w:r>
      <w:r w:rsidRPr="00720DB4">
        <w:rPr>
          <w:rFonts w:ascii="Times New Roman" w:hAnsi="Times New Roman" w:cs="Times New Roman"/>
        </w:rPr>
        <w:t xml:space="preserve"> 21(5), pp. 399-425.</w:t>
      </w:r>
    </w:p>
    <w:p w14:paraId="5B5FBF85" w14:textId="77777777" w:rsidR="00703276" w:rsidRPr="00720DB4" w:rsidRDefault="00703276" w:rsidP="00720DB4">
      <w:pPr>
        <w:pStyle w:val="EndNoteBibliography"/>
        <w:spacing w:after="0"/>
        <w:jc w:val="both"/>
        <w:rPr>
          <w:rFonts w:ascii="Times New Roman" w:hAnsi="Times New Roman" w:cs="Times New Roman"/>
        </w:rPr>
      </w:pPr>
    </w:p>
    <w:p w14:paraId="380BBBC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Mills, C. D. (2012) 'M1 and M2 Macrophages: Oracles of Health and Disease', </w:t>
      </w:r>
      <w:r w:rsidRPr="00720DB4">
        <w:rPr>
          <w:rFonts w:ascii="Times New Roman" w:hAnsi="Times New Roman" w:cs="Times New Roman"/>
          <w:i/>
        </w:rPr>
        <w:t>Critical Reviews in Immunology,</w:t>
      </w:r>
      <w:r w:rsidRPr="00720DB4">
        <w:rPr>
          <w:rFonts w:ascii="Times New Roman" w:hAnsi="Times New Roman" w:cs="Times New Roman"/>
        </w:rPr>
        <w:t xml:space="preserve"> 32(6), pp. 463-488.</w:t>
      </w:r>
    </w:p>
    <w:p w14:paraId="46F141A6" w14:textId="77777777" w:rsidR="00703276" w:rsidRPr="00720DB4" w:rsidRDefault="00703276" w:rsidP="00720DB4">
      <w:pPr>
        <w:pStyle w:val="EndNoteBibliography"/>
        <w:spacing w:after="0"/>
        <w:jc w:val="both"/>
        <w:rPr>
          <w:rFonts w:ascii="Times New Roman" w:hAnsi="Times New Roman" w:cs="Times New Roman"/>
        </w:rPr>
      </w:pPr>
    </w:p>
    <w:p w14:paraId="3FCF9E1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Mills, C. D., Kincaid, K., Alt, J. M., Heilman, M. J. and Hill, A. M. (2000) 'M-1/M-2 macrophages and the Th1/Th2 paradigm', </w:t>
      </w:r>
      <w:r w:rsidRPr="00720DB4">
        <w:rPr>
          <w:rFonts w:ascii="Times New Roman" w:hAnsi="Times New Roman" w:cs="Times New Roman"/>
          <w:i/>
        </w:rPr>
        <w:t>Journal of Immunology,</w:t>
      </w:r>
      <w:r w:rsidRPr="00720DB4">
        <w:rPr>
          <w:rFonts w:ascii="Times New Roman" w:hAnsi="Times New Roman" w:cs="Times New Roman"/>
        </w:rPr>
        <w:t xml:space="preserve"> 164(12), pp. 6166-6173.</w:t>
      </w:r>
    </w:p>
    <w:p w14:paraId="62643CC0" w14:textId="77777777" w:rsidR="00703276" w:rsidRPr="00720DB4" w:rsidRDefault="00703276" w:rsidP="00720DB4">
      <w:pPr>
        <w:pStyle w:val="EndNoteBibliography"/>
        <w:spacing w:after="0"/>
        <w:jc w:val="both"/>
        <w:rPr>
          <w:rFonts w:ascii="Times New Roman" w:hAnsi="Times New Roman" w:cs="Times New Roman"/>
        </w:rPr>
      </w:pPr>
    </w:p>
    <w:p w14:paraId="67354B4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Milon, P., Tischenko, E., Tomsic, J., Caserta, E., Folkers, G., La Teana, A., Rodnina, M. V., Pon, C. L., Boelens, R. and Gualerzi, C. O. (2006) 'The nucleotide-binding site of bacterial translation initiation factor 2 (IF2) as a metabolic sensor',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103(38), pp. 13962-13967.</w:t>
      </w:r>
    </w:p>
    <w:p w14:paraId="2EB8508D" w14:textId="77777777" w:rsidR="00703276" w:rsidRPr="00720DB4" w:rsidRDefault="00703276" w:rsidP="00720DB4">
      <w:pPr>
        <w:pStyle w:val="EndNoteBibliography"/>
        <w:spacing w:after="0"/>
        <w:jc w:val="both"/>
        <w:rPr>
          <w:rFonts w:ascii="Times New Roman" w:hAnsi="Times New Roman" w:cs="Times New Roman"/>
        </w:rPr>
      </w:pPr>
    </w:p>
    <w:p w14:paraId="2B126ED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Mitkevich, V. A., Ermakov, A., Kulikova, A. A., Tankov, S., Shyp, V., Soosaar, A., Tenson, T., Makarov, A. A., Ehrenberg, M. and Hauryliuk, V. (2010) 'Thermodynamic Characterization of ppGpp Binding to EF-G or 1F2 and of Initiator tRNA Binding to Free 1F2 in the Presence of GDP, GTP, or ppGpp', </w:t>
      </w:r>
      <w:r w:rsidRPr="00720DB4">
        <w:rPr>
          <w:rFonts w:ascii="Times New Roman" w:hAnsi="Times New Roman" w:cs="Times New Roman"/>
          <w:i/>
        </w:rPr>
        <w:t>Journal of Molecular Biology,</w:t>
      </w:r>
      <w:r w:rsidRPr="00720DB4">
        <w:rPr>
          <w:rFonts w:ascii="Times New Roman" w:hAnsi="Times New Roman" w:cs="Times New Roman"/>
        </w:rPr>
        <w:t xml:space="preserve"> 402(5), pp. 838-846.</w:t>
      </w:r>
    </w:p>
    <w:p w14:paraId="711D3141" w14:textId="77777777" w:rsidR="00703276" w:rsidRPr="00720DB4" w:rsidRDefault="00703276" w:rsidP="00720DB4">
      <w:pPr>
        <w:pStyle w:val="EndNoteBibliography"/>
        <w:spacing w:after="0"/>
        <w:jc w:val="both"/>
        <w:rPr>
          <w:rFonts w:ascii="Times New Roman" w:hAnsi="Times New Roman" w:cs="Times New Roman"/>
        </w:rPr>
      </w:pPr>
    </w:p>
    <w:p w14:paraId="23AEA6A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Mittenhuber, G. (2001) 'Comparative genomics and evolution of genes encoding bacterial (p)ppGpp synthetases/hydrolases (the rel, RelA and SpoT proteins)', </w:t>
      </w:r>
      <w:r w:rsidRPr="00720DB4">
        <w:rPr>
          <w:rFonts w:ascii="Times New Roman" w:hAnsi="Times New Roman" w:cs="Times New Roman"/>
          <w:i/>
        </w:rPr>
        <w:t>Journal of Molecular Microbiology and Biotechnology,</w:t>
      </w:r>
      <w:r w:rsidRPr="00720DB4">
        <w:rPr>
          <w:rFonts w:ascii="Times New Roman" w:hAnsi="Times New Roman" w:cs="Times New Roman"/>
        </w:rPr>
        <w:t xml:space="preserve"> 3(4), pp. 585-600.</w:t>
      </w:r>
    </w:p>
    <w:p w14:paraId="3A22F8E3" w14:textId="77777777" w:rsidR="00703276" w:rsidRPr="00720DB4" w:rsidRDefault="00703276" w:rsidP="00720DB4">
      <w:pPr>
        <w:pStyle w:val="EndNoteBibliography"/>
        <w:spacing w:after="0"/>
        <w:jc w:val="both"/>
        <w:rPr>
          <w:rFonts w:ascii="Times New Roman" w:hAnsi="Times New Roman" w:cs="Times New Roman"/>
        </w:rPr>
      </w:pPr>
    </w:p>
    <w:p w14:paraId="7DE82F6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Mlynarczyk, A., Mlynarczyk, G. and Jeljaszewicz, J. (1998) 'The genome of </w:t>
      </w:r>
      <w:r w:rsidRPr="00703276">
        <w:rPr>
          <w:rFonts w:ascii="Times New Roman" w:hAnsi="Times New Roman" w:cs="Times New Roman"/>
          <w:i/>
          <w:iCs/>
        </w:rPr>
        <w:t>Staphylococcus aureus</w:t>
      </w:r>
      <w:r w:rsidRPr="00720DB4">
        <w:rPr>
          <w:rFonts w:ascii="Times New Roman" w:hAnsi="Times New Roman" w:cs="Times New Roman"/>
        </w:rPr>
        <w:t xml:space="preserve">: A review', </w:t>
      </w:r>
      <w:r w:rsidRPr="00720DB4">
        <w:rPr>
          <w:rFonts w:ascii="Times New Roman" w:hAnsi="Times New Roman" w:cs="Times New Roman"/>
          <w:i/>
        </w:rPr>
        <w:t>Zentralblatt Fur Bakteriologie-International Journal of Medical Microbiology Virology Parasitology and Infectious Diseases,</w:t>
      </w:r>
      <w:r w:rsidRPr="00720DB4">
        <w:rPr>
          <w:rFonts w:ascii="Times New Roman" w:hAnsi="Times New Roman" w:cs="Times New Roman"/>
        </w:rPr>
        <w:t xml:space="preserve"> 287(4), pp. 277-314.</w:t>
      </w:r>
    </w:p>
    <w:p w14:paraId="6CF39346" w14:textId="77777777" w:rsidR="00703276" w:rsidRPr="00720DB4" w:rsidRDefault="00703276" w:rsidP="00720DB4">
      <w:pPr>
        <w:pStyle w:val="EndNoteBibliography"/>
        <w:spacing w:after="0"/>
        <w:jc w:val="both"/>
        <w:rPr>
          <w:rFonts w:ascii="Times New Roman" w:hAnsi="Times New Roman" w:cs="Times New Roman"/>
        </w:rPr>
      </w:pPr>
    </w:p>
    <w:p w14:paraId="3501C61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Monie, T. P. (2017) </w:t>
      </w:r>
      <w:r w:rsidRPr="00720DB4">
        <w:rPr>
          <w:rFonts w:ascii="Times New Roman" w:hAnsi="Times New Roman" w:cs="Times New Roman"/>
          <w:i/>
        </w:rPr>
        <w:t>The Innate Immune System.</w:t>
      </w:r>
      <w:r w:rsidRPr="00720DB4">
        <w:rPr>
          <w:rFonts w:ascii="Times New Roman" w:hAnsi="Times New Roman" w:cs="Times New Roman"/>
        </w:rPr>
        <w:t xml:space="preserve"> Academic Press, p. 1-40.</w:t>
      </w:r>
    </w:p>
    <w:p w14:paraId="7AF84CE8" w14:textId="77777777" w:rsidR="00703276" w:rsidRPr="00720DB4" w:rsidRDefault="00703276" w:rsidP="00720DB4">
      <w:pPr>
        <w:pStyle w:val="EndNoteBibliography"/>
        <w:spacing w:after="0"/>
        <w:jc w:val="both"/>
        <w:rPr>
          <w:rFonts w:ascii="Times New Roman" w:hAnsi="Times New Roman" w:cs="Times New Roman"/>
        </w:rPr>
      </w:pPr>
    </w:p>
    <w:p w14:paraId="77B1226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Monk, I. R., Tree, J. J., Howden, B. P., Stinear, T. P. and Foster, T. J. (2015) 'Complete Bypass of Restriction Systems for Major </w:t>
      </w:r>
      <w:r w:rsidRPr="00703276">
        <w:rPr>
          <w:rFonts w:ascii="Times New Roman" w:hAnsi="Times New Roman" w:cs="Times New Roman"/>
          <w:i/>
          <w:iCs/>
        </w:rPr>
        <w:t>Staphylococcus aureus</w:t>
      </w:r>
      <w:r w:rsidRPr="00720DB4">
        <w:rPr>
          <w:rFonts w:ascii="Times New Roman" w:hAnsi="Times New Roman" w:cs="Times New Roman"/>
        </w:rPr>
        <w:t xml:space="preserve"> Lineages', </w:t>
      </w:r>
      <w:r w:rsidRPr="00720DB4">
        <w:rPr>
          <w:rFonts w:ascii="Times New Roman" w:hAnsi="Times New Roman" w:cs="Times New Roman"/>
          <w:i/>
        </w:rPr>
        <w:t>Mbio,</w:t>
      </w:r>
      <w:r w:rsidRPr="00720DB4">
        <w:rPr>
          <w:rFonts w:ascii="Times New Roman" w:hAnsi="Times New Roman" w:cs="Times New Roman"/>
        </w:rPr>
        <w:t xml:space="preserve"> 6(3).</w:t>
      </w:r>
    </w:p>
    <w:p w14:paraId="256A524F" w14:textId="77777777" w:rsidR="00703276" w:rsidRPr="00720DB4" w:rsidRDefault="00703276" w:rsidP="00720DB4">
      <w:pPr>
        <w:pStyle w:val="EndNoteBibliography"/>
        <w:spacing w:after="0"/>
        <w:jc w:val="both"/>
        <w:rPr>
          <w:rFonts w:ascii="Times New Roman" w:hAnsi="Times New Roman" w:cs="Times New Roman"/>
        </w:rPr>
      </w:pPr>
    </w:p>
    <w:p w14:paraId="4E15929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Montgomery, C. P., Boyle-Vavra, S., Roux, A., Ebine, K., Sonenshein, A. L. and Daum, R. S. (2012) 'CodY Deletion Enhances In Vivo Virulence of Community-Associated Methicillin-Resistant </w:t>
      </w:r>
      <w:r w:rsidRPr="00703276">
        <w:rPr>
          <w:rFonts w:ascii="Times New Roman" w:hAnsi="Times New Roman" w:cs="Times New Roman"/>
          <w:i/>
          <w:iCs/>
        </w:rPr>
        <w:t>Staphylococcus aureus</w:t>
      </w:r>
      <w:r w:rsidRPr="00720DB4">
        <w:rPr>
          <w:rFonts w:ascii="Times New Roman" w:hAnsi="Times New Roman" w:cs="Times New Roman"/>
        </w:rPr>
        <w:t xml:space="preserve"> Clone USA300', </w:t>
      </w:r>
      <w:r w:rsidRPr="00720DB4">
        <w:rPr>
          <w:rFonts w:ascii="Times New Roman" w:hAnsi="Times New Roman" w:cs="Times New Roman"/>
          <w:i/>
        </w:rPr>
        <w:t>Infection and Immunity,</w:t>
      </w:r>
      <w:r w:rsidRPr="00720DB4">
        <w:rPr>
          <w:rFonts w:ascii="Times New Roman" w:hAnsi="Times New Roman" w:cs="Times New Roman"/>
        </w:rPr>
        <w:t xml:space="preserve"> 80(7), pp. 2382-2389.</w:t>
      </w:r>
    </w:p>
    <w:p w14:paraId="260DA20C" w14:textId="77777777" w:rsidR="00703276" w:rsidRPr="00720DB4" w:rsidRDefault="00703276" w:rsidP="00720DB4">
      <w:pPr>
        <w:pStyle w:val="EndNoteBibliography"/>
        <w:spacing w:after="0"/>
        <w:jc w:val="both"/>
        <w:rPr>
          <w:rFonts w:ascii="Times New Roman" w:hAnsi="Times New Roman" w:cs="Times New Roman"/>
        </w:rPr>
      </w:pPr>
    </w:p>
    <w:p w14:paraId="73BACB4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Moreillon, P., Entenza, J. M., Francioli, P., McDevitt, D., Foster, T. J., Francois, P. and Vaudaux, P. (1995) 'ROLE OF </w:t>
      </w:r>
      <w:r w:rsidRPr="00703276">
        <w:rPr>
          <w:rFonts w:ascii="Times New Roman" w:hAnsi="Times New Roman" w:cs="Times New Roman"/>
          <w:i/>
          <w:iCs/>
        </w:rPr>
        <w:t>STAPHYLOCOCCUS-AUREUS</w:t>
      </w:r>
      <w:r w:rsidRPr="00720DB4">
        <w:rPr>
          <w:rFonts w:ascii="Times New Roman" w:hAnsi="Times New Roman" w:cs="Times New Roman"/>
        </w:rPr>
        <w:t xml:space="preserve"> COAGULASE AND CLUMPING FACTOR IN PATHOGENESIS OF EXPERIMENTAL ENDOCARDITIS', </w:t>
      </w:r>
      <w:r w:rsidRPr="00720DB4">
        <w:rPr>
          <w:rFonts w:ascii="Times New Roman" w:hAnsi="Times New Roman" w:cs="Times New Roman"/>
          <w:i/>
        </w:rPr>
        <w:t>Infection and Immunity,</w:t>
      </w:r>
      <w:r w:rsidRPr="00720DB4">
        <w:rPr>
          <w:rFonts w:ascii="Times New Roman" w:hAnsi="Times New Roman" w:cs="Times New Roman"/>
        </w:rPr>
        <w:t xml:space="preserve"> 63(12), pp. 4738-4743.</w:t>
      </w:r>
    </w:p>
    <w:p w14:paraId="65EF7488" w14:textId="77777777" w:rsidR="00703276" w:rsidRPr="00720DB4" w:rsidRDefault="00703276" w:rsidP="00720DB4">
      <w:pPr>
        <w:pStyle w:val="EndNoteBibliography"/>
        <w:spacing w:after="0"/>
        <w:jc w:val="both"/>
        <w:rPr>
          <w:rFonts w:ascii="Times New Roman" w:hAnsi="Times New Roman" w:cs="Times New Roman"/>
        </w:rPr>
      </w:pPr>
    </w:p>
    <w:p w14:paraId="48E2FDE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Morfeldt, E., Taylor, D., Vongabain, A. and Arvidson, S. (1995) 'ACTIVATION OF ALPHA-TOXIN TRANSLATION IN </w:t>
      </w:r>
      <w:r w:rsidRPr="00703276">
        <w:rPr>
          <w:rFonts w:ascii="Times New Roman" w:hAnsi="Times New Roman" w:cs="Times New Roman"/>
          <w:i/>
          <w:iCs/>
        </w:rPr>
        <w:t>STAPHYLOCOCCUS-AUREUS</w:t>
      </w:r>
      <w:r w:rsidRPr="00720DB4">
        <w:rPr>
          <w:rFonts w:ascii="Times New Roman" w:hAnsi="Times New Roman" w:cs="Times New Roman"/>
        </w:rPr>
        <w:t xml:space="preserve"> BY THE TRANS-ENCODED ANTISENSE RNA, RNAIII', </w:t>
      </w:r>
      <w:r w:rsidRPr="00720DB4">
        <w:rPr>
          <w:rFonts w:ascii="Times New Roman" w:hAnsi="Times New Roman" w:cs="Times New Roman"/>
          <w:i/>
        </w:rPr>
        <w:t>Embo Journal,</w:t>
      </w:r>
      <w:r w:rsidRPr="00720DB4">
        <w:rPr>
          <w:rFonts w:ascii="Times New Roman" w:hAnsi="Times New Roman" w:cs="Times New Roman"/>
        </w:rPr>
        <w:t xml:space="preserve"> 14(18), pp. 4569-4577.</w:t>
      </w:r>
    </w:p>
    <w:p w14:paraId="46F792DD" w14:textId="77777777" w:rsidR="00703276" w:rsidRPr="00720DB4" w:rsidRDefault="00703276" w:rsidP="00720DB4">
      <w:pPr>
        <w:pStyle w:val="EndNoteBibliography"/>
        <w:spacing w:after="0"/>
        <w:jc w:val="both"/>
        <w:rPr>
          <w:rFonts w:ascii="Times New Roman" w:hAnsi="Times New Roman" w:cs="Times New Roman"/>
        </w:rPr>
      </w:pPr>
    </w:p>
    <w:p w14:paraId="387B8E0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Morrison, J. M., Anderson, K. L., Beenken, K. E., Smeltzer, M. S. and Dunman, P. M. (2012) 'The staphylococcal accessory regulator, SarA, is an RNA-binding protein that modulates the mRNA turnover properties of late-exponential and stationary phase </w:t>
      </w:r>
      <w:r w:rsidRPr="00703276">
        <w:rPr>
          <w:rFonts w:ascii="Times New Roman" w:hAnsi="Times New Roman" w:cs="Times New Roman"/>
          <w:i/>
          <w:iCs/>
        </w:rPr>
        <w:t xml:space="preserve">Staphylococcus aureus </w:t>
      </w:r>
      <w:r w:rsidRPr="00720DB4">
        <w:rPr>
          <w:rFonts w:ascii="Times New Roman" w:hAnsi="Times New Roman" w:cs="Times New Roman"/>
        </w:rPr>
        <w:t xml:space="preserve">cells', </w:t>
      </w:r>
      <w:r w:rsidRPr="00720DB4">
        <w:rPr>
          <w:rFonts w:ascii="Times New Roman" w:hAnsi="Times New Roman" w:cs="Times New Roman"/>
          <w:i/>
        </w:rPr>
        <w:t>Frontiers in Cellular and Infection Microbiology,</w:t>
      </w:r>
      <w:r w:rsidRPr="00720DB4">
        <w:rPr>
          <w:rFonts w:ascii="Times New Roman" w:hAnsi="Times New Roman" w:cs="Times New Roman"/>
        </w:rPr>
        <w:t xml:space="preserve"> 2.</w:t>
      </w:r>
    </w:p>
    <w:p w14:paraId="3A0E1F51" w14:textId="77777777" w:rsidR="00703276" w:rsidRPr="00720DB4" w:rsidRDefault="00703276" w:rsidP="00720DB4">
      <w:pPr>
        <w:pStyle w:val="EndNoteBibliography"/>
        <w:spacing w:after="0"/>
        <w:jc w:val="both"/>
        <w:rPr>
          <w:rFonts w:ascii="Times New Roman" w:hAnsi="Times New Roman" w:cs="Times New Roman"/>
        </w:rPr>
      </w:pPr>
    </w:p>
    <w:p w14:paraId="238324D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Mostowy, S., Boucontet, L., Moya, M. J. M., Sirianni, A., Boudinot, P., Hollinshead, M., Cossart, P., Herbomel, P., Levraud, J. P. and Colucci-Guyon, E. (2013) 'The Zebrafish as a New Model for the In Vivo Study of </w:t>
      </w:r>
      <w:r w:rsidRPr="00703276">
        <w:rPr>
          <w:rFonts w:ascii="Times New Roman" w:hAnsi="Times New Roman" w:cs="Times New Roman"/>
          <w:i/>
          <w:iCs/>
        </w:rPr>
        <w:t>Shigella flexneri</w:t>
      </w:r>
      <w:r w:rsidRPr="00720DB4">
        <w:rPr>
          <w:rFonts w:ascii="Times New Roman" w:hAnsi="Times New Roman" w:cs="Times New Roman"/>
        </w:rPr>
        <w:t xml:space="preserve"> Interaction with Phagocytes and Bacterial Autophagy', </w:t>
      </w:r>
      <w:r w:rsidRPr="00720DB4">
        <w:rPr>
          <w:rFonts w:ascii="Times New Roman" w:hAnsi="Times New Roman" w:cs="Times New Roman"/>
          <w:i/>
        </w:rPr>
        <w:t>Plos Pathogens,</w:t>
      </w:r>
      <w:r w:rsidRPr="00720DB4">
        <w:rPr>
          <w:rFonts w:ascii="Times New Roman" w:hAnsi="Times New Roman" w:cs="Times New Roman"/>
        </w:rPr>
        <w:t xml:space="preserve"> 9(9).</w:t>
      </w:r>
    </w:p>
    <w:p w14:paraId="49ACD9A7" w14:textId="77777777" w:rsidR="00703276" w:rsidRPr="00720DB4" w:rsidRDefault="00703276" w:rsidP="00720DB4">
      <w:pPr>
        <w:pStyle w:val="EndNoteBibliography"/>
        <w:spacing w:after="0"/>
        <w:jc w:val="both"/>
        <w:rPr>
          <w:rFonts w:ascii="Times New Roman" w:hAnsi="Times New Roman" w:cs="Times New Roman"/>
        </w:rPr>
      </w:pPr>
    </w:p>
    <w:p w14:paraId="6E20850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Mouery, K., Rader, B. A., Gaynor, E. C. and Guillemin, K. (2006) 'The stringent response is required for </w:t>
      </w:r>
      <w:r w:rsidRPr="00703276">
        <w:rPr>
          <w:rFonts w:ascii="Times New Roman" w:hAnsi="Times New Roman" w:cs="Times New Roman"/>
          <w:i/>
          <w:iCs/>
        </w:rPr>
        <w:t>Helicobacter pylori</w:t>
      </w:r>
      <w:r w:rsidRPr="00720DB4">
        <w:rPr>
          <w:rFonts w:ascii="Times New Roman" w:hAnsi="Times New Roman" w:cs="Times New Roman"/>
        </w:rPr>
        <w:t xml:space="preserve"> survival of stationary phase, exposure to acid, and aerobic shock', </w:t>
      </w:r>
      <w:r w:rsidRPr="00720DB4">
        <w:rPr>
          <w:rFonts w:ascii="Times New Roman" w:hAnsi="Times New Roman" w:cs="Times New Roman"/>
          <w:i/>
        </w:rPr>
        <w:t>Journal of Bacteriology,</w:t>
      </w:r>
      <w:r w:rsidRPr="00720DB4">
        <w:rPr>
          <w:rFonts w:ascii="Times New Roman" w:hAnsi="Times New Roman" w:cs="Times New Roman"/>
        </w:rPr>
        <w:t xml:space="preserve"> 188(15), pp. 5494-5500.</w:t>
      </w:r>
    </w:p>
    <w:p w14:paraId="74EB386D" w14:textId="77777777" w:rsidR="00703276" w:rsidRPr="00720DB4" w:rsidRDefault="00703276" w:rsidP="00720DB4">
      <w:pPr>
        <w:pStyle w:val="EndNoteBibliography"/>
        <w:spacing w:after="0"/>
        <w:jc w:val="both"/>
        <w:rPr>
          <w:rFonts w:ascii="Times New Roman" w:hAnsi="Times New Roman" w:cs="Times New Roman"/>
        </w:rPr>
      </w:pPr>
    </w:p>
    <w:p w14:paraId="40561C8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Mulcahy, M. E., Geoghegan, J. A., Monk, I. R., O'Keeffe, K. M., Walsh, E. J., Foster, T. J. and McLoughlin, R. M. (2012) 'Nasal Colonisation by </w:t>
      </w:r>
      <w:r w:rsidRPr="00703276">
        <w:rPr>
          <w:rFonts w:ascii="Times New Roman" w:hAnsi="Times New Roman" w:cs="Times New Roman"/>
          <w:i/>
          <w:iCs/>
        </w:rPr>
        <w:t>Staphylococcus aureus</w:t>
      </w:r>
      <w:r w:rsidRPr="00720DB4">
        <w:rPr>
          <w:rFonts w:ascii="Times New Roman" w:hAnsi="Times New Roman" w:cs="Times New Roman"/>
        </w:rPr>
        <w:t xml:space="preserve"> Depends upon Clumping Factor B Binding to the Squamous Epithelial Cell Envelope Protein Loricrin', </w:t>
      </w:r>
      <w:r w:rsidRPr="00720DB4">
        <w:rPr>
          <w:rFonts w:ascii="Times New Roman" w:hAnsi="Times New Roman" w:cs="Times New Roman"/>
          <w:i/>
        </w:rPr>
        <w:t>Plos Pathogens,</w:t>
      </w:r>
      <w:r w:rsidRPr="00720DB4">
        <w:rPr>
          <w:rFonts w:ascii="Times New Roman" w:hAnsi="Times New Roman" w:cs="Times New Roman"/>
        </w:rPr>
        <w:t xml:space="preserve"> 8(12).</w:t>
      </w:r>
    </w:p>
    <w:p w14:paraId="0D5E58E0" w14:textId="77777777" w:rsidR="00703276" w:rsidRPr="00720DB4" w:rsidRDefault="00703276" w:rsidP="00720DB4">
      <w:pPr>
        <w:pStyle w:val="EndNoteBibliography"/>
        <w:spacing w:after="0"/>
        <w:jc w:val="both"/>
        <w:rPr>
          <w:rFonts w:ascii="Times New Roman" w:hAnsi="Times New Roman" w:cs="Times New Roman"/>
        </w:rPr>
      </w:pPr>
    </w:p>
    <w:p w14:paraId="0577638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Murdeshwar, M. S. and Chatterji, D. (2012) 'MS_RHII-RSD, a Dual-Function RNase HII-(p)ppGpp Synthetase from </w:t>
      </w:r>
      <w:r w:rsidRPr="00703276">
        <w:rPr>
          <w:rFonts w:ascii="Times New Roman" w:hAnsi="Times New Roman" w:cs="Times New Roman"/>
          <w:i/>
          <w:iCs/>
        </w:rPr>
        <w:t>Mycobacterium smegmatis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194(15), pp. 4003-4014.</w:t>
      </w:r>
    </w:p>
    <w:p w14:paraId="2A722297" w14:textId="77777777" w:rsidR="00703276" w:rsidRPr="00720DB4" w:rsidRDefault="00703276" w:rsidP="00720DB4">
      <w:pPr>
        <w:pStyle w:val="EndNoteBibliography"/>
        <w:spacing w:after="0"/>
        <w:jc w:val="both"/>
        <w:rPr>
          <w:rFonts w:ascii="Times New Roman" w:hAnsi="Times New Roman" w:cs="Times New Roman"/>
        </w:rPr>
      </w:pPr>
    </w:p>
    <w:p w14:paraId="3642CEA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Murray, K. P., Zhao, J. J., Davis, S. L., Kullar, R., Kaye, K. S., Lephart, P. and Rybak, M. J. (2013) 'Early Use of Daptomycin Versus Vancomycin for Methicillin-Resistant </w:t>
      </w:r>
      <w:r w:rsidRPr="00703276">
        <w:rPr>
          <w:rFonts w:ascii="Times New Roman" w:hAnsi="Times New Roman" w:cs="Times New Roman"/>
          <w:i/>
          <w:iCs/>
        </w:rPr>
        <w:t xml:space="preserve">Staphylococcus aureus </w:t>
      </w:r>
      <w:r w:rsidRPr="00720DB4">
        <w:rPr>
          <w:rFonts w:ascii="Times New Roman" w:hAnsi="Times New Roman" w:cs="Times New Roman"/>
        </w:rPr>
        <w:t xml:space="preserve">Bacteremia With Vancomycin Minimum Inhibitory Concentration &gt; 1 mg/L: A Matched Cohort Study', </w:t>
      </w:r>
      <w:r w:rsidRPr="00720DB4">
        <w:rPr>
          <w:rFonts w:ascii="Times New Roman" w:hAnsi="Times New Roman" w:cs="Times New Roman"/>
          <w:i/>
        </w:rPr>
        <w:t>Clinical Infectious Diseases,</w:t>
      </w:r>
      <w:r w:rsidRPr="00720DB4">
        <w:rPr>
          <w:rFonts w:ascii="Times New Roman" w:hAnsi="Times New Roman" w:cs="Times New Roman"/>
        </w:rPr>
        <w:t xml:space="preserve"> 56(11), pp. 1562-1569.</w:t>
      </w:r>
    </w:p>
    <w:p w14:paraId="2B3D379F" w14:textId="77777777" w:rsidR="00703276" w:rsidRPr="00720DB4" w:rsidRDefault="00703276" w:rsidP="00720DB4">
      <w:pPr>
        <w:pStyle w:val="EndNoteBibliography"/>
        <w:spacing w:after="0"/>
        <w:jc w:val="both"/>
        <w:rPr>
          <w:rFonts w:ascii="Times New Roman" w:hAnsi="Times New Roman" w:cs="Times New Roman"/>
        </w:rPr>
      </w:pPr>
    </w:p>
    <w:p w14:paraId="31FD2F0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Mwangi, M. M., Kim, C., Chung, M., Tsai, J., Vijayadamodar, G., Benitez, M., Jarvie, T. P., Du, L. and Tomasz, A. (2013) 'Whole-Genome Sequencing Reveals a Link Between beta-Lactam Resistance and Synthetases of the Alarmone (p)ppGpp in </w:t>
      </w:r>
      <w:r w:rsidRPr="00703276">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Microbial Drug Resistance,</w:t>
      </w:r>
      <w:r w:rsidRPr="00720DB4">
        <w:rPr>
          <w:rFonts w:ascii="Times New Roman" w:hAnsi="Times New Roman" w:cs="Times New Roman"/>
        </w:rPr>
        <w:t xml:space="preserve"> 19(3), pp. 153-159.</w:t>
      </w:r>
    </w:p>
    <w:p w14:paraId="12801F48" w14:textId="77777777" w:rsidR="00703276" w:rsidRPr="00720DB4" w:rsidRDefault="00703276" w:rsidP="00720DB4">
      <w:pPr>
        <w:pStyle w:val="EndNoteBibliography"/>
        <w:spacing w:after="0"/>
        <w:jc w:val="both"/>
        <w:rPr>
          <w:rFonts w:ascii="Times New Roman" w:hAnsi="Times New Roman" w:cs="Times New Roman"/>
        </w:rPr>
      </w:pPr>
    </w:p>
    <w:p w14:paraId="53A6C6F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Müller, S., Faulhaber, A., Sieber, C., Pfeifer, D., Hochberg, T., Gansz, M., Deshmukh, S. D., Dauth, S., Brix, K., Saftig, P., Peters, C., Henneke, P. and Reinheckel, T. (2014) 'The endolysosomal cysteine cathepsins L and K are involved in macrophage-mediated clearance of </w:t>
      </w:r>
      <w:r w:rsidRPr="00703276">
        <w:rPr>
          <w:rFonts w:ascii="Times New Roman" w:hAnsi="Times New Roman" w:cs="Times New Roman"/>
          <w:i/>
          <w:iCs/>
        </w:rPr>
        <w:t xml:space="preserve">Staphylococcus aureus </w:t>
      </w:r>
      <w:r w:rsidRPr="00720DB4">
        <w:rPr>
          <w:rFonts w:ascii="Times New Roman" w:hAnsi="Times New Roman" w:cs="Times New Roman"/>
        </w:rPr>
        <w:t xml:space="preserve">and the concomitant cytokine induction', </w:t>
      </w:r>
      <w:r w:rsidRPr="00720DB4">
        <w:rPr>
          <w:rFonts w:ascii="Times New Roman" w:hAnsi="Times New Roman" w:cs="Times New Roman"/>
          <w:i/>
        </w:rPr>
        <w:t>Faseb Journal,</w:t>
      </w:r>
      <w:r w:rsidRPr="00720DB4">
        <w:rPr>
          <w:rFonts w:ascii="Times New Roman" w:hAnsi="Times New Roman" w:cs="Times New Roman"/>
        </w:rPr>
        <w:t xml:space="preserve"> 28(1), pp. 162-175.</w:t>
      </w:r>
    </w:p>
    <w:p w14:paraId="2F1588BF" w14:textId="77777777" w:rsidR="00703276" w:rsidRPr="00720DB4" w:rsidRDefault="00703276" w:rsidP="00720DB4">
      <w:pPr>
        <w:pStyle w:val="EndNoteBibliography"/>
        <w:spacing w:after="0"/>
        <w:jc w:val="both"/>
        <w:rPr>
          <w:rFonts w:ascii="Times New Roman" w:hAnsi="Times New Roman" w:cs="Times New Roman"/>
        </w:rPr>
      </w:pPr>
    </w:p>
    <w:p w14:paraId="4BE51A0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Nakagawa, A., Oshima, T. and Mori, H. (2006) 'Identification and characterization of a second, inducible promoter of relA in </w:t>
      </w:r>
      <w:r w:rsidRPr="00703276">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Genes &amp; Genetic Systems,</w:t>
      </w:r>
      <w:r w:rsidRPr="00720DB4">
        <w:rPr>
          <w:rFonts w:ascii="Times New Roman" w:hAnsi="Times New Roman" w:cs="Times New Roman"/>
        </w:rPr>
        <w:t xml:space="preserve"> 81(5), pp. 299-310.</w:t>
      </w:r>
    </w:p>
    <w:p w14:paraId="75BFC780" w14:textId="77777777" w:rsidR="00703276" w:rsidRPr="00720DB4" w:rsidRDefault="00703276" w:rsidP="00720DB4">
      <w:pPr>
        <w:pStyle w:val="EndNoteBibliography"/>
        <w:spacing w:after="0"/>
        <w:jc w:val="both"/>
        <w:rPr>
          <w:rFonts w:ascii="Times New Roman" w:hAnsi="Times New Roman" w:cs="Times New Roman"/>
        </w:rPr>
      </w:pPr>
    </w:p>
    <w:p w14:paraId="75BE81D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Nakanishi, N., Abe, H., Ogura, Y., Hayashi, T., Tashiro, K., Kuhara, S., Sugimoto, N. and Tobe, T. (2006) 'ppGpp with DksA controls gene expression in the locus of enterocyte effacement (LEE) pathogenicity island of enterohaemorrhagic </w:t>
      </w:r>
      <w:r w:rsidRPr="00703276">
        <w:rPr>
          <w:rFonts w:ascii="Times New Roman" w:hAnsi="Times New Roman" w:cs="Times New Roman"/>
          <w:i/>
          <w:iCs/>
        </w:rPr>
        <w:t xml:space="preserve">Escherichia coli </w:t>
      </w:r>
      <w:r w:rsidRPr="00720DB4">
        <w:rPr>
          <w:rFonts w:ascii="Times New Roman" w:hAnsi="Times New Roman" w:cs="Times New Roman"/>
        </w:rPr>
        <w:t xml:space="preserve">through activation of two virulence regulatory genes', </w:t>
      </w:r>
      <w:r w:rsidRPr="00720DB4">
        <w:rPr>
          <w:rFonts w:ascii="Times New Roman" w:hAnsi="Times New Roman" w:cs="Times New Roman"/>
          <w:i/>
        </w:rPr>
        <w:t>Molecular Microbiology,</w:t>
      </w:r>
      <w:r w:rsidRPr="00720DB4">
        <w:rPr>
          <w:rFonts w:ascii="Times New Roman" w:hAnsi="Times New Roman" w:cs="Times New Roman"/>
        </w:rPr>
        <w:t xml:space="preserve"> 61(1), pp. 194-205.</w:t>
      </w:r>
    </w:p>
    <w:p w14:paraId="3BE925A4" w14:textId="77777777" w:rsidR="00703276" w:rsidRPr="00720DB4" w:rsidRDefault="00703276" w:rsidP="00720DB4">
      <w:pPr>
        <w:pStyle w:val="EndNoteBibliography"/>
        <w:spacing w:after="0"/>
        <w:jc w:val="both"/>
        <w:rPr>
          <w:rFonts w:ascii="Times New Roman" w:hAnsi="Times New Roman" w:cs="Times New Roman"/>
        </w:rPr>
      </w:pPr>
    </w:p>
    <w:p w14:paraId="0E21025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Nanamiya, H., Kasai, K., Nozawa, A., Yun, C.-S., Narisawa, T., Murakami, K., Natori, Y., Kawamura, F. and Tozawa, Y. (2008) 'Identification and functional analysis of novel (p)ppGpp synthetase genes in </w:t>
      </w:r>
      <w:r w:rsidRPr="00703276">
        <w:rPr>
          <w:rFonts w:ascii="Times New Roman" w:hAnsi="Times New Roman" w:cs="Times New Roman"/>
          <w:i/>
          <w:iCs/>
        </w:rPr>
        <w:t>Bacillus subtilis</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67(2), pp. 291-304.</w:t>
      </w:r>
    </w:p>
    <w:p w14:paraId="4D1CCB34" w14:textId="77777777" w:rsidR="00703276" w:rsidRPr="00720DB4" w:rsidRDefault="00703276" w:rsidP="00720DB4">
      <w:pPr>
        <w:pStyle w:val="EndNoteBibliography"/>
        <w:spacing w:after="0"/>
        <w:jc w:val="both"/>
        <w:rPr>
          <w:rFonts w:ascii="Times New Roman" w:hAnsi="Times New Roman" w:cs="Times New Roman"/>
        </w:rPr>
      </w:pPr>
    </w:p>
    <w:p w14:paraId="409C2AB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Nandhini, P., Kumar, P., Mickymaray, S., Alothaim, A. S., Somasundaram, J. and Rajan, M. (2022) 'Recent Developments in Methicillin-Resistant</w:t>
      </w:r>
      <w:r w:rsidRPr="00703276">
        <w:rPr>
          <w:rFonts w:ascii="Times New Roman" w:hAnsi="Times New Roman" w:cs="Times New Roman"/>
          <w:i/>
          <w:iCs/>
        </w:rPr>
        <w:t xml:space="preserve"> Staphylococcus aureus</w:t>
      </w:r>
      <w:r w:rsidRPr="00720DB4">
        <w:rPr>
          <w:rFonts w:ascii="Times New Roman" w:hAnsi="Times New Roman" w:cs="Times New Roman"/>
        </w:rPr>
        <w:t xml:space="preserve"> (MRSA) Treatment: A Review', </w:t>
      </w:r>
      <w:r w:rsidRPr="00720DB4">
        <w:rPr>
          <w:rFonts w:ascii="Times New Roman" w:hAnsi="Times New Roman" w:cs="Times New Roman"/>
          <w:i/>
        </w:rPr>
        <w:t>Antibiotics-Basel,</w:t>
      </w:r>
      <w:r w:rsidRPr="00720DB4">
        <w:rPr>
          <w:rFonts w:ascii="Times New Roman" w:hAnsi="Times New Roman" w:cs="Times New Roman"/>
        </w:rPr>
        <w:t xml:space="preserve"> 11(5).</w:t>
      </w:r>
    </w:p>
    <w:p w14:paraId="4601BD04" w14:textId="77777777" w:rsidR="00703276" w:rsidRPr="00720DB4" w:rsidRDefault="00703276" w:rsidP="00720DB4">
      <w:pPr>
        <w:pStyle w:val="EndNoteBibliography"/>
        <w:spacing w:after="0"/>
        <w:jc w:val="both"/>
        <w:rPr>
          <w:rFonts w:ascii="Times New Roman" w:hAnsi="Times New Roman" w:cs="Times New Roman"/>
        </w:rPr>
      </w:pPr>
    </w:p>
    <w:p w14:paraId="2D88440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Nathan, C. and Shiloh, M. U. (2000) 'Reactive oxygen and nitrogen intermediates in the relationship between mammalian hosts and microbial pathogens',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97(16), pp. 8841-8848.</w:t>
      </w:r>
    </w:p>
    <w:p w14:paraId="3320E1D4" w14:textId="77777777" w:rsidR="00703276" w:rsidRPr="00720DB4" w:rsidRDefault="00703276" w:rsidP="00720DB4">
      <w:pPr>
        <w:pStyle w:val="EndNoteBibliography"/>
        <w:spacing w:after="0"/>
        <w:jc w:val="both"/>
        <w:rPr>
          <w:rFonts w:ascii="Times New Roman" w:hAnsi="Times New Roman" w:cs="Times New Roman"/>
        </w:rPr>
      </w:pPr>
    </w:p>
    <w:p w14:paraId="2455884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Nelson, J. W., Atilho, R. M., Sherlock, M. E., Stockbridge, R. B. and Breaker, R. R. (2017) 'Metabolism of Free Guanidine in Bacteria Is Regulated by a Widespread Riboswitch Class', </w:t>
      </w:r>
      <w:r w:rsidRPr="00720DB4">
        <w:rPr>
          <w:rFonts w:ascii="Times New Roman" w:hAnsi="Times New Roman" w:cs="Times New Roman"/>
          <w:i/>
        </w:rPr>
        <w:t>Molecular Cell,</w:t>
      </w:r>
      <w:r w:rsidRPr="00720DB4">
        <w:rPr>
          <w:rFonts w:ascii="Times New Roman" w:hAnsi="Times New Roman" w:cs="Times New Roman"/>
        </w:rPr>
        <w:t xml:space="preserve"> 65(2), pp. 220-230.</w:t>
      </w:r>
    </w:p>
    <w:p w14:paraId="649F2866" w14:textId="77777777" w:rsidR="00703276" w:rsidRPr="00720DB4" w:rsidRDefault="00703276" w:rsidP="00720DB4">
      <w:pPr>
        <w:pStyle w:val="EndNoteBibliography"/>
        <w:spacing w:after="0"/>
        <w:jc w:val="both"/>
        <w:rPr>
          <w:rFonts w:ascii="Times New Roman" w:hAnsi="Times New Roman" w:cs="Times New Roman"/>
        </w:rPr>
      </w:pPr>
    </w:p>
    <w:p w14:paraId="274DF48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Nesargikar, P. N., Spiller, B. and Chavez, R. (2012) 'The complement system: history, pathways, cascade and inhibitors', </w:t>
      </w:r>
      <w:r w:rsidRPr="00720DB4">
        <w:rPr>
          <w:rFonts w:ascii="Times New Roman" w:hAnsi="Times New Roman" w:cs="Times New Roman"/>
          <w:i/>
        </w:rPr>
        <w:t>European Journal of Microbiology and Immunology,</w:t>
      </w:r>
      <w:r w:rsidRPr="00720DB4">
        <w:rPr>
          <w:rFonts w:ascii="Times New Roman" w:hAnsi="Times New Roman" w:cs="Times New Roman"/>
        </w:rPr>
        <w:t xml:space="preserve"> 2(2), pp. 103-111.</w:t>
      </w:r>
    </w:p>
    <w:p w14:paraId="7FAEEE49" w14:textId="77777777" w:rsidR="00703276" w:rsidRPr="00720DB4" w:rsidRDefault="00703276" w:rsidP="00720DB4">
      <w:pPr>
        <w:pStyle w:val="EndNoteBibliography"/>
        <w:spacing w:after="0"/>
        <w:jc w:val="both"/>
        <w:rPr>
          <w:rFonts w:ascii="Times New Roman" w:hAnsi="Times New Roman" w:cs="Times New Roman"/>
        </w:rPr>
      </w:pPr>
    </w:p>
    <w:p w14:paraId="53017CD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Novick, R. P. and Jiang, D. R. (2003) 'The staphylococcal </w:t>
      </w:r>
      <w:r w:rsidRPr="00703276">
        <w:rPr>
          <w:rFonts w:ascii="Times New Roman" w:hAnsi="Times New Roman" w:cs="Times New Roman"/>
          <w:i/>
          <w:iCs/>
        </w:rPr>
        <w:t>saeRS</w:t>
      </w:r>
      <w:r w:rsidRPr="00720DB4">
        <w:rPr>
          <w:rFonts w:ascii="Times New Roman" w:hAnsi="Times New Roman" w:cs="Times New Roman"/>
        </w:rPr>
        <w:t xml:space="preserve"> system coordinates environmental signals with agr quorum sensing', </w:t>
      </w:r>
      <w:r w:rsidRPr="00720DB4">
        <w:rPr>
          <w:rFonts w:ascii="Times New Roman" w:hAnsi="Times New Roman" w:cs="Times New Roman"/>
          <w:i/>
        </w:rPr>
        <w:t>Microbiology-Sgm,</w:t>
      </w:r>
      <w:r w:rsidRPr="00720DB4">
        <w:rPr>
          <w:rFonts w:ascii="Times New Roman" w:hAnsi="Times New Roman" w:cs="Times New Roman"/>
        </w:rPr>
        <w:t xml:space="preserve"> 149, pp. 2709-2717.</w:t>
      </w:r>
    </w:p>
    <w:p w14:paraId="768FAFB6" w14:textId="77777777" w:rsidR="00703276" w:rsidRPr="00720DB4" w:rsidRDefault="00703276" w:rsidP="00720DB4">
      <w:pPr>
        <w:pStyle w:val="EndNoteBibliography"/>
        <w:spacing w:after="0"/>
        <w:jc w:val="both"/>
        <w:rPr>
          <w:rFonts w:ascii="Times New Roman" w:hAnsi="Times New Roman" w:cs="Times New Roman"/>
        </w:rPr>
      </w:pPr>
    </w:p>
    <w:p w14:paraId="33DBC37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Novick, R. P., Ross, H. F., Projan, S. J., Kornblum, J., Kreiswirth, B. and Moghazeh, S. (1993) 'SYNTHESIS OF STAPHYLOCOCCAL VIRULENCE FACTORS IS CONTROLLED BY A REGULATORY RNA MOLECULE', </w:t>
      </w:r>
      <w:r w:rsidRPr="00720DB4">
        <w:rPr>
          <w:rFonts w:ascii="Times New Roman" w:hAnsi="Times New Roman" w:cs="Times New Roman"/>
          <w:i/>
        </w:rPr>
        <w:t>Embo Journal,</w:t>
      </w:r>
      <w:r w:rsidRPr="00720DB4">
        <w:rPr>
          <w:rFonts w:ascii="Times New Roman" w:hAnsi="Times New Roman" w:cs="Times New Roman"/>
        </w:rPr>
        <w:t xml:space="preserve"> 12(10), pp. 3967-3975.</w:t>
      </w:r>
    </w:p>
    <w:p w14:paraId="63E1AFA7" w14:textId="77777777" w:rsidR="00706614" w:rsidRPr="00720DB4" w:rsidRDefault="00706614" w:rsidP="00720DB4">
      <w:pPr>
        <w:pStyle w:val="EndNoteBibliography"/>
        <w:spacing w:after="0"/>
        <w:jc w:val="both"/>
        <w:rPr>
          <w:rFonts w:ascii="Times New Roman" w:hAnsi="Times New Roman" w:cs="Times New Roman"/>
        </w:rPr>
      </w:pPr>
    </w:p>
    <w:p w14:paraId="778F884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Nüsslein-Volhard, C. and Dahm, R. (2002) </w:t>
      </w:r>
      <w:r w:rsidRPr="00720DB4">
        <w:rPr>
          <w:rFonts w:ascii="Times New Roman" w:hAnsi="Times New Roman" w:cs="Times New Roman"/>
          <w:i/>
        </w:rPr>
        <w:t>Zebrafish: A Practical Approach.</w:t>
      </w:r>
      <w:r w:rsidRPr="00720DB4">
        <w:rPr>
          <w:rFonts w:ascii="Times New Roman" w:hAnsi="Times New Roman" w:cs="Times New Roman"/>
        </w:rPr>
        <w:t xml:space="preserve"> Oxford: Oxford University Press.</w:t>
      </w:r>
    </w:p>
    <w:p w14:paraId="37DA9699" w14:textId="77777777" w:rsidR="00706614" w:rsidRPr="00720DB4" w:rsidRDefault="00706614" w:rsidP="00720DB4">
      <w:pPr>
        <w:pStyle w:val="EndNoteBibliography"/>
        <w:spacing w:after="0"/>
        <w:jc w:val="both"/>
        <w:rPr>
          <w:rFonts w:ascii="Times New Roman" w:hAnsi="Times New Roman" w:cs="Times New Roman"/>
        </w:rPr>
      </w:pPr>
    </w:p>
    <w:p w14:paraId="261F888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O'Brien, E. C. and McLoughlin, R. M. (2019) 'Considering the 'Alternatives' for Next-Generation Anti-</w:t>
      </w:r>
      <w:r w:rsidRPr="00706614">
        <w:rPr>
          <w:rFonts w:ascii="Times New Roman" w:hAnsi="Times New Roman" w:cs="Times New Roman"/>
          <w:i/>
          <w:iCs/>
        </w:rPr>
        <w:t xml:space="preserve">Staphylococcus aureus </w:t>
      </w:r>
      <w:r w:rsidRPr="00720DB4">
        <w:rPr>
          <w:rFonts w:ascii="Times New Roman" w:hAnsi="Times New Roman" w:cs="Times New Roman"/>
        </w:rPr>
        <w:t xml:space="preserve">Vaccine Development', </w:t>
      </w:r>
      <w:r w:rsidRPr="00720DB4">
        <w:rPr>
          <w:rFonts w:ascii="Times New Roman" w:hAnsi="Times New Roman" w:cs="Times New Roman"/>
          <w:i/>
        </w:rPr>
        <w:t>Trends in Molecular Medicine,</w:t>
      </w:r>
      <w:r w:rsidRPr="00720DB4">
        <w:rPr>
          <w:rFonts w:ascii="Times New Roman" w:hAnsi="Times New Roman" w:cs="Times New Roman"/>
        </w:rPr>
        <w:t xml:space="preserve"> 25(3), pp. 171-184.</w:t>
      </w:r>
    </w:p>
    <w:p w14:paraId="6C6B8D40" w14:textId="77777777" w:rsidR="00706614" w:rsidRPr="00720DB4" w:rsidRDefault="00706614" w:rsidP="00720DB4">
      <w:pPr>
        <w:pStyle w:val="EndNoteBibliography"/>
        <w:spacing w:after="0"/>
        <w:jc w:val="both"/>
        <w:rPr>
          <w:rFonts w:ascii="Times New Roman" w:hAnsi="Times New Roman" w:cs="Times New Roman"/>
        </w:rPr>
      </w:pPr>
    </w:p>
    <w:p w14:paraId="6C316CB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O'Neill, E., Pozzi, C., Houston, P., Humphreys, H., Robinson, D. A., Loughman, A., Foster, T. J. and O'Gara, J. P. (2008) 'A novel</w:t>
      </w:r>
      <w:r w:rsidRPr="00706614">
        <w:rPr>
          <w:rFonts w:ascii="Times New Roman" w:hAnsi="Times New Roman" w:cs="Times New Roman"/>
          <w:i/>
          <w:iCs/>
        </w:rPr>
        <w:t xml:space="preserve"> Staphylococcus aureus</w:t>
      </w:r>
      <w:r w:rsidRPr="00720DB4">
        <w:rPr>
          <w:rFonts w:ascii="Times New Roman" w:hAnsi="Times New Roman" w:cs="Times New Roman"/>
        </w:rPr>
        <w:t xml:space="preserve"> biofilm phenotype mediated by the fibronectin-binding proteins, FnBPA and FnBPB', </w:t>
      </w:r>
      <w:r w:rsidRPr="00720DB4">
        <w:rPr>
          <w:rFonts w:ascii="Times New Roman" w:hAnsi="Times New Roman" w:cs="Times New Roman"/>
          <w:i/>
        </w:rPr>
        <w:t>Journal of Bacteriology,</w:t>
      </w:r>
      <w:r w:rsidRPr="00720DB4">
        <w:rPr>
          <w:rFonts w:ascii="Times New Roman" w:hAnsi="Times New Roman" w:cs="Times New Roman"/>
        </w:rPr>
        <w:t xml:space="preserve"> 190(11), pp. 3835-3850.</w:t>
      </w:r>
    </w:p>
    <w:p w14:paraId="023A3E17" w14:textId="77777777" w:rsidR="00706614" w:rsidRPr="00720DB4" w:rsidRDefault="00706614" w:rsidP="00720DB4">
      <w:pPr>
        <w:pStyle w:val="EndNoteBibliography"/>
        <w:spacing w:after="0"/>
        <w:jc w:val="both"/>
        <w:rPr>
          <w:rFonts w:ascii="Times New Roman" w:hAnsi="Times New Roman" w:cs="Times New Roman"/>
        </w:rPr>
      </w:pPr>
    </w:p>
    <w:p w14:paraId="5FD47C8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Ogston, A. (1880) 'Report upon micro-organisms in surgical diseases.', </w:t>
      </w:r>
      <w:r w:rsidRPr="00720DB4">
        <w:rPr>
          <w:rFonts w:ascii="Times New Roman" w:hAnsi="Times New Roman" w:cs="Times New Roman"/>
          <w:i/>
        </w:rPr>
        <w:t>British Medical Journal,</w:t>
      </w:r>
      <w:r w:rsidRPr="00720DB4">
        <w:rPr>
          <w:rFonts w:ascii="Times New Roman" w:hAnsi="Times New Roman" w:cs="Times New Roman"/>
        </w:rPr>
        <w:t xml:space="preserve"> 1, pp. 369-375.</w:t>
      </w:r>
    </w:p>
    <w:p w14:paraId="543A3C62" w14:textId="77777777" w:rsidR="00706614" w:rsidRPr="00720DB4" w:rsidRDefault="00706614" w:rsidP="00720DB4">
      <w:pPr>
        <w:pStyle w:val="EndNoteBibliography"/>
        <w:spacing w:after="0"/>
        <w:jc w:val="both"/>
        <w:rPr>
          <w:rFonts w:ascii="Times New Roman" w:hAnsi="Times New Roman" w:cs="Times New Roman"/>
        </w:rPr>
      </w:pPr>
    </w:p>
    <w:p w14:paraId="641BFCF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Oki, T., Yoshimoto, A., Ogasawara, T., Sato, S. and Takamatsu, A. (1976) 'OCCURRENCE OF PPPAPP-SYNTHESIZING ACTIVITY IN </w:t>
      </w:r>
      <w:r w:rsidRPr="00706614">
        <w:rPr>
          <w:rFonts w:ascii="Times New Roman" w:hAnsi="Times New Roman" w:cs="Times New Roman"/>
          <w:i/>
          <w:iCs/>
        </w:rPr>
        <w:t xml:space="preserve">ACTINOMYCETES </w:t>
      </w:r>
      <w:r w:rsidRPr="00720DB4">
        <w:rPr>
          <w:rFonts w:ascii="Times New Roman" w:hAnsi="Times New Roman" w:cs="Times New Roman"/>
        </w:rPr>
        <w:t xml:space="preserve">AND ISOLATION OF PURINE NUCLEOTIDE PYROPHOSPHOTRANSFERASE', </w:t>
      </w:r>
      <w:r w:rsidRPr="00720DB4">
        <w:rPr>
          <w:rFonts w:ascii="Times New Roman" w:hAnsi="Times New Roman" w:cs="Times New Roman"/>
          <w:i/>
        </w:rPr>
        <w:t>Archives of Microbiology,</w:t>
      </w:r>
      <w:r w:rsidRPr="00720DB4">
        <w:rPr>
          <w:rFonts w:ascii="Times New Roman" w:hAnsi="Times New Roman" w:cs="Times New Roman"/>
        </w:rPr>
        <w:t xml:space="preserve"> 107(2), pp. 183-187.</w:t>
      </w:r>
    </w:p>
    <w:p w14:paraId="7106245D" w14:textId="77777777" w:rsidR="00706614" w:rsidRPr="00720DB4" w:rsidRDefault="00706614" w:rsidP="00720DB4">
      <w:pPr>
        <w:pStyle w:val="EndNoteBibliography"/>
        <w:spacing w:after="0"/>
        <w:jc w:val="both"/>
        <w:rPr>
          <w:rFonts w:ascii="Times New Roman" w:hAnsi="Times New Roman" w:cs="Times New Roman"/>
        </w:rPr>
      </w:pPr>
    </w:p>
    <w:p w14:paraId="791FBBF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Olofsson, K., Hellstrom, S. and Hammarstrom, M. L. (1998) 'The surface epithelium of recurrent infected palatine tonsils is rich in gamma delta T cells', </w:t>
      </w:r>
      <w:r w:rsidRPr="00720DB4">
        <w:rPr>
          <w:rFonts w:ascii="Times New Roman" w:hAnsi="Times New Roman" w:cs="Times New Roman"/>
          <w:i/>
        </w:rPr>
        <w:t>Clinical and Experimental Immunology,</w:t>
      </w:r>
      <w:r w:rsidRPr="00720DB4">
        <w:rPr>
          <w:rFonts w:ascii="Times New Roman" w:hAnsi="Times New Roman" w:cs="Times New Roman"/>
        </w:rPr>
        <w:t xml:space="preserve"> 111(1), pp. 36-47.</w:t>
      </w:r>
    </w:p>
    <w:p w14:paraId="13944CD7" w14:textId="77777777" w:rsidR="00706614" w:rsidRPr="00720DB4" w:rsidRDefault="00706614" w:rsidP="00720DB4">
      <w:pPr>
        <w:pStyle w:val="EndNoteBibliography"/>
        <w:spacing w:after="0"/>
        <w:jc w:val="both"/>
        <w:rPr>
          <w:rFonts w:ascii="Times New Roman" w:hAnsi="Times New Roman" w:cs="Times New Roman"/>
        </w:rPr>
      </w:pPr>
    </w:p>
    <w:p w14:paraId="627A620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Ono, K., Nishitani, C., Mitsuzawa, H., Shimizu, T., Sano, H., Suzuki, H., Kodama, T., Fujii, N., Fukase, K., Hirata, K. and Kuroki, Y. (2006) 'Mannose-binding lectin augments the uptake of lipid A, </w:t>
      </w:r>
      <w:r w:rsidRPr="00706614">
        <w:rPr>
          <w:rFonts w:ascii="Times New Roman" w:hAnsi="Times New Roman" w:cs="Times New Roman"/>
          <w:i/>
          <w:iCs/>
        </w:rPr>
        <w:t>Staphylococcus aureus</w:t>
      </w:r>
      <w:r w:rsidRPr="00720DB4">
        <w:rPr>
          <w:rFonts w:ascii="Times New Roman" w:hAnsi="Times New Roman" w:cs="Times New Roman"/>
        </w:rPr>
        <w:t>, and</w:t>
      </w:r>
      <w:r w:rsidRPr="00706614">
        <w:rPr>
          <w:rFonts w:ascii="Times New Roman" w:hAnsi="Times New Roman" w:cs="Times New Roman"/>
          <w:i/>
          <w:iCs/>
        </w:rPr>
        <w:t xml:space="preserve"> Escherichia coli</w:t>
      </w:r>
      <w:r w:rsidRPr="00720DB4">
        <w:rPr>
          <w:rFonts w:ascii="Times New Roman" w:hAnsi="Times New Roman" w:cs="Times New Roman"/>
        </w:rPr>
        <w:t xml:space="preserve"> by Kupffer cells through increased cell surface expression of scavenger receptor A', </w:t>
      </w:r>
      <w:r w:rsidRPr="00720DB4">
        <w:rPr>
          <w:rFonts w:ascii="Times New Roman" w:hAnsi="Times New Roman" w:cs="Times New Roman"/>
          <w:i/>
        </w:rPr>
        <w:t>Journal of Immunology,</w:t>
      </w:r>
      <w:r w:rsidRPr="00720DB4">
        <w:rPr>
          <w:rFonts w:ascii="Times New Roman" w:hAnsi="Times New Roman" w:cs="Times New Roman"/>
        </w:rPr>
        <w:t xml:space="preserve"> 177(8), pp. 5517-5523.</w:t>
      </w:r>
    </w:p>
    <w:p w14:paraId="33B45E62" w14:textId="77777777" w:rsidR="00706614" w:rsidRPr="00720DB4" w:rsidRDefault="00706614" w:rsidP="00720DB4">
      <w:pPr>
        <w:pStyle w:val="EndNoteBibliography"/>
        <w:spacing w:after="0"/>
        <w:jc w:val="both"/>
        <w:rPr>
          <w:rFonts w:ascii="Times New Roman" w:hAnsi="Times New Roman" w:cs="Times New Roman"/>
        </w:rPr>
      </w:pPr>
    </w:p>
    <w:p w14:paraId="411632D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Ooga, T., Ohashi, Y., Kuramitsu, S., Koyama, Y., Tomita, M., Soga, T. and Masui, R. (2009) 'Degradation of ppGpp by Nudix Pyrophosphatase Modulates the Transition of Growth Phase in the Bacterium </w:t>
      </w:r>
      <w:r w:rsidRPr="00706614">
        <w:rPr>
          <w:rFonts w:ascii="Times New Roman" w:hAnsi="Times New Roman" w:cs="Times New Roman"/>
          <w:i/>
          <w:iCs/>
        </w:rPr>
        <w:t>Thermus thermophilus</w:t>
      </w:r>
      <w:r w:rsidRPr="00720DB4">
        <w:rPr>
          <w:rFonts w:ascii="Times New Roman" w:hAnsi="Times New Roman" w:cs="Times New Roman"/>
        </w:rPr>
        <w:t xml:space="preserve">', </w:t>
      </w:r>
      <w:r w:rsidRPr="00720DB4">
        <w:rPr>
          <w:rFonts w:ascii="Times New Roman" w:hAnsi="Times New Roman" w:cs="Times New Roman"/>
          <w:i/>
        </w:rPr>
        <w:t>Journal of Biological Chemistry,</w:t>
      </w:r>
      <w:r w:rsidRPr="00720DB4">
        <w:rPr>
          <w:rFonts w:ascii="Times New Roman" w:hAnsi="Times New Roman" w:cs="Times New Roman"/>
        </w:rPr>
        <w:t xml:space="preserve"> 284(23), pp. 15549-15556.</w:t>
      </w:r>
    </w:p>
    <w:p w14:paraId="6A426438" w14:textId="77777777" w:rsidR="00706614" w:rsidRPr="00720DB4" w:rsidRDefault="00706614" w:rsidP="00720DB4">
      <w:pPr>
        <w:pStyle w:val="EndNoteBibliography"/>
        <w:spacing w:after="0"/>
        <w:jc w:val="both"/>
        <w:rPr>
          <w:rFonts w:ascii="Times New Roman" w:hAnsi="Times New Roman" w:cs="Times New Roman"/>
        </w:rPr>
      </w:pPr>
    </w:p>
    <w:p w14:paraId="7E9A1E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Ortega, F. E., Koslover, E. F. and Theriot, J. A. (2019) '</w:t>
      </w:r>
      <w:r w:rsidRPr="00706614">
        <w:rPr>
          <w:rFonts w:ascii="Times New Roman" w:hAnsi="Times New Roman" w:cs="Times New Roman"/>
          <w:i/>
          <w:iCs/>
        </w:rPr>
        <w:t xml:space="preserve">Listeria monocytogenes </w:t>
      </w:r>
      <w:r w:rsidRPr="00720DB4">
        <w:rPr>
          <w:rFonts w:ascii="Times New Roman" w:hAnsi="Times New Roman" w:cs="Times New Roman"/>
        </w:rPr>
        <w:t xml:space="preserve">cell-to-cell spread in epithelia is heterogeneous and dominated by rare pioneer bacteria', </w:t>
      </w:r>
      <w:r w:rsidRPr="00720DB4">
        <w:rPr>
          <w:rFonts w:ascii="Times New Roman" w:hAnsi="Times New Roman" w:cs="Times New Roman"/>
          <w:i/>
        </w:rPr>
        <w:t>Elife,</w:t>
      </w:r>
      <w:r w:rsidRPr="00720DB4">
        <w:rPr>
          <w:rFonts w:ascii="Times New Roman" w:hAnsi="Times New Roman" w:cs="Times New Roman"/>
        </w:rPr>
        <w:t xml:space="preserve"> 8.</w:t>
      </w:r>
    </w:p>
    <w:p w14:paraId="288374C6" w14:textId="77777777" w:rsidR="00706614" w:rsidRPr="00720DB4" w:rsidRDefault="00706614" w:rsidP="00720DB4">
      <w:pPr>
        <w:pStyle w:val="EndNoteBibliography"/>
        <w:spacing w:after="0"/>
        <w:jc w:val="both"/>
        <w:rPr>
          <w:rFonts w:ascii="Times New Roman" w:hAnsi="Times New Roman" w:cs="Times New Roman"/>
        </w:rPr>
      </w:pPr>
    </w:p>
    <w:p w14:paraId="3E774B5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Ouellet, J. (2016) 'RNA Fluorescence with Light-Up Aptamers', </w:t>
      </w:r>
      <w:r w:rsidRPr="00720DB4">
        <w:rPr>
          <w:rFonts w:ascii="Times New Roman" w:hAnsi="Times New Roman" w:cs="Times New Roman"/>
          <w:i/>
        </w:rPr>
        <w:t>Frontiers in Chemistry,</w:t>
      </w:r>
      <w:r w:rsidRPr="00720DB4">
        <w:rPr>
          <w:rFonts w:ascii="Times New Roman" w:hAnsi="Times New Roman" w:cs="Times New Roman"/>
        </w:rPr>
        <w:t xml:space="preserve"> 4.</w:t>
      </w:r>
    </w:p>
    <w:p w14:paraId="2BC85AB4" w14:textId="77777777" w:rsidR="00706614" w:rsidRPr="00720DB4" w:rsidRDefault="00706614" w:rsidP="00720DB4">
      <w:pPr>
        <w:pStyle w:val="EndNoteBibliography"/>
        <w:spacing w:after="0"/>
        <w:jc w:val="both"/>
        <w:rPr>
          <w:rFonts w:ascii="Times New Roman" w:hAnsi="Times New Roman" w:cs="Times New Roman"/>
        </w:rPr>
      </w:pPr>
    </w:p>
    <w:p w14:paraId="0BFEF23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Paige, J. S., Wu, K. Y. and Jaffrey, S. R. (2011) 'RNA Mimics of Green Fluorescent Protein', </w:t>
      </w:r>
      <w:r w:rsidRPr="00720DB4">
        <w:rPr>
          <w:rFonts w:ascii="Times New Roman" w:hAnsi="Times New Roman" w:cs="Times New Roman"/>
          <w:i/>
        </w:rPr>
        <w:t>Science,</w:t>
      </w:r>
      <w:r w:rsidRPr="00720DB4">
        <w:rPr>
          <w:rFonts w:ascii="Times New Roman" w:hAnsi="Times New Roman" w:cs="Times New Roman"/>
        </w:rPr>
        <w:t xml:space="preserve"> 333(6042), pp. 642-646.</w:t>
      </w:r>
    </w:p>
    <w:p w14:paraId="51E52283" w14:textId="77777777" w:rsidR="00706614" w:rsidRPr="00720DB4" w:rsidRDefault="00706614" w:rsidP="00720DB4">
      <w:pPr>
        <w:pStyle w:val="EndNoteBibliography"/>
        <w:spacing w:after="0"/>
        <w:jc w:val="both"/>
        <w:rPr>
          <w:rFonts w:ascii="Times New Roman" w:hAnsi="Times New Roman" w:cs="Times New Roman"/>
        </w:rPr>
      </w:pPr>
    </w:p>
    <w:p w14:paraId="691AED2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Painter, K. L., Strange, E., Parkhill, J., Bamford, K. B., Armstrong-James, D. and Edwards, A. M. (2015) '</w:t>
      </w:r>
      <w:r w:rsidRPr="00706614">
        <w:rPr>
          <w:rFonts w:ascii="Times New Roman" w:hAnsi="Times New Roman" w:cs="Times New Roman"/>
          <w:i/>
          <w:iCs/>
        </w:rPr>
        <w:t>Staphylococcus aureus</w:t>
      </w:r>
      <w:r w:rsidRPr="00720DB4">
        <w:rPr>
          <w:rFonts w:ascii="Times New Roman" w:hAnsi="Times New Roman" w:cs="Times New Roman"/>
        </w:rPr>
        <w:t xml:space="preserve"> Adapts to Oxidative Stress by Producing H2O2-Resistant Small-Colony Variants via the SOS Response', </w:t>
      </w:r>
      <w:r w:rsidRPr="00720DB4">
        <w:rPr>
          <w:rFonts w:ascii="Times New Roman" w:hAnsi="Times New Roman" w:cs="Times New Roman"/>
          <w:i/>
        </w:rPr>
        <w:t>Infection and Immunity,</w:t>
      </w:r>
      <w:r w:rsidRPr="00720DB4">
        <w:rPr>
          <w:rFonts w:ascii="Times New Roman" w:hAnsi="Times New Roman" w:cs="Times New Roman"/>
        </w:rPr>
        <w:t xml:space="preserve"> 83(5), pp. 1830-1844.</w:t>
      </w:r>
    </w:p>
    <w:p w14:paraId="1D029093" w14:textId="77777777" w:rsidR="00706614" w:rsidRPr="00720DB4" w:rsidRDefault="00706614" w:rsidP="00720DB4">
      <w:pPr>
        <w:pStyle w:val="EndNoteBibliography"/>
        <w:spacing w:after="0"/>
        <w:jc w:val="both"/>
        <w:rPr>
          <w:rFonts w:ascii="Times New Roman" w:hAnsi="Times New Roman" w:cs="Times New Roman"/>
        </w:rPr>
      </w:pPr>
    </w:p>
    <w:p w14:paraId="3D2DA3B5" w14:textId="1AEE30F8" w:rsidR="00706614"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Palermo, M. S., Rosa, F. A., Alonso, G. F. and Isturiz, M. A. (1997) 'Fc gamma receptor dependent clearance is enhanced following lipopolysaccharide in vivo treatment', </w:t>
      </w:r>
      <w:r w:rsidRPr="00720DB4">
        <w:rPr>
          <w:rFonts w:ascii="Times New Roman" w:hAnsi="Times New Roman" w:cs="Times New Roman"/>
          <w:i/>
        </w:rPr>
        <w:t>Immunology,</w:t>
      </w:r>
      <w:r w:rsidRPr="00720DB4">
        <w:rPr>
          <w:rFonts w:ascii="Times New Roman" w:hAnsi="Times New Roman" w:cs="Times New Roman"/>
        </w:rPr>
        <w:t xml:space="preserve"> 92(4), pp. 536-543.</w:t>
      </w:r>
    </w:p>
    <w:p w14:paraId="0577E43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Panday, A., Sahoo, M. K., Osorio, D. and Batra, S. (2015) 'NADPH oxidases: an overview from structure to innate immunity-associated pathologies', </w:t>
      </w:r>
      <w:r w:rsidRPr="00720DB4">
        <w:rPr>
          <w:rFonts w:ascii="Times New Roman" w:hAnsi="Times New Roman" w:cs="Times New Roman"/>
          <w:i/>
        </w:rPr>
        <w:t>Cellular &amp; Molecular Immunology,</w:t>
      </w:r>
      <w:r w:rsidRPr="00720DB4">
        <w:rPr>
          <w:rFonts w:ascii="Times New Roman" w:hAnsi="Times New Roman" w:cs="Times New Roman"/>
        </w:rPr>
        <w:t xml:space="preserve"> 12(1).</w:t>
      </w:r>
    </w:p>
    <w:p w14:paraId="3580FDAC" w14:textId="77777777" w:rsidR="00706614" w:rsidRPr="00720DB4" w:rsidRDefault="00706614" w:rsidP="00720DB4">
      <w:pPr>
        <w:pStyle w:val="EndNoteBibliography"/>
        <w:spacing w:after="0"/>
        <w:jc w:val="both"/>
        <w:rPr>
          <w:rFonts w:ascii="Times New Roman" w:hAnsi="Times New Roman" w:cs="Times New Roman"/>
        </w:rPr>
      </w:pPr>
    </w:p>
    <w:p w14:paraId="69830F9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Pando, J. M., Pfeltz, R. F., Cuaron, J. A., Nagarajan, V., Mishra, M. N., Torres, N. J., Elasri, M. O., Wilkinson, B. J. and Gustafson, J. E. (2017) 'Ethanol-induced stress response of </w:t>
      </w:r>
      <w:r w:rsidRPr="00706614">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Canadian Journal of Microbiology,</w:t>
      </w:r>
      <w:r w:rsidRPr="00720DB4">
        <w:rPr>
          <w:rFonts w:ascii="Times New Roman" w:hAnsi="Times New Roman" w:cs="Times New Roman"/>
        </w:rPr>
        <w:t xml:space="preserve"> 63(9), pp. 745-757.</w:t>
      </w:r>
    </w:p>
    <w:p w14:paraId="327B57A3" w14:textId="77777777" w:rsidR="00706614" w:rsidRPr="00720DB4" w:rsidRDefault="00706614" w:rsidP="00720DB4">
      <w:pPr>
        <w:pStyle w:val="EndNoteBibliography"/>
        <w:spacing w:after="0"/>
        <w:jc w:val="both"/>
        <w:rPr>
          <w:rFonts w:ascii="Times New Roman" w:hAnsi="Times New Roman" w:cs="Times New Roman"/>
        </w:rPr>
      </w:pPr>
    </w:p>
    <w:p w14:paraId="50AB661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Papayannopoulos, V. (2018) 'Neutrophil extracellular traps in immunity and disease', </w:t>
      </w:r>
      <w:r w:rsidRPr="00720DB4">
        <w:rPr>
          <w:rFonts w:ascii="Times New Roman" w:hAnsi="Times New Roman" w:cs="Times New Roman"/>
          <w:i/>
        </w:rPr>
        <w:t>Nature Reviews Immunology,</w:t>
      </w:r>
      <w:r w:rsidRPr="00720DB4">
        <w:rPr>
          <w:rFonts w:ascii="Times New Roman" w:hAnsi="Times New Roman" w:cs="Times New Roman"/>
        </w:rPr>
        <w:t xml:space="preserve"> 18(2), pp. 134-147.</w:t>
      </w:r>
    </w:p>
    <w:p w14:paraId="1AF107DD" w14:textId="77777777" w:rsidR="00706614" w:rsidRPr="00720DB4" w:rsidRDefault="00706614" w:rsidP="00720DB4">
      <w:pPr>
        <w:pStyle w:val="EndNoteBibliography"/>
        <w:spacing w:after="0"/>
        <w:jc w:val="both"/>
        <w:rPr>
          <w:rFonts w:ascii="Times New Roman" w:hAnsi="Times New Roman" w:cs="Times New Roman"/>
        </w:rPr>
      </w:pPr>
    </w:p>
    <w:p w14:paraId="6562D27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Papayannopoulos, V., Metzler, K. D., Hakkim, A. and Zychlinsky, A. (2010) 'Neutrophil elastase and myeloperoxidase regulate the formation of neutrophil extracellular traps', </w:t>
      </w:r>
      <w:r w:rsidRPr="00720DB4">
        <w:rPr>
          <w:rFonts w:ascii="Times New Roman" w:hAnsi="Times New Roman" w:cs="Times New Roman"/>
          <w:i/>
        </w:rPr>
        <w:t>Journal of Cell Biology,</w:t>
      </w:r>
      <w:r w:rsidRPr="00720DB4">
        <w:rPr>
          <w:rFonts w:ascii="Times New Roman" w:hAnsi="Times New Roman" w:cs="Times New Roman"/>
        </w:rPr>
        <w:t xml:space="preserve"> 191(3), pp. 677-691.</w:t>
      </w:r>
    </w:p>
    <w:p w14:paraId="1D801102" w14:textId="77777777" w:rsidR="00706614" w:rsidRPr="00720DB4" w:rsidRDefault="00706614" w:rsidP="00720DB4">
      <w:pPr>
        <w:pStyle w:val="EndNoteBibliography"/>
        <w:spacing w:after="0"/>
        <w:jc w:val="both"/>
        <w:rPr>
          <w:rFonts w:ascii="Times New Roman" w:hAnsi="Times New Roman" w:cs="Times New Roman"/>
        </w:rPr>
      </w:pPr>
    </w:p>
    <w:p w14:paraId="1414D7E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Parker, D. (2017) 'Humanized Mouse Models of </w:t>
      </w:r>
      <w:r w:rsidRPr="00706614">
        <w:rPr>
          <w:rFonts w:ascii="Times New Roman" w:hAnsi="Times New Roman" w:cs="Times New Roman"/>
          <w:i/>
          <w:iCs/>
        </w:rPr>
        <w:t>Staphylococcus aureus</w:t>
      </w:r>
      <w:r w:rsidRPr="00720DB4">
        <w:rPr>
          <w:rFonts w:ascii="Times New Roman" w:hAnsi="Times New Roman" w:cs="Times New Roman"/>
        </w:rPr>
        <w:t xml:space="preserve"> infection', </w:t>
      </w:r>
      <w:r w:rsidRPr="00720DB4">
        <w:rPr>
          <w:rFonts w:ascii="Times New Roman" w:hAnsi="Times New Roman" w:cs="Times New Roman"/>
          <w:i/>
        </w:rPr>
        <w:t>Frontiers in Immunology,</w:t>
      </w:r>
      <w:r w:rsidRPr="00720DB4">
        <w:rPr>
          <w:rFonts w:ascii="Times New Roman" w:hAnsi="Times New Roman" w:cs="Times New Roman"/>
        </w:rPr>
        <w:t xml:space="preserve"> 8.</w:t>
      </w:r>
    </w:p>
    <w:p w14:paraId="46B63E36" w14:textId="77777777" w:rsidR="00706614" w:rsidRPr="00720DB4" w:rsidRDefault="00706614" w:rsidP="00720DB4">
      <w:pPr>
        <w:pStyle w:val="EndNoteBibliography"/>
        <w:spacing w:after="0"/>
        <w:jc w:val="both"/>
        <w:rPr>
          <w:rFonts w:ascii="Times New Roman" w:hAnsi="Times New Roman" w:cs="Times New Roman"/>
        </w:rPr>
      </w:pPr>
    </w:p>
    <w:p w14:paraId="062EC981" w14:textId="4BF51761" w:rsidR="00706614" w:rsidRDefault="00F33866" w:rsidP="00706614">
      <w:pPr>
        <w:pStyle w:val="EndNoteBibliography"/>
        <w:jc w:val="both"/>
        <w:rPr>
          <w:rFonts w:ascii="Times New Roman" w:hAnsi="Times New Roman" w:cs="Times New Roman"/>
          <w:lang w:val="en-GB"/>
        </w:rPr>
      </w:pPr>
      <w:r w:rsidRPr="00720DB4">
        <w:rPr>
          <w:rFonts w:ascii="Times New Roman" w:hAnsi="Times New Roman" w:cs="Times New Roman"/>
        </w:rPr>
        <w:t xml:space="preserve">Pathania, A., Anba-Mondoloni, J., Gomine, M., Halpern, D., Dairou, J., Dupont, L., Lamberet, G., Trieu-Cuot, P., Gloux, K. and Gruss, A. (2021) '(p)ppGpp/GTP and Malonyl-CoA Modulate </w:t>
      </w:r>
      <w:r w:rsidRPr="00706614">
        <w:rPr>
          <w:rFonts w:ascii="Times New Roman" w:hAnsi="Times New Roman" w:cs="Times New Roman"/>
          <w:i/>
          <w:iCs/>
        </w:rPr>
        <w:t>Staphylococcus</w:t>
      </w:r>
      <w:r w:rsidR="00706614" w:rsidRPr="00706614">
        <w:rPr>
          <w:rFonts w:ascii="Times New Roman" w:hAnsi="Times New Roman" w:cs="Times New Roman"/>
          <w:i/>
          <w:iCs/>
        </w:rPr>
        <w:t xml:space="preserve"> </w:t>
      </w:r>
      <w:r w:rsidRPr="00706614">
        <w:rPr>
          <w:rFonts w:ascii="Times New Roman" w:hAnsi="Times New Roman" w:cs="Times New Roman"/>
          <w:i/>
          <w:iCs/>
        </w:rPr>
        <w:t>aureus</w:t>
      </w:r>
      <w:r w:rsidRPr="00720DB4">
        <w:rPr>
          <w:rFonts w:ascii="Times New Roman" w:hAnsi="Times New Roman" w:cs="Times New Roman"/>
        </w:rPr>
        <w:t xml:space="preserve"> Adaptation to FASII Antibiotics and Provide a Basis for</w:t>
      </w:r>
      <w:r w:rsidR="00706614">
        <w:rPr>
          <w:rFonts w:ascii="Times New Roman" w:hAnsi="Times New Roman" w:cs="Times New Roman"/>
        </w:rPr>
        <w:t xml:space="preserve"> </w:t>
      </w:r>
      <w:r w:rsidRPr="00706614">
        <w:rPr>
          <w:rFonts w:ascii="Times New Roman" w:hAnsi="Times New Roman" w:cs="Times New Roman"/>
          <w:lang w:val="en-GB"/>
        </w:rPr>
        <w:t xml:space="preserve">Synergistic Bi-Therapy', </w:t>
      </w:r>
      <w:r w:rsidRPr="00706614">
        <w:rPr>
          <w:rFonts w:ascii="Times New Roman" w:hAnsi="Times New Roman" w:cs="Times New Roman"/>
          <w:i/>
          <w:lang w:val="en-GB"/>
        </w:rPr>
        <w:t>mBio,</w:t>
      </w:r>
      <w:r w:rsidRPr="00706614">
        <w:rPr>
          <w:rFonts w:ascii="Times New Roman" w:hAnsi="Times New Roman" w:cs="Times New Roman"/>
          <w:lang w:val="en-GB"/>
        </w:rPr>
        <w:t xml:space="preserve"> 12(1), pp. e03193-20.</w:t>
      </w:r>
    </w:p>
    <w:p w14:paraId="0EC7241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Patti, J. M., Bremell, T., Krajewskapietrasik, D., Abdelnour, A., Tarkowski, A., Ryden, C. and Hook, M. (1994) 'THE </w:t>
      </w:r>
      <w:r w:rsidRPr="00706614">
        <w:rPr>
          <w:rFonts w:ascii="Times New Roman" w:hAnsi="Times New Roman" w:cs="Times New Roman"/>
          <w:i/>
          <w:iCs/>
        </w:rPr>
        <w:t>STAPHYLOCOCCUS-AUREUS</w:t>
      </w:r>
      <w:r w:rsidRPr="00720DB4">
        <w:rPr>
          <w:rFonts w:ascii="Times New Roman" w:hAnsi="Times New Roman" w:cs="Times New Roman"/>
        </w:rPr>
        <w:t xml:space="preserve"> COLLAGEN ADHESIN IS A VIRULENCE DETERMINANT IN EXPERIMENTAL SEPTIC ARTHRITIS', </w:t>
      </w:r>
      <w:r w:rsidRPr="00720DB4">
        <w:rPr>
          <w:rFonts w:ascii="Times New Roman" w:hAnsi="Times New Roman" w:cs="Times New Roman"/>
          <w:i/>
        </w:rPr>
        <w:t>Infection and Immunity,</w:t>
      </w:r>
      <w:r w:rsidRPr="00720DB4">
        <w:rPr>
          <w:rFonts w:ascii="Times New Roman" w:hAnsi="Times New Roman" w:cs="Times New Roman"/>
        </w:rPr>
        <w:t xml:space="preserve"> 62(1), pp. 152-161.</w:t>
      </w:r>
    </w:p>
    <w:p w14:paraId="3252EF2C" w14:textId="77777777" w:rsidR="00706614" w:rsidRPr="00720DB4" w:rsidRDefault="00706614" w:rsidP="00720DB4">
      <w:pPr>
        <w:pStyle w:val="EndNoteBibliography"/>
        <w:spacing w:after="0"/>
        <w:jc w:val="both"/>
        <w:rPr>
          <w:rFonts w:ascii="Times New Roman" w:hAnsi="Times New Roman" w:cs="Times New Roman"/>
        </w:rPr>
      </w:pPr>
    </w:p>
    <w:p w14:paraId="2DB3401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Paul, B. J., Barker, M. M., Ross, W., Schneider, D. A., Webb, C., Foster, J. W. and Gourse, R. L. (2004) 'DksA: A critical component of the transcription initiation machinery that potentiates the regulation of rRNA promoters by ppGpp and the initiating NTP', </w:t>
      </w:r>
      <w:r w:rsidRPr="00720DB4">
        <w:rPr>
          <w:rFonts w:ascii="Times New Roman" w:hAnsi="Times New Roman" w:cs="Times New Roman"/>
          <w:i/>
        </w:rPr>
        <w:t>Cell,</w:t>
      </w:r>
      <w:r w:rsidRPr="00720DB4">
        <w:rPr>
          <w:rFonts w:ascii="Times New Roman" w:hAnsi="Times New Roman" w:cs="Times New Roman"/>
        </w:rPr>
        <w:t xml:space="preserve"> 118(3), pp. 311-322.</w:t>
      </w:r>
    </w:p>
    <w:p w14:paraId="60A79A70" w14:textId="77777777" w:rsidR="00706614" w:rsidRPr="00720DB4" w:rsidRDefault="00706614" w:rsidP="00720DB4">
      <w:pPr>
        <w:pStyle w:val="EndNoteBibliography"/>
        <w:spacing w:after="0"/>
        <w:jc w:val="both"/>
        <w:rPr>
          <w:rFonts w:ascii="Times New Roman" w:hAnsi="Times New Roman" w:cs="Times New Roman"/>
        </w:rPr>
      </w:pPr>
    </w:p>
    <w:p w14:paraId="641CAEC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Pauwels, A. M., Trost, M., Beyaert, R. and Hoffmann, E. (2017) 'Patterns, Receptors, and Signals: Regulation of Phagosome Maturation', </w:t>
      </w:r>
      <w:r w:rsidRPr="00720DB4">
        <w:rPr>
          <w:rFonts w:ascii="Times New Roman" w:hAnsi="Times New Roman" w:cs="Times New Roman"/>
          <w:i/>
        </w:rPr>
        <w:t>Trends in Immunology,</w:t>
      </w:r>
      <w:r w:rsidRPr="00720DB4">
        <w:rPr>
          <w:rFonts w:ascii="Times New Roman" w:hAnsi="Times New Roman" w:cs="Times New Roman"/>
        </w:rPr>
        <w:t xml:space="preserve"> 38(6), pp. 407-422.</w:t>
      </w:r>
    </w:p>
    <w:p w14:paraId="6348D90C" w14:textId="77777777" w:rsidR="00706614" w:rsidRPr="00720DB4" w:rsidRDefault="00706614" w:rsidP="00720DB4">
      <w:pPr>
        <w:pStyle w:val="EndNoteBibliography"/>
        <w:spacing w:after="0"/>
        <w:jc w:val="both"/>
        <w:rPr>
          <w:rFonts w:ascii="Times New Roman" w:hAnsi="Times New Roman" w:cs="Times New Roman"/>
        </w:rPr>
      </w:pPr>
    </w:p>
    <w:p w14:paraId="7BAECF4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Pei, G., Repnik, U., Griffiths, G. and Gutierrez, M. G. (2014) 'Identification of an immune-regulated phagosomal Rab cascade in macrophages', </w:t>
      </w:r>
      <w:r w:rsidRPr="00720DB4">
        <w:rPr>
          <w:rFonts w:ascii="Times New Roman" w:hAnsi="Times New Roman" w:cs="Times New Roman"/>
          <w:i/>
        </w:rPr>
        <w:t>Journal of Cell Science,</w:t>
      </w:r>
      <w:r w:rsidRPr="00720DB4">
        <w:rPr>
          <w:rFonts w:ascii="Times New Roman" w:hAnsi="Times New Roman" w:cs="Times New Roman"/>
        </w:rPr>
        <w:t xml:space="preserve"> 127(9), pp. 2071-2082.</w:t>
      </w:r>
    </w:p>
    <w:p w14:paraId="4157EF58" w14:textId="77777777" w:rsidR="00706614" w:rsidRPr="00720DB4" w:rsidRDefault="00706614" w:rsidP="00720DB4">
      <w:pPr>
        <w:pStyle w:val="EndNoteBibliography"/>
        <w:spacing w:after="0"/>
        <w:jc w:val="both"/>
        <w:rPr>
          <w:rFonts w:ascii="Times New Roman" w:hAnsi="Times New Roman" w:cs="Times New Roman"/>
        </w:rPr>
      </w:pPr>
    </w:p>
    <w:p w14:paraId="30EDE51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Pellegrini, A., Lentini, G., Fama, A., Bonacorsi, A., Scoffone, V. C., Buroni, S., Trespidi, G., Postiglione, U., Sassera, D., Manai, F., Pietrocola, G., Firon, A., Biondo, C., Teti, G., Beninati, C. and Barbieri, G. (2022) 'CodY Is a Global Transcriptional Regulator Required for Virulence in Group B </w:t>
      </w:r>
      <w:r w:rsidRPr="00706614">
        <w:rPr>
          <w:rFonts w:ascii="Times New Roman" w:hAnsi="Times New Roman" w:cs="Times New Roman"/>
          <w:i/>
          <w:iCs/>
        </w:rPr>
        <w:t>Streptococcus</w:t>
      </w:r>
      <w:r w:rsidRPr="00720DB4">
        <w:rPr>
          <w:rFonts w:ascii="Times New Roman" w:hAnsi="Times New Roman" w:cs="Times New Roman"/>
        </w:rPr>
        <w:t xml:space="preserve">', </w:t>
      </w:r>
      <w:r w:rsidRPr="00720DB4">
        <w:rPr>
          <w:rFonts w:ascii="Times New Roman" w:hAnsi="Times New Roman" w:cs="Times New Roman"/>
          <w:i/>
        </w:rPr>
        <w:t>Frontiers in Microbiology,</w:t>
      </w:r>
      <w:r w:rsidRPr="00720DB4">
        <w:rPr>
          <w:rFonts w:ascii="Times New Roman" w:hAnsi="Times New Roman" w:cs="Times New Roman"/>
        </w:rPr>
        <w:t xml:space="preserve"> 13.</w:t>
      </w:r>
    </w:p>
    <w:p w14:paraId="5A834DBC" w14:textId="77777777" w:rsidR="00706614" w:rsidRPr="00720DB4" w:rsidRDefault="00706614" w:rsidP="00720DB4">
      <w:pPr>
        <w:pStyle w:val="EndNoteBibliography"/>
        <w:spacing w:after="0"/>
        <w:jc w:val="both"/>
        <w:rPr>
          <w:rFonts w:ascii="Times New Roman" w:hAnsi="Times New Roman" w:cs="Times New Roman"/>
        </w:rPr>
      </w:pPr>
    </w:p>
    <w:p w14:paraId="690ADB4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Pelz, A., Wieland, K. P., Putzbach, K., Hentschel, P., Albert, K. and Gotz, F. (2005) 'Structure and biosynthesis of staphyloxanthin from </w:t>
      </w:r>
      <w:r w:rsidRPr="00706614">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Biological Chemistry,</w:t>
      </w:r>
      <w:r w:rsidRPr="00720DB4">
        <w:rPr>
          <w:rFonts w:ascii="Times New Roman" w:hAnsi="Times New Roman" w:cs="Times New Roman"/>
        </w:rPr>
        <w:t xml:space="preserve"> 280(37), pp. 32493-32498.</w:t>
      </w:r>
    </w:p>
    <w:p w14:paraId="03DEF29D" w14:textId="77777777" w:rsidR="00706614" w:rsidRPr="00720DB4" w:rsidRDefault="00706614" w:rsidP="00720DB4">
      <w:pPr>
        <w:pStyle w:val="EndNoteBibliography"/>
        <w:spacing w:after="0"/>
        <w:jc w:val="both"/>
        <w:rPr>
          <w:rFonts w:ascii="Times New Roman" w:hAnsi="Times New Roman" w:cs="Times New Roman"/>
        </w:rPr>
      </w:pPr>
    </w:p>
    <w:p w14:paraId="53AA06B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Peng, H. L., Novick, R. P., Kreiswirth, B., Kornblum, J. and Schlievert, P. (1988) 'CLONING, CHARACTERIZATION, AND SEQUENCING OF AN ACCESSORY GENE REGULATOR (</w:t>
      </w:r>
      <w:r w:rsidRPr="00706614">
        <w:rPr>
          <w:rFonts w:ascii="Times New Roman" w:hAnsi="Times New Roman" w:cs="Times New Roman"/>
          <w:i/>
          <w:iCs/>
        </w:rPr>
        <w:t>AGR</w:t>
      </w:r>
      <w:r w:rsidRPr="00720DB4">
        <w:rPr>
          <w:rFonts w:ascii="Times New Roman" w:hAnsi="Times New Roman" w:cs="Times New Roman"/>
        </w:rPr>
        <w:t xml:space="preserve">) IN </w:t>
      </w:r>
      <w:r w:rsidRPr="00706614">
        <w:rPr>
          <w:rFonts w:ascii="Times New Roman" w:hAnsi="Times New Roman" w:cs="Times New Roman"/>
          <w:i/>
          <w:iCs/>
        </w:rPr>
        <w:t>STAPHYLOCOCCUS-AUREUS</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170(9), pp. 4365-4372.</w:t>
      </w:r>
    </w:p>
    <w:p w14:paraId="0A957081" w14:textId="77777777" w:rsidR="00706614" w:rsidRPr="00720DB4" w:rsidRDefault="00706614" w:rsidP="00720DB4">
      <w:pPr>
        <w:pStyle w:val="EndNoteBibliography"/>
        <w:spacing w:after="0"/>
        <w:jc w:val="both"/>
        <w:rPr>
          <w:rFonts w:ascii="Times New Roman" w:hAnsi="Times New Roman" w:cs="Times New Roman"/>
        </w:rPr>
      </w:pPr>
    </w:p>
    <w:p w14:paraId="067F209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Persky, N. S., Ferullo, D. J., Cooper, D. L., Moore, H. R. and Lovett, S. T. (2009) 'The ObgE/CgtA GTPase influences the stringent response to amino acid starvation in </w:t>
      </w:r>
      <w:r w:rsidRPr="00706614">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73(2), pp. 253-266.</w:t>
      </w:r>
    </w:p>
    <w:p w14:paraId="46A47B9E" w14:textId="77777777" w:rsidR="00706614" w:rsidRDefault="00706614" w:rsidP="00720DB4">
      <w:pPr>
        <w:pStyle w:val="EndNoteBibliography"/>
        <w:spacing w:after="0"/>
        <w:jc w:val="both"/>
        <w:rPr>
          <w:rFonts w:ascii="Times New Roman" w:hAnsi="Times New Roman" w:cs="Times New Roman"/>
        </w:rPr>
      </w:pPr>
    </w:p>
    <w:p w14:paraId="6F7D722F" w14:textId="48322439"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Peschel, A., Jack, R. W., Otto, M., Collins, L. V., Staubitz, P., Nicholson, G., Kalbacher, H., Nieuwenhuizen, W. F., Jung, G., Tarkowski, A., van Kessel, K. P. M. and van Strijp, J. A. G. (2001) '</w:t>
      </w:r>
      <w:r w:rsidRPr="00222ECB">
        <w:rPr>
          <w:rFonts w:ascii="Times New Roman" w:hAnsi="Times New Roman" w:cs="Times New Roman"/>
          <w:i/>
          <w:iCs/>
        </w:rPr>
        <w:t>Staphylococcus aureus</w:t>
      </w:r>
      <w:r w:rsidRPr="00720DB4">
        <w:rPr>
          <w:rFonts w:ascii="Times New Roman" w:hAnsi="Times New Roman" w:cs="Times New Roman"/>
        </w:rPr>
        <w:t xml:space="preserve"> resistance to human defensins and evasion of neutrophil killing via the novel virulence factor MprF is based on modification of membrane lipids with L-lysine', </w:t>
      </w:r>
      <w:r w:rsidRPr="00720DB4">
        <w:rPr>
          <w:rFonts w:ascii="Times New Roman" w:hAnsi="Times New Roman" w:cs="Times New Roman"/>
          <w:i/>
        </w:rPr>
        <w:t>Journal of Experimental Medicine,</w:t>
      </w:r>
      <w:r w:rsidRPr="00720DB4">
        <w:rPr>
          <w:rFonts w:ascii="Times New Roman" w:hAnsi="Times New Roman" w:cs="Times New Roman"/>
        </w:rPr>
        <w:t xml:space="preserve"> 193(9), pp. 1067-1076.</w:t>
      </w:r>
    </w:p>
    <w:p w14:paraId="0FB18451" w14:textId="77777777" w:rsidR="00706614" w:rsidRPr="00720DB4" w:rsidRDefault="00706614" w:rsidP="00720DB4">
      <w:pPr>
        <w:pStyle w:val="EndNoteBibliography"/>
        <w:spacing w:after="0"/>
        <w:jc w:val="both"/>
        <w:rPr>
          <w:rFonts w:ascii="Times New Roman" w:hAnsi="Times New Roman" w:cs="Times New Roman"/>
        </w:rPr>
      </w:pPr>
    </w:p>
    <w:p w14:paraId="60249B0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Peschel, A., Otto, M., Jack, R. W., Kalbacher, H., Jung, G. and Gotz, F. (1999) 'Inactivation of the</w:t>
      </w:r>
      <w:r w:rsidRPr="00222ECB">
        <w:rPr>
          <w:rFonts w:ascii="Times New Roman" w:hAnsi="Times New Roman" w:cs="Times New Roman"/>
          <w:i/>
          <w:iCs/>
        </w:rPr>
        <w:t xml:space="preserve"> dlt</w:t>
      </w:r>
      <w:r w:rsidRPr="00720DB4">
        <w:rPr>
          <w:rFonts w:ascii="Times New Roman" w:hAnsi="Times New Roman" w:cs="Times New Roman"/>
        </w:rPr>
        <w:t xml:space="preserve"> operon in</w:t>
      </w:r>
      <w:r w:rsidRPr="00222ECB">
        <w:rPr>
          <w:rFonts w:ascii="Times New Roman" w:hAnsi="Times New Roman" w:cs="Times New Roman"/>
          <w:i/>
          <w:iCs/>
        </w:rPr>
        <w:t xml:space="preserve"> Staphylococcus aureus</w:t>
      </w:r>
      <w:r w:rsidRPr="00720DB4">
        <w:rPr>
          <w:rFonts w:ascii="Times New Roman" w:hAnsi="Times New Roman" w:cs="Times New Roman"/>
        </w:rPr>
        <w:t xml:space="preserve"> confers sensitivity to defensins, protegrins, and other antimicrobial peptides', </w:t>
      </w:r>
      <w:r w:rsidRPr="00720DB4">
        <w:rPr>
          <w:rFonts w:ascii="Times New Roman" w:hAnsi="Times New Roman" w:cs="Times New Roman"/>
          <w:i/>
        </w:rPr>
        <w:t>Journal of Biological Chemistry,</w:t>
      </w:r>
      <w:r w:rsidRPr="00720DB4">
        <w:rPr>
          <w:rFonts w:ascii="Times New Roman" w:hAnsi="Times New Roman" w:cs="Times New Roman"/>
        </w:rPr>
        <w:t xml:space="preserve"> 274(13), pp. 8405-8410.</w:t>
      </w:r>
    </w:p>
    <w:p w14:paraId="33DA5D3C" w14:textId="77777777" w:rsidR="00222ECB" w:rsidRPr="00720DB4" w:rsidRDefault="00222ECB" w:rsidP="00720DB4">
      <w:pPr>
        <w:pStyle w:val="EndNoteBibliography"/>
        <w:spacing w:after="0"/>
        <w:jc w:val="both"/>
        <w:rPr>
          <w:rFonts w:ascii="Times New Roman" w:hAnsi="Times New Roman" w:cs="Times New Roman"/>
        </w:rPr>
      </w:pPr>
    </w:p>
    <w:p w14:paraId="0CEE949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Peyrusson, F., Varet, H., Tiep Khac, N., Legendre, R., Sismeiro, O., Coppee, J.-Y., Wolz, C., Tenson, T. and Van Bambeke, F. (2020) 'Intracellular </w:t>
      </w:r>
      <w:r w:rsidRPr="00222ECB">
        <w:rPr>
          <w:rFonts w:ascii="Times New Roman" w:hAnsi="Times New Roman" w:cs="Times New Roman"/>
          <w:i/>
          <w:iCs/>
        </w:rPr>
        <w:t>Staphylococcus aureus</w:t>
      </w:r>
      <w:r w:rsidRPr="00720DB4">
        <w:rPr>
          <w:rFonts w:ascii="Times New Roman" w:hAnsi="Times New Roman" w:cs="Times New Roman"/>
        </w:rPr>
        <w:t xml:space="preserve"> persisters upon antibiotic exposure', </w:t>
      </w:r>
      <w:r w:rsidRPr="00720DB4">
        <w:rPr>
          <w:rFonts w:ascii="Times New Roman" w:hAnsi="Times New Roman" w:cs="Times New Roman"/>
          <w:i/>
        </w:rPr>
        <w:t>Nature Communications,</w:t>
      </w:r>
      <w:r w:rsidRPr="00720DB4">
        <w:rPr>
          <w:rFonts w:ascii="Times New Roman" w:hAnsi="Times New Roman" w:cs="Times New Roman"/>
        </w:rPr>
        <w:t xml:space="preserve"> 11(1).</w:t>
      </w:r>
    </w:p>
    <w:p w14:paraId="7EA1CFD3" w14:textId="77777777" w:rsidR="00222ECB" w:rsidRPr="00720DB4" w:rsidRDefault="00222ECB" w:rsidP="00720DB4">
      <w:pPr>
        <w:pStyle w:val="EndNoteBibliography"/>
        <w:spacing w:after="0"/>
        <w:jc w:val="both"/>
        <w:rPr>
          <w:rFonts w:ascii="Times New Roman" w:hAnsi="Times New Roman" w:cs="Times New Roman"/>
        </w:rPr>
      </w:pPr>
    </w:p>
    <w:p w14:paraId="49969D4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Pidwill, G. R., Gibson, J. F., Cole, J., Renshaw, S. A. and Foster, S. J. (2021) 'The Role of Macrophages in </w:t>
      </w:r>
      <w:r w:rsidRPr="00222ECB">
        <w:rPr>
          <w:rFonts w:ascii="Times New Roman" w:hAnsi="Times New Roman" w:cs="Times New Roman"/>
          <w:i/>
          <w:iCs/>
        </w:rPr>
        <w:t>Staphylococcus aureus</w:t>
      </w:r>
      <w:r w:rsidRPr="00720DB4">
        <w:rPr>
          <w:rFonts w:ascii="Times New Roman" w:hAnsi="Times New Roman" w:cs="Times New Roman"/>
        </w:rPr>
        <w:t xml:space="preserve"> Infection', </w:t>
      </w:r>
      <w:r w:rsidRPr="00720DB4">
        <w:rPr>
          <w:rFonts w:ascii="Times New Roman" w:hAnsi="Times New Roman" w:cs="Times New Roman"/>
          <w:i/>
        </w:rPr>
        <w:t>Frontiers in Immunology,</w:t>
      </w:r>
      <w:r w:rsidRPr="00720DB4">
        <w:rPr>
          <w:rFonts w:ascii="Times New Roman" w:hAnsi="Times New Roman" w:cs="Times New Roman"/>
        </w:rPr>
        <w:t xml:space="preserve"> 11.</w:t>
      </w:r>
    </w:p>
    <w:p w14:paraId="6E0EAC5E" w14:textId="77777777" w:rsidR="00222ECB" w:rsidRPr="00720DB4" w:rsidRDefault="00222ECB" w:rsidP="00720DB4">
      <w:pPr>
        <w:pStyle w:val="EndNoteBibliography"/>
        <w:spacing w:after="0"/>
        <w:jc w:val="both"/>
        <w:rPr>
          <w:rFonts w:ascii="Times New Roman" w:hAnsi="Times New Roman" w:cs="Times New Roman"/>
        </w:rPr>
      </w:pPr>
    </w:p>
    <w:p w14:paraId="4406D6C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Pietiäinen, M., Gardemeister, M., Mecklin, M., Leskela, S., Sarvas, M. and Kontinen, V. P. (2005) 'Cationic antimicrobial peptides elicit a complex stress response in </w:t>
      </w:r>
      <w:r w:rsidRPr="00222ECB">
        <w:rPr>
          <w:rFonts w:ascii="Times New Roman" w:hAnsi="Times New Roman" w:cs="Times New Roman"/>
          <w:i/>
          <w:iCs/>
        </w:rPr>
        <w:t>Bacillus subtilis</w:t>
      </w:r>
      <w:r w:rsidRPr="00720DB4">
        <w:rPr>
          <w:rFonts w:ascii="Times New Roman" w:hAnsi="Times New Roman" w:cs="Times New Roman"/>
        </w:rPr>
        <w:t xml:space="preserve"> that involves ECF-type sigma factors and two-component signal transduction systems', </w:t>
      </w:r>
      <w:r w:rsidRPr="00720DB4">
        <w:rPr>
          <w:rFonts w:ascii="Times New Roman" w:hAnsi="Times New Roman" w:cs="Times New Roman"/>
          <w:i/>
        </w:rPr>
        <w:t>Microbiology-Sgm,</w:t>
      </w:r>
      <w:r w:rsidRPr="00720DB4">
        <w:rPr>
          <w:rFonts w:ascii="Times New Roman" w:hAnsi="Times New Roman" w:cs="Times New Roman"/>
        </w:rPr>
        <w:t xml:space="preserve"> 151, pp. 1577-1592.</w:t>
      </w:r>
    </w:p>
    <w:p w14:paraId="0BD5F719" w14:textId="77777777" w:rsidR="00222ECB" w:rsidRPr="00720DB4" w:rsidRDefault="00222ECB" w:rsidP="00720DB4">
      <w:pPr>
        <w:pStyle w:val="EndNoteBibliography"/>
        <w:spacing w:after="0"/>
        <w:jc w:val="both"/>
        <w:rPr>
          <w:rFonts w:ascii="Times New Roman" w:hAnsi="Times New Roman" w:cs="Times New Roman"/>
        </w:rPr>
      </w:pPr>
    </w:p>
    <w:p w14:paraId="0DC65BB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Pietrocola, G., Nobile, G., Rindi, S. and Speziale, P. (2017) '</w:t>
      </w:r>
      <w:r w:rsidRPr="00222ECB">
        <w:rPr>
          <w:rFonts w:ascii="Times New Roman" w:hAnsi="Times New Roman" w:cs="Times New Roman"/>
          <w:i/>
          <w:iCs/>
        </w:rPr>
        <w:t>Staphylococcus aureus</w:t>
      </w:r>
      <w:r w:rsidRPr="00720DB4">
        <w:rPr>
          <w:rFonts w:ascii="Times New Roman" w:hAnsi="Times New Roman" w:cs="Times New Roman"/>
        </w:rPr>
        <w:t xml:space="preserve"> Manipulates Innate Immunity through Own and Host-Expressed Proteases', </w:t>
      </w:r>
      <w:r w:rsidRPr="00720DB4">
        <w:rPr>
          <w:rFonts w:ascii="Times New Roman" w:hAnsi="Times New Roman" w:cs="Times New Roman"/>
          <w:i/>
        </w:rPr>
        <w:t>Frontiers in Cellular and Infection Microbiology,</w:t>
      </w:r>
      <w:r w:rsidRPr="00720DB4">
        <w:rPr>
          <w:rFonts w:ascii="Times New Roman" w:hAnsi="Times New Roman" w:cs="Times New Roman"/>
        </w:rPr>
        <w:t xml:space="preserve"> 7.</w:t>
      </w:r>
    </w:p>
    <w:p w14:paraId="6D5BAD5E" w14:textId="77777777" w:rsidR="00222ECB" w:rsidRPr="00720DB4" w:rsidRDefault="00222ECB" w:rsidP="00720DB4">
      <w:pPr>
        <w:pStyle w:val="EndNoteBibliography"/>
        <w:spacing w:after="0"/>
        <w:jc w:val="both"/>
        <w:rPr>
          <w:rFonts w:ascii="Times New Roman" w:hAnsi="Times New Roman" w:cs="Times New Roman"/>
        </w:rPr>
      </w:pPr>
    </w:p>
    <w:p w14:paraId="4B9D07E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Pilpa, R. M., Robson, S. A., Villareal, V. A., Wong, M. L., Phillips, M. and Clubb, R. T. (2009) 'Functionally Distinct NEAT (NEAr Transporter) Domains within the </w:t>
      </w:r>
      <w:r w:rsidRPr="00222ECB">
        <w:rPr>
          <w:rFonts w:ascii="Times New Roman" w:hAnsi="Times New Roman" w:cs="Times New Roman"/>
          <w:i/>
          <w:iCs/>
        </w:rPr>
        <w:t>Staphylococcus aureus</w:t>
      </w:r>
      <w:r w:rsidRPr="00720DB4">
        <w:rPr>
          <w:rFonts w:ascii="Times New Roman" w:hAnsi="Times New Roman" w:cs="Times New Roman"/>
        </w:rPr>
        <w:t xml:space="preserve"> IsdH/HarA Protein Extract Heme from Methemoglobin', </w:t>
      </w:r>
      <w:r w:rsidRPr="00720DB4">
        <w:rPr>
          <w:rFonts w:ascii="Times New Roman" w:hAnsi="Times New Roman" w:cs="Times New Roman"/>
          <w:i/>
        </w:rPr>
        <w:t>Journal of Biological Chemistry,</w:t>
      </w:r>
      <w:r w:rsidRPr="00720DB4">
        <w:rPr>
          <w:rFonts w:ascii="Times New Roman" w:hAnsi="Times New Roman" w:cs="Times New Roman"/>
        </w:rPr>
        <w:t xml:space="preserve"> 284(2), pp. 1166-1176.</w:t>
      </w:r>
    </w:p>
    <w:p w14:paraId="15DB1909" w14:textId="77777777" w:rsidR="00222ECB" w:rsidRPr="00720DB4" w:rsidRDefault="00222ECB" w:rsidP="00720DB4">
      <w:pPr>
        <w:pStyle w:val="EndNoteBibliography"/>
        <w:spacing w:after="0"/>
        <w:jc w:val="both"/>
        <w:rPr>
          <w:rFonts w:ascii="Times New Roman" w:hAnsi="Times New Roman" w:cs="Times New Roman"/>
        </w:rPr>
      </w:pPr>
    </w:p>
    <w:p w14:paraId="78F7BA7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Pilsczek, F. H., Salina, D., Poon, K. K. H., Fahey, C., Yipp, B. G., Sibley, C. D., Robbins, S. M., Green, F. H. Y., Surette, M. G., Sugai, M., Bowden, M. G., Hussain, M., Zhang, K. Y. and Kubes, P. (2010) 'A Novel Mechanism of Rapid Nuclear Neutrophil Extracellular Trap Formation in Response to </w:t>
      </w:r>
      <w:r w:rsidRPr="00222ECB">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Immunology,</w:t>
      </w:r>
      <w:r w:rsidRPr="00720DB4">
        <w:rPr>
          <w:rFonts w:ascii="Times New Roman" w:hAnsi="Times New Roman" w:cs="Times New Roman"/>
        </w:rPr>
        <w:t xml:space="preserve"> 185(12), pp. 7413-7425.</w:t>
      </w:r>
    </w:p>
    <w:p w14:paraId="1A41C320" w14:textId="77777777" w:rsidR="00222ECB" w:rsidRPr="00720DB4" w:rsidRDefault="00222ECB" w:rsidP="00720DB4">
      <w:pPr>
        <w:pStyle w:val="EndNoteBibliography"/>
        <w:spacing w:after="0"/>
        <w:jc w:val="both"/>
        <w:rPr>
          <w:rFonts w:ascii="Times New Roman" w:hAnsi="Times New Roman" w:cs="Times New Roman"/>
        </w:rPr>
      </w:pPr>
    </w:p>
    <w:p w14:paraId="1D125F4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Pizarro-Cerdá , J. and Tedin, K. (2004) 'The bacterial signal molecule, ppGpp, regulates </w:t>
      </w:r>
      <w:r w:rsidRPr="00222ECB">
        <w:rPr>
          <w:rFonts w:ascii="Times New Roman" w:hAnsi="Times New Roman" w:cs="Times New Roman"/>
          <w:i/>
          <w:iCs/>
        </w:rPr>
        <w:t xml:space="preserve">Salmonella </w:t>
      </w:r>
      <w:r w:rsidRPr="00720DB4">
        <w:rPr>
          <w:rFonts w:ascii="Times New Roman" w:hAnsi="Times New Roman" w:cs="Times New Roman"/>
        </w:rPr>
        <w:t xml:space="preserve">virulence gene expression', </w:t>
      </w:r>
      <w:r w:rsidRPr="00720DB4">
        <w:rPr>
          <w:rFonts w:ascii="Times New Roman" w:hAnsi="Times New Roman" w:cs="Times New Roman"/>
          <w:i/>
        </w:rPr>
        <w:t>Molecular Microbiology,</w:t>
      </w:r>
      <w:r w:rsidRPr="00720DB4">
        <w:rPr>
          <w:rFonts w:ascii="Times New Roman" w:hAnsi="Times New Roman" w:cs="Times New Roman"/>
        </w:rPr>
        <w:t xml:space="preserve"> 52(6), pp. 1827-1844.</w:t>
      </w:r>
    </w:p>
    <w:p w14:paraId="32BC1FA6" w14:textId="77777777" w:rsidR="00222ECB" w:rsidRPr="00720DB4" w:rsidRDefault="00222ECB" w:rsidP="00720DB4">
      <w:pPr>
        <w:pStyle w:val="EndNoteBibliography"/>
        <w:spacing w:after="0"/>
        <w:jc w:val="both"/>
        <w:rPr>
          <w:rFonts w:ascii="Times New Roman" w:hAnsi="Times New Roman" w:cs="Times New Roman"/>
        </w:rPr>
      </w:pPr>
    </w:p>
    <w:p w14:paraId="5959933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Platenkamp, A. and Mellies, J. L. (2018) 'Environment Controls LEE Regulation in Enteropathogenic </w:t>
      </w:r>
      <w:r w:rsidRPr="00222ECB">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Frontiers in Microbiology,</w:t>
      </w:r>
      <w:r w:rsidRPr="00720DB4">
        <w:rPr>
          <w:rFonts w:ascii="Times New Roman" w:hAnsi="Times New Roman" w:cs="Times New Roman"/>
        </w:rPr>
        <w:t xml:space="preserve"> 9.</w:t>
      </w:r>
    </w:p>
    <w:p w14:paraId="6BE03BC4" w14:textId="77777777" w:rsidR="00222ECB" w:rsidRPr="00720DB4" w:rsidRDefault="00222ECB" w:rsidP="00720DB4">
      <w:pPr>
        <w:pStyle w:val="EndNoteBibliography"/>
        <w:spacing w:after="0"/>
        <w:jc w:val="both"/>
        <w:rPr>
          <w:rFonts w:ascii="Times New Roman" w:hAnsi="Times New Roman" w:cs="Times New Roman"/>
        </w:rPr>
      </w:pPr>
    </w:p>
    <w:p w14:paraId="1EA7E6F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Pohl, K., Francois, P., Stenz, L., Schlink, F., Geiger, T., Herbert, S., Goerke, C., Schrenzel, J. and Wolz, C. (2009) 'CodY in </w:t>
      </w:r>
      <w:r w:rsidRPr="00222ECB">
        <w:rPr>
          <w:rFonts w:ascii="Times New Roman" w:hAnsi="Times New Roman" w:cs="Times New Roman"/>
          <w:i/>
          <w:iCs/>
        </w:rPr>
        <w:t>Staphylococcus aureus</w:t>
      </w:r>
      <w:r w:rsidRPr="00720DB4">
        <w:rPr>
          <w:rFonts w:ascii="Times New Roman" w:hAnsi="Times New Roman" w:cs="Times New Roman"/>
        </w:rPr>
        <w:t xml:space="preserve">: a Regulatory Link between Metabolism and Virulence Gene Expression (vol 191, pg 2953, 2009)', </w:t>
      </w:r>
      <w:r w:rsidRPr="00720DB4">
        <w:rPr>
          <w:rFonts w:ascii="Times New Roman" w:hAnsi="Times New Roman" w:cs="Times New Roman"/>
          <w:i/>
        </w:rPr>
        <w:t>Journal of Bacteriology,</w:t>
      </w:r>
      <w:r w:rsidRPr="00720DB4">
        <w:rPr>
          <w:rFonts w:ascii="Times New Roman" w:hAnsi="Times New Roman" w:cs="Times New Roman"/>
        </w:rPr>
        <w:t xml:space="preserve"> 191(14), pp. 4695-4695.</w:t>
      </w:r>
    </w:p>
    <w:p w14:paraId="03C2E55D" w14:textId="77777777" w:rsidR="00222ECB" w:rsidRPr="00720DB4" w:rsidRDefault="00222ECB" w:rsidP="00720DB4">
      <w:pPr>
        <w:pStyle w:val="EndNoteBibliography"/>
        <w:spacing w:after="0"/>
        <w:jc w:val="both"/>
        <w:rPr>
          <w:rFonts w:ascii="Times New Roman" w:hAnsi="Times New Roman" w:cs="Times New Roman"/>
        </w:rPr>
      </w:pPr>
    </w:p>
    <w:p w14:paraId="229239B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Poirel, L., Jayol, A. and Nordmann, P. (2017) 'Polymyxins: Antibacterial Activity, Susceptibility Testing, and Resistance Mechanisms Encoded by Plasmids or Chromosomes', </w:t>
      </w:r>
      <w:r w:rsidRPr="00720DB4">
        <w:rPr>
          <w:rFonts w:ascii="Times New Roman" w:hAnsi="Times New Roman" w:cs="Times New Roman"/>
          <w:i/>
        </w:rPr>
        <w:t>Clinical Microbiology Reviews,</w:t>
      </w:r>
      <w:r w:rsidRPr="00720DB4">
        <w:rPr>
          <w:rFonts w:ascii="Times New Roman" w:hAnsi="Times New Roman" w:cs="Times New Roman"/>
        </w:rPr>
        <w:t xml:space="preserve"> 30(2), pp. 557-596.</w:t>
      </w:r>
    </w:p>
    <w:p w14:paraId="2DC4C379" w14:textId="77777777" w:rsidR="00222ECB" w:rsidRPr="00720DB4" w:rsidRDefault="00222ECB" w:rsidP="00720DB4">
      <w:pPr>
        <w:pStyle w:val="EndNoteBibliography"/>
        <w:spacing w:after="0"/>
        <w:jc w:val="both"/>
        <w:rPr>
          <w:rFonts w:ascii="Times New Roman" w:hAnsi="Times New Roman" w:cs="Times New Roman"/>
        </w:rPr>
      </w:pPr>
    </w:p>
    <w:p w14:paraId="2F1EE7F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Poirier, V. and Av-Gay, Y. (2015) 'Intracellular Growth of Bacterial Pathogens: The Role of Secreted Effector Proteins in the Control of Phagocytosed Microorganisms', </w:t>
      </w:r>
      <w:r w:rsidRPr="00720DB4">
        <w:rPr>
          <w:rFonts w:ascii="Times New Roman" w:hAnsi="Times New Roman" w:cs="Times New Roman"/>
          <w:i/>
        </w:rPr>
        <w:t>Microbiology Spectrum,</w:t>
      </w:r>
      <w:r w:rsidRPr="00720DB4">
        <w:rPr>
          <w:rFonts w:ascii="Times New Roman" w:hAnsi="Times New Roman" w:cs="Times New Roman"/>
        </w:rPr>
        <w:t xml:space="preserve"> 3(6).</w:t>
      </w:r>
    </w:p>
    <w:p w14:paraId="5DC8CBF7" w14:textId="77777777" w:rsidR="00222ECB" w:rsidRPr="00720DB4" w:rsidRDefault="00222ECB" w:rsidP="00720DB4">
      <w:pPr>
        <w:pStyle w:val="EndNoteBibliography"/>
        <w:spacing w:after="0"/>
        <w:jc w:val="both"/>
        <w:rPr>
          <w:rFonts w:ascii="Times New Roman" w:hAnsi="Times New Roman" w:cs="Times New Roman"/>
        </w:rPr>
      </w:pPr>
    </w:p>
    <w:p w14:paraId="3C15365D" w14:textId="14D3538C" w:rsidR="00222ECB"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Pokhilko, A. (2017) 'Monitoring of nutrient limitation in growing E-coli: a mathematical model of a ppGpp-based biosensor', </w:t>
      </w:r>
      <w:r w:rsidRPr="00720DB4">
        <w:rPr>
          <w:rFonts w:ascii="Times New Roman" w:hAnsi="Times New Roman" w:cs="Times New Roman"/>
          <w:i/>
        </w:rPr>
        <w:t>Bmc Systems Biology,</w:t>
      </w:r>
      <w:r w:rsidRPr="00720DB4">
        <w:rPr>
          <w:rFonts w:ascii="Times New Roman" w:hAnsi="Times New Roman" w:cs="Times New Roman"/>
        </w:rPr>
        <w:t xml:space="preserve"> 11.</w:t>
      </w:r>
    </w:p>
    <w:p w14:paraId="7B575E0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Pollitt, E. J. G., Szkuta, P. T., Burns, N. and Foster, S. J. (2018) '</w:t>
      </w:r>
      <w:r w:rsidRPr="00222ECB">
        <w:rPr>
          <w:rFonts w:ascii="Times New Roman" w:hAnsi="Times New Roman" w:cs="Times New Roman"/>
          <w:i/>
          <w:iCs/>
        </w:rPr>
        <w:t>Staphylococcus aureus</w:t>
      </w:r>
      <w:r w:rsidRPr="00720DB4">
        <w:rPr>
          <w:rFonts w:ascii="Times New Roman" w:hAnsi="Times New Roman" w:cs="Times New Roman"/>
        </w:rPr>
        <w:t xml:space="preserve"> infection dynamics', </w:t>
      </w:r>
      <w:r w:rsidRPr="00720DB4">
        <w:rPr>
          <w:rFonts w:ascii="Times New Roman" w:hAnsi="Times New Roman" w:cs="Times New Roman"/>
          <w:i/>
        </w:rPr>
        <w:t>Plos Pathogens,</w:t>
      </w:r>
      <w:r w:rsidRPr="00720DB4">
        <w:rPr>
          <w:rFonts w:ascii="Times New Roman" w:hAnsi="Times New Roman" w:cs="Times New Roman"/>
        </w:rPr>
        <w:t xml:space="preserve"> 14(6).</w:t>
      </w:r>
    </w:p>
    <w:p w14:paraId="41FB2ECD" w14:textId="77777777" w:rsidR="00222ECB" w:rsidRPr="00720DB4" w:rsidRDefault="00222ECB" w:rsidP="00720DB4">
      <w:pPr>
        <w:pStyle w:val="EndNoteBibliography"/>
        <w:spacing w:after="0"/>
        <w:jc w:val="both"/>
        <w:rPr>
          <w:rFonts w:ascii="Times New Roman" w:hAnsi="Times New Roman" w:cs="Times New Roman"/>
        </w:rPr>
      </w:pPr>
    </w:p>
    <w:p w14:paraId="4AD983A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Poltorak, A., He, X. L., Smirnova, I., Liu, M. Y., Van Huffel, C., Du, X., Birdwell, D., Alejos, E., Silva, M., Galanos, C., Freudenberg, M., Ricciardi-Castagnoli, P., Layton, B. and Beutler, B. (1998) 'Defective LPS signaling in C3H/HeJ and C57BL/10ScCr mice: Mutations in </w:t>
      </w:r>
      <w:r w:rsidRPr="00222ECB">
        <w:rPr>
          <w:rFonts w:ascii="Times New Roman" w:hAnsi="Times New Roman" w:cs="Times New Roman"/>
          <w:i/>
          <w:iCs/>
        </w:rPr>
        <w:t xml:space="preserve">Tlr4 </w:t>
      </w:r>
      <w:r w:rsidRPr="00720DB4">
        <w:rPr>
          <w:rFonts w:ascii="Times New Roman" w:hAnsi="Times New Roman" w:cs="Times New Roman"/>
        </w:rPr>
        <w:t xml:space="preserve">gene', </w:t>
      </w:r>
      <w:r w:rsidRPr="00720DB4">
        <w:rPr>
          <w:rFonts w:ascii="Times New Roman" w:hAnsi="Times New Roman" w:cs="Times New Roman"/>
          <w:i/>
        </w:rPr>
        <w:t>Science,</w:t>
      </w:r>
      <w:r w:rsidRPr="00720DB4">
        <w:rPr>
          <w:rFonts w:ascii="Times New Roman" w:hAnsi="Times New Roman" w:cs="Times New Roman"/>
        </w:rPr>
        <w:t xml:space="preserve"> 282(5396), pp. 2085-2088.</w:t>
      </w:r>
    </w:p>
    <w:p w14:paraId="033BD170" w14:textId="77777777" w:rsidR="00222ECB" w:rsidRPr="00720DB4" w:rsidRDefault="00222ECB" w:rsidP="00720DB4">
      <w:pPr>
        <w:pStyle w:val="EndNoteBibliography"/>
        <w:spacing w:after="0"/>
        <w:jc w:val="both"/>
        <w:rPr>
          <w:rFonts w:ascii="Times New Roman" w:hAnsi="Times New Roman" w:cs="Times New Roman"/>
        </w:rPr>
      </w:pPr>
    </w:p>
    <w:p w14:paraId="03AC626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Postma, B., Poppelier, M. J., van Galen, J. C., Prossnitz, E. R., van Strijp, J. A. G., de Haas, C. J. C. and van Kessel, K. P. M. (2004) 'Chemotaxis inhibitory protein of </w:t>
      </w:r>
      <w:r w:rsidRPr="00222ECB">
        <w:rPr>
          <w:rFonts w:ascii="Times New Roman" w:hAnsi="Times New Roman" w:cs="Times New Roman"/>
          <w:i/>
          <w:iCs/>
        </w:rPr>
        <w:t>Staphylococcus aureus</w:t>
      </w:r>
      <w:r w:rsidRPr="00720DB4">
        <w:rPr>
          <w:rFonts w:ascii="Times New Roman" w:hAnsi="Times New Roman" w:cs="Times New Roman"/>
        </w:rPr>
        <w:t xml:space="preserve"> binds specifically to the c5a and formylated peptide receptor', </w:t>
      </w:r>
      <w:r w:rsidRPr="00720DB4">
        <w:rPr>
          <w:rFonts w:ascii="Times New Roman" w:hAnsi="Times New Roman" w:cs="Times New Roman"/>
          <w:i/>
        </w:rPr>
        <w:t>Journal of Immunology,</w:t>
      </w:r>
      <w:r w:rsidRPr="00720DB4">
        <w:rPr>
          <w:rFonts w:ascii="Times New Roman" w:hAnsi="Times New Roman" w:cs="Times New Roman"/>
        </w:rPr>
        <w:t xml:space="preserve"> 172(11), pp. 6994-7001.</w:t>
      </w:r>
    </w:p>
    <w:p w14:paraId="7510FD7A" w14:textId="77777777" w:rsidR="00222ECB" w:rsidRPr="00720DB4" w:rsidRDefault="00222ECB" w:rsidP="00720DB4">
      <w:pPr>
        <w:pStyle w:val="EndNoteBibliography"/>
        <w:spacing w:after="0"/>
        <w:jc w:val="both"/>
        <w:rPr>
          <w:rFonts w:ascii="Times New Roman" w:hAnsi="Times New Roman" w:cs="Times New Roman"/>
        </w:rPr>
      </w:pPr>
    </w:p>
    <w:p w14:paraId="3485103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Poteryaev, D., Datta, S., Ackema, K., Zerial, M. and Spang, A. (2010) 'Identification of the switch in early-to-late endosome transition', </w:t>
      </w:r>
      <w:r w:rsidRPr="00720DB4">
        <w:rPr>
          <w:rFonts w:ascii="Times New Roman" w:hAnsi="Times New Roman" w:cs="Times New Roman"/>
          <w:i/>
        </w:rPr>
        <w:t>Febs Journal,</w:t>
      </w:r>
      <w:r w:rsidRPr="00720DB4">
        <w:rPr>
          <w:rFonts w:ascii="Times New Roman" w:hAnsi="Times New Roman" w:cs="Times New Roman"/>
        </w:rPr>
        <w:t xml:space="preserve"> 277, pp. 30-30.</w:t>
      </w:r>
    </w:p>
    <w:p w14:paraId="4F3FD69A" w14:textId="77777777" w:rsidR="00222ECB" w:rsidRPr="00720DB4" w:rsidRDefault="00222ECB" w:rsidP="00720DB4">
      <w:pPr>
        <w:pStyle w:val="EndNoteBibliography"/>
        <w:spacing w:after="0"/>
        <w:jc w:val="both"/>
        <w:rPr>
          <w:rFonts w:ascii="Times New Roman" w:hAnsi="Times New Roman" w:cs="Times New Roman"/>
        </w:rPr>
      </w:pPr>
    </w:p>
    <w:p w14:paraId="072E3A5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Potrykus, K. and Cashel, M. (2008) '(p)ppGpp: Still Magical?', </w:t>
      </w:r>
      <w:r w:rsidRPr="00720DB4">
        <w:rPr>
          <w:rFonts w:ascii="Times New Roman" w:hAnsi="Times New Roman" w:cs="Times New Roman"/>
          <w:i/>
        </w:rPr>
        <w:t>Annual Review of Microbiology,</w:t>
      </w:r>
      <w:r w:rsidRPr="00720DB4">
        <w:rPr>
          <w:rFonts w:ascii="Times New Roman" w:hAnsi="Times New Roman" w:cs="Times New Roman"/>
        </w:rPr>
        <w:t xml:space="preserve"> 62(1), pp. 35--51.</w:t>
      </w:r>
    </w:p>
    <w:p w14:paraId="52BF15F4" w14:textId="77777777" w:rsidR="00222ECB" w:rsidRPr="00720DB4" w:rsidRDefault="00222ECB" w:rsidP="00720DB4">
      <w:pPr>
        <w:pStyle w:val="EndNoteBibliography"/>
        <w:spacing w:after="0"/>
        <w:jc w:val="both"/>
        <w:rPr>
          <w:rFonts w:ascii="Times New Roman" w:hAnsi="Times New Roman" w:cs="Times New Roman"/>
        </w:rPr>
      </w:pPr>
    </w:p>
    <w:p w14:paraId="6B7C6CB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Powers, M. E., Kim, H. K., Wang, Y. and Wardenburg, J. B. (2012) 'ADAM10 Mediates Vascular Injury Induced by</w:t>
      </w:r>
      <w:r w:rsidRPr="00222ECB">
        <w:rPr>
          <w:rFonts w:ascii="Times New Roman" w:hAnsi="Times New Roman" w:cs="Times New Roman"/>
          <w:i/>
          <w:iCs/>
        </w:rPr>
        <w:t xml:space="preserve"> Staphylococcus aureus</w:t>
      </w:r>
      <w:r w:rsidRPr="00720DB4">
        <w:rPr>
          <w:rFonts w:ascii="Times New Roman" w:hAnsi="Times New Roman" w:cs="Times New Roman"/>
        </w:rPr>
        <w:t xml:space="preserve"> alpha-Hemolysin', </w:t>
      </w:r>
      <w:r w:rsidRPr="00720DB4">
        <w:rPr>
          <w:rFonts w:ascii="Times New Roman" w:hAnsi="Times New Roman" w:cs="Times New Roman"/>
          <w:i/>
        </w:rPr>
        <w:t>Journal of Infectious Diseases,</w:t>
      </w:r>
      <w:r w:rsidRPr="00720DB4">
        <w:rPr>
          <w:rFonts w:ascii="Times New Roman" w:hAnsi="Times New Roman" w:cs="Times New Roman"/>
        </w:rPr>
        <w:t xml:space="preserve"> 206(3), pp. 352-356.</w:t>
      </w:r>
    </w:p>
    <w:p w14:paraId="0ADAF6E1" w14:textId="77777777" w:rsidR="00222ECB" w:rsidRPr="00720DB4" w:rsidRDefault="00222ECB" w:rsidP="00720DB4">
      <w:pPr>
        <w:pStyle w:val="EndNoteBibliography"/>
        <w:spacing w:after="0"/>
        <w:jc w:val="both"/>
        <w:rPr>
          <w:rFonts w:ascii="Times New Roman" w:hAnsi="Times New Roman" w:cs="Times New Roman"/>
        </w:rPr>
      </w:pPr>
    </w:p>
    <w:p w14:paraId="72562A4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Prajsnar, T. K., Cunliffe, V. T., Foster, S. J. and Renshaw, S. A. (2008) 'A novel vertebrate model of </w:t>
      </w:r>
      <w:r w:rsidRPr="00222ECB">
        <w:rPr>
          <w:rFonts w:ascii="Times New Roman" w:hAnsi="Times New Roman" w:cs="Times New Roman"/>
          <w:i/>
          <w:iCs/>
        </w:rPr>
        <w:t xml:space="preserve">Staphylococcus aureus </w:t>
      </w:r>
      <w:r w:rsidRPr="00720DB4">
        <w:rPr>
          <w:rFonts w:ascii="Times New Roman" w:hAnsi="Times New Roman" w:cs="Times New Roman"/>
        </w:rPr>
        <w:t xml:space="preserve">infection reveals phagocyte-dependent resistance of zebrafish to non-host specialized pathogens', </w:t>
      </w:r>
      <w:r w:rsidRPr="00720DB4">
        <w:rPr>
          <w:rFonts w:ascii="Times New Roman" w:hAnsi="Times New Roman" w:cs="Times New Roman"/>
          <w:i/>
        </w:rPr>
        <w:t>Cellular Microbiology,</w:t>
      </w:r>
      <w:r w:rsidRPr="00720DB4">
        <w:rPr>
          <w:rFonts w:ascii="Times New Roman" w:hAnsi="Times New Roman" w:cs="Times New Roman"/>
        </w:rPr>
        <w:t xml:space="preserve"> 10(11), pp. 2312-2325.</w:t>
      </w:r>
    </w:p>
    <w:p w14:paraId="18769C79" w14:textId="77777777" w:rsidR="00222ECB" w:rsidRPr="00720DB4" w:rsidRDefault="00222ECB" w:rsidP="00720DB4">
      <w:pPr>
        <w:pStyle w:val="EndNoteBibliography"/>
        <w:spacing w:after="0"/>
        <w:jc w:val="both"/>
        <w:rPr>
          <w:rFonts w:ascii="Times New Roman" w:hAnsi="Times New Roman" w:cs="Times New Roman"/>
        </w:rPr>
      </w:pPr>
    </w:p>
    <w:p w14:paraId="30EB159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Prajsnar, T. K., Renshaw, S. A., Ogryzko, N. V., Foster, S. J., Serror, P. and Mesnage, S. (2013) 'Zebrafish as a Novel Vertebrate Model To Dissect Enterococcal Pathogenesis', </w:t>
      </w:r>
      <w:r w:rsidRPr="00720DB4">
        <w:rPr>
          <w:rFonts w:ascii="Times New Roman" w:hAnsi="Times New Roman" w:cs="Times New Roman"/>
          <w:i/>
        </w:rPr>
        <w:t>Infection and Immunity,</w:t>
      </w:r>
      <w:r w:rsidRPr="00720DB4">
        <w:rPr>
          <w:rFonts w:ascii="Times New Roman" w:hAnsi="Times New Roman" w:cs="Times New Roman"/>
        </w:rPr>
        <w:t xml:space="preserve"> 81(11), pp. 4271-4279.</w:t>
      </w:r>
    </w:p>
    <w:p w14:paraId="32A8B798" w14:textId="77777777" w:rsidR="00222ECB" w:rsidRPr="00720DB4" w:rsidRDefault="00222ECB" w:rsidP="00720DB4">
      <w:pPr>
        <w:pStyle w:val="EndNoteBibliography"/>
        <w:spacing w:after="0"/>
        <w:jc w:val="both"/>
        <w:rPr>
          <w:rFonts w:ascii="Times New Roman" w:hAnsi="Times New Roman" w:cs="Times New Roman"/>
        </w:rPr>
      </w:pPr>
    </w:p>
    <w:p w14:paraId="0386F2B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Primm, T. P., Andersen, S. J., Mizrahi, V., Avarbock, D., Rubin, H. and Barry, C. E. (2000) 'The stringent response of </w:t>
      </w:r>
      <w:r w:rsidRPr="00222ECB">
        <w:rPr>
          <w:rFonts w:ascii="Times New Roman" w:hAnsi="Times New Roman" w:cs="Times New Roman"/>
          <w:i/>
          <w:iCs/>
        </w:rPr>
        <w:t>Mycobacterium tuberculosis</w:t>
      </w:r>
      <w:r w:rsidRPr="00720DB4">
        <w:rPr>
          <w:rFonts w:ascii="Times New Roman" w:hAnsi="Times New Roman" w:cs="Times New Roman"/>
        </w:rPr>
        <w:t xml:space="preserve"> is required for long-term survival', </w:t>
      </w:r>
      <w:r w:rsidRPr="00720DB4">
        <w:rPr>
          <w:rFonts w:ascii="Times New Roman" w:hAnsi="Times New Roman" w:cs="Times New Roman"/>
          <w:i/>
        </w:rPr>
        <w:t>Journal of Bacteriology,</w:t>
      </w:r>
      <w:r w:rsidRPr="00720DB4">
        <w:rPr>
          <w:rFonts w:ascii="Times New Roman" w:hAnsi="Times New Roman" w:cs="Times New Roman"/>
        </w:rPr>
        <w:t xml:space="preserve"> 182(17), pp. 4889-4898.</w:t>
      </w:r>
    </w:p>
    <w:p w14:paraId="1C68806E" w14:textId="77777777" w:rsidR="00222ECB" w:rsidRPr="00720DB4" w:rsidRDefault="00222ECB" w:rsidP="00720DB4">
      <w:pPr>
        <w:pStyle w:val="EndNoteBibliography"/>
        <w:spacing w:after="0"/>
        <w:jc w:val="both"/>
        <w:rPr>
          <w:rFonts w:ascii="Times New Roman" w:hAnsi="Times New Roman" w:cs="Times New Roman"/>
        </w:rPr>
      </w:pPr>
    </w:p>
    <w:p w14:paraId="5D4DF81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Proctor, R. A. (2012) 'Is there a future for a </w:t>
      </w:r>
      <w:r w:rsidRPr="00222ECB">
        <w:rPr>
          <w:rFonts w:ascii="Times New Roman" w:hAnsi="Times New Roman" w:cs="Times New Roman"/>
          <w:i/>
          <w:iCs/>
        </w:rPr>
        <w:t>Staphylococcus aureus</w:t>
      </w:r>
      <w:r w:rsidRPr="00720DB4">
        <w:rPr>
          <w:rFonts w:ascii="Times New Roman" w:hAnsi="Times New Roman" w:cs="Times New Roman"/>
        </w:rPr>
        <w:t xml:space="preserve"> vaccine?', </w:t>
      </w:r>
      <w:r w:rsidRPr="00720DB4">
        <w:rPr>
          <w:rFonts w:ascii="Times New Roman" w:hAnsi="Times New Roman" w:cs="Times New Roman"/>
          <w:i/>
        </w:rPr>
        <w:t>Vaccine,</w:t>
      </w:r>
      <w:r w:rsidRPr="00720DB4">
        <w:rPr>
          <w:rFonts w:ascii="Times New Roman" w:hAnsi="Times New Roman" w:cs="Times New Roman"/>
        </w:rPr>
        <w:t xml:space="preserve"> 30(19), pp. 2921-2927.</w:t>
      </w:r>
    </w:p>
    <w:p w14:paraId="400CF88A" w14:textId="77777777" w:rsidR="00222ECB" w:rsidRPr="00720DB4" w:rsidRDefault="00222ECB" w:rsidP="00720DB4">
      <w:pPr>
        <w:pStyle w:val="EndNoteBibliography"/>
        <w:spacing w:after="0"/>
        <w:jc w:val="both"/>
        <w:rPr>
          <w:rFonts w:ascii="Times New Roman" w:hAnsi="Times New Roman" w:cs="Times New Roman"/>
        </w:rPr>
      </w:pPr>
    </w:p>
    <w:p w14:paraId="1A30E57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Prossliner, T., Gerdes, K., Sorensen, M. A. and Winther, K. S. (2021) 'Hibernation factors directly block ribonucleases from entering the ribosome in response to starvation', </w:t>
      </w:r>
      <w:r w:rsidRPr="00720DB4">
        <w:rPr>
          <w:rFonts w:ascii="Times New Roman" w:hAnsi="Times New Roman" w:cs="Times New Roman"/>
          <w:i/>
        </w:rPr>
        <w:t>Nucleic Acids Research,</w:t>
      </w:r>
      <w:r w:rsidRPr="00720DB4">
        <w:rPr>
          <w:rFonts w:ascii="Times New Roman" w:hAnsi="Times New Roman" w:cs="Times New Roman"/>
        </w:rPr>
        <w:t xml:space="preserve"> 49(4), pp. 2226-2239.</w:t>
      </w:r>
    </w:p>
    <w:p w14:paraId="53F0794E" w14:textId="77777777" w:rsidR="00222ECB" w:rsidRPr="00720DB4" w:rsidRDefault="00222ECB" w:rsidP="00720DB4">
      <w:pPr>
        <w:pStyle w:val="EndNoteBibliography"/>
        <w:spacing w:after="0"/>
        <w:jc w:val="both"/>
        <w:rPr>
          <w:rFonts w:ascii="Times New Roman" w:hAnsi="Times New Roman" w:cs="Times New Roman"/>
        </w:rPr>
      </w:pPr>
    </w:p>
    <w:p w14:paraId="2221D22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Pöehlmann-Dietze, P., Ulrich, M., Kiser, K. B., Doering, G., Lee, J. C., Fournier, J.-M., Botzenhart, K. and Wolz, C. (2000) 'Adherence of </w:t>
      </w:r>
      <w:r w:rsidRPr="00222ECB">
        <w:rPr>
          <w:rFonts w:ascii="Times New Roman" w:hAnsi="Times New Roman" w:cs="Times New Roman"/>
          <w:i/>
          <w:iCs/>
        </w:rPr>
        <w:t>Staphylococcus aureus</w:t>
      </w:r>
      <w:r w:rsidRPr="00720DB4">
        <w:rPr>
          <w:rFonts w:ascii="Times New Roman" w:hAnsi="Times New Roman" w:cs="Times New Roman"/>
        </w:rPr>
        <w:t xml:space="preserve"> to endothelial cells: Influence of capsular polysaccharide, global regulator</w:t>
      </w:r>
      <w:r w:rsidRPr="00222ECB">
        <w:rPr>
          <w:rFonts w:ascii="Times New Roman" w:hAnsi="Times New Roman" w:cs="Times New Roman"/>
          <w:i/>
          <w:iCs/>
        </w:rPr>
        <w:t xml:space="preserve"> agr</w:t>
      </w:r>
      <w:r w:rsidRPr="00720DB4">
        <w:rPr>
          <w:rFonts w:ascii="Times New Roman" w:hAnsi="Times New Roman" w:cs="Times New Roman"/>
        </w:rPr>
        <w:t xml:space="preserve">, and bacterial growth phase', </w:t>
      </w:r>
      <w:r w:rsidRPr="00720DB4">
        <w:rPr>
          <w:rFonts w:ascii="Times New Roman" w:hAnsi="Times New Roman" w:cs="Times New Roman"/>
          <w:i/>
        </w:rPr>
        <w:t>Infection and Immunity,</w:t>
      </w:r>
      <w:r w:rsidRPr="00720DB4">
        <w:rPr>
          <w:rFonts w:ascii="Times New Roman" w:hAnsi="Times New Roman" w:cs="Times New Roman"/>
        </w:rPr>
        <w:t xml:space="preserve"> 68(9), pp. 4865-4871.</w:t>
      </w:r>
    </w:p>
    <w:p w14:paraId="5AF24357" w14:textId="77777777" w:rsidR="00222ECB" w:rsidRPr="00720DB4" w:rsidRDefault="00222ECB" w:rsidP="00720DB4">
      <w:pPr>
        <w:pStyle w:val="EndNoteBibliography"/>
        <w:spacing w:after="0"/>
        <w:jc w:val="both"/>
        <w:rPr>
          <w:rFonts w:ascii="Times New Roman" w:hAnsi="Times New Roman" w:cs="Times New Roman"/>
        </w:rPr>
      </w:pPr>
    </w:p>
    <w:p w14:paraId="1E8B8BA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Qazi, S. N. A., Counil, E., Morrissey, J., Rees, C. E. D., Cockayne, A., Winzer, K., Chan, W. C., Williams, P. and Hill, P. J. (2001) '</w:t>
      </w:r>
      <w:r w:rsidRPr="00222ECB">
        <w:rPr>
          <w:rFonts w:ascii="Times New Roman" w:hAnsi="Times New Roman" w:cs="Times New Roman"/>
          <w:i/>
          <w:iCs/>
        </w:rPr>
        <w:t>agr</w:t>
      </w:r>
      <w:r w:rsidRPr="00720DB4">
        <w:rPr>
          <w:rFonts w:ascii="Times New Roman" w:hAnsi="Times New Roman" w:cs="Times New Roman"/>
        </w:rPr>
        <w:t xml:space="preserve"> Expression precedes escape of internalized </w:t>
      </w:r>
      <w:r w:rsidRPr="00222ECB">
        <w:rPr>
          <w:rFonts w:ascii="Times New Roman" w:hAnsi="Times New Roman" w:cs="Times New Roman"/>
          <w:i/>
          <w:iCs/>
        </w:rPr>
        <w:t>Staphylococcus aureus</w:t>
      </w:r>
      <w:r w:rsidRPr="00720DB4">
        <w:rPr>
          <w:rFonts w:ascii="Times New Roman" w:hAnsi="Times New Roman" w:cs="Times New Roman"/>
        </w:rPr>
        <w:t xml:space="preserve"> from the host endosome', </w:t>
      </w:r>
      <w:r w:rsidRPr="00720DB4">
        <w:rPr>
          <w:rFonts w:ascii="Times New Roman" w:hAnsi="Times New Roman" w:cs="Times New Roman"/>
          <w:i/>
        </w:rPr>
        <w:t>Infection and Immunity,</w:t>
      </w:r>
      <w:r w:rsidRPr="00720DB4">
        <w:rPr>
          <w:rFonts w:ascii="Times New Roman" w:hAnsi="Times New Roman" w:cs="Times New Roman"/>
        </w:rPr>
        <w:t xml:space="preserve"> 69(11), pp. 7074-7082.</w:t>
      </w:r>
    </w:p>
    <w:p w14:paraId="0F0F949F" w14:textId="77777777" w:rsidR="00222ECB" w:rsidRPr="00720DB4" w:rsidRDefault="00222ECB" w:rsidP="00720DB4">
      <w:pPr>
        <w:pStyle w:val="EndNoteBibliography"/>
        <w:spacing w:after="0"/>
        <w:jc w:val="both"/>
        <w:rPr>
          <w:rFonts w:ascii="Times New Roman" w:hAnsi="Times New Roman" w:cs="Times New Roman"/>
        </w:rPr>
      </w:pPr>
    </w:p>
    <w:p w14:paraId="2123C902" w14:textId="74E321D2" w:rsidR="00222ECB"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Queck, S. Y., Jameson-Lee, M., Villaruz, A. E., Bach, T.-H. L., Khan, B. A., Sturdevant, D. E., Ricklefs, S. M., Li, M. and Otto, M. (2008) 'RNAIII-Independent Target Gene Control by the </w:t>
      </w:r>
      <w:r w:rsidRPr="00222ECB">
        <w:rPr>
          <w:rFonts w:ascii="Times New Roman" w:hAnsi="Times New Roman" w:cs="Times New Roman"/>
          <w:i/>
          <w:iCs/>
        </w:rPr>
        <w:t>agr</w:t>
      </w:r>
      <w:r w:rsidRPr="00720DB4">
        <w:rPr>
          <w:rFonts w:ascii="Times New Roman" w:hAnsi="Times New Roman" w:cs="Times New Roman"/>
        </w:rPr>
        <w:t xml:space="preserve"> Quorum-Sensing System: Insight into the Evolution of Virulence Regulation in </w:t>
      </w:r>
      <w:r w:rsidRPr="00222ECB">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Molecular Cell,</w:t>
      </w:r>
      <w:r w:rsidRPr="00720DB4">
        <w:rPr>
          <w:rFonts w:ascii="Times New Roman" w:hAnsi="Times New Roman" w:cs="Times New Roman"/>
        </w:rPr>
        <w:t xml:space="preserve"> 32(1), pp. 150-158.</w:t>
      </w:r>
    </w:p>
    <w:p w14:paraId="375B542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Queck, S. Y., Khan, B. A., Wang, R., Bach, T. H. L., Kretschmer, D., Chen, L., Kreiswirth, B. N., Peschel, A., DeLeo, F. R. and Otto, M. (2009) 'Mobile Genetic Element-Encoded Cytolysin Connects Virulence to Methicillin Resistance in MRSA', </w:t>
      </w:r>
      <w:r w:rsidRPr="00720DB4">
        <w:rPr>
          <w:rFonts w:ascii="Times New Roman" w:hAnsi="Times New Roman" w:cs="Times New Roman"/>
          <w:i/>
        </w:rPr>
        <w:t>Plos Pathogens,</w:t>
      </w:r>
      <w:r w:rsidRPr="00720DB4">
        <w:rPr>
          <w:rFonts w:ascii="Times New Roman" w:hAnsi="Times New Roman" w:cs="Times New Roman"/>
        </w:rPr>
        <w:t xml:space="preserve"> 5(7).</w:t>
      </w:r>
    </w:p>
    <w:p w14:paraId="29C908F0" w14:textId="77777777" w:rsidR="00222ECB" w:rsidRPr="00720DB4" w:rsidRDefault="00222ECB" w:rsidP="00720DB4">
      <w:pPr>
        <w:pStyle w:val="EndNoteBibliography"/>
        <w:spacing w:after="0"/>
        <w:jc w:val="both"/>
        <w:rPr>
          <w:rFonts w:ascii="Times New Roman" w:hAnsi="Times New Roman" w:cs="Times New Roman"/>
        </w:rPr>
      </w:pPr>
    </w:p>
    <w:p w14:paraId="6EE4C61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Rabinovitch, M. (1995) 'Professional and non-professional phagocytes: an introduction', </w:t>
      </w:r>
      <w:r w:rsidRPr="00720DB4">
        <w:rPr>
          <w:rFonts w:ascii="Times New Roman" w:hAnsi="Times New Roman" w:cs="Times New Roman"/>
          <w:i/>
        </w:rPr>
        <w:t>Trends in Cell Biology,</w:t>
      </w:r>
      <w:r w:rsidRPr="00720DB4">
        <w:rPr>
          <w:rFonts w:ascii="Times New Roman" w:hAnsi="Times New Roman" w:cs="Times New Roman"/>
        </w:rPr>
        <w:t xml:space="preserve"> 5(3), pp. 85-87.</w:t>
      </w:r>
    </w:p>
    <w:p w14:paraId="6944D91B" w14:textId="77777777" w:rsidR="00222ECB" w:rsidRPr="00720DB4" w:rsidRDefault="00222ECB" w:rsidP="00720DB4">
      <w:pPr>
        <w:pStyle w:val="EndNoteBibliography"/>
        <w:spacing w:after="0"/>
        <w:jc w:val="both"/>
        <w:rPr>
          <w:rFonts w:ascii="Times New Roman" w:hAnsi="Times New Roman" w:cs="Times New Roman"/>
        </w:rPr>
      </w:pPr>
    </w:p>
    <w:p w14:paraId="3F4EFF5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Raineri, E. J. M., Altulea, D. and van Dijl, J. M. (2022) 'Staphylococcal trafficking and infection-from 'nose to gut' and back', </w:t>
      </w:r>
      <w:r w:rsidRPr="00720DB4">
        <w:rPr>
          <w:rFonts w:ascii="Times New Roman" w:hAnsi="Times New Roman" w:cs="Times New Roman"/>
          <w:i/>
        </w:rPr>
        <w:t>Fems Microbiology Reviews,</w:t>
      </w:r>
      <w:r w:rsidRPr="00720DB4">
        <w:rPr>
          <w:rFonts w:ascii="Times New Roman" w:hAnsi="Times New Roman" w:cs="Times New Roman"/>
        </w:rPr>
        <w:t xml:space="preserve"> 46(1).</w:t>
      </w:r>
    </w:p>
    <w:p w14:paraId="57338553" w14:textId="77777777" w:rsidR="00222ECB" w:rsidRPr="00720DB4" w:rsidRDefault="00222ECB" w:rsidP="00720DB4">
      <w:pPr>
        <w:pStyle w:val="EndNoteBibliography"/>
        <w:spacing w:after="0"/>
        <w:jc w:val="both"/>
        <w:rPr>
          <w:rFonts w:ascii="Times New Roman" w:hAnsi="Times New Roman" w:cs="Times New Roman"/>
        </w:rPr>
      </w:pPr>
    </w:p>
    <w:p w14:paraId="2611010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Rajan, V., Dellaire, G. and Berman, J. N. (2016) 'Modeling Leukemogenesis in the Zebrafish Using Genetic and Xenograft Models', </w:t>
      </w:r>
      <w:r w:rsidRPr="00720DB4">
        <w:rPr>
          <w:rFonts w:ascii="Times New Roman" w:hAnsi="Times New Roman" w:cs="Times New Roman"/>
          <w:i/>
        </w:rPr>
        <w:t>Zebrafish: Methods and Protocols, 2nd Edition</w:t>
      </w:r>
      <w:r w:rsidRPr="00720DB4">
        <w:rPr>
          <w:rFonts w:ascii="Times New Roman" w:hAnsi="Times New Roman" w:cs="Times New Roman"/>
        </w:rPr>
        <w:t>, pp. 171-189.</w:t>
      </w:r>
    </w:p>
    <w:p w14:paraId="72E7D0E5" w14:textId="77777777" w:rsidR="00222ECB" w:rsidRPr="00720DB4" w:rsidRDefault="00222ECB" w:rsidP="00720DB4">
      <w:pPr>
        <w:pStyle w:val="EndNoteBibliography"/>
        <w:spacing w:after="0"/>
        <w:jc w:val="both"/>
        <w:rPr>
          <w:rFonts w:ascii="Times New Roman" w:hAnsi="Times New Roman" w:cs="Times New Roman"/>
        </w:rPr>
      </w:pPr>
    </w:p>
    <w:p w14:paraId="549ECEB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Rajan, V., Melong, N., Wong, W. H., King, B., Tong, R. S., Mahajan, N., Gaston, D., Lund, T., Rittenberg, D., Dellaire, G., Campbell, C. J. V., Druley, T. and Berman, J. N. (2020) 'Humanized zebrafish enhance human hematopoietic stem cell survival and promote acute myeloid leukemia clonal diversity', </w:t>
      </w:r>
      <w:r w:rsidRPr="00720DB4">
        <w:rPr>
          <w:rFonts w:ascii="Times New Roman" w:hAnsi="Times New Roman" w:cs="Times New Roman"/>
          <w:i/>
        </w:rPr>
        <w:t>Haematologica,</w:t>
      </w:r>
      <w:r w:rsidRPr="00720DB4">
        <w:rPr>
          <w:rFonts w:ascii="Times New Roman" w:hAnsi="Times New Roman" w:cs="Times New Roman"/>
        </w:rPr>
        <w:t xml:space="preserve"> 105(10), pp. 2391-2399.</w:t>
      </w:r>
    </w:p>
    <w:p w14:paraId="0D327976" w14:textId="77777777" w:rsidR="00222ECB" w:rsidRPr="00720DB4" w:rsidRDefault="00222ECB" w:rsidP="00720DB4">
      <w:pPr>
        <w:pStyle w:val="EndNoteBibliography"/>
        <w:spacing w:after="0"/>
        <w:jc w:val="both"/>
        <w:rPr>
          <w:rFonts w:ascii="Times New Roman" w:hAnsi="Times New Roman" w:cs="Times New Roman"/>
        </w:rPr>
      </w:pPr>
    </w:p>
    <w:p w14:paraId="427F6C4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Recsei, P., Kreiswirth, B., Oreilly, M., Schlievert, P., Gruss, A. and Novick, R. P. (1986) 'REGULATION OF EXOPROTEIN GENE-EXPRESSION IN </w:t>
      </w:r>
      <w:r w:rsidRPr="00222ECB">
        <w:rPr>
          <w:rFonts w:ascii="Times New Roman" w:hAnsi="Times New Roman" w:cs="Times New Roman"/>
          <w:i/>
          <w:iCs/>
        </w:rPr>
        <w:t>STAPHYLOCOCCUS-AUREUS</w:t>
      </w:r>
      <w:r w:rsidRPr="00720DB4">
        <w:rPr>
          <w:rFonts w:ascii="Times New Roman" w:hAnsi="Times New Roman" w:cs="Times New Roman"/>
        </w:rPr>
        <w:t xml:space="preserve"> BY AGR', </w:t>
      </w:r>
      <w:r w:rsidRPr="00720DB4">
        <w:rPr>
          <w:rFonts w:ascii="Times New Roman" w:hAnsi="Times New Roman" w:cs="Times New Roman"/>
          <w:i/>
        </w:rPr>
        <w:t>Molecular &amp; General Genetics,</w:t>
      </w:r>
      <w:r w:rsidRPr="00720DB4">
        <w:rPr>
          <w:rFonts w:ascii="Times New Roman" w:hAnsi="Times New Roman" w:cs="Times New Roman"/>
        </w:rPr>
        <w:t xml:space="preserve"> 202(1), pp. 58-61.</w:t>
      </w:r>
    </w:p>
    <w:p w14:paraId="5DAB87E4" w14:textId="77777777" w:rsidR="00222ECB" w:rsidRPr="00720DB4" w:rsidRDefault="00222ECB" w:rsidP="00720DB4">
      <w:pPr>
        <w:pStyle w:val="EndNoteBibliography"/>
        <w:spacing w:after="0"/>
        <w:jc w:val="both"/>
        <w:rPr>
          <w:rFonts w:ascii="Times New Roman" w:hAnsi="Times New Roman" w:cs="Times New Roman"/>
        </w:rPr>
      </w:pPr>
    </w:p>
    <w:p w14:paraId="44C40F2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Renshaw, S. A., Loynes, C. A., Trushell, D. M. I., Elworthy, S., Ingham, P. W. and Whyte, M. K. B. (2006) 'A transgenic zebrafish model of neutrophilic inflammation', </w:t>
      </w:r>
      <w:r w:rsidRPr="00720DB4">
        <w:rPr>
          <w:rFonts w:ascii="Times New Roman" w:hAnsi="Times New Roman" w:cs="Times New Roman"/>
          <w:i/>
        </w:rPr>
        <w:t>Blood,</w:t>
      </w:r>
      <w:r w:rsidRPr="00720DB4">
        <w:rPr>
          <w:rFonts w:ascii="Times New Roman" w:hAnsi="Times New Roman" w:cs="Times New Roman"/>
        </w:rPr>
        <w:t xml:space="preserve"> 108(13), pp. 3976-3978.</w:t>
      </w:r>
    </w:p>
    <w:p w14:paraId="5F166EAD" w14:textId="77777777" w:rsidR="00222ECB" w:rsidRPr="00720DB4" w:rsidRDefault="00222ECB" w:rsidP="00720DB4">
      <w:pPr>
        <w:pStyle w:val="EndNoteBibliography"/>
        <w:spacing w:after="0"/>
        <w:jc w:val="both"/>
        <w:rPr>
          <w:rFonts w:ascii="Times New Roman" w:hAnsi="Times New Roman" w:cs="Times New Roman"/>
        </w:rPr>
      </w:pPr>
    </w:p>
    <w:p w14:paraId="4E70754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Renshaw, S. A. and Trede, N. S. (2012) 'A model 450 million years in the making: zebrafish and vertebrate immunity', </w:t>
      </w:r>
      <w:r w:rsidRPr="00720DB4">
        <w:rPr>
          <w:rFonts w:ascii="Times New Roman" w:hAnsi="Times New Roman" w:cs="Times New Roman"/>
          <w:i/>
        </w:rPr>
        <w:t>Disease Models &amp; Mechanisms,</w:t>
      </w:r>
      <w:r w:rsidRPr="00720DB4">
        <w:rPr>
          <w:rFonts w:ascii="Times New Roman" w:hAnsi="Times New Roman" w:cs="Times New Roman"/>
        </w:rPr>
        <w:t xml:space="preserve"> 5(1), pp. 38-47.</w:t>
      </w:r>
    </w:p>
    <w:p w14:paraId="0702B49E" w14:textId="77777777" w:rsidR="00222ECB" w:rsidRPr="00720DB4" w:rsidRDefault="00222ECB" w:rsidP="00720DB4">
      <w:pPr>
        <w:pStyle w:val="EndNoteBibliography"/>
        <w:spacing w:after="0"/>
        <w:jc w:val="both"/>
        <w:rPr>
          <w:rFonts w:ascii="Times New Roman" w:hAnsi="Times New Roman" w:cs="Times New Roman"/>
        </w:rPr>
      </w:pPr>
    </w:p>
    <w:p w14:paraId="69300BF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Repine, J. E., Fox, R. B. and Berger, E. M. (1981) 'HYDROGEN-PEROXIDE KILLS </w:t>
      </w:r>
      <w:r w:rsidRPr="00222ECB">
        <w:rPr>
          <w:rFonts w:ascii="Times New Roman" w:hAnsi="Times New Roman" w:cs="Times New Roman"/>
          <w:i/>
          <w:iCs/>
        </w:rPr>
        <w:t>STAPHYLOCOCCUS-AUREUS</w:t>
      </w:r>
      <w:r w:rsidRPr="00720DB4">
        <w:rPr>
          <w:rFonts w:ascii="Times New Roman" w:hAnsi="Times New Roman" w:cs="Times New Roman"/>
        </w:rPr>
        <w:t xml:space="preserve"> BY REACTING WITH STAPHYLOCOCCAL IRON TO FORM HYDROXYL RADICAL', </w:t>
      </w:r>
      <w:r w:rsidRPr="00720DB4">
        <w:rPr>
          <w:rFonts w:ascii="Times New Roman" w:hAnsi="Times New Roman" w:cs="Times New Roman"/>
          <w:i/>
        </w:rPr>
        <w:t>Journal of Biological Chemistry,</w:t>
      </w:r>
      <w:r w:rsidRPr="00720DB4">
        <w:rPr>
          <w:rFonts w:ascii="Times New Roman" w:hAnsi="Times New Roman" w:cs="Times New Roman"/>
        </w:rPr>
        <w:t xml:space="preserve"> 256(14), pp. 7094-7096.</w:t>
      </w:r>
    </w:p>
    <w:p w14:paraId="294C9B30" w14:textId="77777777" w:rsidR="00222ECB" w:rsidRPr="00720DB4" w:rsidRDefault="00222ECB" w:rsidP="00720DB4">
      <w:pPr>
        <w:pStyle w:val="EndNoteBibliography"/>
        <w:spacing w:after="0"/>
        <w:jc w:val="both"/>
        <w:rPr>
          <w:rFonts w:ascii="Times New Roman" w:hAnsi="Times New Roman" w:cs="Times New Roman"/>
        </w:rPr>
      </w:pPr>
    </w:p>
    <w:p w14:paraId="482FFBA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Rhee, H.-W., Lee, C.-R., Cho, S.-H., Song, M.-R., Cashel, M., Choy, H. E., Seok, Y.-J. and Hong, J.-I. (2008) 'Selective fluorescent chemosensor for the bacterial alarmone (p)ppGpp', </w:t>
      </w:r>
      <w:r w:rsidRPr="00720DB4">
        <w:rPr>
          <w:rFonts w:ascii="Times New Roman" w:hAnsi="Times New Roman" w:cs="Times New Roman"/>
          <w:i/>
        </w:rPr>
        <w:t>Journal of the American Chemical Society,</w:t>
      </w:r>
      <w:r w:rsidRPr="00720DB4">
        <w:rPr>
          <w:rFonts w:ascii="Times New Roman" w:hAnsi="Times New Roman" w:cs="Times New Roman"/>
        </w:rPr>
        <w:t xml:space="preserve"> 130(3), pp. 784-+.</w:t>
      </w:r>
    </w:p>
    <w:p w14:paraId="08490D7E" w14:textId="77777777" w:rsidR="00222ECB" w:rsidRPr="00720DB4" w:rsidRDefault="00222ECB" w:rsidP="00720DB4">
      <w:pPr>
        <w:pStyle w:val="EndNoteBibliography"/>
        <w:spacing w:after="0"/>
        <w:jc w:val="both"/>
        <w:rPr>
          <w:rFonts w:ascii="Times New Roman" w:hAnsi="Times New Roman" w:cs="Times New Roman"/>
        </w:rPr>
      </w:pPr>
    </w:p>
    <w:p w14:paraId="51C3BD9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Rhodes, J., Hagen, A., Hsu, K., Deng, M., Liu, T. X., Look, A. T. and Kanki, J. P. (2005) 'Interplay of Pu.1 and gatal determines myelo-erythroid progenitor cell fate in zebrafish', </w:t>
      </w:r>
      <w:r w:rsidRPr="00720DB4">
        <w:rPr>
          <w:rFonts w:ascii="Times New Roman" w:hAnsi="Times New Roman" w:cs="Times New Roman"/>
          <w:i/>
        </w:rPr>
        <w:t>Developmental Cell,</w:t>
      </w:r>
      <w:r w:rsidRPr="00720DB4">
        <w:rPr>
          <w:rFonts w:ascii="Times New Roman" w:hAnsi="Times New Roman" w:cs="Times New Roman"/>
        </w:rPr>
        <w:t xml:space="preserve"> 8(1), pp. 97-108.</w:t>
      </w:r>
    </w:p>
    <w:p w14:paraId="46295B60" w14:textId="77777777" w:rsidR="00222ECB" w:rsidRPr="00720DB4" w:rsidRDefault="00222ECB" w:rsidP="00720DB4">
      <w:pPr>
        <w:pStyle w:val="EndNoteBibliography"/>
        <w:spacing w:after="0"/>
        <w:jc w:val="both"/>
        <w:rPr>
          <w:rFonts w:ascii="Times New Roman" w:hAnsi="Times New Roman" w:cs="Times New Roman"/>
        </w:rPr>
      </w:pPr>
    </w:p>
    <w:p w14:paraId="7B2CD77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Rink, J., Ghigo, E., Kalaidzidis, Y. and Zerial, M. (2005) 'Rab conversion as a mechanism of progression from early to late endosomes', </w:t>
      </w:r>
      <w:r w:rsidRPr="00720DB4">
        <w:rPr>
          <w:rFonts w:ascii="Times New Roman" w:hAnsi="Times New Roman" w:cs="Times New Roman"/>
          <w:i/>
        </w:rPr>
        <w:t>Cell,</w:t>
      </w:r>
      <w:r w:rsidRPr="00720DB4">
        <w:rPr>
          <w:rFonts w:ascii="Times New Roman" w:hAnsi="Times New Roman" w:cs="Times New Roman"/>
        </w:rPr>
        <w:t xml:space="preserve"> 122(5), pp. 735-749.</w:t>
      </w:r>
    </w:p>
    <w:p w14:paraId="007495FD" w14:textId="77777777" w:rsidR="00222ECB" w:rsidRPr="00720DB4" w:rsidRDefault="00222ECB" w:rsidP="00720DB4">
      <w:pPr>
        <w:pStyle w:val="EndNoteBibliography"/>
        <w:spacing w:after="0"/>
        <w:jc w:val="both"/>
        <w:rPr>
          <w:rFonts w:ascii="Times New Roman" w:hAnsi="Times New Roman" w:cs="Times New Roman"/>
        </w:rPr>
      </w:pPr>
    </w:p>
    <w:p w14:paraId="08563B6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Rojas, A. M., Ehrenberg, M., Andersson, S. G. E. and Kurland, C. G. (1984) 'PPGPP INHIBITION OF ELONGATION FACTORS-TU, FACTOR-G AND FACTOR-TS DURING POLYPEPTIDE-SYNTHESIS', </w:t>
      </w:r>
      <w:r w:rsidRPr="00720DB4">
        <w:rPr>
          <w:rFonts w:ascii="Times New Roman" w:hAnsi="Times New Roman" w:cs="Times New Roman"/>
          <w:i/>
        </w:rPr>
        <w:t>Molecular &amp; General Genetics,</w:t>
      </w:r>
      <w:r w:rsidRPr="00720DB4">
        <w:rPr>
          <w:rFonts w:ascii="Times New Roman" w:hAnsi="Times New Roman" w:cs="Times New Roman"/>
        </w:rPr>
        <w:t xml:space="preserve"> 197(1), pp. 36-45.</w:t>
      </w:r>
    </w:p>
    <w:p w14:paraId="161D873F" w14:textId="77777777" w:rsidR="00222ECB" w:rsidRPr="00720DB4" w:rsidRDefault="00222ECB" w:rsidP="00720DB4">
      <w:pPr>
        <w:pStyle w:val="EndNoteBibliography"/>
        <w:spacing w:after="0"/>
        <w:jc w:val="both"/>
        <w:rPr>
          <w:rFonts w:ascii="Times New Roman" w:hAnsi="Times New Roman" w:cs="Times New Roman"/>
        </w:rPr>
      </w:pPr>
    </w:p>
    <w:p w14:paraId="3D62CD2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Rong, M., Ye, J., Chen, B., Wen, Y., Deng, X. and Liu, Z.-Q. (2020) 'Ratiometric fluorescence detection of stringent ppGpp using Eu-MoS2 QDs test paper', </w:t>
      </w:r>
      <w:r w:rsidRPr="00720DB4">
        <w:rPr>
          <w:rFonts w:ascii="Times New Roman" w:hAnsi="Times New Roman" w:cs="Times New Roman"/>
          <w:i/>
        </w:rPr>
        <w:t>Sensors and Actuators B-Chemical,</w:t>
      </w:r>
      <w:r w:rsidRPr="00720DB4">
        <w:rPr>
          <w:rFonts w:ascii="Times New Roman" w:hAnsi="Times New Roman" w:cs="Times New Roman"/>
        </w:rPr>
        <w:t xml:space="preserve"> 309.</w:t>
      </w:r>
    </w:p>
    <w:p w14:paraId="218C7F89" w14:textId="77777777" w:rsidR="00222ECB" w:rsidRPr="00720DB4" w:rsidRDefault="00222ECB" w:rsidP="00720DB4">
      <w:pPr>
        <w:pStyle w:val="EndNoteBibliography"/>
        <w:spacing w:after="0"/>
        <w:jc w:val="both"/>
        <w:rPr>
          <w:rFonts w:ascii="Times New Roman" w:hAnsi="Times New Roman" w:cs="Times New Roman"/>
        </w:rPr>
      </w:pPr>
    </w:p>
    <w:p w14:paraId="7FE5A7E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Ronneau, S. and Hallez, R. (2019) 'Make and break the alarmone: regulation of (p)ppGpp synthetase/hydrolase enzymes in bacteria', </w:t>
      </w:r>
      <w:r w:rsidRPr="00720DB4">
        <w:rPr>
          <w:rFonts w:ascii="Times New Roman" w:hAnsi="Times New Roman" w:cs="Times New Roman"/>
          <w:i/>
        </w:rPr>
        <w:t>Fems Microbiology Reviews,</w:t>
      </w:r>
      <w:r w:rsidRPr="00720DB4">
        <w:rPr>
          <w:rFonts w:ascii="Times New Roman" w:hAnsi="Times New Roman" w:cs="Times New Roman"/>
        </w:rPr>
        <w:t xml:space="preserve"> 43(4), pp. 389-400.</w:t>
      </w:r>
    </w:p>
    <w:p w14:paraId="3BB3424F" w14:textId="77777777" w:rsidR="00222ECB" w:rsidRPr="00720DB4" w:rsidRDefault="00222ECB" w:rsidP="00720DB4">
      <w:pPr>
        <w:pStyle w:val="EndNoteBibliography"/>
        <w:spacing w:after="0"/>
        <w:jc w:val="both"/>
        <w:rPr>
          <w:rFonts w:ascii="Times New Roman" w:hAnsi="Times New Roman" w:cs="Times New Roman"/>
        </w:rPr>
      </w:pPr>
    </w:p>
    <w:p w14:paraId="26D2E38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Rooijakkers, S. H. M., Ruyken, M., Roos, A., Daha, M. R., Presanis, J. S., Sim, R. B., van Wamel, W. J. B., van Kessel, K. P. M. and van Strijp, J. A. G. (2005) 'Immune evasion by a staphylococcal complement inhibitor that acts on C3 convertases', </w:t>
      </w:r>
      <w:r w:rsidRPr="00720DB4">
        <w:rPr>
          <w:rFonts w:ascii="Times New Roman" w:hAnsi="Times New Roman" w:cs="Times New Roman"/>
          <w:i/>
        </w:rPr>
        <w:t>Nature Immunology,</w:t>
      </w:r>
      <w:r w:rsidRPr="00720DB4">
        <w:rPr>
          <w:rFonts w:ascii="Times New Roman" w:hAnsi="Times New Roman" w:cs="Times New Roman"/>
        </w:rPr>
        <w:t xml:space="preserve"> 6(9), pp. 920-927.</w:t>
      </w:r>
    </w:p>
    <w:p w14:paraId="0F63B7EF" w14:textId="77777777" w:rsidR="00222ECB" w:rsidRPr="00720DB4" w:rsidRDefault="00222ECB" w:rsidP="00720DB4">
      <w:pPr>
        <w:pStyle w:val="EndNoteBibliography"/>
        <w:spacing w:after="0"/>
        <w:jc w:val="both"/>
        <w:rPr>
          <w:rFonts w:ascii="Times New Roman" w:hAnsi="Times New Roman" w:cs="Times New Roman"/>
        </w:rPr>
      </w:pPr>
    </w:p>
    <w:p w14:paraId="2A80E38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Rosales, C. (2018) 'Neutrophil: A Cell with Many Roles in Inflammation or Several Cell Types?', </w:t>
      </w:r>
      <w:r w:rsidRPr="00720DB4">
        <w:rPr>
          <w:rFonts w:ascii="Times New Roman" w:hAnsi="Times New Roman" w:cs="Times New Roman"/>
          <w:i/>
        </w:rPr>
        <w:t>Frontiers in Physiology,</w:t>
      </w:r>
      <w:r w:rsidRPr="00720DB4">
        <w:rPr>
          <w:rFonts w:ascii="Times New Roman" w:hAnsi="Times New Roman" w:cs="Times New Roman"/>
        </w:rPr>
        <w:t xml:space="preserve"> 9.</w:t>
      </w:r>
    </w:p>
    <w:p w14:paraId="6A125186" w14:textId="77777777" w:rsidR="00222ECB" w:rsidRPr="00720DB4" w:rsidRDefault="00222ECB" w:rsidP="00720DB4">
      <w:pPr>
        <w:pStyle w:val="EndNoteBibliography"/>
        <w:spacing w:after="0"/>
        <w:jc w:val="both"/>
        <w:rPr>
          <w:rFonts w:ascii="Times New Roman" w:hAnsi="Times New Roman" w:cs="Times New Roman"/>
        </w:rPr>
      </w:pPr>
    </w:p>
    <w:p w14:paraId="6D90D2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Ross, W., Sanchez-Vazquez, P., Chen, A. Y., Lee, J.-H., Burgos, H. L. and Gourse, R. L. (2016) 'ppGpp Binding to a Site at the RNAP-DksA Interface Accounts for Its Dramatic Effects on Transcription Initiation during the Stringent Response', </w:t>
      </w:r>
      <w:r w:rsidRPr="00720DB4">
        <w:rPr>
          <w:rFonts w:ascii="Times New Roman" w:hAnsi="Times New Roman" w:cs="Times New Roman"/>
          <w:i/>
        </w:rPr>
        <w:t>Molecular Cell,</w:t>
      </w:r>
      <w:r w:rsidRPr="00720DB4">
        <w:rPr>
          <w:rFonts w:ascii="Times New Roman" w:hAnsi="Times New Roman" w:cs="Times New Roman"/>
        </w:rPr>
        <w:t xml:space="preserve"> 62(6), pp. 811-823.</w:t>
      </w:r>
    </w:p>
    <w:p w14:paraId="1A76A281" w14:textId="77777777" w:rsidR="00222ECB" w:rsidRPr="00720DB4" w:rsidRDefault="00222ECB" w:rsidP="00720DB4">
      <w:pPr>
        <w:pStyle w:val="EndNoteBibliography"/>
        <w:spacing w:after="0"/>
        <w:jc w:val="both"/>
        <w:rPr>
          <w:rFonts w:ascii="Times New Roman" w:hAnsi="Times New Roman" w:cs="Times New Roman"/>
        </w:rPr>
      </w:pPr>
    </w:p>
    <w:p w14:paraId="5ACD4FF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Ross, W., Vrentas, C. E., Sanchez-Vazquez, P., Gaal, T. and Gourse, R. L. (2013) 'The Magic Spot: A ppGpp Binding Site on </w:t>
      </w:r>
      <w:r w:rsidRPr="00222ECB">
        <w:rPr>
          <w:rFonts w:ascii="Times New Roman" w:hAnsi="Times New Roman" w:cs="Times New Roman"/>
          <w:i/>
          <w:iCs/>
        </w:rPr>
        <w:t xml:space="preserve">E. coli </w:t>
      </w:r>
      <w:r w:rsidRPr="00720DB4">
        <w:rPr>
          <w:rFonts w:ascii="Times New Roman" w:hAnsi="Times New Roman" w:cs="Times New Roman"/>
        </w:rPr>
        <w:t xml:space="preserve">RNA Polymerase Responsible for Regulation of Transcription Initiation', </w:t>
      </w:r>
      <w:r w:rsidRPr="00720DB4">
        <w:rPr>
          <w:rFonts w:ascii="Times New Roman" w:hAnsi="Times New Roman" w:cs="Times New Roman"/>
          <w:i/>
        </w:rPr>
        <w:t>Molecular Cell,</w:t>
      </w:r>
      <w:r w:rsidRPr="00720DB4">
        <w:rPr>
          <w:rFonts w:ascii="Times New Roman" w:hAnsi="Times New Roman" w:cs="Times New Roman"/>
        </w:rPr>
        <w:t xml:space="preserve"> 50(3), pp. 420-429.</w:t>
      </w:r>
    </w:p>
    <w:p w14:paraId="71DFB2F2" w14:textId="77777777" w:rsidR="00222ECB" w:rsidRPr="00720DB4" w:rsidRDefault="00222ECB" w:rsidP="00720DB4">
      <w:pPr>
        <w:pStyle w:val="EndNoteBibliography"/>
        <w:spacing w:after="0"/>
        <w:jc w:val="both"/>
        <w:rPr>
          <w:rFonts w:ascii="Times New Roman" w:hAnsi="Times New Roman" w:cs="Times New Roman"/>
        </w:rPr>
      </w:pPr>
    </w:p>
    <w:p w14:paraId="6176019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Roux, A., Todd, D. A., Velazquez, J. V., Cech, N. B. and Sonenshein, A. L. (2014) 'CodY-Mediated Regulation of the </w:t>
      </w:r>
      <w:r w:rsidRPr="00222ECB">
        <w:rPr>
          <w:rFonts w:ascii="Times New Roman" w:hAnsi="Times New Roman" w:cs="Times New Roman"/>
          <w:i/>
          <w:iCs/>
        </w:rPr>
        <w:t>Staphylococcus aureus</w:t>
      </w:r>
      <w:r w:rsidRPr="00720DB4">
        <w:rPr>
          <w:rFonts w:ascii="Times New Roman" w:hAnsi="Times New Roman" w:cs="Times New Roman"/>
        </w:rPr>
        <w:t xml:space="preserve"> Agr System Integrates Nutritional and Population Density Signals', </w:t>
      </w:r>
      <w:r w:rsidRPr="00720DB4">
        <w:rPr>
          <w:rFonts w:ascii="Times New Roman" w:hAnsi="Times New Roman" w:cs="Times New Roman"/>
          <w:i/>
        </w:rPr>
        <w:t>Journal of Bacteriology,</w:t>
      </w:r>
      <w:r w:rsidRPr="00720DB4">
        <w:rPr>
          <w:rFonts w:ascii="Times New Roman" w:hAnsi="Times New Roman" w:cs="Times New Roman"/>
        </w:rPr>
        <w:t xml:space="preserve"> 196(6), pp. 1184-1196.</w:t>
      </w:r>
    </w:p>
    <w:p w14:paraId="296C4307" w14:textId="77777777" w:rsidR="00222ECB" w:rsidRPr="00720DB4" w:rsidRDefault="00222ECB" w:rsidP="00720DB4">
      <w:pPr>
        <w:pStyle w:val="EndNoteBibliography"/>
        <w:spacing w:after="0"/>
        <w:jc w:val="both"/>
        <w:rPr>
          <w:rFonts w:ascii="Times New Roman" w:hAnsi="Times New Roman" w:cs="Times New Roman"/>
        </w:rPr>
      </w:pPr>
    </w:p>
    <w:p w14:paraId="1C70D55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Rubel, C., De Marval, P. M., Vermeulen, M., Isturiz, M. A. and Palermo, M. S. (1999) 'Lipopolysaccharide enhances Fc gamma R-dependent functions in vivo through CD11b/CD18 up-regulation', </w:t>
      </w:r>
      <w:r w:rsidRPr="00720DB4">
        <w:rPr>
          <w:rFonts w:ascii="Times New Roman" w:hAnsi="Times New Roman" w:cs="Times New Roman"/>
          <w:i/>
        </w:rPr>
        <w:t>Immunology,</w:t>
      </w:r>
      <w:r w:rsidRPr="00720DB4">
        <w:rPr>
          <w:rFonts w:ascii="Times New Roman" w:hAnsi="Times New Roman" w:cs="Times New Roman"/>
        </w:rPr>
        <w:t xml:space="preserve"> 97(3), pp. 429-437.</w:t>
      </w:r>
    </w:p>
    <w:p w14:paraId="6AF281C0" w14:textId="77777777" w:rsidR="00222ECB" w:rsidRPr="00720DB4" w:rsidRDefault="00222ECB" w:rsidP="00720DB4">
      <w:pPr>
        <w:pStyle w:val="EndNoteBibliography"/>
        <w:spacing w:after="0"/>
        <w:jc w:val="both"/>
        <w:rPr>
          <w:rFonts w:ascii="Times New Roman" w:hAnsi="Times New Roman" w:cs="Times New Roman"/>
        </w:rPr>
      </w:pPr>
    </w:p>
    <w:p w14:paraId="4E7309C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Ruwe, M., Kalinowski, J. and Persicke, M. (2017) 'Identification and Functional Characterization of Small Alarmone Synthetases in </w:t>
      </w:r>
      <w:r w:rsidRPr="00222ECB">
        <w:rPr>
          <w:rFonts w:ascii="Times New Roman" w:hAnsi="Times New Roman" w:cs="Times New Roman"/>
          <w:i/>
          <w:iCs/>
        </w:rPr>
        <w:t>Corynebacterium glutamicum</w:t>
      </w:r>
      <w:r w:rsidRPr="00720DB4">
        <w:rPr>
          <w:rFonts w:ascii="Times New Roman" w:hAnsi="Times New Roman" w:cs="Times New Roman"/>
        </w:rPr>
        <w:t xml:space="preserve">', </w:t>
      </w:r>
      <w:r w:rsidRPr="00720DB4">
        <w:rPr>
          <w:rFonts w:ascii="Times New Roman" w:hAnsi="Times New Roman" w:cs="Times New Roman"/>
          <w:i/>
        </w:rPr>
        <w:t>Frontiers in Microbiology,</w:t>
      </w:r>
      <w:r w:rsidRPr="00720DB4">
        <w:rPr>
          <w:rFonts w:ascii="Times New Roman" w:hAnsi="Times New Roman" w:cs="Times New Roman"/>
        </w:rPr>
        <w:t xml:space="preserve"> 8.</w:t>
      </w:r>
    </w:p>
    <w:p w14:paraId="6DAA9786" w14:textId="77777777" w:rsidR="00222ECB" w:rsidRPr="00720DB4" w:rsidRDefault="00222ECB" w:rsidP="00720DB4">
      <w:pPr>
        <w:pStyle w:val="EndNoteBibliography"/>
        <w:spacing w:after="0"/>
        <w:jc w:val="both"/>
        <w:rPr>
          <w:rFonts w:ascii="Times New Roman" w:hAnsi="Times New Roman" w:cs="Times New Roman"/>
        </w:rPr>
      </w:pPr>
    </w:p>
    <w:p w14:paraId="4F4AE9E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Ruwe, M., Rueckert, C., Kalinowski, J. and Persicke, M. (2018) 'Functional Characterization of a Small Alarmone Hydrolase in </w:t>
      </w:r>
      <w:r w:rsidRPr="00222ECB">
        <w:rPr>
          <w:rFonts w:ascii="Times New Roman" w:hAnsi="Times New Roman" w:cs="Times New Roman"/>
          <w:i/>
          <w:iCs/>
        </w:rPr>
        <w:t>Corynebacterium glutamicum</w:t>
      </w:r>
      <w:r w:rsidRPr="00720DB4">
        <w:rPr>
          <w:rFonts w:ascii="Times New Roman" w:hAnsi="Times New Roman" w:cs="Times New Roman"/>
        </w:rPr>
        <w:t xml:space="preserve">', </w:t>
      </w:r>
      <w:r w:rsidRPr="00720DB4">
        <w:rPr>
          <w:rFonts w:ascii="Times New Roman" w:hAnsi="Times New Roman" w:cs="Times New Roman"/>
          <w:i/>
        </w:rPr>
        <w:t>Frontiers in Microbiology,</w:t>
      </w:r>
      <w:r w:rsidRPr="00720DB4">
        <w:rPr>
          <w:rFonts w:ascii="Times New Roman" w:hAnsi="Times New Roman" w:cs="Times New Roman"/>
        </w:rPr>
        <w:t xml:space="preserve"> 9.</w:t>
      </w:r>
    </w:p>
    <w:p w14:paraId="14AD81D1" w14:textId="77777777" w:rsidR="00222ECB" w:rsidRPr="00720DB4" w:rsidRDefault="00222ECB" w:rsidP="00720DB4">
      <w:pPr>
        <w:pStyle w:val="EndNoteBibliography"/>
        <w:spacing w:after="0"/>
        <w:jc w:val="both"/>
        <w:rPr>
          <w:rFonts w:ascii="Times New Roman" w:hAnsi="Times New Roman" w:cs="Times New Roman"/>
        </w:rPr>
      </w:pPr>
    </w:p>
    <w:p w14:paraId="3283C29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Sabat, A. J., Tinelli, M., Grundmann, H., Akkerboom, V., Monaco, M., Del Grosso, M., Errico, G., Pantosti, A. and Friedrich, A. W. (2018) 'Daptomycin Resistant </w:t>
      </w:r>
      <w:r w:rsidRPr="00222ECB">
        <w:rPr>
          <w:rFonts w:ascii="Times New Roman" w:hAnsi="Times New Roman" w:cs="Times New Roman"/>
          <w:i/>
          <w:iCs/>
        </w:rPr>
        <w:t>Staphylococcus aureus</w:t>
      </w:r>
      <w:r w:rsidRPr="00720DB4">
        <w:rPr>
          <w:rFonts w:ascii="Times New Roman" w:hAnsi="Times New Roman" w:cs="Times New Roman"/>
        </w:rPr>
        <w:t xml:space="preserve"> Clinical Strain With Novel Non-synonymous Mutations in the </w:t>
      </w:r>
      <w:r w:rsidRPr="00222ECB">
        <w:rPr>
          <w:rFonts w:ascii="Times New Roman" w:hAnsi="Times New Roman" w:cs="Times New Roman"/>
          <w:i/>
          <w:iCs/>
        </w:rPr>
        <w:t xml:space="preserve">mprF </w:t>
      </w:r>
      <w:r w:rsidRPr="00222ECB">
        <w:rPr>
          <w:rFonts w:ascii="Times New Roman" w:hAnsi="Times New Roman" w:cs="Times New Roman"/>
        </w:rPr>
        <w:t>and</w:t>
      </w:r>
      <w:r w:rsidRPr="00222ECB">
        <w:rPr>
          <w:rFonts w:ascii="Times New Roman" w:hAnsi="Times New Roman" w:cs="Times New Roman"/>
          <w:i/>
          <w:iCs/>
        </w:rPr>
        <w:t xml:space="preserve"> vraS</w:t>
      </w:r>
      <w:r w:rsidRPr="00720DB4">
        <w:rPr>
          <w:rFonts w:ascii="Times New Roman" w:hAnsi="Times New Roman" w:cs="Times New Roman"/>
        </w:rPr>
        <w:t xml:space="preserve"> Genes: A New Insight Into Daptomycin Resistance', </w:t>
      </w:r>
      <w:r w:rsidRPr="00720DB4">
        <w:rPr>
          <w:rFonts w:ascii="Times New Roman" w:hAnsi="Times New Roman" w:cs="Times New Roman"/>
          <w:i/>
        </w:rPr>
        <w:t>Frontiers in Microbiology,</w:t>
      </w:r>
      <w:r w:rsidRPr="00720DB4">
        <w:rPr>
          <w:rFonts w:ascii="Times New Roman" w:hAnsi="Times New Roman" w:cs="Times New Roman"/>
        </w:rPr>
        <w:t xml:space="preserve"> 9.</w:t>
      </w:r>
    </w:p>
    <w:p w14:paraId="18186688" w14:textId="77777777" w:rsidR="00222ECB" w:rsidRPr="00720DB4" w:rsidRDefault="00222ECB" w:rsidP="00720DB4">
      <w:pPr>
        <w:pStyle w:val="EndNoteBibliography"/>
        <w:spacing w:after="0"/>
        <w:jc w:val="both"/>
        <w:rPr>
          <w:rFonts w:ascii="Times New Roman" w:hAnsi="Times New Roman" w:cs="Times New Roman"/>
        </w:rPr>
      </w:pPr>
    </w:p>
    <w:p w14:paraId="02E1264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Sabnis, A., Hagart, K. L. H., Klockner, A., Becce, M., Evans, L. E., Furniss, R. C. D., Mavridou, D. A. I., Murphy, R., Stevens, M. M., Davies, J. C., Larrouy-Maumus, G. J., Clarke, T. B. and Edwards, A. M. (2021) 'Colistin kills bacteria by targeting lipopolysaccharide in the cytoplasmic membrane', </w:t>
      </w:r>
      <w:r w:rsidRPr="00720DB4">
        <w:rPr>
          <w:rFonts w:ascii="Times New Roman" w:hAnsi="Times New Roman" w:cs="Times New Roman"/>
          <w:i/>
        </w:rPr>
        <w:t>Elife,</w:t>
      </w:r>
      <w:r w:rsidRPr="00720DB4">
        <w:rPr>
          <w:rFonts w:ascii="Times New Roman" w:hAnsi="Times New Roman" w:cs="Times New Roman"/>
        </w:rPr>
        <w:t xml:space="preserve"> 10.</w:t>
      </w:r>
    </w:p>
    <w:p w14:paraId="4C2A137C" w14:textId="77777777" w:rsidR="009C2C94" w:rsidRPr="00720DB4" w:rsidRDefault="009C2C94" w:rsidP="00720DB4">
      <w:pPr>
        <w:pStyle w:val="EndNoteBibliography"/>
        <w:spacing w:after="0"/>
        <w:jc w:val="both"/>
        <w:rPr>
          <w:rFonts w:ascii="Times New Roman" w:hAnsi="Times New Roman" w:cs="Times New Roman"/>
        </w:rPr>
      </w:pPr>
    </w:p>
    <w:p w14:paraId="7B74F03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Said-Salim, B., Dunman, P. M., McAleese, F. M., Macapagal, D., Murphy, E., McNamara, P. J., Arvidson, S., Foster, T. J., Projan, S. J. and Kreiswirth, B. N. (2003) 'Global regulation of </w:t>
      </w:r>
      <w:r w:rsidRPr="009C2C94">
        <w:rPr>
          <w:rFonts w:ascii="Times New Roman" w:hAnsi="Times New Roman" w:cs="Times New Roman"/>
          <w:i/>
          <w:iCs/>
        </w:rPr>
        <w:t xml:space="preserve">Staphylococcus aureus </w:t>
      </w:r>
      <w:r w:rsidRPr="009C2C94">
        <w:rPr>
          <w:rFonts w:ascii="Times New Roman" w:hAnsi="Times New Roman" w:cs="Times New Roman"/>
        </w:rPr>
        <w:t xml:space="preserve">genes by </w:t>
      </w:r>
      <w:r w:rsidRPr="009C2C94">
        <w:rPr>
          <w:rFonts w:ascii="Times New Roman" w:hAnsi="Times New Roman" w:cs="Times New Roman"/>
          <w:i/>
          <w:iCs/>
        </w:rPr>
        <w:t>rot</w:t>
      </w:r>
      <w:r w:rsidRPr="00720DB4">
        <w:rPr>
          <w:rFonts w:ascii="Times New Roman" w:hAnsi="Times New Roman" w:cs="Times New Roman"/>
        </w:rPr>
        <w:t xml:space="preserve">', </w:t>
      </w:r>
      <w:r w:rsidRPr="00720DB4">
        <w:rPr>
          <w:rFonts w:ascii="Times New Roman" w:hAnsi="Times New Roman" w:cs="Times New Roman"/>
          <w:i/>
        </w:rPr>
        <w:t>Journal of Bacteriology,</w:t>
      </w:r>
      <w:r w:rsidRPr="00720DB4">
        <w:rPr>
          <w:rFonts w:ascii="Times New Roman" w:hAnsi="Times New Roman" w:cs="Times New Roman"/>
        </w:rPr>
        <w:t xml:space="preserve"> 185(2), pp. 610-619.</w:t>
      </w:r>
    </w:p>
    <w:p w14:paraId="2BAA03DE" w14:textId="77777777" w:rsidR="009C2C94" w:rsidRPr="00720DB4" w:rsidRDefault="009C2C94" w:rsidP="00720DB4">
      <w:pPr>
        <w:pStyle w:val="EndNoteBibliography"/>
        <w:spacing w:after="0"/>
        <w:jc w:val="both"/>
        <w:rPr>
          <w:rFonts w:ascii="Times New Roman" w:hAnsi="Times New Roman" w:cs="Times New Roman"/>
        </w:rPr>
      </w:pPr>
    </w:p>
    <w:p w14:paraId="76E1610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Sajish, M., Kalayil, S., Verma, S. K., Nandicoori, V. K. and Prakash, B. (2009) 'The Significance of EXDD and RXKD Motif Conservation in Rel Proteins', </w:t>
      </w:r>
      <w:r w:rsidRPr="00720DB4">
        <w:rPr>
          <w:rFonts w:ascii="Times New Roman" w:hAnsi="Times New Roman" w:cs="Times New Roman"/>
          <w:i/>
        </w:rPr>
        <w:t>Journal of Biological Chemistry,</w:t>
      </w:r>
      <w:r w:rsidRPr="00720DB4">
        <w:rPr>
          <w:rFonts w:ascii="Times New Roman" w:hAnsi="Times New Roman" w:cs="Times New Roman"/>
        </w:rPr>
        <w:t xml:space="preserve"> 284(14), pp. 9115-9123.</w:t>
      </w:r>
    </w:p>
    <w:p w14:paraId="5CEDEF3F" w14:textId="77777777" w:rsidR="009C2C94" w:rsidRPr="00720DB4" w:rsidRDefault="009C2C94" w:rsidP="00720DB4">
      <w:pPr>
        <w:pStyle w:val="EndNoteBibliography"/>
        <w:spacing w:after="0"/>
        <w:jc w:val="both"/>
        <w:rPr>
          <w:rFonts w:ascii="Times New Roman" w:hAnsi="Times New Roman" w:cs="Times New Roman"/>
        </w:rPr>
      </w:pPr>
    </w:p>
    <w:p w14:paraId="25C990B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Sajish, M., Tiwari, D., Rananaware, D., Nandicoori, V. K. and Prakash, B. (2007) 'A charge reversal differentiates (p) ppGpp synthesis by monofunctional and bifunctional Rel proteins', </w:t>
      </w:r>
      <w:r w:rsidRPr="00720DB4">
        <w:rPr>
          <w:rFonts w:ascii="Times New Roman" w:hAnsi="Times New Roman" w:cs="Times New Roman"/>
          <w:i/>
        </w:rPr>
        <w:t>Journal of Biological Chemistry,</w:t>
      </w:r>
      <w:r w:rsidRPr="00720DB4">
        <w:rPr>
          <w:rFonts w:ascii="Times New Roman" w:hAnsi="Times New Roman" w:cs="Times New Roman"/>
        </w:rPr>
        <w:t xml:space="preserve"> 282(48), pp. 34977-34983.</w:t>
      </w:r>
    </w:p>
    <w:p w14:paraId="323F1D38" w14:textId="77777777" w:rsidR="009C2C94" w:rsidRPr="00720DB4" w:rsidRDefault="009C2C94" w:rsidP="00720DB4">
      <w:pPr>
        <w:pStyle w:val="EndNoteBibliography"/>
        <w:spacing w:after="0"/>
        <w:jc w:val="both"/>
        <w:rPr>
          <w:rFonts w:ascii="Times New Roman" w:hAnsi="Times New Roman" w:cs="Times New Roman"/>
        </w:rPr>
      </w:pPr>
    </w:p>
    <w:p w14:paraId="44D9EB92" w14:textId="772F100F" w:rsidR="009C2C94"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Salamaga, B., Prajsnar, T. K., Jareno-Martinez, A., Willemse, J., Bewley, M. A., Chau, F., Ben Belkacem, T., Meijer, A. H., Dockrell, D. H., Renshaw, S. A. and Mesnage, S. (2017) 'Bacterial size matters: Multiple mechanisms controlling septum cleavage and diplococcus formation are critical for the virulence of the opportunistic pathogen </w:t>
      </w:r>
      <w:r w:rsidRPr="009C2C94">
        <w:rPr>
          <w:rFonts w:ascii="Times New Roman" w:hAnsi="Times New Roman" w:cs="Times New Roman"/>
          <w:i/>
          <w:iCs/>
        </w:rPr>
        <w:t>Enterococcus faecalis</w:t>
      </w:r>
      <w:r w:rsidRPr="00720DB4">
        <w:rPr>
          <w:rFonts w:ascii="Times New Roman" w:hAnsi="Times New Roman" w:cs="Times New Roman"/>
        </w:rPr>
        <w:t xml:space="preserve">', </w:t>
      </w:r>
      <w:r w:rsidRPr="00720DB4">
        <w:rPr>
          <w:rFonts w:ascii="Times New Roman" w:hAnsi="Times New Roman" w:cs="Times New Roman"/>
          <w:i/>
        </w:rPr>
        <w:t>Plos Pathogens,</w:t>
      </w:r>
      <w:r w:rsidRPr="00720DB4">
        <w:rPr>
          <w:rFonts w:ascii="Times New Roman" w:hAnsi="Times New Roman" w:cs="Times New Roman"/>
        </w:rPr>
        <w:t xml:space="preserve"> 13(7).</w:t>
      </w:r>
    </w:p>
    <w:p w14:paraId="13504926" w14:textId="2FCA2B18"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Salzer, A., Keinhorster, D., Kastle, C., Kastle, B. and Wolz, C. (2020) 'Small Alarmone Synthetases RelP and RelQ of</w:t>
      </w:r>
      <w:r w:rsidR="009C2C94">
        <w:rPr>
          <w:rFonts w:ascii="Times New Roman" w:hAnsi="Times New Roman" w:cs="Times New Roman"/>
        </w:rPr>
        <w:t xml:space="preserve"> </w:t>
      </w:r>
      <w:r w:rsidRPr="009C2C94">
        <w:rPr>
          <w:rFonts w:ascii="Times New Roman" w:hAnsi="Times New Roman" w:cs="Times New Roman"/>
          <w:i/>
          <w:iCs/>
        </w:rPr>
        <w:t>Staphylococcus aureus</w:t>
      </w:r>
      <w:r w:rsidR="009C2C94">
        <w:rPr>
          <w:rFonts w:ascii="Times New Roman" w:hAnsi="Times New Roman" w:cs="Times New Roman"/>
        </w:rPr>
        <w:t xml:space="preserve"> </w:t>
      </w:r>
      <w:r w:rsidRPr="00720DB4">
        <w:rPr>
          <w:rFonts w:ascii="Times New Roman" w:hAnsi="Times New Roman" w:cs="Times New Roman"/>
        </w:rPr>
        <w:t xml:space="preserve">Are Involved in Biofilm Formation and Maintenance Under Cell Wall Stress Conditions', </w:t>
      </w:r>
      <w:r w:rsidRPr="00720DB4">
        <w:rPr>
          <w:rFonts w:ascii="Times New Roman" w:hAnsi="Times New Roman" w:cs="Times New Roman"/>
          <w:i/>
        </w:rPr>
        <w:t>Frontiers in Microbiology,</w:t>
      </w:r>
      <w:r w:rsidRPr="00720DB4">
        <w:rPr>
          <w:rFonts w:ascii="Times New Roman" w:hAnsi="Times New Roman" w:cs="Times New Roman"/>
        </w:rPr>
        <w:t xml:space="preserve"> 11.</w:t>
      </w:r>
    </w:p>
    <w:p w14:paraId="75C1CBEE" w14:textId="77777777" w:rsidR="009C2C94" w:rsidRPr="00720DB4" w:rsidRDefault="009C2C94" w:rsidP="00720DB4">
      <w:pPr>
        <w:pStyle w:val="EndNoteBibliography"/>
        <w:spacing w:after="0"/>
        <w:jc w:val="both"/>
        <w:rPr>
          <w:rFonts w:ascii="Times New Roman" w:hAnsi="Times New Roman" w:cs="Times New Roman"/>
        </w:rPr>
      </w:pPr>
    </w:p>
    <w:p w14:paraId="4BDD619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Sanchez-Vazquez, P., Dewey, C. N., Kitten, N., Ross, W. and Gourse, R. L. (2019) 'Genome-wide effects on </w:t>
      </w:r>
      <w:r w:rsidRPr="009C2C94">
        <w:rPr>
          <w:rFonts w:ascii="Times New Roman" w:hAnsi="Times New Roman" w:cs="Times New Roman"/>
          <w:i/>
          <w:iCs/>
        </w:rPr>
        <w:t>Escherichia coli</w:t>
      </w:r>
      <w:r w:rsidRPr="00720DB4">
        <w:rPr>
          <w:rFonts w:ascii="Times New Roman" w:hAnsi="Times New Roman" w:cs="Times New Roman"/>
        </w:rPr>
        <w:t xml:space="preserve"> transcription from ppGpp binding to its two sites on RNA polymerase',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116(17), pp. 8310-8319.</w:t>
      </w:r>
    </w:p>
    <w:p w14:paraId="39E7B623" w14:textId="77777777" w:rsidR="009C2C94" w:rsidRPr="00720DB4" w:rsidRDefault="009C2C94" w:rsidP="00720DB4">
      <w:pPr>
        <w:pStyle w:val="EndNoteBibliography"/>
        <w:spacing w:after="0"/>
        <w:jc w:val="both"/>
        <w:rPr>
          <w:rFonts w:ascii="Times New Roman" w:hAnsi="Times New Roman" w:cs="Times New Roman"/>
        </w:rPr>
      </w:pPr>
    </w:p>
    <w:p w14:paraId="71DE7F8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Sayed, A., Matsuyama, S. and Inouye, M. (1999) 'Era, an essential </w:t>
      </w:r>
      <w:r w:rsidRPr="009C2C94">
        <w:rPr>
          <w:rFonts w:ascii="Times New Roman" w:hAnsi="Times New Roman" w:cs="Times New Roman"/>
          <w:i/>
          <w:iCs/>
        </w:rPr>
        <w:t>Escherichia coli</w:t>
      </w:r>
      <w:r w:rsidRPr="00720DB4">
        <w:rPr>
          <w:rFonts w:ascii="Times New Roman" w:hAnsi="Times New Roman" w:cs="Times New Roman"/>
        </w:rPr>
        <w:t xml:space="preserve"> small G-protein, binds to the 30S ribosomal subunit', </w:t>
      </w:r>
      <w:r w:rsidRPr="00720DB4">
        <w:rPr>
          <w:rFonts w:ascii="Times New Roman" w:hAnsi="Times New Roman" w:cs="Times New Roman"/>
          <w:i/>
        </w:rPr>
        <w:t>Biochemical and Biophysical Research Communications,</w:t>
      </w:r>
      <w:r w:rsidRPr="00720DB4">
        <w:rPr>
          <w:rFonts w:ascii="Times New Roman" w:hAnsi="Times New Roman" w:cs="Times New Roman"/>
        </w:rPr>
        <w:t xml:space="preserve"> 264(1), pp. 51-54.</w:t>
      </w:r>
    </w:p>
    <w:p w14:paraId="6F889A2C" w14:textId="77777777" w:rsidR="009C2C94" w:rsidRPr="00720DB4" w:rsidRDefault="009C2C94" w:rsidP="00720DB4">
      <w:pPr>
        <w:pStyle w:val="EndNoteBibliography"/>
        <w:spacing w:after="0"/>
        <w:jc w:val="both"/>
        <w:rPr>
          <w:rFonts w:ascii="Times New Roman" w:hAnsi="Times New Roman" w:cs="Times New Roman"/>
        </w:rPr>
      </w:pPr>
    </w:p>
    <w:p w14:paraId="7D65C7B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Schneewind, O. and Missiakas, D. (2014) 'Sec-secretion and sortase-mediated anchoring of proteins in Gram-positive bacteria', </w:t>
      </w:r>
      <w:r w:rsidRPr="00720DB4">
        <w:rPr>
          <w:rFonts w:ascii="Times New Roman" w:hAnsi="Times New Roman" w:cs="Times New Roman"/>
          <w:i/>
        </w:rPr>
        <w:t>Biochimica Et Biophysica Acta-Molecular Cell Research,</w:t>
      </w:r>
      <w:r w:rsidRPr="00720DB4">
        <w:rPr>
          <w:rFonts w:ascii="Times New Roman" w:hAnsi="Times New Roman" w:cs="Times New Roman"/>
        </w:rPr>
        <w:t xml:space="preserve"> 1843(8), pp. 1687-1697.</w:t>
      </w:r>
    </w:p>
    <w:p w14:paraId="2BA9A5B4" w14:textId="77777777" w:rsidR="009C2C94" w:rsidRPr="00720DB4" w:rsidRDefault="009C2C94" w:rsidP="00720DB4">
      <w:pPr>
        <w:pStyle w:val="EndNoteBibliography"/>
        <w:spacing w:after="0"/>
        <w:jc w:val="both"/>
        <w:rPr>
          <w:rFonts w:ascii="Times New Roman" w:hAnsi="Times New Roman" w:cs="Times New Roman"/>
        </w:rPr>
      </w:pPr>
    </w:p>
    <w:p w14:paraId="0BA354F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Schumacher, M. A., Balani, P., Min, J., Chinnam, N. B., Hansen, S., Vulic, M., Lewis, K. and Brennan, R. G. (2015) 'HipBA-promoter structures reveal the basis of heritable multidrug tolerance', </w:t>
      </w:r>
      <w:r w:rsidRPr="00720DB4">
        <w:rPr>
          <w:rFonts w:ascii="Times New Roman" w:hAnsi="Times New Roman" w:cs="Times New Roman"/>
          <w:i/>
        </w:rPr>
        <w:t>Nature,</w:t>
      </w:r>
      <w:r w:rsidRPr="00720DB4">
        <w:rPr>
          <w:rFonts w:ascii="Times New Roman" w:hAnsi="Times New Roman" w:cs="Times New Roman"/>
        </w:rPr>
        <w:t xml:space="preserve"> 524(7563), pp. 59-U108.</w:t>
      </w:r>
    </w:p>
    <w:p w14:paraId="0195979F" w14:textId="77777777" w:rsidR="009C2C94" w:rsidRPr="00720DB4" w:rsidRDefault="009C2C94" w:rsidP="00720DB4">
      <w:pPr>
        <w:pStyle w:val="EndNoteBibliography"/>
        <w:spacing w:after="0"/>
        <w:jc w:val="both"/>
        <w:rPr>
          <w:rFonts w:ascii="Times New Roman" w:hAnsi="Times New Roman" w:cs="Times New Roman"/>
        </w:rPr>
      </w:pPr>
    </w:p>
    <w:p w14:paraId="087CC5B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Schweizer, M. L., Richardson, K., Sarrazin, M. S. V., Goto, M., Livorsi, D. J., Nair, R., Alexander, B., Beck, B. F., Jones, M. P., Puig-Asensio, M., Suh, D., Ohl, M. and Perencevich, E. N. (2021) 'Comparative Effectiveness of Switching to Daptomycin Versus Remaining on Vancomycin Among Patients With Methicillin-resistant </w:t>
      </w:r>
      <w:r w:rsidRPr="009C2C94">
        <w:rPr>
          <w:rFonts w:ascii="Times New Roman" w:hAnsi="Times New Roman" w:cs="Times New Roman"/>
          <w:i/>
          <w:iCs/>
        </w:rPr>
        <w:t>Staphylococcus aureus</w:t>
      </w:r>
      <w:r w:rsidRPr="00720DB4">
        <w:rPr>
          <w:rFonts w:ascii="Times New Roman" w:hAnsi="Times New Roman" w:cs="Times New Roman"/>
        </w:rPr>
        <w:t xml:space="preserve"> (MRSA) Bloodstream Infections', </w:t>
      </w:r>
      <w:r w:rsidRPr="00720DB4">
        <w:rPr>
          <w:rFonts w:ascii="Times New Roman" w:hAnsi="Times New Roman" w:cs="Times New Roman"/>
          <w:i/>
        </w:rPr>
        <w:t>Clinical Infectious Diseases,</w:t>
      </w:r>
      <w:r w:rsidRPr="00720DB4">
        <w:rPr>
          <w:rFonts w:ascii="Times New Roman" w:hAnsi="Times New Roman" w:cs="Times New Roman"/>
        </w:rPr>
        <w:t xml:space="preserve"> 72, pp. S68-S73.</w:t>
      </w:r>
    </w:p>
    <w:p w14:paraId="3B61EF30" w14:textId="77777777" w:rsidR="009C2C94" w:rsidRPr="00720DB4" w:rsidRDefault="009C2C94" w:rsidP="00720DB4">
      <w:pPr>
        <w:pStyle w:val="EndNoteBibliography"/>
        <w:spacing w:after="0"/>
        <w:jc w:val="both"/>
        <w:rPr>
          <w:rFonts w:ascii="Times New Roman" w:hAnsi="Times New Roman" w:cs="Times New Roman"/>
        </w:rPr>
      </w:pPr>
    </w:p>
    <w:p w14:paraId="4729809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Scoarughi, G. L., Cimmino, C. and Donini, P. (1999) '</w:t>
      </w:r>
      <w:r w:rsidRPr="009C2C94">
        <w:rPr>
          <w:rFonts w:ascii="Times New Roman" w:hAnsi="Times New Roman" w:cs="Times New Roman"/>
          <w:i/>
          <w:iCs/>
        </w:rPr>
        <w:t>Helicobacter pylori</w:t>
      </w:r>
      <w:r w:rsidRPr="00720DB4">
        <w:rPr>
          <w:rFonts w:ascii="Times New Roman" w:hAnsi="Times New Roman" w:cs="Times New Roman"/>
        </w:rPr>
        <w:t xml:space="preserve">: a eubacterium lacking the stringent response', </w:t>
      </w:r>
      <w:r w:rsidRPr="00720DB4">
        <w:rPr>
          <w:rFonts w:ascii="Times New Roman" w:hAnsi="Times New Roman" w:cs="Times New Roman"/>
          <w:i/>
        </w:rPr>
        <w:t>Journal of Bacteriology,</w:t>
      </w:r>
      <w:r w:rsidRPr="00720DB4">
        <w:rPr>
          <w:rFonts w:ascii="Times New Roman" w:hAnsi="Times New Roman" w:cs="Times New Roman"/>
        </w:rPr>
        <w:t xml:space="preserve"> 181(2), pp. 552-555.</w:t>
      </w:r>
    </w:p>
    <w:p w14:paraId="27E92C05" w14:textId="77777777" w:rsidR="009C2C94" w:rsidRPr="00720DB4" w:rsidRDefault="009C2C94" w:rsidP="00720DB4">
      <w:pPr>
        <w:pStyle w:val="EndNoteBibliography"/>
        <w:spacing w:after="0"/>
        <w:jc w:val="both"/>
        <w:rPr>
          <w:rFonts w:ascii="Times New Roman" w:hAnsi="Times New Roman" w:cs="Times New Roman"/>
        </w:rPr>
      </w:pPr>
    </w:p>
    <w:p w14:paraId="14A26B9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Scotti, R., Casciaro, B., Stringaro, A., Morgia, F., Mangoni, M. L. and Gabbianelli, R. (2022) 'Derivatives of Esculentin-1 Peptides as Promising Candidates for Fighting Infections from </w:t>
      </w:r>
      <w:r w:rsidRPr="009C2C94">
        <w:rPr>
          <w:rFonts w:ascii="Times New Roman" w:hAnsi="Times New Roman" w:cs="Times New Roman"/>
          <w:i/>
          <w:iCs/>
        </w:rPr>
        <w:t>Escherichia coli</w:t>
      </w:r>
      <w:r w:rsidRPr="00720DB4">
        <w:rPr>
          <w:rFonts w:ascii="Times New Roman" w:hAnsi="Times New Roman" w:cs="Times New Roman"/>
        </w:rPr>
        <w:t xml:space="preserve"> O157:H7', </w:t>
      </w:r>
      <w:r w:rsidRPr="00720DB4">
        <w:rPr>
          <w:rFonts w:ascii="Times New Roman" w:hAnsi="Times New Roman" w:cs="Times New Roman"/>
          <w:i/>
        </w:rPr>
        <w:t>Antibiotics-Basel,</w:t>
      </w:r>
      <w:r w:rsidRPr="00720DB4">
        <w:rPr>
          <w:rFonts w:ascii="Times New Roman" w:hAnsi="Times New Roman" w:cs="Times New Roman"/>
        </w:rPr>
        <w:t xml:space="preserve"> 11(5).</w:t>
      </w:r>
    </w:p>
    <w:p w14:paraId="41DAF108" w14:textId="77777777" w:rsidR="009C2C94" w:rsidRPr="00720DB4" w:rsidRDefault="009C2C94" w:rsidP="00720DB4">
      <w:pPr>
        <w:pStyle w:val="EndNoteBibliography"/>
        <w:spacing w:after="0"/>
        <w:jc w:val="both"/>
        <w:rPr>
          <w:rFonts w:ascii="Times New Roman" w:hAnsi="Times New Roman" w:cs="Times New Roman"/>
        </w:rPr>
      </w:pPr>
    </w:p>
    <w:p w14:paraId="267BFA9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Segal, B. H., Romani, L. and Puccetti, P. (2009) 'Chronic granulomatous disease', </w:t>
      </w:r>
      <w:r w:rsidRPr="00720DB4">
        <w:rPr>
          <w:rFonts w:ascii="Times New Roman" w:hAnsi="Times New Roman" w:cs="Times New Roman"/>
          <w:i/>
        </w:rPr>
        <w:t>Cellular and Molecular Life Sciences,</w:t>
      </w:r>
      <w:r w:rsidRPr="00720DB4">
        <w:rPr>
          <w:rFonts w:ascii="Times New Roman" w:hAnsi="Times New Roman" w:cs="Times New Roman"/>
        </w:rPr>
        <w:t xml:space="preserve"> 66(4), pp. 553-558.</w:t>
      </w:r>
    </w:p>
    <w:p w14:paraId="2F136CB6" w14:textId="77777777" w:rsidR="009C2C94" w:rsidRPr="00720DB4" w:rsidRDefault="009C2C94" w:rsidP="00720DB4">
      <w:pPr>
        <w:pStyle w:val="EndNoteBibliography"/>
        <w:spacing w:after="0"/>
        <w:jc w:val="both"/>
        <w:rPr>
          <w:rFonts w:ascii="Times New Roman" w:hAnsi="Times New Roman" w:cs="Times New Roman"/>
        </w:rPr>
      </w:pPr>
    </w:p>
    <w:p w14:paraId="44AA9AC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Serbina, N. V., Salazar-Mather, T. P., Biron, C. A., Kuziel, W. A. and Pamer, E. G. (2003) 'TN/iNOS-producing dendritic cells mediate innate immune defense against bacterial infection', </w:t>
      </w:r>
      <w:r w:rsidRPr="00720DB4">
        <w:rPr>
          <w:rFonts w:ascii="Times New Roman" w:hAnsi="Times New Roman" w:cs="Times New Roman"/>
          <w:i/>
        </w:rPr>
        <w:t>Immunity,</w:t>
      </w:r>
      <w:r w:rsidRPr="00720DB4">
        <w:rPr>
          <w:rFonts w:ascii="Times New Roman" w:hAnsi="Times New Roman" w:cs="Times New Roman"/>
        </w:rPr>
        <w:t xml:space="preserve"> 19(1), pp. 59-70.</w:t>
      </w:r>
    </w:p>
    <w:p w14:paraId="4DF8DC13" w14:textId="77777777" w:rsidR="009C2C94" w:rsidRPr="00720DB4" w:rsidRDefault="009C2C94" w:rsidP="00720DB4">
      <w:pPr>
        <w:pStyle w:val="EndNoteBibliography"/>
        <w:spacing w:after="0"/>
        <w:jc w:val="both"/>
        <w:rPr>
          <w:rFonts w:ascii="Times New Roman" w:hAnsi="Times New Roman" w:cs="Times New Roman"/>
        </w:rPr>
      </w:pPr>
    </w:p>
    <w:p w14:paraId="0DB2969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Shaner, N. C., Patterson, G. H. and Davidson, M. W. (2011) 'Advances in fluorescent protein technology (vol 120, pg 4247, 2007)', </w:t>
      </w:r>
      <w:r w:rsidRPr="00720DB4">
        <w:rPr>
          <w:rFonts w:ascii="Times New Roman" w:hAnsi="Times New Roman" w:cs="Times New Roman"/>
          <w:i/>
        </w:rPr>
        <w:t>Journal of Cell Science,</w:t>
      </w:r>
      <w:r w:rsidRPr="00720DB4">
        <w:rPr>
          <w:rFonts w:ascii="Times New Roman" w:hAnsi="Times New Roman" w:cs="Times New Roman"/>
        </w:rPr>
        <w:t xml:space="preserve"> 124(13), pp. 2321-2321.</w:t>
      </w:r>
    </w:p>
    <w:p w14:paraId="5908C87D" w14:textId="77777777" w:rsidR="009C2C94" w:rsidRPr="00720DB4" w:rsidRDefault="009C2C94" w:rsidP="00720DB4">
      <w:pPr>
        <w:pStyle w:val="EndNoteBibliography"/>
        <w:spacing w:after="0"/>
        <w:jc w:val="both"/>
        <w:rPr>
          <w:rFonts w:ascii="Times New Roman" w:hAnsi="Times New Roman" w:cs="Times New Roman"/>
        </w:rPr>
      </w:pPr>
    </w:p>
    <w:p w14:paraId="27A2389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Shanks, R. M. Q., Meehl, M. A., Brothers, K. M., Martinez, R. M., Donegan, N. P., Graber, M. L., Cheung, A. L. and O'Toole, G. A. (2008) 'Genetic evidence for an alternative citrate-dependent biofilm formation pathway in</w:t>
      </w:r>
      <w:r w:rsidRPr="009C2C94">
        <w:rPr>
          <w:rFonts w:ascii="Times New Roman" w:hAnsi="Times New Roman" w:cs="Times New Roman"/>
          <w:i/>
          <w:iCs/>
        </w:rPr>
        <w:t xml:space="preserve"> Staphylococcus aureus</w:t>
      </w:r>
      <w:r w:rsidRPr="00720DB4">
        <w:rPr>
          <w:rFonts w:ascii="Times New Roman" w:hAnsi="Times New Roman" w:cs="Times New Roman"/>
        </w:rPr>
        <w:t xml:space="preserve"> that is dependent on fibronectin binding proteins and the GraRS two-component regulatory system', </w:t>
      </w:r>
      <w:r w:rsidRPr="00720DB4">
        <w:rPr>
          <w:rFonts w:ascii="Times New Roman" w:hAnsi="Times New Roman" w:cs="Times New Roman"/>
          <w:i/>
        </w:rPr>
        <w:t>Infection and Immunity,</w:t>
      </w:r>
      <w:r w:rsidRPr="00720DB4">
        <w:rPr>
          <w:rFonts w:ascii="Times New Roman" w:hAnsi="Times New Roman" w:cs="Times New Roman"/>
        </w:rPr>
        <w:t xml:space="preserve"> 76(6), pp. 2469-2477.</w:t>
      </w:r>
    </w:p>
    <w:p w14:paraId="45902001" w14:textId="77777777" w:rsidR="009C2C94" w:rsidRPr="00720DB4" w:rsidRDefault="009C2C94" w:rsidP="00720DB4">
      <w:pPr>
        <w:pStyle w:val="EndNoteBibliography"/>
        <w:spacing w:after="0"/>
        <w:jc w:val="both"/>
        <w:rPr>
          <w:rFonts w:ascii="Times New Roman" w:hAnsi="Times New Roman" w:cs="Times New Roman"/>
        </w:rPr>
      </w:pPr>
    </w:p>
    <w:p w14:paraId="187E15D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Sharma, V. K., Hackbarth, C. J., Dickinson, T. M. and Archer, G. L. (1998) 'Interaction of native and mutant MecI repressors with sequences that regulate </w:t>
      </w:r>
      <w:r w:rsidRPr="009C2C94">
        <w:rPr>
          <w:rFonts w:ascii="Times New Roman" w:hAnsi="Times New Roman" w:cs="Times New Roman"/>
          <w:i/>
          <w:iCs/>
        </w:rPr>
        <w:t>mecA</w:t>
      </w:r>
      <w:r w:rsidRPr="00720DB4">
        <w:rPr>
          <w:rFonts w:ascii="Times New Roman" w:hAnsi="Times New Roman" w:cs="Times New Roman"/>
        </w:rPr>
        <w:t xml:space="preserve">, the gene encoding penicillin binding protein 2a in methicillin-resistant staphylococci', </w:t>
      </w:r>
      <w:r w:rsidRPr="00720DB4">
        <w:rPr>
          <w:rFonts w:ascii="Times New Roman" w:hAnsi="Times New Roman" w:cs="Times New Roman"/>
          <w:i/>
        </w:rPr>
        <w:t>Journal of Bacteriology,</w:t>
      </w:r>
      <w:r w:rsidRPr="00720DB4">
        <w:rPr>
          <w:rFonts w:ascii="Times New Roman" w:hAnsi="Times New Roman" w:cs="Times New Roman"/>
        </w:rPr>
        <w:t xml:space="preserve"> 180(8), pp. 2160-2166.</w:t>
      </w:r>
    </w:p>
    <w:p w14:paraId="3FD95C1E" w14:textId="77777777" w:rsidR="009C2C94" w:rsidRPr="00720DB4" w:rsidRDefault="009C2C94" w:rsidP="00720DB4">
      <w:pPr>
        <w:pStyle w:val="EndNoteBibliography"/>
        <w:spacing w:after="0"/>
        <w:jc w:val="both"/>
        <w:rPr>
          <w:rFonts w:ascii="Times New Roman" w:hAnsi="Times New Roman" w:cs="Times New Roman"/>
        </w:rPr>
      </w:pPr>
    </w:p>
    <w:p w14:paraId="3611878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Shepherd, F. R., Davies, K., Miners, K. L., Llewellyn-Lacey, S., Kollnberger, S., Redman, J. E., Grant, M. M., Ladell, K., Price, D. A. and McLaren, J. E. (2023) 'The superantigens SpeC and TSST-1 specifically activate TRBV12-3/12-4(+) memory T cells', </w:t>
      </w:r>
      <w:r w:rsidRPr="00720DB4">
        <w:rPr>
          <w:rFonts w:ascii="Times New Roman" w:hAnsi="Times New Roman" w:cs="Times New Roman"/>
          <w:i/>
        </w:rPr>
        <w:t>Communications Biology,</w:t>
      </w:r>
      <w:r w:rsidRPr="00720DB4">
        <w:rPr>
          <w:rFonts w:ascii="Times New Roman" w:hAnsi="Times New Roman" w:cs="Times New Roman"/>
        </w:rPr>
        <w:t xml:space="preserve"> 6(1).</w:t>
      </w:r>
    </w:p>
    <w:p w14:paraId="43408B24" w14:textId="77777777" w:rsidR="009C2C94" w:rsidRPr="00720DB4" w:rsidRDefault="009C2C94" w:rsidP="00720DB4">
      <w:pPr>
        <w:pStyle w:val="EndNoteBibliography"/>
        <w:spacing w:after="0"/>
        <w:jc w:val="both"/>
        <w:rPr>
          <w:rFonts w:ascii="Times New Roman" w:hAnsi="Times New Roman" w:cs="Times New Roman"/>
        </w:rPr>
      </w:pPr>
    </w:p>
    <w:p w14:paraId="404D7CA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Sherlock, M. E., Sudarsan, N. and Breaker, R. R. (2018) 'Riboswitches for the alarmone ppGpp expand the collection of RNA-based signaling systems',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115(23), pp. 6052-6057.</w:t>
      </w:r>
    </w:p>
    <w:p w14:paraId="4F7EAFF9" w14:textId="77777777" w:rsidR="009C2C94" w:rsidRPr="00720DB4" w:rsidRDefault="009C2C94" w:rsidP="00720DB4">
      <w:pPr>
        <w:pStyle w:val="EndNoteBibliography"/>
        <w:spacing w:after="0"/>
        <w:jc w:val="both"/>
        <w:rPr>
          <w:rFonts w:ascii="Times New Roman" w:hAnsi="Times New Roman" w:cs="Times New Roman"/>
        </w:rPr>
      </w:pPr>
    </w:p>
    <w:p w14:paraId="53F9975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Shompole, S., Henon, K. T., Liou, L. E., Dziewanowska, K., Bohach, G. A. and Bayles, K. W. (2003) 'Biphasic intracellular expression of </w:t>
      </w:r>
      <w:r w:rsidRPr="009C2C94">
        <w:rPr>
          <w:rFonts w:ascii="Times New Roman" w:hAnsi="Times New Roman" w:cs="Times New Roman"/>
          <w:i/>
          <w:iCs/>
        </w:rPr>
        <w:t xml:space="preserve">Staphylococcus aureus </w:t>
      </w:r>
      <w:r w:rsidRPr="00720DB4">
        <w:rPr>
          <w:rFonts w:ascii="Times New Roman" w:hAnsi="Times New Roman" w:cs="Times New Roman"/>
        </w:rPr>
        <w:t xml:space="preserve">virulence factors and evidence for Agr-mediated diffusion sensing', </w:t>
      </w:r>
      <w:r w:rsidRPr="00720DB4">
        <w:rPr>
          <w:rFonts w:ascii="Times New Roman" w:hAnsi="Times New Roman" w:cs="Times New Roman"/>
          <w:i/>
        </w:rPr>
        <w:t>Molecular Microbiology,</w:t>
      </w:r>
      <w:r w:rsidRPr="00720DB4">
        <w:rPr>
          <w:rFonts w:ascii="Times New Roman" w:hAnsi="Times New Roman" w:cs="Times New Roman"/>
        </w:rPr>
        <w:t xml:space="preserve"> 49(4), pp. 919-927.</w:t>
      </w:r>
    </w:p>
    <w:p w14:paraId="72C48C6E" w14:textId="77777777" w:rsidR="009C2C94" w:rsidRPr="00720DB4" w:rsidRDefault="009C2C94" w:rsidP="00720DB4">
      <w:pPr>
        <w:pStyle w:val="EndNoteBibliography"/>
        <w:spacing w:after="0"/>
        <w:jc w:val="both"/>
        <w:rPr>
          <w:rFonts w:ascii="Times New Roman" w:hAnsi="Times New Roman" w:cs="Times New Roman"/>
        </w:rPr>
      </w:pPr>
    </w:p>
    <w:p w14:paraId="07C33A3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Shu, D., Khisamutdinov, E. F., Zhang, L. and Guo, P. (2014) 'Programmable folding of fusion RNA in vivo and in vitro driven by pRNA 3WJ motif of phi29 DNA packaging motor', </w:t>
      </w:r>
      <w:r w:rsidRPr="00720DB4">
        <w:rPr>
          <w:rFonts w:ascii="Times New Roman" w:hAnsi="Times New Roman" w:cs="Times New Roman"/>
          <w:i/>
        </w:rPr>
        <w:t>Nucleic Acids Research,</w:t>
      </w:r>
      <w:r w:rsidRPr="00720DB4">
        <w:rPr>
          <w:rFonts w:ascii="Times New Roman" w:hAnsi="Times New Roman" w:cs="Times New Roman"/>
        </w:rPr>
        <w:t xml:space="preserve"> 42(2).</w:t>
      </w:r>
    </w:p>
    <w:p w14:paraId="01D08A25" w14:textId="77777777" w:rsidR="009C2C94" w:rsidRPr="00720DB4" w:rsidRDefault="009C2C94" w:rsidP="00720DB4">
      <w:pPr>
        <w:pStyle w:val="EndNoteBibliography"/>
        <w:spacing w:after="0"/>
        <w:jc w:val="both"/>
        <w:rPr>
          <w:rFonts w:ascii="Times New Roman" w:hAnsi="Times New Roman" w:cs="Times New Roman"/>
        </w:rPr>
      </w:pPr>
    </w:p>
    <w:p w14:paraId="116E538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Shyp, V., Tankov, S., Ermakov, A., Kudrin, P., English, B. P., Ehrenberg, M., Tenson, T., Elf, J. and Hauryliuk, V. (2012) 'Positive allosteric feedback regulation of the stringent response enzyme RelA by its product', </w:t>
      </w:r>
      <w:r w:rsidRPr="00720DB4">
        <w:rPr>
          <w:rFonts w:ascii="Times New Roman" w:hAnsi="Times New Roman" w:cs="Times New Roman"/>
          <w:i/>
        </w:rPr>
        <w:t>Embo Reports,</w:t>
      </w:r>
      <w:r w:rsidRPr="00720DB4">
        <w:rPr>
          <w:rFonts w:ascii="Times New Roman" w:hAnsi="Times New Roman" w:cs="Times New Roman"/>
        </w:rPr>
        <w:t xml:space="preserve"> 13(9), pp. 835-839.</w:t>
      </w:r>
    </w:p>
    <w:p w14:paraId="7F7D5F37" w14:textId="77777777" w:rsidR="009C2C94" w:rsidRPr="00720DB4" w:rsidRDefault="009C2C94" w:rsidP="00720DB4">
      <w:pPr>
        <w:pStyle w:val="EndNoteBibliography"/>
        <w:spacing w:after="0"/>
        <w:jc w:val="both"/>
        <w:rPr>
          <w:rFonts w:ascii="Times New Roman" w:hAnsi="Times New Roman" w:cs="Times New Roman"/>
        </w:rPr>
      </w:pPr>
    </w:p>
    <w:p w14:paraId="4D25077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Sieradzki, K., Roberts, R. B., Haber, S. W. and Tomasz, A. (1999) 'The development of vancomycin resistance in a patient with methicillin-resistant </w:t>
      </w:r>
      <w:r w:rsidRPr="009C2C94">
        <w:rPr>
          <w:rFonts w:ascii="Times New Roman" w:hAnsi="Times New Roman" w:cs="Times New Roman"/>
          <w:i/>
          <w:iCs/>
        </w:rPr>
        <w:t>Staphylococcus aureus</w:t>
      </w:r>
      <w:r w:rsidRPr="00720DB4">
        <w:rPr>
          <w:rFonts w:ascii="Times New Roman" w:hAnsi="Times New Roman" w:cs="Times New Roman"/>
        </w:rPr>
        <w:t xml:space="preserve"> infection', </w:t>
      </w:r>
      <w:r w:rsidRPr="00720DB4">
        <w:rPr>
          <w:rFonts w:ascii="Times New Roman" w:hAnsi="Times New Roman" w:cs="Times New Roman"/>
          <w:i/>
        </w:rPr>
        <w:t>New England Journal of Medicine,</w:t>
      </w:r>
      <w:r w:rsidRPr="00720DB4">
        <w:rPr>
          <w:rFonts w:ascii="Times New Roman" w:hAnsi="Times New Roman" w:cs="Times New Roman"/>
        </w:rPr>
        <w:t xml:space="preserve"> 340(7), pp. 517-523.</w:t>
      </w:r>
    </w:p>
    <w:p w14:paraId="1F41FFE6" w14:textId="77777777" w:rsidR="009C2C94" w:rsidRPr="00720DB4" w:rsidRDefault="009C2C94" w:rsidP="00720DB4">
      <w:pPr>
        <w:pStyle w:val="EndNoteBibliography"/>
        <w:spacing w:after="0"/>
        <w:jc w:val="both"/>
        <w:rPr>
          <w:rFonts w:ascii="Times New Roman" w:hAnsi="Times New Roman" w:cs="Times New Roman"/>
        </w:rPr>
      </w:pPr>
    </w:p>
    <w:p w14:paraId="06AE0CC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Sieweke, M. H. and Allen, J. E. (2013) 'Beyond Stem Cells: Self-Renewal of Differentiated Macrophages', </w:t>
      </w:r>
      <w:r w:rsidRPr="00720DB4">
        <w:rPr>
          <w:rFonts w:ascii="Times New Roman" w:hAnsi="Times New Roman" w:cs="Times New Roman"/>
          <w:i/>
        </w:rPr>
        <w:t>Science,</w:t>
      </w:r>
      <w:r w:rsidRPr="00720DB4">
        <w:rPr>
          <w:rFonts w:ascii="Times New Roman" w:hAnsi="Times New Roman" w:cs="Times New Roman"/>
        </w:rPr>
        <w:t xml:space="preserve"> 342(6161), pp. 946-+.</w:t>
      </w:r>
    </w:p>
    <w:p w14:paraId="048C4DB5" w14:textId="77777777" w:rsidR="009C2C94" w:rsidRPr="00720DB4" w:rsidRDefault="009C2C94" w:rsidP="00720DB4">
      <w:pPr>
        <w:pStyle w:val="EndNoteBibliography"/>
        <w:spacing w:after="0"/>
        <w:jc w:val="both"/>
        <w:rPr>
          <w:rFonts w:ascii="Times New Roman" w:hAnsi="Times New Roman" w:cs="Times New Roman"/>
        </w:rPr>
      </w:pPr>
    </w:p>
    <w:p w14:paraId="002864E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Singh, S., Singh, P. K., Jha, A., Naik, P., Joseph, J., Giri, S. and Kumar, A. (2021) 'Integrative metabolomics and transcriptomics identifies itaconate as an adjunct therapy to treat ocular bacterial infection', </w:t>
      </w:r>
      <w:r w:rsidRPr="00720DB4">
        <w:rPr>
          <w:rFonts w:ascii="Times New Roman" w:hAnsi="Times New Roman" w:cs="Times New Roman"/>
          <w:i/>
        </w:rPr>
        <w:t>Cell Reports Medicine,</w:t>
      </w:r>
      <w:r w:rsidRPr="00720DB4">
        <w:rPr>
          <w:rFonts w:ascii="Times New Roman" w:hAnsi="Times New Roman" w:cs="Times New Roman"/>
        </w:rPr>
        <w:t xml:space="preserve"> 2(5).</w:t>
      </w:r>
    </w:p>
    <w:p w14:paraId="7A3A381D" w14:textId="77777777" w:rsidR="009C2C94" w:rsidRPr="00720DB4" w:rsidRDefault="009C2C94" w:rsidP="00720DB4">
      <w:pPr>
        <w:pStyle w:val="EndNoteBibliography"/>
        <w:spacing w:after="0"/>
        <w:jc w:val="both"/>
        <w:rPr>
          <w:rFonts w:ascii="Times New Roman" w:hAnsi="Times New Roman" w:cs="Times New Roman"/>
        </w:rPr>
      </w:pPr>
    </w:p>
    <w:p w14:paraId="727833F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Sinha, A. K. and Winther, K. S. (2021) 'The RelA hydrolase domain acts as a molecular switch for (p)ppGpp synthesis', </w:t>
      </w:r>
      <w:r w:rsidRPr="00720DB4">
        <w:rPr>
          <w:rFonts w:ascii="Times New Roman" w:hAnsi="Times New Roman" w:cs="Times New Roman"/>
          <w:i/>
        </w:rPr>
        <w:t>Communications Biology,</w:t>
      </w:r>
      <w:r w:rsidRPr="00720DB4">
        <w:rPr>
          <w:rFonts w:ascii="Times New Roman" w:hAnsi="Times New Roman" w:cs="Times New Roman"/>
        </w:rPr>
        <w:t xml:space="preserve"> 4(1).</w:t>
      </w:r>
    </w:p>
    <w:p w14:paraId="3D4F4319" w14:textId="77777777" w:rsidR="009C2C94" w:rsidRPr="00720DB4" w:rsidRDefault="009C2C94" w:rsidP="00720DB4">
      <w:pPr>
        <w:pStyle w:val="EndNoteBibliography"/>
        <w:spacing w:after="0"/>
        <w:jc w:val="both"/>
        <w:rPr>
          <w:rFonts w:ascii="Times New Roman" w:hAnsi="Times New Roman" w:cs="Times New Roman"/>
        </w:rPr>
      </w:pPr>
    </w:p>
    <w:p w14:paraId="377417A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Sinha, B., Francois, P., Que, Y. A., Hussain, M., Heilmann, C., Moreillon, P., Lew, D., Krause, K. H., Peters, G. and Herrmann, M. (2000) 'Heterologously expressed </w:t>
      </w:r>
      <w:r w:rsidRPr="009C2C94">
        <w:rPr>
          <w:rFonts w:ascii="Times New Roman" w:hAnsi="Times New Roman" w:cs="Times New Roman"/>
          <w:i/>
          <w:iCs/>
        </w:rPr>
        <w:t>Staphylococcus aureus</w:t>
      </w:r>
      <w:r w:rsidRPr="00720DB4">
        <w:rPr>
          <w:rFonts w:ascii="Times New Roman" w:hAnsi="Times New Roman" w:cs="Times New Roman"/>
        </w:rPr>
        <w:t xml:space="preserve"> fibronectin-binding proteins are sufficient for invasion of host cells', </w:t>
      </w:r>
      <w:r w:rsidRPr="00720DB4">
        <w:rPr>
          <w:rFonts w:ascii="Times New Roman" w:hAnsi="Times New Roman" w:cs="Times New Roman"/>
          <w:i/>
        </w:rPr>
        <w:t>Infection and Immunity,</w:t>
      </w:r>
      <w:r w:rsidRPr="00720DB4">
        <w:rPr>
          <w:rFonts w:ascii="Times New Roman" w:hAnsi="Times New Roman" w:cs="Times New Roman"/>
        </w:rPr>
        <w:t xml:space="preserve"> 68(12), pp. 6871-6878.</w:t>
      </w:r>
    </w:p>
    <w:p w14:paraId="088BC42A" w14:textId="77777777" w:rsidR="009C2C94" w:rsidRPr="00720DB4" w:rsidRDefault="009C2C94" w:rsidP="00720DB4">
      <w:pPr>
        <w:pStyle w:val="EndNoteBibliography"/>
        <w:spacing w:after="0"/>
        <w:jc w:val="both"/>
        <w:rPr>
          <w:rFonts w:ascii="Times New Roman" w:hAnsi="Times New Roman" w:cs="Times New Roman"/>
        </w:rPr>
      </w:pPr>
    </w:p>
    <w:p w14:paraId="0F4A3E9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Sinha, B., Francois, P. P., Nusse, O., Foti, M., Hartford, O. M., Vaudaux, P., Foster, T. J., Lew, D. P., Herrmann, M. and Krause, K. H. (1999) 'Fibronectin-binding protein acts as </w:t>
      </w:r>
      <w:r w:rsidRPr="00F15925">
        <w:rPr>
          <w:rFonts w:ascii="Times New Roman" w:hAnsi="Times New Roman" w:cs="Times New Roman"/>
          <w:i/>
          <w:iCs/>
        </w:rPr>
        <w:t xml:space="preserve">Staphylococcus aureus </w:t>
      </w:r>
      <w:r w:rsidRPr="00720DB4">
        <w:rPr>
          <w:rFonts w:ascii="Times New Roman" w:hAnsi="Times New Roman" w:cs="Times New Roman"/>
        </w:rPr>
        <w:t xml:space="preserve">invasin via fibronectin bridging to integrin alpha(5)beta(1)', </w:t>
      </w:r>
      <w:r w:rsidRPr="00720DB4">
        <w:rPr>
          <w:rFonts w:ascii="Times New Roman" w:hAnsi="Times New Roman" w:cs="Times New Roman"/>
          <w:i/>
        </w:rPr>
        <w:t>Cellular Microbiology,</w:t>
      </w:r>
      <w:r w:rsidRPr="00720DB4">
        <w:rPr>
          <w:rFonts w:ascii="Times New Roman" w:hAnsi="Times New Roman" w:cs="Times New Roman"/>
        </w:rPr>
        <w:t xml:space="preserve"> 1(2), pp. 101-117.</w:t>
      </w:r>
    </w:p>
    <w:p w14:paraId="5467E6ED" w14:textId="77777777" w:rsidR="00F15925" w:rsidRPr="00720DB4" w:rsidRDefault="00F15925" w:rsidP="00720DB4">
      <w:pPr>
        <w:pStyle w:val="EndNoteBibliography"/>
        <w:spacing w:after="0"/>
        <w:jc w:val="both"/>
        <w:rPr>
          <w:rFonts w:ascii="Times New Roman" w:hAnsi="Times New Roman" w:cs="Times New Roman"/>
        </w:rPr>
      </w:pPr>
    </w:p>
    <w:p w14:paraId="13FEB76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Smith, E. J., Corrigan, R. M., van der Sluis, T., Grundling, A., Speziale, P., Geoghegan, J. A. and Foster, T. J. (2012) 'The immune evasion protein Sbi of </w:t>
      </w:r>
      <w:r w:rsidRPr="00F15925">
        <w:rPr>
          <w:rFonts w:ascii="Times New Roman" w:hAnsi="Times New Roman" w:cs="Times New Roman"/>
          <w:i/>
          <w:iCs/>
        </w:rPr>
        <w:t>Staphylococcus aureus</w:t>
      </w:r>
      <w:r w:rsidRPr="00720DB4">
        <w:rPr>
          <w:rFonts w:ascii="Times New Roman" w:hAnsi="Times New Roman" w:cs="Times New Roman"/>
        </w:rPr>
        <w:t xml:space="preserve"> occurs both extracellularly and anchored to the cell envelope by binding lipoteichoic acid', </w:t>
      </w:r>
      <w:r w:rsidRPr="00720DB4">
        <w:rPr>
          <w:rFonts w:ascii="Times New Roman" w:hAnsi="Times New Roman" w:cs="Times New Roman"/>
          <w:i/>
        </w:rPr>
        <w:t>Molecular Microbiology,</w:t>
      </w:r>
      <w:r w:rsidRPr="00720DB4">
        <w:rPr>
          <w:rFonts w:ascii="Times New Roman" w:hAnsi="Times New Roman" w:cs="Times New Roman"/>
        </w:rPr>
        <w:t xml:space="preserve"> 83(4), pp. 789-804.</w:t>
      </w:r>
    </w:p>
    <w:p w14:paraId="3CD87489" w14:textId="77777777" w:rsidR="00F15925" w:rsidRPr="00720DB4" w:rsidRDefault="00F15925" w:rsidP="00720DB4">
      <w:pPr>
        <w:pStyle w:val="EndNoteBibliography"/>
        <w:spacing w:after="0"/>
        <w:jc w:val="both"/>
        <w:rPr>
          <w:rFonts w:ascii="Times New Roman" w:hAnsi="Times New Roman" w:cs="Times New Roman"/>
        </w:rPr>
      </w:pPr>
    </w:p>
    <w:p w14:paraId="27DD42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Sonenshein, A. L. (2005) 'CodY, a global regulator of stationary phase and virulence in Gram-positive bacteria', </w:t>
      </w:r>
      <w:r w:rsidRPr="00720DB4">
        <w:rPr>
          <w:rFonts w:ascii="Times New Roman" w:hAnsi="Times New Roman" w:cs="Times New Roman"/>
          <w:i/>
        </w:rPr>
        <w:t>Current Opinion in Microbiology,</w:t>
      </w:r>
      <w:r w:rsidRPr="00720DB4">
        <w:rPr>
          <w:rFonts w:ascii="Times New Roman" w:hAnsi="Times New Roman" w:cs="Times New Roman"/>
        </w:rPr>
        <w:t xml:space="preserve"> 8(2), pp. 203-207.</w:t>
      </w:r>
    </w:p>
    <w:p w14:paraId="0778A36C" w14:textId="77777777" w:rsidR="00F15925" w:rsidRPr="00720DB4" w:rsidRDefault="00F15925" w:rsidP="00720DB4">
      <w:pPr>
        <w:pStyle w:val="EndNoteBibliography"/>
        <w:spacing w:after="0"/>
        <w:jc w:val="both"/>
        <w:rPr>
          <w:rFonts w:ascii="Times New Roman" w:hAnsi="Times New Roman" w:cs="Times New Roman"/>
        </w:rPr>
      </w:pPr>
    </w:p>
    <w:p w14:paraId="4998FF3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Song, S. and Wood, T. K. (2020) 'ppGpp ribosome dimerization model for bacterial persister formation and resuscitation', </w:t>
      </w:r>
      <w:r w:rsidRPr="00720DB4">
        <w:rPr>
          <w:rFonts w:ascii="Times New Roman" w:hAnsi="Times New Roman" w:cs="Times New Roman"/>
          <w:i/>
        </w:rPr>
        <w:t>Biochemical and Biophysical Research Communications,</w:t>
      </w:r>
      <w:r w:rsidRPr="00720DB4">
        <w:rPr>
          <w:rFonts w:ascii="Times New Roman" w:hAnsi="Times New Roman" w:cs="Times New Roman"/>
        </w:rPr>
        <w:t xml:space="preserve"> 523(2), pp. 281-286.</w:t>
      </w:r>
    </w:p>
    <w:p w14:paraId="471F055C" w14:textId="77777777" w:rsidR="00F15925" w:rsidRPr="00720DB4" w:rsidRDefault="00F15925" w:rsidP="00720DB4">
      <w:pPr>
        <w:pStyle w:val="EndNoteBibliography"/>
        <w:spacing w:after="0"/>
        <w:jc w:val="both"/>
        <w:rPr>
          <w:rFonts w:ascii="Times New Roman" w:hAnsi="Times New Roman" w:cs="Times New Roman"/>
        </w:rPr>
      </w:pPr>
    </w:p>
    <w:p w14:paraId="2D11400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Spira, B., Ferreira, G. M. and de Almeida, L. G. (2014) 'relA Enhances the Adherence of Enteropathogenic </w:t>
      </w:r>
      <w:r w:rsidRPr="00F15925">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Plos One,</w:t>
      </w:r>
      <w:r w:rsidRPr="00720DB4">
        <w:rPr>
          <w:rFonts w:ascii="Times New Roman" w:hAnsi="Times New Roman" w:cs="Times New Roman"/>
        </w:rPr>
        <w:t xml:space="preserve"> 9(3).</w:t>
      </w:r>
    </w:p>
    <w:p w14:paraId="634C65A1" w14:textId="77777777" w:rsidR="00F15925" w:rsidRPr="00720DB4" w:rsidRDefault="00F15925" w:rsidP="00720DB4">
      <w:pPr>
        <w:pStyle w:val="EndNoteBibliography"/>
        <w:spacing w:after="0"/>
        <w:jc w:val="both"/>
        <w:rPr>
          <w:rFonts w:ascii="Times New Roman" w:hAnsi="Times New Roman" w:cs="Times New Roman"/>
        </w:rPr>
      </w:pPr>
    </w:p>
    <w:p w14:paraId="521E9DD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Stapels, D. A. C., Ramyar, K. X., Bischoff, M., von Kockritz-Blickwede, M., Milder, F. J., Ruyken, M., Eisenbeis, J., McWhorter, W. J., Herrmann, M., van Kessel, K. P. M., Geisbrecht, B. V. and Rooijakkers, S. H. M. (2014) '</w:t>
      </w:r>
      <w:r w:rsidRPr="00F15925">
        <w:rPr>
          <w:rFonts w:ascii="Times New Roman" w:hAnsi="Times New Roman" w:cs="Times New Roman"/>
          <w:i/>
          <w:iCs/>
        </w:rPr>
        <w:t>Staphylococcus aureus</w:t>
      </w:r>
      <w:r w:rsidRPr="00720DB4">
        <w:rPr>
          <w:rFonts w:ascii="Times New Roman" w:hAnsi="Times New Roman" w:cs="Times New Roman"/>
        </w:rPr>
        <w:t xml:space="preserve"> secretes a unique class of neutrophil serine protease inhibitors',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111(36), pp. 13187-13192.</w:t>
      </w:r>
    </w:p>
    <w:p w14:paraId="2D9DC246" w14:textId="77777777" w:rsidR="00F15925" w:rsidRPr="00720DB4" w:rsidRDefault="00F15925" w:rsidP="00720DB4">
      <w:pPr>
        <w:pStyle w:val="EndNoteBibliography"/>
        <w:spacing w:after="0"/>
        <w:jc w:val="both"/>
        <w:rPr>
          <w:rFonts w:ascii="Times New Roman" w:hAnsi="Times New Roman" w:cs="Times New Roman"/>
        </w:rPr>
      </w:pPr>
    </w:p>
    <w:p w14:paraId="75FC81C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Steinchen, W. and Bange, G. (2016) 'The magic dance of the alarmones (p)ppGpp', </w:t>
      </w:r>
      <w:r w:rsidRPr="00720DB4">
        <w:rPr>
          <w:rFonts w:ascii="Times New Roman" w:hAnsi="Times New Roman" w:cs="Times New Roman"/>
          <w:i/>
        </w:rPr>
        <w:t>Molecular Microbiology,</w:t>
      </w:r>
      <w:r w:rsidRPr="00720DB4">
        <w:rPr>
          <w:rFonts w:ascii="Times New Roman" w:hAnsi="Times New Roman" w:cs="Times New Roman"/>
        </w:rPr>
        <w:t xml:space="preserve"> 101(4), pp. 531-544.</w:t>
      </w:r>
    </w:p>
    <w:p w14:paraId="70091BF1" w14:textId="77777777" w:rsidR="00F15925" w:rsidRPr="00720DB4" w:rsidRDefault="00F15925" w:rsidP="00720DB4">
      <w:pPr>
        <w:pStyle w:val="EndNoteBibliography"/>
        <w:spacing w:after="0"/>
        <w:jc w:val="both"/>
        <w:rPr>
          <w:rFonts w:ascii="Times New Roman" w:hAnsi="Times New Roman" w:cs="Times New Roman"/>
        </w:rPr>
      </w:pPr>
    </w:p>
    <w:p w14:paraId="01FBECD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Steinchen, W., Vogt, M. S., Altegoer, F., Giammarinaro, P. I., Horvatek, P., Wolz, C. and Bange, G. (2018) 'Structural and mechanistic divergence of the small (p)ppGpp synthetases RelP and RelQ', </w:t>
      </w:r>
      <w:r w:rsidRPr="00720DB4">
        <w:rPr>
          <w:rFonts w:ascii="Times New Roman" w:hAnsi="Times New Roman" w:cs="Times New Roman"/>
          <w:i/>
        </w:rPr>
        <w:t>Scientific Reports,</w:t>
      </w:r>
      <w:r w:rsidRPr="00720DB4">
        <w:rPr>
          <w:rFonts w:ascii="Times New Roman" w:hAnsi="Times New Roman" w:cs="Times New Roman"/>
        </w:rPr>
        <w:t xml:space="preserve"> 8.</w:t>
      </w:r>
    </w:p>
    <w:p w14:paraId="1C39304B" w14:textId="77777777" w:rsidR="00F15925" w:rsidRPr="00720DB4" w:rsidRDefault="00F15925" w:rsidP="00720DB4">
      <w:pPr>
        <w:pStyle w:val="EndNoteBibliography"/>
        <w:spacing w:after="0"/>
        <w:jc w:val="both"/>
        <w:rPr>
          <w:rFonts w:ascii="Times New Roman" w:hAnsi="Times New Roman" w:cs="Times New Roman"/>
        </w:rPr>
      </w:pPr>
    </w:p>
    <w:p w14:paraId="2107E71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Stelzner, K., Boyny, A., Hertlein, T., Sroka, A., Moldovan, A., Paprotka, K., Kessie, D., Mehling, H., Potempa, J., Ohlsen, K., Fraunholz, M. J. and Thomas, R. (2021) 'Intracellular </w:t>
      </w:r>
      <w:r w:rsidRPr="00F15925">
        <w:rPr>
          <w:rFonts w:ascii="Times New Roman" w:hAnsi="Times New Roman" w:cs="Times New Roman"/>
          <w:i/>
          <w:iCs/>
        </w:rPr>
        <w:t xml:space="preserve">Staphylococcus aureus </w:t>
      </w:r>
      <w:r w:rsidRPr="00720DB4">
        <w:rPr>
          <w:rFonts w:ascii="Times New Roman" w:hAnsi="Times New Roman" w:cs="Times New Roman"/>
        </w:rPr>
        <w:t xml:space="preserve">employs the cysteine protease staphopain A to induce host cell death in epithelial cells', </w:t>
      </w:r>
      <w:r w:rsidRPr="00720DB4">
        <w:rPr>
          <w:rFonts w:ascii="Times New Roman" w:hAnsi="Times New Roman" w:cs="Times New Roman"/>
          <w:i/>
        </w:rPr>
        <w:t>Plos Pathogens,</w:t>
      </w:r>
      <w:r w:rsidRPr="00720DB4">
        <w:rPr>
          <w:rFonts w:ascii="Times New Roman" w:hAnsi="Times New Roman" w:cs="Times New Roman"/>
        </w:rPr>
        <w:t xml:space="preserve"> 17(9).</w:t>
      </w:r>
    </w:p>
    <w:p w14:paraId="33163C44" w14:textId="77777777" w:rsidR="00F15925" w:rsidRPr="00720DB4" w:rsidRDefault="00F15925" w:rsidP="00720DB4">
      <w:pPr>
        <w:pStyle w:val="EndNoteBibliography"/>
        <w:spacing w:after="0"/>
        <w:jc w:val="both"/>
        <w:rPr>
          <w:rFonts w:ascii="Times New Roman" w:hAnsi="Times New Roman" w:cs="Times New Roman"/>
        </w:rPr>
      </w:pPr>
    </w:p>
    <w:p w14:paraId="428E632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Stent, G. S. and Brenner, S. (1961) 'GENETIC LOCUS FOR REGULATION OF RIBONUCLEIC ACID SYNTHESIS',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47(12), pp. 2005-&amp;.</w:t>
      </w:r>
    </w:p>
    <w:p w14:paraId="27E00E21" w14:textId="77777777" w:rsidR="00F15925" w:rsidRPr="00720DB4" w:rsidRDefault="00F15925" w:rsidP="00720DB4">
      <w:pPr>
        <w:pStyle w:val="EndNoteBibliography"/>
        <w:spacing w:after="0"/>
        <w:jc w:val="both"/>
        <w:rPr>
          <w:rFonts w:ascii="Times New Roman" w:hAnsi="Times New Roman" w:cs="Times New Roman"/>
        </w:rPr>
      </w:pPr>
    </w:p>
    <w:p w14:paraId="2F35825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Stich, N., Waclavicek, M., Model, N. and Eibl, M. M. (2010) 'Staphylococcal Superantigen (TSST-1) Mutant Analysis Reveals that T Cell Activation Is Required for Biological Effects in the Rabbit Including the Cytokine Storm', </w:t>
      </w:r>
      <w:r w:rsidRPr="00720DB4">
        <w:rPr>
          <w:rFonts w:ascii="Times New Roman" w:hAnsi="Times New Roman" w:cs="Times New Roman"/>
          <w:i/>
        </w:rPr>
        <w:t>Toxins,</w:t>
      </w:r>
      <w:r w:rsidRPr="00720DB4">
        <w:rPr>
          <w:rFonts w:ascii="Times New Roman" w:hAnsi="Times New Roman" w:cs="Times New Roman"/>
        </w:rPr>
        <w:t xml:space="preserve"> 2(9), pp. 2272-2288.</w:t>
      </w:r>
    </w:p>
    <w:p w14:paraId="3BC7C493" w14:textId="77777777" w:rsidR="00F15925" w:rsidRPr="00720DB4" w:rsidRDefault="00F15925" w:rsidP="00720DB4">
      <w:pPr>
        <w:pStyle w:val="EndNoteBibliography"/>
        <w:spacing w:after="0"/>
        <w:jc w:val="both"/>
        <w:rPr>
          <w:rFonts w:ascii="Times New Roman" w:hAnsi="Times New Roman" w:cs="Times New Roman"/>
        </w:rPr>
      </w:pPr>
    </w:p>
    <w:p w14:paraId="0BE15C8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Strack, R. L., Disney, M. D. and Jaffrey, S. R. (2013) 'A superfolding Spinach2 reveals the dynamic nature of trinucleotide repeat-containing RNA', </w:t>
      </w:r>
      <w:r w:rsidRPr="00720DB4">
        <w:rPr>
          <w:rFonts w:ascii="Times New Roman" w:hAnsi="Times New Roman" w:cs="Times New Roman"/>
          <w:i/>
        </w:rPr>
        <w:t>Nature Methods,</w:t>
      </w:r>
      <w:r w:rsidRPr="00720DB4">
        <w:rPr>
          <w:rFonts w:ascii="Times New Roman" w:hAnsi="Times New Roman" w:cs="Times New Roman"/>
        </w:rPr>
        <w:t xml:space="preserve"> 10(12), pp. 1219-+.</w:t>
      </w:r>
    </w:p>
    <w:p w14:paraId="495ED818" w14:textId="77777777" w:rsidR="00F15925" w:rsidRPr="00720DB4" w:rsidRDefault="00F15925" w:rsidP="00720DB4">
      <w:pPr>
        <w:pStyle w:val="EndNoteBibliography"/>
        <w:spacing w:after="0"/>
        <w:jc w:val="both"/>
        <w:rPr>
          <w:rFonts w:ascii="Times New Roman" w:hAnsi="Times New Roman" w:cs="Times New Roman"/>
        </w:rPr>
      </w:pPr>
    </w:p>
    <w:p w14:paraId="7947162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Strelko, C. L., Lu, W. Y., Dufort, F. J., Seyfried, T. N., Chiles, T. C., Rabinowitz, J. D. and Roberts, M. F. (2011) 'Itaconic Acid Is a Mammalian Metabolite Induced during Macrophage Activation', </w:t>
      </w:r>
      <w:r w:rsidRPr="00720DB4">
        <w:rPr>
          <w:rFonts w:ascii="Times New Roman" w:hAnsi="Times New Roman" w:cs="Times New Roman"/>
          <w:i/>
        </w:rPr>
        <w:t>Journal of the American Chemical Society,</w:t>
      </w:r>
      <w:r w:rsidRPr="00720DB4">
        <w:rPr>
          <w:rFonts w:ascii="Times New Roman" w:hAnsi="Times New Roman" w:cs="Times New Roman"/>
        </w:rPr>
        <w:t xml:space="preserve"> 133(41), pp. 16386-16389.</w:t>
      </w:r>
    </w:p>
    <w:p w14:paraId="2BE5AB61" w14:textId="77777777" w:rsidR="00F15925" w:rsidRPr="00720DB4" w:rsidRDefault="00F15925" w:rsidP="00720DB4">
      <w:pPr>
        <w:pStyle w:val="EndNoteBibliography"/>
        <w:spacing w:after="0"/>
        <w:jc w:val="both"/>
        <w:rPr>
          <w:rFonts w:ascii="Times New Roman" w:hAnsi="Times New Roman" w:cs="Times New Roman"/>
        </w:rPr>
      </w:pPr>
    </w:p>
    <w:p w14:paraId="0D4628D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Strobel, M., Pfoertner, H., Tuchscherr, L., Voelker, U., Schmidt, F., Kramko, N., Schnittler, H. J., Fraunholz, M. J., Loeffler, B., Peters, G. and Niemann, S. (2016) 'Post-invasion events after infection with </w:t>
      </w:r>
      <w:r w:rsidRPr="00F15925">
        <w:rPr>
          <w:rFonts w:ascii="Times New Roman" w:hAnsi="Times New Roman" w:cs="Times New Roman"/>
          <w:i/>
          <w:iCs/>
        </w:rPr>
        <w:t>Staphylococcus aureus</w:t>
      </w:r>
      <w:r w:rsidRPr="00720DB4">
        <w:rPr>
          <w:rFonts w:ascii="Times New Roman" w:hAnsi="Times New Roman" w:cs="Times New Roman"/>
        </w:rPr>
        <w:t xml:space="preserve"> are strongly dependent on both the host cell type and the infecting </w:t>
      </w:r>
      <w:r w:rsidRPr="00F15925">
        <w:rPr>
          <w:rFonts w:ascii="Times New Roman" w:hAnsi="Times New Roman" w:cs="Times New Roman"/>
          <w:i/>
          <w:iCs/>
        </w:rPr>
        <w:t>S. aureus</w:t>
      </w:r>
      <w:r w:rsidRPr="00720DB4">
        <w:rPr>
          <w:rFonts w:ascii="Times New Roman" w:hAnsi="Times New Roman" w:cs="Times New Roman"/>
        </w:rPr>
        <w:t xml:space="preserve"> strain', </w:t>
      </w:r>
      <w:r w:rsidRPr="00720DB4">
        <w:rPr>
          <w:rFonts w:ascii="Times New Roman" w:hAnsi="Times New Roman" w:cs="Times New Roman"/>
          <w:i/>
        </w:rPr>
        <w:t>Clinical Microbiology and Infection,</w:t>
      </w:r>
      <w:r w:rsidRPr="00720DB4">
        <w:rPr>
          <w:rFonts w:ascii="Times New Roman" w:hAnsi="Times New Roman" w:cs="Times New Roman"/>
        </w:rPr>
        <w:t xml:space="preserve"> 22(9), pp. 799-809.</w:t>
      </w:r>
    </w:p>
    <w:p w14:paraId="1D786B45" w14:textId="77777777" w:rsidR="00F15925" w:rsidRPr="00720DB4" w:rsidRDefault="00F15925" w:rsidP="00720DB4">
      <w:pPr>
        <w:pStyle w:val="EndNoteBibliography"/>
        <w:spacing w:after="0"/>
        <w:jc w:val="both"/>
        <w:rPr>
          <w:rFonts w:ascii="Times New Roman" w:hAnsi="Times New Roman" w:cs="Times New Roman"/>
        </w:rPr>
      </w:pPr>
    </w:p>
    <w:p w14:paraId="31E1364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Stuart, G. W., McMurray, J. V. and Westerfield, M. (1988) 'REPLICATION, INTEGRATION AND STABLE GERM-LINE TRANSMISSION OF FOREIGN SEQUENCES INJECTED INTO EARLY ZEBRAFISH EMBRYOS', </w:t>
      </w:r>
      <w:r w:rsidRPr="00720DB4">
        <w:rPr>
          <w:rFonts w:ascii="Times New Roman" w:hAnsi="Times New Roman" w:cs="Times New Roman"/>
          <w:i/>
        </w:rPr>
        <w:t>Development,</w:t>
      </w:r>
      <w:r w:rsidRPr="00720DB4">
        <w:rPr>
          <w:rFonts w:ascii="Times New Roman" w:hAnsi="Times New Roman" w:cs="Times New Roman"/>
        </w:rPr>
        <w:t xml:space="preserve"> 103(2), pp. 403-412.</w:t>
      </w:r>
    </w:p>
    <w:p w14:paraId="4261134D" w14:textId="77777777" w:rsidR="00F15925" w:rsidRPr="00720DB4" w:rsidRDefault="00F15925" w:rsidP="00720DB4">
      <w:pPr>
        <w:pStyle w:val="EndNoteBibliography"/>
        <w:spacing w:after="0"/>
        <w:jc w:val="both"/>
        <w:rPr>
          <w:rFonts w:ascii="Times New Roman" w:hAnsi="Times New Roman" w:cs="Times New Roman"/>
        </w:rPr>
      </w:pPr>
    </w:p>
    <w:p w14:paraId="3AE775E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Stuart, L. M., Deng, J. S., Silver, J. M., Takahashi, K., Tseng, A. A., Hennessy, E. J., Ezekowitz, R. A. B. and Moore, K. J. (2005) 'Response to </w:t>
      </w:r>
      <w:r w:rsidRPr="00F15925">
        <w:rPr>
          <w:rFonts w:ascii="Times New Roman" w:hAnsi="Times New Roman" w:cs="Times New Roman"/>
          <w:i/>
          <w:iCs/>
        </w:rPr>
        <w:t>Staphylococcus aureus</w:t>
      </w:r>
      <w:r w:rsidRPr="00720DB4">
        <w:rPr>
          <w:rFonts w:ascii="Times New Roman" w:hAnsi="Times New Roman" w:cs="Times New Roman"/>
        </w:rPr>
        <w:t xml:space="preserve"> requires CD36-mediated phagocytosis triggered by the COOH-terminal cytoplasmic domain', </w:t>
      </w:r>
      <w:r w:rsidRPr="00720DB4">
        <w:rPr>
          <w:rFonts w:ascii="Times New Roman" w:hAnsi="Times New Roman" w:cs="Times New Roman"/>
          <w:i/>
        </w:rPr>
        <w:t>Journal of Cell Biology,</w:t>
      </w:r>
      <w:r w:rsidRPr="00720DB4">
        <w:rPr>
          <w:rFonts w:ascii="Times New Roman" w:hAnsi="Times New Roman" w:cs="Times New Roman"/>
        </w:rPr>
        <w:t xml:space="preserve"> 170(3), pp. 477-485.</w:t>
      </w:r>
    </w:p>
    <w:p w14:paraId="0591BAEA" w14:textId="77777777" w:rsidR="00F15925" w:rsidRPr="00720DB4" w:rsidRDefault="00F15925" w:rsidP="00720DB4">
      <w:pPr>
        <w:pStyle w:val="EndNoteBibliography"/>
        <w:spacing w:after="0"/>
        <w:jc w:val="both"/>
        <w:rPr>
          <w:rFonts w:ascii="Times New Roman" w:hAnsi="Times New Roman" w:cs="Times New Roman"/>
        </w:rPr>
      </w:pPr>
    </w:p>
    <w:p w14:paraId="3AD8427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Sugisaki, K., Hanawa, T., Yonezawa, H., Osaki, T., Fukutomi, T., Kawakami, H., Yamamoto, T. and Kamiya, S. (2013) 'Role of (p)ppGpp in biofilm formation and expression of filamentous structures in </w:t>
      </w:r>
      <w:r w:rsidRPr="00F15925">
        <w:rPr>
          <w:rFonts w:ascii="Times New Roman" w:hAnsi="Times New Roman" w:cs="Times New Roman"/>
          <w:i/>
          <w:iCs/>
        </w:rPr>
        <w:t>Bordetella pertussis</w:t>
      </w:r>
      <w:r w:rsidRPr="00720DB4">
        <w:rPr>
          <w:rFonts w:ascii="Times New Roman" w:hAnsi="Times New Roman" w:cs="Times New Roman"/>
        </w:rPr>
        <w:t xml:space="preserve">', </w:t>
      </w:r>
      <w:r w:rsidRPr="00720DB4">
        <w:rPr>
          <w:rFonts w:ascii="Times New Roman" w:hAnsi="Times New Roman" w:cs="Times New Roman"/>
          <w:i/>
        </w:rPr>
        <w:t>Microbiology-Sgm,</w:t>
      </w:r>
      <w:r w:rsidRPr="00720DB4">
        <w:rPr>
          <w:rFonts w:ascii="Times New Roman" w:hAnsi="Times New Roman" w:cs="Times New Roman"/>
        </w:rPr>
        <w:t xml:space="preserve"> 159, pp. 1379-1389.</w:t>
      </w:r>
    </w:p>
    <w:p w14:paraId="4E2C2645" w14:textId="77777777" w:rsidR="00F15925" w:rsidRPr="00720DB4" w:rsidRDefault="00F15925" w:rsidP="00720DB4">
      <w:pPr>
        <w:pStyle w:val="EndNoteBibliography"/>
        <w:spacing w:after="0"/>
        <w:jc w:val="both"/>
        <w:rPr>
          <w:rFonts w:ascii="Times New Roman" w:hAnsi="Times New Roman" w:cs="Times New Roman"/>
        </w:rPr>
      </w:pPr>
    </w:p>
    <w:p w14:paraId="380C0997" w14:textId="40D8B581" w:rsidR="00F15925" w:rsidRPr="00720DB4"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Summers, C., Rankin, S. M., Condliffe, A. M., Singh, N., Peters, A. M. and Chilvers, E. R. (2010) 'Neutrophil kinetics in health and disease', </w:t>
      </w:r>
      <w:r w:rsidRPr="00720DB4">
        <w:rPr>
          <w:rFonts w:ascii="Times New Roman" w:hAnsi="Times New Roman" w:cs="Times New Roman"/>
          <w:i/>
        </w:rPr>
        <w:t>Trends in Immunology,</w:t>
      </w:r>
      <w:r w:rsidRPr="00720DB4">
        <w:rPr>
          <w:rFonts w:ascii="Times New Roman" w:hAnsi="Times New Roman" w:cs="Times New Roman"/>
        </w:rPr>
        <w:t xml:space="preserve"> 31(8), pp. 318-324.</w:t>
      </w:r>
    </w:p>
    <w:p w14:paraId="5827E13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Summerton, J. and Weller, D. (1997) 'Morpholino antisense oligomers: Design, preparation, and properties', </w:t>
      </w:r>
      <w:r w:rsidRPr="00720DB4">
        <w:rPr>
          <w:rFonts w:ascii="Times New Roman" w:hAnsi="Times New Roman" w:cs="Times New Roman"/>
          <w:i/>
        </w:rPr>
        <w:t>Antisense &amp; Nucleic Acid Drug Development,</w:t>
      </w:r>
      <w:r w:rsidRPr="00720DB4">
        <w:rPr>
          <w:rFonts w:ascii="Times New Roman" w:hAnsi="Times New Roman" w:cs="Times New Roman"/>
        </w:rPr>
        <w:t xml:space="preserve"> 7(3), pp. 187-195.</w:t>
      </w:r>
    </w:p>
    <w:p w14:paraId="2FEF3881" w14:textId="77777777" w:rsidR="00F15925" w:rsidRPr="00720DB4" w:rsidRDefault="00F15925" w:rsidP="00720DB4">
      <w:pPr>
        <w:pStyle w:val="EndNoteBibliography"/>
        <w:spacing w:after="0"/>
        <w:jc w:val="both"/>
        <w:rPr>
          <w:rFonts w:ascii="Times New Roman" w:hAnsi="Times New Roman" w:cs="Times New Roman"/>
        </w:rPr>
      </w:pPr>
    </w:p>
    <w:p w14:paraId="4CFFF96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Sun, D., Lee, G., Lee, J. H., Kim, H.-Y., Rhee, H.-W., Park, S.-Y., Kim, K.-J., Kim, Y., Kim, B. Y., Hong, J.-I., Park, C., Choy, H. E., Kim, J. H., Jeon, Y. H. and Chung, J. (2010) 'A metazoan ortholog of SpoT hydrolyzes ppGpp and functions in starvation responses', </w:t>
      </w:r>
      <w:r w:rsidRPr="00720DB4">
        <w:rPr>
          <w:rFonts w:ascii="Times New Roman" w:hAnsi="Times New Roman" w:cs="Times New Roman"/>
          <w:i/>
        </w:rPr>
        <w:t>Nature Structural &amp; Molecular Biology,</w:t>
      </w:r>
      <w:r w:rsidRPr="00720DB4">
        <w:rPr>
          <w:rFonts w:ascii="Times New Roman" w:hAnsi="Times New Roman" w:cs="Times New Roman"/>
        </w:rPr>
        <w:t xml:space="preserve"> 17(10), pp. 1188-+.</w:t>
      </w:r>
    </w:p>
    <w:p w14:paraId="403702D6" w14:textId="77777777" w:rsidR="00F15925" w:rsidRPr="00720DB4" w:rsidRDefault="00F15925" w:rsidP="00720DB4">
      <w:pPr>
        <w:pStyle w:val="EndNoteBibliography"/>
        <w:spacing w:after="0"/>
        <w:jc w:val="both"/>
        <w:rPr>
          <w:rFonts w:ascii="Times New Roman" w:hAnsi="Times New Roman" w:cs="Times New Roman"/>
        </w:rPr>
      </w:pPr>
    </w:p>
    <w:p w14:paraId="6B95819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Sun, F., Liang, H. H., Kong, X. Q., Xie, S., Cho, H., Deng, X., Ji, Q. J., Zhang, H. Y., Alvarez, S., Hicks, L. M., Bae, T., Luo, C., Jiang, H. L. and He, C. (2012) 'Quorum-sensing agr mediates bacterial oxidation response via an intramolecular disulfide redox switch in the response regulator AgrA',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109(23), pp. 9095-9100.</w:t>
      </w:r>
    </w:p>
    <w:p w14:paraId="29324BA0" w14:textId="77777777" w:rsidR="00F15925" w:rsidRPr="00720DB4" w:rsidRDefault="00F15925" w:rsidP="00720DB4">
      <w:pPr>
        <w:pStyle w:val="EndNoteBibliography"/>
        <w:spacing w:after="0"/>
        <w:jc w:val="both"/>
        <w:rPr>
          <w:rFonts w:ascii="Times New Roman" w:hAnsi="Times New Roman" w:cs="Times New Roman"/>
        </w:rPr>
      </w:pPr>
    </w:p>
    <w:p w14:paraId="49D2CB0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Sun, Z., Wu, R., Zhao, B., Zeinert, R., Chien, P. and You, M. (2021) 'Live-Cell Imaging of Guanosine Tetra- and Pentaphosphate (p)ppGpp with RNA-based Fluorescent Sensors**', </w:t>
      </w:r>
      <w:r w:rsidRPr="00720DB4">
        <w:rPr>
          <w:rFonts w:ascii="Times New Roman" w:hAnsi="Times New Roman" w:cs="Times New Roman"/>
          <w:i/>
        </w:rPr>
        <w:t>Angewandte Chemie-International Edition,</w:t>
      </w:r>
      <w:r w:rsidRPr="00720DB4">
        <w:rPr>
          <w:rFonts w:ascii="Times New Roman" w:hAnsi="Times New Roman" w:cs="Times New Roman"/>
        </w:rPr>
        <w:t xml:space="preserve"> 60(45), pp. 24070-24074.</w:t>
      </w:r>
    </w:p>
    <w:p w14:paraId="59A16EDD" w14:textId="77777777" w:rsidR="00F15925" w:rsidRPr="00720DB4" w:rsidRDefault="00F15925" w:rsidP="00720DB4">
      <w:pPr>
        <w:pStyle w:val="EndNoteBibliography"/>
        <w:spacing w:after="0"/>
        <w:jc w:val="both"/>
        <w:rPr>
          <w:rFonts w:ascii="Times New Roman" w:hAnsi="Times New Roman" w:cs="Times New Roman"/>
        </w:rPr>
      </w:pPr>
    </w:p>
    <w:p w14:paraId="004C69C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Sun-Wada, G.-H., Tabata, H., Kawamura, N., Aoyama, M. and Wada, Y. (2009) 'Direct recruitment of H+-ATPase from lysosomes for phagosomal acidification', </w:t>
      </w:r>
      <w:r w:rsidRPr="00720DB4">
        <w:rPr>
          <w:rFonts w:ascii="Times New Roman" w:hAnsi="Times New Roman" w:cs="Times New Roman"/>
          <w:i/>
        </w:rPr>
        <w:t>Journal of Cell Science,</w:t>
      </w:r>
      <w:r w:rsidRPr="00720DB4">
        <w:rPr>
          <w:rFonts w:ascii="Times New Roman" w:hAnsi="Times New Roman" w:cs="Times New Roman"/>
        </w:rPr>
        <w:t xml:space="preserve"> 122(14), pp. 2504-2513.</w:t>
      </w:r>
    </w:p>
    <w:p w14:paraId="6FE89802" w14:textId="77777777" w:rsidR="00F15925" w:rsidRPr="00720DB4" w:rsidRDefault="00F15925" w:rsidP="00720DB4">
      <w:pPr>
        <w:pStyle w:val="EndNoteBibliography"/>
        <w:spacing w:after="0"/>
        <w:jc w:val="both"/>
        <w:rPr>
          <w:rFonts w:ascii="Times New Roman" w:hAnsi="Times New Roman" w:cs="Times New Roman"/>
        </w:rPr>
      </w:pPr>
    </w:p>
    <w:p w14:paraId="3999BA6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Surewaard, B. G. J., Deniset, J. F., Zemp, F. J., Amrein, M., Otto, M., Conly, J., Omri, A., Yates, R. M. and Kubes, P. (2016) 'Identification and treatment of the </w:t>
      </w:r>
      <w:r w:rsidRPr="00F15925">
        <w:rPr>
          <w:rFonts w:ascii="Times New Roman" w:hAnsi="Times New Roman" w:cs="Times New Roman"/>
          <w:i/>
          <w:iCs/>
        </w:rPr>
        <w:t xml:space="preserve">Staphylococcus aureus </w:t>
      </w:r>
      <w:r w:rsidRPr="00720DB4">
        <w:rPr>
          <w:rFonts w:ascii="Times New Roman" w:hAnsi="Times New Roman" w:cs="Times New Roman"/>
        </w:rPr>
        <w:t xml:space="preserve">reservoir in vivo', </w:t>
      </w:r>
      <w:r w:rsidRPr="00720DB4">
        <w:rPr>
          <w:rFonts w:ascii="Times New Roman" w:hAnsi="Times New Roman" w:cs="Times New Roman"/>
          <w:i/>
        </w:rPr>
        <w:t>Journal of Experimental Medicine,</w:t>
      </w:r>
      <w:r w:rsidRPr="00720DB4">
        <w:rPr>
          <w:rFonts w:ascii="Times New Roman" w:hAnsi="Times New Roman" w:cs="Times New Roman"/>
        </w:rPr>
        <w:t xml:space="preserve"> 213(7), pp. 1141-1151.</w:t>
      </w:r>
    </w:p>
    <w:p w14:paraId="623EFD02" w14:textId="77777777" w:rsidR="00F15925" w:rsidRPr="00720DB4" w:rsidRDefault="00F15925" w:rsidP="00720DB4">
      <w:pPr>
        <w:pStyle w:val="EndNoteBibliography"/>
        <w:spacing w:after="0"/>
        <w:jc w:val="both"/>
        <w:rPr>
          <w:rFonts w:ascii="Times New Roman" w:hAnsi="Times New Roman" w:cs="Times New Roman"/>
        </w:rPr>
      </w:pPr>
    </w:p>
    <w:p w14:paraId="226C84D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Surre, J., Saint-Ruf, C., Collin, V., Orenga, S., Ramjeet, M. and Matic, I. (2018) 'Strong increase in the autofluorescence of cells signals struggle for survival', </w:t>
      </w:r>
      <w:r w:rsidRPr="00720DB4">
        <w:rPr>
          <w:rFonts w:ascii="Times New Roman" w:hAnsi="Times New Roman" w:cs="Times New Roman"/>
          <w:i/>
        </w:rPr>
        <w:t>Scientific Reports,</w:t>
      </w:r>
      <w:r w:rsidRPr="00720DB4">
        <w:rPr>
          <w:rFonts w:ascii="Times New Roman" w:hAnsi="Times New Roman" w:cs="Times New Roman"/>
        </w:rPr>
        <w:t xml:space="preserve"> 8.</w:t>
      </w:r>
    </w:p>
    <w:p w14:paraId="4B4F0DE3" w14:textId="77777777" w:rsidR="00F15925" w:rsidRPr="00720DB4" w:rsidRDefault="00F15925" w:rsidP="00720DB4">
      <w:pPr>
        <w:pStyle w:val="EndNoteBibliography"/>
        <w:spacing w:after="0"/>
        <w:jc w:val="both"/>
        <w:rPr>
          <w:rFonts w:ascii="Times New Roman" w:hAnsi="Times New Roman" w:cs="Times New Roman"/>
        </w:rPr>
      </w:pPr>
    </w:p>
    <w:p w14:paraId="4E9D62B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Suss, O., Motiei, L. and Margulies, D. (2021) 'Broad Applications of Thiazole Orange in Fluorescent Sensing of Biomolecules and Ions', </w:t>
      </w:r>
      <w:r w:rsidRPr="00720DB4">
        <w:rPr>
          <w:rFonts w:ascii="Times New Roman" w:hAnsi="Times New Roman" w:cs="Times New Roman"/>
          <w:i/>
        </w:rPr>
        <w:t>Molecules,</w:t>
      </w:r>
      <w:r w:rsidRPr="00720DB4">
        <w:rPr>
          <w:rFonts w:ascii="Times New Roman" w:hAnsi="Times New Roman" w:cs="Times New Roman"/>
        </w:rPr>
        <w:t xml:space="preserve"> 26(9).</w:t>
      </w:r>
    </w:p>
    <w:p w14:paraId="23891CCF" w14:textId="77777777" w:rsidR="00F15925" w:rsidRPr="00720DB4" w:rsidRDefault="00F15925" w:rsidP="00720DB4">
      <w:pPr>
        <w:pStyle w:val="EndNoteBibliography"/>
        <w:spacing w:after="0"/>
        <w:jc w:val="both"/>
        <w:rPr>
          <w:rFonts w:ascii="Times New Roman" w:hAnsi="Times New Roman" w:cs="Times New Roman"/>
        </w:rPr>
      </w:pPr>
    </w:p>
    <w:p w14:paraId="67392B3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Suster, M. L., Kikuta, H., Urasaki, A., Asakawa, K. and Kawakami, K. (2009) </w:t>
      </w:r>
      <w:r w:rsidRPr="00720DB4">
        <w:rPr>
          <w:rFonts w:ascii="Times New Roman" w:hAnsi="Times New Roman" w:cs="Times New Roman"/>
          <w:i/>
        </w:rPr>
        <w:t>Transgenesis Techniques, Methods in Molecular Biology.</w:t>
      </w:r>
      <w:r w:rsidRPr="00720DB4">
        <w:rPr>
          <w:rFonts w:ascii="Times New Roman" w:hAnsi="Times New Roman" w:cs="Times New Roman"/>
        </w:rPr>
        <w:t xml:space="preserve"> Springer Protocols, p. 41-63.</w:t>
      </w:r>
    </w:p>
    <w:p w14:paraId="7D0D229C" w14:textId="77777777" w:rsidR="00F15925" w:rsidRPr="00720DB4" w:rsidRDefault="00F15925" w:rsidP="00720DB4">
      <w:pPr>
        <w:pStyle w:val="EndNoteBibliography"/>
        <w:spacing w:after="0"/>
        <w:jc w:val="both"/>
        <w:rPr>
          <w:rFonts w:ascii="Times New Roman" w:hAnsi="Times New Roman" w:cs="Times New Roman"/>
        </w:rPr>
      </w:pPr>
    </w:p>
    <w:p w14:paraId="1A94B18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Swanson, J. A. (2008) 'Shaping cups into phagosomes and macropinosomes', </w:t>
      </w:r>
      <w:r w:rsidRPr="00720DB4">
        <w:rPr>
          <w:rFonts w:ascii="Times New Roman" w:hAnsi="Times New Roman" w:cs="Times New Roman"/>
          <w:i/>
        </w:rPr>
        <w:t>Nature Reviews Molecular Cell Biology,</w:t>
      </w:r>
      <w:r w:rsidRPr="00720DB4">
        <w:rPr>
          <w:rFonts w:ascii="Times New Roman" w:hAnsi="Times New Roman" w:cs="Times New Roman"/>
        </w:rPr>
        <w:t xml:space="preserve"> 9(8), pp. 639-649.</w:t>
      </w:r>
    </w:p>
    <w:p w14:paraId="1BC463EC" w14:textId="77777777" w:rsidR="00F15925" w:rsidRPr="00720DB4" w:rsidRDefault="00F15925" w:rsidP="00720DB4">
      <w:pPr>
        <w:pStyle w:val="EndNoteBibliography"/>
        <w:spacing w:after="0"/>
        <w:jc w:val="both"/>
        <w:rPr>
          <w:rFonts w:ascii="Times New Roman" w:hAnsi="Times New Roman" w:cs="Times New Roman"/>
        </w:rPr>
      </w:pPr>
    </w:p>
    <w:p w14:paraId="00CEC6E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Sy, J. and Lipmann, F. (1973) 'IDENTIFICATION OF SYNTHESIS OF GUANOSINE TETRAPHOSPHATE (MS I) AS INSERTION OF A PYROPHOSPHORYL GROUP INTO 3'-POSITION IN GUANOSINE 5'-DIPHOSPHATE',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70(2), pp. 306-309.</w:t>
      </w:r>
    </w:p>
    <w:p w14:paraId="4948D031" w14:textId="77777777" w:rsidR="00563A1E" w:rsidRPr="00720DB4" w:rsidRDefault="00563A1E" w:rsidP="00720DB4">
      <w:pPr>
        <w:pStyle w:val="EndNoteBibliography"/>
        <w:spacing w:after="0"/>
        <w:jc w:val="both"/>
        <w:rPr>
          <w:rFonts w:ascii="Times New Roman" w:hAnsi="Times New Roman" w:cs="Times New Roman"/>
        </w:rPr>
      </w:pPr>
    </w:p>
    <w:p w14:paraId="47B5DFD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Syal, K., Flentie, K., Bhardwaj, N., Maiti, K., Jayaraman, N., Stallings, C. L. and Chatterji, D. (2017) 'Synthetic (p)ppGpp Analogue Is an Inhibitor of Stringent Response in Mycobacteria', </w:t>
      </w:r>
      <w:r w:rsidRPr="00720DB4">
        <w:rPr>
          <w:rFonts w:ascii="Times New Roman" w:hAnsi="Times New Roman" w:cs="Times New Roman"/>
          <w:i/>
        </w:rPr>
        <w:t>Antimicrobial Agents and Chemotherapy,</w:t>
      </w:r>
      <w:r w:rsidRPr="00720DB4">
        <w:rPr>
          <w:rFonts w:ascii="Times New Roman" w:hAnsi="Times New Roman" w:cs="Times New Roman"/>
        </w:rPr>
        <w:t xml:space="preserve"> 61(6).</w:t>
      </w:r>
    </w:p>
    <w:p w14:paraId="6DE3D215" w14:textId="77777777" w:rsidR="00563A1E" w:rsidRPr="00720DB4" w:rsidRDefault="00563A1E" w:rsidP="00720DB4">
      <w:pPr>
        <w:pStyle w:val="EndNoteBibliography"/>
        <w:spacing w:after="0"/>
        <w:jc w:val="both"/>
        <w:rPr>
          <w:rFonts w:ascii="Times New Roman" w:hAnsi="Times New Roman" w:cs="Times New Roman"/>
        </w:rPr>
      </w:pPr>
    </w:p>
    <w:p w14:paraId="35B2A95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Syed, A. K., Vickery   , C. R., Lenhart   , T., Llewellyn   , E. V. O. P., Walker  , S. and View ORCID Profile  Losick, R. (2020) 'Biofilm Formation by </w:t>
      </w:r>
      <w:r w:rsidRPr="00720DB4">
        <w:rPr>
          <w:rFonts w:ascii="Times New Roman" w:hAnsi="Times New Roman" w:cs="Times New Roman"/>
          <w:i/>
        </w:rPr>
        <w:t>Staphylococcus aureus</w:t>
      </w:r>
      <w:r w:rsidRPr="00720DB4">
        <w:rPr>
          <w:rFonts w:ascii="Times New Roman" w:hAnsi="Times New Roman" w:cs="Times New Roman"/>
        </w:rPr>
        <w:t xml:space="preserve"> is Triggered by a Drop in the Levels of the Second Messenger cyclic-di-AMP', </w:t>
      </w:r>
      <w:r w:rsidRPr="00720DB4">
        <w:rPr>
          <w:rFonts w:ascii="Times New Roman" w:hAnsi="Times New Roman" w:cs="Times New Roman"/>
          <w:i/>
        </w:rPr>
        <w:t>bioRxiv</w:t>
      </w:r>
      <w:r w:rsidRPr="00720DB4">
        <w:rPr>
          <w:rFonts w:ascii="Times New Roman" w:hAnsi="Times New Roman" w:cs="Times New Roman"/>
        </w:rPr>
        <w:t>.</w:t>
      </w:r>
    </w:p>
    <w:p w14:paraId="7AEB4D4C" w14:textId="77777777" w:rsidR="00563A1E" w:rsidRPr="00720DB4" w:rsidRDefault="00563A1E" w:rsidP="00720DB4">
      <w:pPr>
        <w:pStyle w:val="EndNoteBibliography"/>
        <w:spacing w:after="0"/>
        <w:jc w:val="both"/>
        <w:rPr>
          <w:rFonts w:ascii="Times New Roman" w:hAnsi="Times New Roman" w:cs="Times New Roman"/>
        </w:rPr>
      </w:pPr>
    </w:p>
    <w:p w14:paraId="25A615B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Taciak, B., Bialasek, M., Braniewska, A., Sas, Z., Sawicka, P., Kiraga, L., Rygiel, T. and Krol, M. (2018) 'Evaluation of phenotypic and functional stability of RAW 264.7 cell line through serial passages', </w:t>
      </w:r>
      <w:r w:rsidRPr="00720DB4">
        <w:rPr>
          <w:rFonts w:ascii="Times New Roman" w:hAnsi="Times New Roman" w:cs="Times New Roman"/>
          <w:i/>
        </w:rPr>
        <w:t>Plos One,</w:t>
      </w:r>
      <w:r w:rsidRPr="00720DB4">
        <w:rPr>
          <w:rFonts w:ascii="Times New Roman" w:hAnsi="Times New Roman" w:cs="Times New Roman"/>
        </w:rPr>
        <w:t xml:space="preserve"> 13(6).</w:t>
      </w:r>
    </w:p>
    <w:p w14:paraId="3C922912" w14:textId="77777777" w:rsidR="00563A1E" w:rsidRPr="00720DB4" w:rsidRDefault="00563A1E" w:rsidP="00720DB4">
      <w:pPr>
        <w:pStyle w:val="EndNoteBibliography"/>
        <w:spacing w:after="0"/>
        <w:jc w:val="both"/>
        <w:rPr>
          <w:rFonts w:ascii="Times New Roman" w:hAnsi="Times New Roman" w:cs="Times New Roman"/>
        </w:rPr>
      </w:pPr>
    </w:p>
    <w:p w14:paraId="3FD57A1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Tagami, K., Nanamiya, H., Kazo, Y., Maehashi, M., Suzuki, S., Namba, E., Hoshiya, M., Hanai, R., Tozawa, Y., Morimoto, T., Ogasawara, N., Kageyama, Y., Ara, K., Ozaki, K., Yoshida, M., Kuroiwa, H., Kuroiwa, T., Ohashi, Y. and Kawamura, F. (2012) 'Expression of a small (p)ppGpp synthetase, YwaC, in the (p)ppGpp(0) mutant of </w:t>
      </w:r>
      <w:r w:rsidRPr="00563A1E">
        <w:rPr>
          <w:rFonts w:ascii="Times New Roman" w:hAnsi="Times New Roman" w:cs="Times New Roman"/>
          <w:i/>
          <w:iCs/>
        </w:rPr>
        <w:t>Bacillus subtilis</w:t>
      </w:r>
      <w:r w:rsidRPr="00720DB4">
        <w:rPr>
          <w:rFonts w:ascii="Times New Roman" w:hAnsi="Times New Roman" w:cs="Times New Roman"/>
        </w:rPr>
        <w:t xml:space="preserve"> triggers YvyD-dependent dimerization of ribosome', </w:t>
      </w:r>
      <w:r w:rsidRPr="00720DB4">
        <w:rPr>
          <w:rFonts w:ascii="Times New Roman" w:hAnsi="Times New Roman" w:cs="Times New Roman"/>
          <w:i/>
        </w:rPr>
        <w:t>Microbiologyopen,</w:t>
      </w:r>
      <w:r w:rsidRPr="00720DB4">
        <w:rPr>
          <w:rFonts w:ascii="Times New Roman" w:hAnsi="Times New Roman" w:cs="Times New Roman"/>
        </w:rPr>
        <w:t xml:space="preserve"> 1(2), pp. 115-134.</w:t>
      </w:r>
    </w:p>
    <w:p w14:paraId="4AAA9DC4" w14:textId="77777777" w:rsidR="00563A1E" w:rsidRPr="00720DB4" w:rsidRDefault="00563A1E" w:rsidP="00720DB4">
      <w:pPr>
        <w:pStyle w:val="EndNoteBibliography"/>
        <w:spacing w:after="0"/>
        <w:jc w:val="both"/>
        <w:rPr>
          <w:rFonts w:ascii="Times New Roman" w:hAnsi="Times New Roman" w:cs="Times New Roman"/>
        </w:rPr>
      </w:pPr>
    </w:p>
    <w:p w14:paraId="615C087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Takada, H., Roghanian, M., Caballero-Montes, J., Van Nerom, K., Jimmy, S., Kudrin, P., Trebini, F., Murayama, R., Akanuma, G., Garcia-Pino, A. and Hauryliuk, V. (2021) 'Ribosome association primes the stringent factor Rel for tRNA-dependent locking in the A-site and activation of (p)ppGpp synthesis', </w:t>
      </w:r>
      <w:r w:rsidRPr="00720DB4">
        <w:rPr>
          <w:rFonts w:ascii="Times New Roman" w:hAnsi="Times New Roman" w:cs="Times New Roman"/>
          <w:i/>
        </w:rPr>
        <w:t>Nucleic Acids Research,</w:t>
      </w:r>
      <w:r w:rsidRPr="00720DB4">
        <w:rPr>
          <w:rFonts w:ascii="Times New Roman" w:hAnsi="Times New Roman" w:cs="Times New Roman"/>
        </w:rPr>
        <w:t xml:space="preserve"> 49(1), pp. 444-457.</w:t>
      </w:r>
    </w:p>
    <w:p w14:paraId="778B4839" w14:textId="77777777" w:rsidR="00563A1E" w:rsidRPr="00720DB4" w:rsidRDefault="00563A1E" w:rsidP="00720DB4">
      <w:pPr>
        <w:pStyle w:val="EndNoteBibliography"/>
        <w:spacing w:after="0"/>
        <w:jc w:val="both"/>
        <w:rPr>
          <w:rFonts w:ascii="Times New Roman" w:hAnsi="Times New Roman" w:cs="Times New Roman"/>
        </w:rPr>
      </w:pPr>
    </w:p>
    <w:p w14:paraId="3CFEDB0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Takada, H., Roghanian, M., Murina, V., Dzhygyr, I., Murayama, R., Akanuma, G., Atkinson, G. C., Garcia-Pino, A. and Hauryliuk, V. (2020) 'The C-Terminal RRM/ACT Domain Is Crucial for Fine-Tuning the Activation of 'Long' RelA-SpoT Homolog Enzymes by Ribosomal Complexes', </w:t>
      </w:r>
      <w:r w:rsidRPr="00720DB4">
        <w:rPr>
          <w:rFonts w:ascii="Times New Roman" w:hAnsi="Times New Roman" w:cs="Times New Roman"/>
          <w:i/>
        </w:rPr>
        <w:t>Frontiers in Microbiology,</w:t>
      </w:r>
      <w:r w:rsidRPr="00720DB4">
        <w:rPr>
          <w:rFonts w:ascii="Times New Roman" w:hAnsi="Times New Roman" w:cs="Times New Roman"/>
        </w:rPr>
        <w:t xml:space="preserve"> 11.</w:t>
      </w:r>
    </w:p>
    <w:p w14:paraId="0DD9FCC5" w14:textId="77777777" w:rsidR="00563A1E" w:rsidRPr="00720DB4" w:rsidRDefault="00563A1E" w:rsidP="00720DB4">
      <w:pPr>
        <w:pStyle w:val="EndNoteBibliography"/>
        <w:spacing w:after="0"/>
        <w:jc w:val="both"/>
        <w:rPr>
          <w:rFonts w:ascii="Times New Roman" w:hAnsi="Times New Roman" w:cs="Times New Roman"/>
        </w:rPr>
      </w:pPr>
    </w:p>
    <w:p w14:paraId="606E6E5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Takahashi, M., Iwaki, D., Kanno, K., Ishida, Y., Xiong, J., Matsushita, M., Endo, Y., Miura, S., Ishii, N., Sugamura, K. and Fujita, T. (2008) 'Mannose-binding lectin (MBL)-associated serine protease (MASP)-1 contributes to activation of the lectin complement pathway', </w:t>
      </w:r>
      <w:r w:rsidRPr="00720DB4">
        <w:rPr>
          <w:rFonts w:ascii="Times New Roman" w:hAnsi="Times New Roman" w:cs="Times New Roman"/>
          <w:i/>
        </w:rPr>
        <w:t>Journal of Immunology,</w:t>
      </w:r>
      <w:r w:rsidRPr="00720DB4">
        <w:rPr>
          <w:rFonts w:ascii="Times New Roman" w:hAnsi="Times New Roman" w:cs="Times New Roman"/>
        </w:rPr>
        <w:t xml:space="preserve"> 180(9), pp. 6132-6138.</w:t>
      </w:r>
    </w:p>
    <w:p w14:paraId="12C01525" w14:textId="77777777" w:rsidR="00563A1E" w:rsidRPr="00720DB4" w:rsidRDefault="00563A1E" w:rsidP="00720DB4">
      <w:pPr>
        <w:pStyle w:val="EndNoteBibliography"/>
        <w:spacing w:after="0"/>
        <w:jc w:val="both"/>
        <w:rPr>
          <w:rFonts w:ascii="Times New Roman" w:hAnsi="Times New Roman" w:cs="Times New Roman"/>
        </w:rPr>
      </w:pPr>
    </w:p>
    <w:p w14:paraId="70371E9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Takei, H., Araki, A., Watanabe, H., Ichinose, A. and Sendo, F. (1996) 'Rapid killing of human neutrophils by the potent activator phorbol 12-myristate 13-acetate (PMA) accompanied by changes different from typical apoptosis or necrosis', </w:t>
      </w:r>
      <w:r w:rsidRPr="00720DB4">
        <w:rPr>
          <w:rFonts w:ascii="Times New Roman" w:hAnsi="Times New Roman" w:cs="Times New Roman"/>
          <w:i/>
        </w:rPr>
        <w:t>Journal of Leukocyte Biology,</w:t>
      </w:r>
      <w:r w:rsidRPr="00720DB4">
        <w:rPr>
          <w:rFonts w:ascii="Times New Roman" w:hAnsi="Times New Roman" w:cs="Times New Roman"/>
        </w:rPr>
        <w:t xml:space="preserve"> 59(2), pp. 229-240.</w:t>
      </w:r>
    </w:p>
    <w:p w14:paraId="5802DB4D" w14:textId="77777777" w:rsidR="00563A1E" w:rsidRPr="00720DB4" w:rsidRDefault="00563A1E" w:rsidP="00720DB4">
      <w:pPr>
        <w:pStyle w:val="EndNoteBibliography"/>
        <w:spacing w:after="0"/>
        <w:jc w:val="both"/>
        <w:rPr>
          <w:rFonts w:ascii="Times New Roman" w:hAnsi="Times New Roman" w:cs="Times New Roman"/>
        </w:rPr>
      </w:pPr>
    </w:p>
    <w:p w14:paraId="0C70DA8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Takeuchi, O., Hoshino, K., Kawai, T., Sanjo, H., Takada, H., Ogawa, T., Takeda, K. and Akira, S. (1999) 'Differential roles of TLR2 and TLR4 in recognition of gram-negative and gram-positive bacterial cell wall components', </w:t>
      </w:r>
      <w:r w:rsidRPr="00720DB4">
        <w:rPr>
          <w:rFonts w:ascii="Times New Roman" w:hAnsi="Times New Roman" w:cs="Times New Roman"/>
          <w:i/>
        </w:rPr>
        <w:t>Immunity,</w:t>
      </w:r>
      <w:r w:rsidRPr="00720DB4">
        <w:rPr>
          <w:rFonts w:ascii="Times New Roman" w:hAnsi="Times New Roman" w:cs="Times New Roman"/>
        </w:rPr>
        <w:t xml:space="preserve"> 11(4), pp. 443-451.</w:t>
      </w:r>
    </w:p>
    <w:p w14:paraId="30783B44" w14:textId="77777777" w:rsidR="00563A1E" w:rsidRPr="00720DB4" w:rsidRDefault="00563A1E" w:rsidP="00720DB4">
      <w:pPr>
        <w:pStyle w:val="EndNoteBibliography"/>
        <w:spacing w:after="0"/>
        <w:jc w:val="both"/>
        <w:rPr>
          <w:rFonts w:ascii="Times New Roman" w:hAnsi="Times New Roman" w:cs="Times New Roman"/>
        </w:rPr>
      </w:pPr>
    </w:p>
    <w:p w14:paraId="0E4DF9D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Takeuchi, O., Sato, S., Horiuchi, T., Hoshino, K., Takeda, K., Dong, Z. Y., Modlin, R. L. and Akira, S. (2002) 'Cutting edge: Role of Toll-like receptor 1 in mediating immune response to microbial lipoproteins', </w:t>
      </w:r>
      <w:r w:rsidRPr="00720DB4">
        <w:rPr>
          <w:rFonts w:ascii="Times New Roman" w:hAnsi="Times New Roman" w:cs="Times New Roman"/>
          <w:i/>
        </w:rPr>
        <w:t>Journal of Immunology,</w:t>
      </w:r>
      <w:r w:rsidRPr="00720DB4">
        <w:rPr>
          <w:rFonts w:ascii="Times New Roman" w:hAnsi="Times New Roman" w:cs="Times New Roman"/>
        </w:rPr>
        <w:t xml:space="preserve"> 169(1), pp. 10-14.</w:t>
      </w:r>
    </w:p>
    <w:p w14:paraId="31DE0A1B" w14:textId="77777777" w:rsidR="00563A1E" w:rsidRPr="00720DB4" w:rsidRDefault="00563A1E" w:rsidP="00720DB4">
      <w:pPr>
        <w:pStyle w:val="EndNoteBibliography"/>
        <w:spacing w:after="0"/>
        <w:jc w:val="both"/>
        <w:rPr>
          <w:rFonts w:ascii="Times New Roman" w:hAnsi="Times New Roman" w:cs="Times New Roman"/>
        </w:rPr>
      </w:pPr>
    </w:p>
    <w:p w14:paraId="3DE77FC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Tamman, H., Ernits, K., Roghanian, M., Ainelo, A., Julius, C., Perrier, A., Talavera, A., Ainelo, H., Dugauquier, R., Zedek, S., Thureau, A., Perez, J., Lima-Mendez, G., Hallez, R., Atkinson, G. C., Hauryliuk, V. and Garcia-Pino, A. (2022) 'Structure of SpoT reveals evolutionary tuning of catalysis via conformational constraint', </w:t>
      </w:r>
      <w:r w:rsidRPr="00720DB4">
        <w:rPr>
          <w:rFonts w:ascii="Times New Roman" w:hAnsi="Times New Roman" w:cs="Times New Roman"/>
          <w:i/>
        </w:rPr>
        <w:t>Nature Chemical Biology</w:t>
      </w:r>
      <w:r w:rsidRPr="00720DB4">
        <w:rPr>
          <w:rFonts w:ascii="Times New Roman" w:hAnsi="Times New Roman" w:cs="Times New Roman"/>
        </w:rPr>
        <w:t>.</w:t>
      </w:r>
    </w:p>
    <w:p w14:paraId="7BDDD9F8" w14:textId="77777777" w:rsidR="00563A1E" w:rsidRPr="00720DB4" w:rsidRDefault="00563A1E" w:rsidP="00720DB4">
      <w:pPr>
        <w:pStyle w:val="EndNoteBibliography"/>
        <w:spacing w:after="0"/>
        <w:jc w:val="both"/>
        <w:rPr>
          <w:rFonts w:ascii="Times New Roman" w:hAnsi="Times New Roman" w:cs="Times New Roman"/>
        </w:rPr>
      </w:pPr>
    </w:p>
    <w:p w14:paraId="59D44C6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Tang, X., Basavarajappa, D., Haeggstrom, J. Z. and Wan, M. (2015) 'P2X(7) Receptor Regulates Internalization of Antimicrobial Peptide LL-37 by Human Macrophages That Promotes Intracellular Pathogen Clearance', </w:t>
      </w:r>
      <w:r w:rsidRPr="00720DB4">
        <w:rPr>
          <w:rFonts w:ascii="Times New Roman" w:hAnsi="Times New Roman" w:cs="Times New Roman"/>
          <w:i/>
        </w:rPr>
        <w:t>Journal of Immunology,</w:t>
      </w:r>
      <w:r w:rsidRPr="00720DB4">
        <w:rPr>
          <w:rFonts w:ascii="Times New Roman" w:hAnsi="Times New Roman" w:cs="Times New Roman"/>
        </w:rPr>
        <w:t xml:space="preserve"> 195(3), pp. 1191-1201.</w:t>
      </w:r>
    </w:p>
    <w:p w14:paraId="61941593" w14:textId="77777777" w:rsidR="00563A1E" w:rsidRPr="00720DB4" w:rsidRDefault="00563A1E" w:rsidP="00720DB4">
      <w:pPr>
        <w:pStyle w:val="EndNoteBibliography"/>
        <w:spacing w:after="0"/>
        <w:jc w:val="both"/>
        <w:rPr>
          <w:rFonts w:ascii="Times New Roman" w:hAnsi="Times New Roman" w:cs="Times New Roman"/>
        </w:rPr>
      </w:pPr>
    </w:p>
    <w:p w14:paraId="3F4AF43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Tarkowski, A., Collins, L. V., Gjertsson, I., Hultgren, O. H., Jonsson, I. M., Sakiniene, E. and Verdrengh, M. (2001) 'Model systems: Modeling human staphylococcal arthritis and sepsis in the mouse', </w:t>
      </w:r>
      <w:r w:rsidRPr="00720DB4">
        <w:rPr>
          <w:rFonts w:ascii="Times New Roman" w:hAnsi="Times New Roman" w:cs="Times New Roman"/>
          <w:i/>
        </w:rPr>
        <w:t>Trends in Microbiology,</w:t>
      </w:r>
      <w:r w:rsidRPr="00720DB4">
        <w:rPr>
          <w:rFonts w:ascii="Times New Roman" w:hAnsi="Times New Roman" w:cs="Times New Roman"/>
        </w:rPr>
        <w:t xml:space="preserve"> 9(7), pp. 321-326.</w:t>
      </w:r>
    </w:p>
    <w:p w14:paraId="438DCC6C" w14:textId="77777777" w:rsidR="00563A1E" w:rsidRPr="00720DB4" w:rsidRDefault="00563A1E" w:rsidP="00720DB4">
      <w:pPr>
        <w:pStyle w:val="EndNoteBibliography"/>
        <w:spacing w:after="0"/>
        <w:jc w:val="both"/>
        <w:rPr>
          <w:rFonts w:ascii="Times New Roman" w:hAnsi="Times New Roman" w:cs="Times New Roman"/>
        </w:rPr>
      </w:pPr>
    </w:p>
    <w:p w14:paraId="537ABB6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Tauber, A. I. (2003) 'Metchnikoff and the phagocytosis theory', </w:t>
      </w:r>
      <w:r w:rsidRPr="00720DB4">
        <w:rPr>
          <w:rFonts w:ascii="Times New Roman" w:hAnsi="Times New Roman" w:cs="Times New Roman"/>
          <w:i/>
        </w:rPr>
        <w:t>Nature Reviews Molecular Cell Biology,</w:t>
      </w:r>
      <w:r w:rsidRPr="00720DB4">
        <w:rPr>
          <w:rFonts w:ascii="Times New Roman" w:hAnsi="Times New Roman" w:cs="Times New Roman"/>
        </w:rPr>
        <w:t xml:space="preserve"> 4(11), pp. 897-901.</w:t>
      </w:r>
    </w:p>
    <w:p w14:paraId="338F684E" w14:textId="77777777" w:rsidR="00563A1E" w:rsidRPr="00720DB4" w:rsidRDefault="00563A1E" w:rsidP="00720DB4">
      <w:pPr>
        <w:pStyle w:val="EndNoteBibliography"/>
        <w:spacing w:after="0"/>
        <w:jc w:val="both"/>
        <w:rPr>
          <w:rFonts w:ascii="Times New Roman" w:hAnsi="Times New Roman" w:cs="Times New Roman"/>
        </w:rPr>
      </w:pPr>
    </w:p>
    <w:p w14:paraId="4B68CCF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Taylor, C. A., Beresford, M., Epton, H. A. S., Sigee, D. C., Shama, G., Andrew, P. W. and Roberts, I. S. (2002) '</w:t>
      </w:r>
      <w:r w:rsidRPr="00563A1E">
        <w:rPr>
          <w:rFonts w:ascii="Times New Roman" w:hAnsi="Times New Roman" w:cs="Times New Roman"/>
          <w:i/>
          <w:iCs/>
        </w:rPr>
        <w:t>Listeria monocytogenes relA</w:t>
      </w:r>
      <w:r w:rsidRPr="00563A1E">
        <w:rPr>
          <w:rFonts w:ascii="Times New Roman" w:hAnsi="Times New Roman" w:cs="Times New Roman"/>
        </w:rPr>
        <w:t xml:space="preserve"> and</w:t>
      </w:r>
      <w:r w:rsidRPr="00563A1E">
        <w:rPr>
          <w:rFonts w:ascii="Times New Roman" w:hAnsi="Times New Roman" w:cs="Times New Roman"/>
          <w:i/>
          <w:iCs/>
        </w:rPr>
        <w:t xml:space="preserve"> hpt</w:t>
      </w:r>
      <w:r w:rsidRPr="00720DB4">
        <w:rPr>
          <w:rFonts w:ascii="Times New Roman" w:hAnsi="Times New Roman" w:cs="Times New Roman"/>
        </w:rPr>
        <w:t xml:space="preserve"> mutants are impaired in surface-attached growth and virulence', </w:t>
      </w:r>
      <w:r w:rsidRPr="00720DB4">
        <w:rPr>
          <w:rFonts w:ascii="Times New Roman" w:hAnsi="Times New Roman" w:cs="Times New Roman"/>
          <w:i/>
        </w:rPr>
        <w:t>Journal of Bacteriology,</w:t>
      </w:r>
      <w:r w:rsidRPr="00720DB4">
        <w:rPr>
          <w:rFonts w:ascii="Times New Roman" w:hAnsi="Times New Roman" w:cs="Times New Roman"/>
        </w:rPr>
        <w:t xml:space="preserve"> 184(3), pp. 621-628.</w:t>
      </w:r>
    </w:p>
    <w:p w14:paraId="35EF2CA8" w14:textId="77777777" w:rsidR="00563A1E" w:rsidRDefault="00563A1E" w:rsidP="00720DB4">
      <w:pPr>
        <w:pStyle w:val="EndNoteBibliography"/>
        <w:spacing w:after="0"/>
        <w:jc w:val="both"/>
        <w:rPr>
          <w:rFonts w:ascii="Times New Roman" w:hAnsi="Times New Roman" w:cs="Times New Roman"/>
        </w:rPr>
      </w:pPr>
    </w:p>
    <w:p w14:paraId="0AC07B30" w14:textId="77777777" w:rsidR="00563A1E" w:rsidRPr="00720DB4" w:rsidRDefault="00563A1E" w:rsidP="00720DB4">
      <w:pPr>
        <w:pStyle w:val="EndNoteBibliography"/>
        <w:spacing w:after="0"/>
        <w:jc w:val="both"/>
        <w:rPr>
          <w:rFonts w:ascii="Times New Roman" w:hAnsi="Times New Roman" w:cs="Times New Roman"/>
        </w:rPr>
      </w:pPr>
    </w:p>
    <w:p w14:paraId="3D49C8A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Teame, T., Zhang, Z., Ran, C., Zhang, H. L., Yang, Y. L., Ding, Q. W., Xie, M. X., Goo, C. C., Ye, Y. G., Duan, M. and Zhou, Z. G. (2019) 'The use of zebrafish (</w:t>
      </w:r>
      <w:r w:rsidRPr="00563A1E">
        <w:rPr>
          <w:rFonts w:ascii="Times New Roman" w:hAnsi="Times New Roman" w:cs="Times New Roman"/>
          <w:i/>
          <w:iCs/>
        </w:rPr>
        <w:t>Danio rerio</w:t>
      </w:r>
      <w:r w:rsidRPr="00720DB4">
        <w:rPr>
          <w:rFonts w:ascii="Times New Roman" w:hAnsi="Times New Roman" w:cs="Times New Roman"/>
        </w:rPr>
        <w:t xml:space="preserve">) as biomedical models', </w:t>
      </w:r>
      <w:r w:rsidRPr="00720DB4">
        <w:rPr>
          <w:rFonts w:ascii="Times New Roman" w:hAnsi="Times New Roman" w:cs="Times New Roman"/>
          <w:i/>
        </w:rPr>
        <w:t>Animal Frontiers,</w:t>
      </w:r>
      <w:r w:rsidRPr="00720DB4">
        <w:rPr>
          <w:rFonts w:ascii="Times New Roman" w:hAnsi="Times New Roman" w:cs="Times New Roman"/>
        </w:rPr>
        <w:t xml:space="preserve"> 9(3), pp. 68-77.</w:t>
      </w:r>
    </w:p>
    <w:p w14:paraId="5A0BBA81" w14:textId="77777777" w:rsidR="00563A1E" w:rsidRPr="00720DB4" w:rsidRDefault="00563A1E" w:rsidP="00720DB4">
      <w:pPr>
        <w:pStyle w:val="EndNoteBibliography"/>
        <w:spacing w:after="0"/>
        <w:jc w:val="both"/>
        <w:rPr>
          <w:rFonts w:ascii="Times New Roman" w:hAnsi="Times New Roman" w:cs="Times New Roman"/>
        </w:rPr>
      </w:pPr>
    </w:p>
    <w:p w14:paraId="418D862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Tesch, W., Ryffel, C., Strassle, A., Kayser, F. H. and Bergerbachi, B. (1990) 'EVIDENCE OF A NOVEL STAPHYLOCOCCAL MEC-ENCODED ELEMENT (MECR) CONTROLLING EXPRESSION OF PENICILLIN-BINDING PROTEIN 2'', </w:t>
      </w:r>
      <w:r w:rsidRPr="00720DB4">
        <w:rPr>
          <w:rFonts w:ascii="Times New Roman" w:hAnsi="Times New Roman" w:cs="Times New Roman"/>
          <w:i/>
        </w:rPr>
        <w:t>Antimicrobial Agents and Chemotherapy,</w:t>
      </w:r>
      <w:r w:rsidRPr="00720DB4">
        <w:rPr>
          <w:rFonts w:ascii="Times New Roman" w:hAnsi="Times New Roman" w:cs="Times New Roman"/>
        </w:rPr>
        <w:t xml:space="preserve"> 34(9), pp. 1703-1706.</w:t>
      </w:r>
    </w:p>
    <w:p w14:paraId="627AB9CA" w14:textId="77777777" w:rsidR="00563A1E" w:rsidRPr="00720DB4" w:rsidRDefault="00563A1E" w:rsidP="00720DB4">
      <w:pPr>
        <w:pStyle w:val="EndNoteBibliography"/>
        <w:spacing w:after="0"/>
        <w:jc w:val="both"/>
        <w:rPr>
          <w:rFonts w:ascii="Times New Roman" w:hAnsi="Times New Roman" w:cs="Times New Roman"/>
        </w:rPr>
      </w:pPr>
    </w:p>
    <w:p w14:paraId="0720E34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Theil, K. S. (2012) </w:t>
      </w:r>
      <w:r w:rsidRPr="00720DB4">
        <w:rPr>
          <w:rFonts w:ascii="Times New Roman" w:hAnsi="Times New Roman" w:cs="Times New Roman"/>
          <w:i/>
        </w:rPr>
        <w:t>Laboratory Hematology Practice, Bone Marrow Processing and Normal Morphology.</w:t>
      </w:r>
      <w:r w:rsidRPr="00720DB4">
        <w:rPr>
          <w:rFonts w:ascii="Times New Roman" w:hAnsi="Times New Roman" w:cs="Times New Roman"/>
        </w:rPr>
        <w:t xml:space="preserve"> Blackwell Publishing Ltd, p. 279-299.</w:t>
      </w:r>
    </w:p>
    <w:p w14:paraId="54A2FC5E" w14:textId="77777777" w:rsidR="00563A1E" w:rsidRPr="00720DB4" w:rsidRDefault="00563A1E" w:rsidP="00720DB4">
      <w:pPr>
        <w:pStyle w:val="EndNoteBibliography"/>
        <w:spacing w:after="0"/>
        <w:jc w:val="both"/>
        <w:rPr>
          <w:rFonts w:ascii="Times New Roman" w:hAnsi="Times New Roman" w:cs="Times New Roman"/>
        </w:rPr>
      </w:pPr>
    </w:p>
    <w:p w14:paraId="4FAA492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Thurman, J. M. and Holers, V. M. (2006) 'The central role of the alternative complement pathway in human disease', </w:t>
      </w:r>
      <w:r w:rsidRPr="00720DB4">
        <w:rPr>
          <w:rFonts w:ascii="Times New Roman" w:hAnsi="Times New Roman" w:cs="Times New Roman"/>
          <w:i/>
        </w:rPr>
        <w:t>Journal of Immunology,</w:t>
      </w:r>
      <w:r w:rsidRPr="00720DB4">
        <w:rPr>
          <w:rFonts w:ascii="Times New Roman" w:hAnsi="Times New Roman" w:cs="Times New Roman"/>
        </w:rPr>
        <w:t xml:space="preserve"> 176(3), pp. 1305-1310.</w:t>
      </w:r>
    </w:p>
    <w:p w14:paraId="43421F00" w14:textId="77777777" w:rsidR="00563A1E" w:rsidRPr="00720DB4" w:rsidRDefault="00563A1E" w:rsidP="00720DB4">
      <w:pPr>
        <w:pStyle w:val="EndNoteBibliography"/>
        <w:spacing w:after="0"/>
        <w:jc w:val="both"/>
        <w:rPr>
          <w:rFonts w:ascii="Times New Roman" w:hAnsi="Times New Roman" w:cs="Times New Roman"/>
        </w:rPr>
      </w:pPr>
    </w:p>
    <w:p w14:paraId="33142CD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Thwaites, G. E. and Gant, V. (2011) 'Are bloodstream leukocytes Trojan Horses for the metastasis of </w:t>
      </w:r>
      <w:r w:rsidRPr="009460F7">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Nature Reviews Microbiology,</w:t>
      </w:r>
      <w:r w:rsidRPr="00720DB4">
        <w:rPr>
          <w:rFonts w:ascii="Times New Roman" w:hAnsi="Times New Roman" w:cs="Times New Roman"/>
        </w:rPr>
        <w:t xml:space="preserve"> 9(3), pp. 215-222.</w:t>
      </w:r>
    </w:p>
    <w:p w14:paraId="6CF653F3" w14:textId="77777777" w:rsidR="009460F7" w:rsidRPr="00720DB4" w:rsidRDefault="009460F7" w:rsidP="00720DB4">
      <w:pPr>
        <w:pStyle w:val="EndNoteBibliography"/>
        <w:spacing w:after="0"/>
        <w:jc w:val="both"/>
        <w:rPr>
          <w:rFonts w:ascii="Times New Roman" w:hAnsi="Times New Roman" w:cs="Times New Roman"/>
        </w:rPr>
      </w:pPr>
    </w:p>
    <w:p w14:paraId="7266B22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Tomlinson, K. L., Lung, T. W. F., Dach, F., Annavajhala, M. K., Gabryszewski, S. J., Groves, R. A., Drikic, M., Francoeur, N. J., Sridhar, S. H., Smith, M. L., Khanal, S., Britto, C. J., Sebra, R., Lewis, I., Uhlemann, A. C., Kahl, B. C., Prince, A. S. and Riquelme, S. A. (2021) '</w:t>
      </w:r>
      <w:r w:rsidRPr="009460F7">
        <w:rPr>
          <w:rFonts w:ascii="Times New Roman" w:hAnsi="Times New Roman" w:cs="Times New Roman"/>
          <w:i/>
          <w:iCs/>
        </w:rPr>
        <w:t>Staphylococcus aureus</w:t>
      </w:r>
      <w:r w:rsidRPr="00720DB4">
        <w:rPr>
          <w:rFonts w:ascii="Times New Roman" w:hAnsi="Times New Roman" w:cs="Times New Roman"/>
        </w:rPr>
        <w:t xml:space="preserve"> induces an itaconate-dominated immunometabolic response that drives biofilm formation', </w:t>
      </w:r>
      <w:r w:rsidRPr="00720DB4">
        <w:rPr>
          <w:rFonts w:ascii="Times New Roman" w:hAnsi="Times New Roman" w:cs="Times New Roman"/>
          <w:i/>
        </w:rPr>
        <w:t>Nature Communications,</w:t>
      </w:r>
      <w:r w:rsidRPr="00720DB4">
        <w:rPr>
          <w:rFonts w:ascii="Times New Roman" w:hAnsi="Times New Roman" w:cs="Times New Roman"/>
        </w:rPr>
        <w:t xml:space="preserve"> 12(1).</w:t>
      </w:r>
    </w:p>
    <w:p w14:paraId="2346FDDB" w14:textId="77777777" w:rsidR="009460F7" w:rsidRPr="00720DB4" w:rsidRDefault="009460F7" w:rsidP="00720DB4">
      <w:pPr>
        <w:pStyle w:val="EndNoteBibliography"/>
        <w:spacing w:after="0"/>
        <w:jc w:val="both"/>
        <w:rPr>
          <w:rFonts w:ascii="Times New Roman" w:hAnsi="Times New Roman" w:cs="Times New Roman"/>
        </w:rPr>
      </w:pPr>
    </w:p>
    <w:p w14:paraId="17D0F18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Tomlinson, K. L., Riquelme, S. A., Baskota, S. U., Drikic, M., Monk, I. R., Stinear, T. P., Lewis, I. A. and Prince, A. S. (2023) '</w:t>
      </w:r>
      <w:r w:rsidRPr="00720DB4">
        <w:rPr>
          <w:rFonts w:ascii="Times New Roman" w:hAnsi="Times New Roman" w:cs="Times New Roman"/>
          <w:i/>
        </w:rPr>
        <w:t>Staphylococcus aureus</w:t>
      </w:r>
      <w:r w:rsidRPr="00720DB4">
        <w:rPr>
          <w:rFonts w:ascii="Times New Roman" w:hAnsi="Times New Roman" w:cs="Times New Roman"/>
        </w:rPr>
        <w:t xml:space="preserve"> stimulates neutrophil itaconate production that suppresses the oxidative burst', </w:t>
      </w:r>
      <w:r w:rsidRPr="00720DB4">
        <w:rPr>
          <w:rFonts w:ascii="Times New Roman" w:hAnsi="Times New Roman" w:cs="Times New Roman"/>
          <w:i/>
        </w:rPr>
        <w:t>Cell Reports,</w:t>
      </w:r>
      <w:r w:rsidRPr="00720DB4">
        <w:rPr>
          <w:rFonts w:ascii="Times New Roman" w:hAnsi="Times New Roman" w:cs="Times New Roman"/>
        </w:rPr>
        <w:t xml:space="preserve"> 42(2).</w:t>
      </w:r>
    </w:p>
    <w:p w14:paraId="1C6AAEF8" w14:textId="77777777" w:rsidR="009460F7" w:rsidRPr="00720DB4" w:rsidRDefault="009460F7" w:rsidP="00720DB4">
      <w:pPr>
        <w:pStyle w:val="EndNoteBibliography"/>
        <w:spacing w:after="0"/>
        <w:jc w:val="both"/>
        <w:rPr>
          <w:rFonts w:ascii="Times New Roman" w:hAnsi="Times New Roman" w:cs="Times New Roman"/>
        </w:rPr>
      </w:pPr>
    </w:p>
    <w:p w14:paraId="4C4A766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Tong, S. Y. C., Chen, L. F. and Fowler, V. G., Jr. (2012) 'Colonization, pathogenicity, host susceptibility, and therapeutics for </w:t>
      </w:r>
      <w:r w:rsidRPr="009460F7">
        <w:rPr>
          <w:rFonts w:ascii="Times New Roman" w:hAnsi="Times New Roman" w:cs="Times New Roman"/>
          <w:i/>
          <w:iCs/>
        </w:rPr>
        <w:t>Staphylococcus aureus</w:t>
      </w:r>
      <w:r w:rsidRPr="00720DB4">
        <w:rPr>
          <w:rFonts w:ascii="Times New Roman" w:hAnsi="Times New Roman" w:cs="Times New Roman"/>
        </w:rPr>
        <w:t xml:space="preserve">: what is the clinical relevance?', </w:t>
      </w:r>
      <w:r w:rsidRPr="00720DB4">
        <w:rPr>
          <w:rFonts w:ascii="Times New Roman" w:hAnsi="Times New Roman" w:cs="Times New Roman"/>
          <w:i/>
        </w:rPr>
        <w:t>Seminars in Immunopathology,</w:t>
      </w:r>
      <w:r w:rsidRPr="00720DB4">
        <w:rPr>
          <w:rFonts w:ascii="Times New Roman" w:hAnsi="Times New Roman" w:cs="Times New Roman"/>
        </w:rPr>
        <w:t xml:space="preserve"> 34(2), pp. 185-200.</w:t>
      </w:r>
    </w:p>
    <w:p w14:paraId="479CD5D5" w14:textId="77777777" w:rsidR="009460F7" w:rsidRPr="00720DB4" w:rsidRDefault="009460F7" w:rsidP="00720DB4">
      <w:pPr>
        <w:pStyle w:val="EndNoteBibliography"/>
        <w:spacing w:after="0"/>
        <w:jc w:val="both"/>
        <w:rPr>
          <w:rFonts w:ascii="Times New Roman" w:hAnsi="Times New Roman" w:cs="Times New Roman"/>
        </w:rPr>
      </w:pPr>
    </w:p>
    <w:p w14:paraId="657EEB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Tong, S. Y. C., Davis, J. S., Eichenberger, E., Holland, T. L. and Fowler, V. G., Jr. (2015) '</w:t>
      </w:r>
      <w:r w:rsidRPr="009460F7">
        <w:rPr>
          <w:rFonts w:ascii="Times New Roman" w:hAnsi="Times New Roman" w:cs="Times New Roman"/>
          <w:i/>
          <w:iCs/>
        </w:rPr>
        <w:t>Staphylococcus aureus</w:t>
      </w:r>
      <w:r w:rsidRPr="00720DB4">
        <w:rPr>
          <w:rFonts w:ascii="Times New Roman" w:hAnsi="Times New Roman" w:cs="Times New Roman"/>
        </w:rPr>
        <w:t xml:space="preserve"> Infections: Epidemiology, Pathophysiology, Clinical Manifestations, and Management', </w:t>
      </w:r>
      <w:r w:rsidRPr="00720DB4">
        <w:rPr>
          <w:rFonts w:ascii="Times New Roman" w:hAnsi="Times New Roman" w:cs="Times New Roman"/>
          <w:i/>
        </w:rPr>
        <w:t>Clinical Microbiology Reviews,</w:t>
      </w:r>
      <w:r w:rsidRPr="00720DB4">
        <w:rPr>
          <w:rFonts w:ascii="Times New Roman" w:hAnsi="Times New Roman" w:cs="Times New Roman"/>
        </w:rPr>
        <w:t xml:space="preserve"> 28(3), pp. 603-661.</w:t>
      </w:r>
    </w:p>
    <w:p w14:paraId="0CA2138A" w14:textId="77777777" w:rsidR="009460F7" w:rsidRPr="00720DB4" w:rsidRDefault="009460F7" w:rsidP="00720DB4">
      <w:pPr>
        <w:pStyle w:val="EndNoteBibliography"/>
        <w:spacing w:after="0"/>
        <w:jc w:val="both"/>
        <w:rPr>
          <w:rFonts w:ascii="Times New Roman" w:hAnsi="Times New Roman" w:cs="Times New Roman"/>
        </w:rPr>
      </w:pPr>
    </w:p>
    <w:p w14:paraId="55020F8C" w14:textId="2A40225D"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Tosetti, B., Ward, B., Grumme, D., Herb, M., Schramm, M., Utermohlen, O., Heukamp, L. C., Kronke, M. and Krut, O. (2021) 'NOX2 Deficiency Permits Sustained Survival of </w:t>
      </w:r>
      <w:r w:rsidRPr="009460F7">
        <w:rPr>
          <w:rFonts w:ascii="Times New Roman" w:hAnsi="Times New Roman" w:cs="Times New Roman"/>
          <w:i/>
          <w:iCs/>
        </w:rPr>
        <w:t>S. aureus</w:t>
      </w:r>
      <w:r w:rsidRPr="00720DB4">
        <w:rPr>
          <w:rFonts w:ascii="Times New Roman" w:hAnsi="Times New Roman" w:cs="Times New Roman"/>
        </w:rPr>
        <w:t xml:space="preserve"> in Macrophages and Contributes to Severity of Infection', </w:t>
      </w:r>
      <w:r w:rsidRPr="00720DB4">
        <w:rPr>
          <w:rFonts w:ascii="Times New Roman" w:hAnsi="Times New Roman" w:cs="Times New Roman"/>
          <w:i/>
        </w:rPr>
        <w:t>Frontiers in Immunology,</w:t>
      </w:r>
      <w:r w:rsidRPr="00720DB4">
        <w:rPr>
          <w:rFonts w:ascii="Times New Roman" w:hAnsi="Times New Roman" w:cs="Times New Roman"/>
        </w:rPr>
        <w:t xml:space="preserve"> 12.</w:t>
      </w:r>
    </w:p>
    <w:p w14:paraId="4F251A13" w14:textId="77777777" w:rsidR="009460F7" w:rsidRPr="00720DB4" w:rsidRDefault="009460F7" w:rsidP="00720DB4">
      <w:pPr>
        <w:pStyle w:val="EndNoteBibliography"/>
        <w:spacing w:after="0"/>
        <w:jc w:val="both"/>
        <w:rPr>
          <w:rFonts w:ascii="Times New Roman" w:hAnsi="Times New Roman" w:cs="Times New Roman"/>
        </w:rPr>
      </w:pPr>
    </w:p>
    <w:p w14:paraId="73E789A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Tozawa, Y. and Nomura, Y. (2011) 'Signalling by the global regulatory molecule ppGpp in bacteria and chloroplasts of land plants', </w:t>
      </w:r>
      <w:r w:rsidRPr="00720DB4">
        <w:rPr>
          <w:rFonts w:ascii="Times New Roman" w:hAnsi="Times New Roman" w:cs="Times New Roman"/>
          <w:i/>
        </w:rPr>
        <w:t>Plant Biology,</w:t>
      </w:r>
      <w:r w:rsidRPr="00720DB4">
        <w:rPr>
          <w:rFonts w:ascii="Times New Roman" w:hAnsi="Times New Roman" w:cs="Times New Roman"/>
        </w:rPr>
        <w:t xml:space="preserve"> 13(5), pp. 699-709.</w:t>
      </w:r>
    </w:p>
    <w:p w14:paraId="347F48F8" w14:textId="77777777" w:rsidR="009460F7" w:rsidRPr="00720DB4" w:rsidRDefault="009460F7" w:rsidP="00720DB4">
      <w:pPr>
        <w:pStyle w:val="EndNoteBibliography"/>
        <w:spacing w:after="0"/>
        <w:jc w:val="both"/>
        <w:rPr>
          <w:rFonts w:ascii="Times New Roman" w:hAnsi="Times New Roman" w:cs="Times New Roman"/>
        </w:rPr>
      </w:pPr>
    </w:p>
    <w:p w14:paraId="200D133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Tran, T. T., Munita, J. M. and Arias, C. A. (2015) 'Mechanisms of drug resistance: daptomycin resistance', </w:t>
      </w:r>
      <w:r w:rsidRPr="00720DB4">
        <w:rPr>
          <w:rFonts w:ascii="Times New Roman" w:hAnsi="Times New Roman" w:cs="Times New Roman"/>
          <w:i/>
        </w:rPr>
        <w:t>Antimicrobial Therapeutics Reviews,</w:t>
      </w:r>
      <w:r w:rsidRPr="00720DB4">
        <w:rPr>
          <w:rFonts w:ascii="Times New Roman" w:hAnsi="Times New Roman" w:cs="Times New Roman"/>
        </w:rPr>
        <w:t xml:space="preserve"> 1354, pp. 32-53.</w:t>
      </w:r>
    </w:p>
    <w:p w14:paraId="508F0560" w14:textId="77777777" w:rsidR="009460F7" w:rsidRPr="00720DB4" w:rsidRDefault="009460F7" w:rsidP="00720DB4">
      <w:pPr>
        <w:pStyle w:val="EndNoteBibliography"/>
        <w:spacing w:after="0"/>
        <w:jc w:val="both"/>
        <w:rPr>
          <w:rFonts w:ascii="Times New Roman" w:hAnsi="Times New Roman" w:cs="Times New Roman"/>
        </w:rPr>
      </w:pPr>
    </w:p>
    <w:p w14:paraId="2D6EBAD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Traver, D., Herbomel, P., Patton, E. E., Murphey, R. D., Yoder, J. A., Litman, G. W., Catic, A., Amemiya, C. T., Zon, L. I. and Trede, N. S. (2003) 'The zebrafish as a model organism to study development of the immune system', </w:t>
      </w:r>
      <w:r w:rsidRPr="00720DB4">
        <w:rPr>
          <w:rFonts w:ascii="Times New Roman" w:hAnsi="Times New Roman" w:cs="Times New Roman"/>
          <w:i/>
        </w:rPr>
        <w:t>Advances in Immunology, Vol 81,</w:t>
      </w:r>
      <w:r w:rsidRPr="00720DB4">
        <w:rPr>
          <w:rFonts w:ascii="Times New Roman" w:hAnsi="Times New Roman" w:cs="Times New Roman"/>
        </w:rPr>
        <w:t xml:space="preserve"> 81, pp. 253-+.</w:t>
      </w:r>
    </w:p>
    <w:p w14:paraId="12276930" w14:textId="77777777" w:rsidR="009460F7" w:rsidRPr="00720DB4" w:rsidRDefault="009460F7" w:rsidP="00720DB4">
      <w:pPr>
        <w:pStyle w:val="EndNoteBibliography"/>
        <w:spacing w:after="0"/>
        <w:jc w:val="both"/>
        <w:rPr>
          <w:rFonts w:ascii="Times New Roman" w:hAnsi="Times New Roman" w:cs="Times New Roman"/>
        </w:rPr>
      </w:pPr>
    </w:p>
    <w:p w14:paraId="5578EAD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Trede, N. S., Langenau, D. M., Traver, D., Look, A. T. and Zon, L. I. (2004) 'The use of zebrafish to understand immunity', </w:t>
      </w:r>
      <w:r w:rsidRPr="00720DB4">
        <w:rPr>
          <w:rFonts w:ascii="Times New Roman" w:hAnsi="Times New Roman" w:cs="Times New Roman"/>
          <w:i/>
        </w:rPr>
        <w:t>Immunity,</w:t>
      </w:r>
      <w:r w:rsidRPr="00720DB4">
        <w:rPr>
          <w:rFonts w:ascii="Times New Roman" w:hAnsi="Times New Roman" w:cs="Times New Roman"/>
        </w:rPr>
        <w:t xml:space="preserve"> 20(4), pp. 367-379.</w:t>
      </w:r>
    </w:p>
    <w:p w14:paraId="17F14E13" w14:textId="77777777" w:rsidR="009460F7" w:rsidRPr="00720DB4" w:rsidRDefault="009460F7" w:rsidP="00720DB4">
      <w:pPr>
        <w:pStyle w:val="EndNoteBibliography"/>
        <w:spacing w:after="0"/>
        <w:jc w:val="both"/>
        <w:rPr>
          <w:rFonts w:ascii="Times New Roman" w:hAnsi="Times New Roman" w:cs="Times New Roman"/>
        </w:rPr>
      </w:pPr>
    </w:p>
    <w:p w14:paraId="58952B9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Tuchscherr, L., Bischoff, M., Lattar, S. M., Llana, M. N., Pfortner, H., Niemann, S., Geraci, J., Van de Vyver, H., Fraunholz, M. J., Cheung, A. L., Herrmann, M., Volker, U., Sordelli, D. O., Peters, G. and Loffler, B. (2015) 'Sigma Factor SigB Is Crucial to Mediate </w:t>
      </w:r>
      <w:r w:rsidRPr="009460F7">
        <w:rPr>
          <w:rFonts w:ascii="Times New Roman" w:hAnsi="Times New Roman" w:cs="Times New Roman"/>
          <w:i/>
          <w:iCs/>
        </w:rPr>
        <w:t>Staphylococcus aureus</w:t>
      </w:r>
      <w:r w:rsidRPr="00720DB4">
        <w:rPr>
          <w:rFonts w:ascii="Times New Roman" w:hAnsi="Times New Roman" w:cs="Times New Roman"/>
        </w:rPr>
        <w:t xml:space="preserve"> Adaptation during Chronic Infections', </w:t>
      </w:r>
      <w:r w:rsidRPr="00720DB4">
        <w:rPr>
          <w:rFonts w:ascii="Times New Roman" w:hAnsi="Times New Roman" w:cs="Times New Roman"/>
          <w:i/>
        </w:rPr>
        <w:t>Plos Pathogens,</w:t>
      </w:r>
      <w:r w:rsidRPr="00720DB4">
        <w:rPr>
          <w:rFonts w:ascii="Times New Roman" w:hAnsi="Times New Roman" w:cs="Times New Roman"/>
        </w:rPr>
        <w:t xml:space="preserve"> 11(4).</w:t>
      </w:r>
    </w:p>
    <w:p w14:paraId="67B74551" w14:textId="77777777" w:rsidR="009460F7" w:rsidRPr="00720DB4" w:rsidRDefault="009460F7" w:rsidP="00720DB4">
      <w:pPr>
        <w:pStyle w:val="EndNoteBibliography"/>
        <w:spacing w:after="0"/>
        <w:jc w:val="both"/>
        <w:rPr>
          <w:rFonts w:ascii="Times New Roman" w:hAnsi="Times New Roman" w:cs="Times New Roman"/>
        </w:rPr>
      </w:pPr>
    </w:p>
    <w:p w14:paraId="74A9584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Turner, N. A., Sharma-Kuinkel, B. K., Maskarinec, S. A., Eichenberger, E. M., Shah, P. P., Carugati, M., Holland, T. L. and Fowler, V. G., Jr. (2019) 'Methicillin-resistant </w:t>
      </w:r>
      <w:r w:rsidRPr="00720DB4">
        <w:rPr>
          <w:rFonts w:ascii="Times New Roman" w:hAnsi="Times New Roman" w:cs="Times New Roman"/>
          <w:i/>
        </w:rPr>
        <w:t>Staphylococcus aureus</w:t>
      </w:r>
      <w:r w:rsidRPr="00720DB4">
        <w:rPr>
          <w:rFonts w:ascii="Times New Roman" w:hAnsi="Times New Roman" w:cs="Times New Roman"/>
        </w:rPr>
        <w:t xml:space="preserve">: an overview of basic and clinical research', </w:t>
      </w:r>
      <w:r w:rsidRPr="00720DB4">
        <w:rPr>
          <w:rFonts w:ascii="Times New Roman" w:hAnsi="Times New Roman" w:cs="Times New Roman"/>
          <w:i/>
        </w:rPr>
        <w:t>Nature Reviews Microbiology,</w:t>
      </w:r>
      <w:r w:rsidRPr="00720DB4">
        <w:rPr>
          <w:rFonts w:ascii="Times New Roman" w:hAnsi="Times New Roman" w:cs="Times New Roman"/>
        </w:rPr>
        <w:t xml:space="preserve"> 17(4), pp. 203-218.</w:t>
      </w:r>
    </w:p>
    <w:p w14:paraId="632FBA1C" w14:textId="77777777" w:rsidR="009460F7" w:rsidRPr="00720DB4" w:rsidRDefault="009460F7" w:rsidP="00720DB4">
      <w:pPr>
        <w:pStyle w:val="EndNoteBibliography"/>
        <w:spacing w:after="0"/>
        <w:jc w:val="both"/>
        <w:rPr>
          <w:rFonts w:ascii="Times New Roman" w:hAnsi="Times New Roman" w:cs="Times New Roman"/>
        </w:rPr>
      </w:pPr>
    </w:p>
    <w:p w14:paraId="22D9FEB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Uicker, W. C., Schaefer, L. and Britton, R. A. (2006) 'The essential GTPase RbgA (YlqF) is required for 50S ribosome assembly in </w:t>
      </w:r>
      <w:r w:rsidRPr="009460F7">
        <w:rPr>
          <w:rFonts w:ascii="Times New Roman" w:hAnsi="Times New Roman" w:cs="Times New Roman"/>
          <w:i/>
          <w:iCs/>
        </w:rPr>
        <w:t>Bacillus subtilis</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59(2), pp. 528-540.</w:t>
      </w:r>
    </w:p>
    <w:p w14:paraId="5FB6F260" w14:textId="77777777" w:rsidR="009460F7" w:rsidRPr="00720DB4" w:rsidRDefault="009460F7" w:rsidP="00720DB4">
      <w:pPr>
        <w:pStyle w:val="EndNoteBibliography"/>
        <w:spacing w:after="0"/>
        <w:jc w:val="both"/>
        <w:rPr>
          <w:rFonts w:ascii="Times New Roman" w:hAnsi="Times New Roman" w:cs="Times New Roman"/>
        </w:rPr>
      </w:pPr>
    </w:p>
    <w:p w14:paraId="085880A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Ullrich, O., Horiuchi, H., Bucci, C. and Zerial, M. (1994) 'MEMBRANE ASSOCIATION OF RAB5 MEDIATED BY GDP-DISSOCIATION INHIBITOR AND ACCOMPANIED BY GDP/GTP EXCHANGE', </w:t>
      </w:r>
      <w:r w:rsidRPr="00720DB4">
        <w:rPr>
          <w:rFonts w:ascii="Times New Roman" w:hAnsi="Times New Roman" w:cs="Times New Roman"/>
          <w:i/>
        </w:rPr>
        <w:t>Nature,</w:t>
      </w:r>
      <w:r w:rsidRPr="00720DB4">
        <w:rPr>
          <w:rFonts w:ascii="Times New Roman" w:hAnsi="Times New Roman" w:cs="Times New Roman"/>
        </w:rPr>
        <w:t xml:space="preserve"> 368(6467), pp. 157-160.</w:t>
      </w:r>
    </w:p>
    <w:p w14:paraId="45234211" w14:textId="77777777" w:rsidR="009460F7" w:rsidRPr="00720DB4" w:rsidRDefault="009460F7" w:rsidP="00720DB4">
      <w:pPr>
        <w:pStyle w:val="EndNoteBibliography"/>
        <w:spacing w:after="0"/>
        <w:jc w:val="both"/>
        <w:rPr>
          <w:rFonts w:ascii="Times New Roman" w:hAnsi="Times New Roman" w:cs="Times New Roman"/>
        </w:rPr>
      </w:pPr>
    </w:p>
    <w:p w14:paraId="057DFBD7" w14:textId="48762A08"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Underhill, D. M., Ozinsky, A., Hajjar, A. M., Stevens, A., Wilson, C. B., Bassetti, M. and Aderem, A. (1999) 'The Toll-like receptor 2 is recruited to macrophage phagosomes and discriminates between pathogens', </w:t>
      </w:r>
      <w:r w:rsidRPr="00720DB4">
        <w:rPr>
          <w:rFonts w:ascii="Times New Roman" w:hAnsi="Times New Roman" w:cs="Times New Roman"/>
          <w:i/>
        </w:rPr>
        <w:t>Nature,</w:t>
      </w:r>
      <w:r w:rsidRPr="00720DB4">
        <w:rPr>
          <w:rFonts w:ascii="Times New Roman" w:hAnsi="Times New Roman" w:cs="Times New Roman"/>
        </w:rPr>
        <w:t xml:space="preserve"> 401(6755), pp. 811-815.</w:t>
      </w:r>
    </w:p>
    <w:p w14:paraId="7D72DFF1" w14:textId="77777777" w:rsidR="009460F7" w:rsidRPr="00720DB4" w:rsidRDefault="009460F7" w:rsidP="00720DB4">
      <w:pPr>
        <w:pStyle w:val="EndNoteBibliography"/>
        <w:spacing w:after="0"/>
        <w:jc w:val="both"/>
        <w:rPr>
          <w:rFonts w:ascii="Times New Roman" w:hAnsi="Times New Roman" w:cs="Times New Roman"/>
        </w:rPr>
      </w:pPr>
    </w:p>
    <w:p w14:paraId="59E6B9A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Urasaki, A., Morvan, G. and Kawakami, K. (2006) 'Functional dissection of the Tol2 transposable element identified the minimal cis-sequence and a highly repetitive sequence in the subterminal region essential for transposition', </w:t>
      </w:r>
      <w:r w:rsidRPr="00720DB4">
        <w:rPr>
          <w:rFonts w:ascii="Times New Roman" w:hAnsi="Times New Roman" w:cs="Times New Roman"/>
          <w:i/>
        </w:rPr>
        <w:t>Genetics,</w:t>
      </w:r>
      <w:r w:rsidRPr="00720DB4">
        <w:rPr>
          <w:rFonts w:ascii="Times New Roman" w:hAnsi="Times New Roman" w:cs="Times New Roman"/>
        </w:rPr>
        <w:t xml:space="preserve"> 174(2), pp. 639-649.</w:t>
      </w:r>
    </w:p>
    <w:p w14:paraId="759C186D" w14:textId="77777777" w:rsidR="009460F7" w:rsidRPr="00720DB4" w:rsidRDefault="009460F7" w:rsidP="00720DB4">
      <w:pPr>
        <w:pStyle w:val="EndNoteBibliography"/>
        <w:spacing w:after="0"/>
        <w:jc w:val="both"/>
        <w:rPr>
          <w:rFonts w:ascii="Times New Roman" w:hAnsi="Times New Roman" w:cs="Times New Roman"/>
        </w:rPr>
      </w:pPr>
    </w:p>
    <w:p w14:paraId="01567BB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Uttley, A. H. C., Collins, C. H., Naidoo, J. and George, R. C. (1988) 'VANCOMYCIN-RESISTANT ENTEROCOCCI', </w:t>
      </w:r>
      <w:r w:rsidRPr="00720DB4">
        <w:rPr>
          <w:rFonts w:ascii="Times New Roman" w:hAnsi="Times New Roman" w:cs="Times New Roman"/>
          <w:i/>
        </w:rPr>
        <w:t>Lancet,</w:t>
      </w:r>
      <w:r w:rsidRPr="00720DB4">
        <w:rPr>
          <w:rFonts w:ascii="Times New Roman" w:hAnsi="Times New Roman" w:cs="Times New Roman"/>
        </w:rPr>
        <w:t xml:space="preserve"> 1(8575-6), pp. 57-58.</w:t>
      </w:r>
    </w:p>
    <w:p w14:paraId="4AC139C7" w14:textId="77777777" w:rsidR="009460F7" w:rsidRPr="00720DB4" w:rsidRDefault="009460F7" w:rsidP="00720DB4">
      <w:pPr>
        <w:pStyle w:val="EndNoteBibliography"/>
        <w:spacing w:after="0"/>
        <w:jc w:val="both"/>
        <w:rPr>
          <w:rFonts w:ascii="Times New Roman" w:hAnsi="Times New Roman" w:cs="Times New Roman"/>
        </w:rPr>
      </w:pPr>
    </w:p>
    <w:p w14:paraId="75DFF72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van Amerongen, M. J., Harmsen, M. C., van Rooijen, N., Petersen, A. H. and van Luyn, M. J. A. (2007) 'Macrophage depletion impairs wound healing and increases left ventricular remodeling after myocardial injury in mice', </w:t>
      </w:r>
      <w:r w:rsidRPr="00720DB4">
        <w:rPr>
          <w:rFonts w:ascii="Times New Roman" w:hAnsi="Times New Roman" w:cs="Times New Roman"/>
          <w:i/>
        </w:rPr>
        <w:t>American Journal of Pathology,</w:t>
      </w:r>
      <w:r w:rsidRPr="00720DB4">
        <w:rPr>
          <w:rFonts w:ascii="Times New Roman" w:hAnsi="Times New Roman" w:cs="Times New Roman"/>
        </w:rPr>
        <w:t xml:space="preserve"> 170(3), pp. 818-829.</w:t>
      </w:r>
    </w:p>
    <w:p w14:paraId="2DABE382" w14:textId="77777777" w:rsidR="009460F7" w:rsidRPr="00720DB4" w:rsidRDefault="009460F7" w:rsidP="00720DB4">
      <w:pPr>
        <w:pStyle w:val="EndNoteBibliography"/>
        <w:spacing w:after="0"/>
        <w:jc w:val="both"/>
        <w:rPr>
          <w:rFonts w:ascii="Times New Roman" w:hAnsi="Times New Roman" w:cs="Times New Roman"/>
        </w:rPr>
      </w:pPr>
    </w:p>
    <w:p w14:paraId="3C00AD7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van Dalen, R., Diaz, J. S. D., Rumpret, M., Fuchsberger, F. F., van Teijlingen, N. H., Hanske, J., Rademacher, C., Geijtenbeek, T. B. H., van Strijp, J. A. G., Weidenmaier, C., Peschel, A., Kaplan, D. H. and van Sorge, N. M. (2019) 'Langerhans Cells Sense </w:t>
      </w:r>
      <w:r w:rsidRPr="009460F7">
        <w:rPr>
          <w:rFonts w:ascii="Times New Roman" w:hAnsi="Times New Roman" w:cs="Times New Roman"/>
          <w:i/>
          <w:iCs/>
        </w:rPr>
        <w:t xml:space="preserve">Staphylococcus aureus </w:t>
      </w:r>
      <w:r w:rsidRPr="00720DB4">
        <w:rPr>
          <w:rFonts w:ascii="Times New Roman" w:hAnsi="Times New Roman" w:cs="Times New Roman"/>
        </w:rPr>
        <w:t xml:space="preserve">Wall Teichoic Acid through Langerin To Induce Inflammatory Responses', </w:t>
      </w:r>
      <w:r w:rsidRPr="00720DB4">
        <w:rPr>
          <w:rFonts w:ascii="Times New Roman" w:hAnsi="Times New Roman" w:cs="Times New Roman"/>
          <w:i/>
        </w:rPr>
        <w:t>Mbio,</w:t>
      </w:r>
      <w:r w:rsidRPr="00720DB4">
        <w:rPr>
          <w:rFonts w:ascii="Times New Roman" w:hAnsi="Times New Roman" w:cs="Times New Roman"/>
        </w:rPr>
        <w:t xml:space="preserve"> 10(3).</w:t>
      </w:r>
    </w:p>
    <w:p w14:paraId="5F85D60A" w14:textId="77777777" w:rsidR="009460F7" w:rsidRPr="00720DB4" w:rsidRDefault="009460F7" w:rsidP="00720DB4">
      <w:pPr>
        <w:pStyle w:val="EndNoteBibliography"/>
        <w:spacing w:after="0"/>
        <w:jc w:val="both"/>
        <w:rPr>
          <w:rFonts w:ascii="Times New Roman" w:hAnsi="Times New Roman" w:cs="Times New Roman"/>
        </w:rPr>
      </w:pPr>
    </w:p>
    <w:p w14:paraId="5D547E2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van Duin, D. and Paterson, D. L. (2020) 'Multidrug-Resistant Bacteria in the Community: An Update', </w:t>
      </w:r>
      <w:r w:rsidRPr="00720DB4">
        <w:rPr>
          <w:rFonts w:ascii="Times New Roman" w:hAnsi="Times New Roman" w:cs="Times New Roman"/>
          <w:i/>
        </w:rPr>
        <w:t>Infectious Disease Clinics of North America,</w:t>
      </w:r>
      <w:r w:rsidRPr="00720DB4">
        <w:rPr>
          <w:rFonts w:ascii="Times New Roman" w:hAnsi="Times New Roman" w:cs="Times New Roman"/>
        </w:rPr>
        <w:t xml:space="preserve"> 34(4), pp. 709-+.</w:t>
      </w:r>
    </w:p>
    <w:p w14:paraId="0BF433BC" w14:textId="77777777" w:rsidR="009460F7" w:rsidRPr="00720DB4" w:rsidRDefault="009460F7" w:rsidP="00720DB4">
      <w:pPr>
        <w:pStyle w:val="EndNoteBibliography"/>
        <w:spacing w:after="0"/>
        <w:jc w:val="both"/>
        <w:rPr>
          <w:rFonts w:ascii="Times New Roman" w:hAnsi="Times New Roman" w:cs="Times New Roman"/>
        </w:rPr>
      </w:pPr>
    </w:p>
    <w:p w14:paraId="4383252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van Hal, S. J., Jensen, S. O., Vaska, V. L., Espedido, B. A., Paterson, D. L. and Gosbell, I. B. (2012) 'Predictors of Mortality in </w:t>
      </w:r>
      <w:r w:rsidRPr="009460F7">
        <w:rPr>
          <w:rFonts w:ascii="Times New Roman" w:hAnsi="Times New Roman" w:cs="Times New Roman"/>
          <w:i/>
          <w:iCs/>
        </w:rPr>
        <w:t xml:space="preserve">Staphylococcus aureus </w:t>
      </w:r>
      <w:r w:rsidRPr="00720DB4">
        <w:rPr>
          <w:rFonts w:ascii="Times New Roman" w:hAnsi="Times New Roman" w:cs="Times New Roman"/>
        </w:rPr>
        <w:t xml:space="preserve">Bacteremia', </w:t>
      </w:r>
      <w:r w:rsidRPr="00720DB4">
        <w:rPr>
          <w:rFonts w:ascii="Times New Roman" w:hAnsi="Times New Roman" w:cs="Times New Roman"/>
          <w:i/>
        </w:rPr>
        <w:t>Clinical Microbiology Reviews,</w:t>
      </w:r>
      <w:r w:rsidRPr="00720DB4">
        <w:rPr>
          <w:rFonts w:ascii="Times New Roman" w:hAnsi="Times New Roman" w:cs="Times New Roman"/>
        </w:rPr>
        <w:t xml:space="preserve"> 25(2), pp. 362-386.</w:t>
      </w:r>
    </w:p>
    <w:p w14:paraId="41756324" w14:textId="77777777" w:rsidR="009460F7" w:rsidRPr="00720DB4" w:rsidRDefault="009460F7" w:rsidP="00720DB4">
      <w:pPr>
        <w:pStyle w:val="EndNoteBibliography"/>
        <w:spacing w:after="0"/>
        <w:jc w:val="both"/>
        <w:rPr>
          <w:rFonts w:ascii="Times New Roman" w:hAnsi="Times New Roman" w:cs="Times New Roman"/>
        </w:rPr>
      </w:pPr>
    </w:p>
    <w:p w14:paraId="6DE8F29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Varik, V., Oliveira, S. R. A., Hauryliuk, V. and Tenson, T. (2017) 'HPLC-based quantification of bacterial housekeeping nucleotides and alarmone messengers ppGpp and pppGpp', </w:t>
      </w:r>
      <w:r w:rsidRPr="00720DB4">
        <w:rPr>
          <w:rFonts w:ascii="Times New Roman" w:hAnsi="Times New Roman" w:cs="Times New Roman"/>
          <w:i/>
        </w:rPr>
        <w:t>Scientific Reports,</w:t>
      </w:r>
      <w:r w:rsidRPr="00720DB4">
        <w:rPr>
          <w:rFonts w:ascii="Times New Roman" w:hAnsi="Times New Roman" w:cs="Times New Roman"/>
        </w:rPr>
        <w:t xml:space="preserve"> 7.</w:t>
      </w:r>
    </w:p>
    <w:p w14:paraId="0F9FE891" w14:textId="77777777" w:rsidR="009460F7" w:rsidRPr="00720DB4" w:rsidRDefault="009460F7" w:rsidP="00720DB4">
      <w:pPr>
        <w:pStyle w:val="EndNoteBibliography"/>
        <w:spacing w:after="0"/>
        <w:jc w:val="both"/>
        <w:rPr>
          <w:rFonts w:ascii="Times New Roman" w:hAnsi="Times New Roman" w:cs="Times New Roman"/>
        </w:rPr>
      </w:pPr>
    </w:p>
    <w:p w14:paraId="33C9ACE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Veiga, E., Guttman, J. A., Bonazzi, M., Boucrot, E., Toledo-Arana, A., Lin, A. E., Enninga, J., Pizarro-Cerda, J., Finlay, B. B., Kirchhausen, T. and Cossart, P. (2007) 'Invasive and adherent bacterial pathogens co-opt host clathrin for infection', </w:t>
      </w:r>
      <w:r w:rsidRPr="00720DB4">
        <w:rPr>
          <w:rFonts w:ascii="Times New Roman" w:hAnsi="Times New Roman" w:cs="Times New Roman"/>
          <w:i/>
        </w:rPr>
        <w:t>Cell Host &amp; Microbe,</w:t>
      </w:r>
      <w:r w:rsidRPr="00720DB4">
        <w:rPr>
          <w:rFonts w:ascii="Times New Roman" w:hAnsi="Times New Roman" w:cs="Times New Roman"/>
        </w:rPr>
        <w:t xml:space="preserve"> 2(5), pp. 340-351.</w:t>
      </w:r>
    </w:p>
    <w:p w14:paraId="7FB1F155" w14:textId="77777777" w:rsidR="009460F7" w:rsidRPr="00720DB4" w:rsidRDefault="009460F7" w:rsidP="00720DB4">
      <w:pPr>
        <w:pStyle w:val="EndNoteBibliography"/>
        <w:spacing w:after="0"/>
        <w:jc w:val="both"/>
        <w:rPr>
          <w:rFonts w:ascii="Times New Roman" w:hAnsi="Times New Roman" w:cs="Times New Roman"/>
        </w:rPr>
      </w:pPr>
    </w:p>
    <w:p w14:paraId="219C848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Verkhusha, V. V., Kuznetsova, I. M., Stepanenko, O. V., Zaraisky, A. G., Shavlovsky, M. M., Turoverov, K. K. and Uversky, V. N. (2003) 'High stability of </w:t>
      </w:r>
      <w:r w:rsidRPr="009460F7">
        <w:rPr>
          <w:rFonts w:ascii="Times New Roman" w:hAnsi="Times New Roman" w:cs="Times New Roman"/>
          <w:i/>
          <w:iCs/>
        </w:rPr>
        <w:t>Discosoma</w:t>
      </w:r>
      <w:r w:rsidRPr="00720DB4">
        <w:rPr>
          <w:rFonts w:ascii="Times New Roman" w:hAnsi="Times New Roman" w:cs="Times New Roman"/>
        </w:rPr>
        <w:t xml:space="preserve"> DsRed as compared to </w:t>
      </w:r>
      <w:r w:rsidRPr="009460F7">
        <w:rPr>
          <w:rFonts w:ascii="Times New Roman" w:hAnsi="Times New Roman" w:cs="Times New Roman"/>
          <w:i/>
          <w:iCs/>
        </w:rPr>
        <w:t>Aequorea</w:t>
      </w:r>
      <w:r w:rsidRPr="00720DB4">
        <w:rPr>
          <w:rFonts w:ascii="Times New Roman" w:hAnsi="Times New Roman" w:cs="Times New Roman"/>
        </w:rPr>
        <w:t xml:space="preserve"> EGFP', </w:t>
      </w:r>
      <w:r w:rsidRPr="00720DB4">
        <w:rPr>
          <w:rFonts w:ascii="Times New Roman" w:hAnsi="Times New Roman" w:cs="Times New Roman"/>
          <w:i/>
        </w:rPr>
        <w:t>Biochemistry,</w:t>
      </w:r>
      <w:r w:rsidRPr="00720DB4">
        <w:rPr>
          <w:rFonts w:ascii="Times New Roman" w:hAnsi="Times New Roman" w:cs="Times New Roman"/>
        </w:rPr>
        <w:t xml:space="preserve"> 42(26), pp. 7879-7884.</w:t>
      </w:r>
    </w:p>
    <w:p w14:paraId="37CFC5B8" w14:textId="77777777" w:rsidR="009460F7" w:rsidRPr="00720DB4" w:rsidRDefault="009460F7" w:rsidP="00720DB4">
      <w:pPr>
        <w:pStyle w:val="EndNoteBibliography"/>
        <w:spacing w:after="0"/>
        <w:jc w:val="both"/>
        <w:rPr>
          <w:rFonts w:ascii="Times New Roman" w:hAnsi="Times New Roman" w:cs="Times New Roman"/>
        </w:rPr>
      </w:pPr>
    </w:p>
    <w:p w14:paraId="771C48A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Verma, A., Ngundi, M. M., Meade, B. D., De Pascalis, R., Elkins, K. L. and Burns, D. L. (2009) 'Analysis of the Fc Gamma Receptor-Dependent Component of Neutralization Measured by Anthrax Toxin Neutralization Assays', </w:t>
      </w:r>
      <w:r w:rsidRPr="00720DB4">
        <w:rPr>
          <w:rFonts w:ascii="Times New Roman" w:hAnsi="Times New Roman" w:cs="Times New Roman"/>
          <w:i/>
        </w:rPr>
        <w:t>Clinical and Vaccine Immunology,</w:t>
      </w:r>
      <w:r w:rsidRPr="00720DB4">
        <w:rPr>
          <w:rFonts w:ascii="Times New Roman" w:hAnsi="Times New Roman" w:cs="Times New Roman"/>
        </w:rPr>
        <w:t xml:space="preserve"> 16(10), pp. 1405-1412.</w:t>
      </w:r>
    </w:p>
    <w:p w14:paraId="29881EB9" w14:textId="77777777" w:rsidR="009460F7" w:rsidRPr="00720DB4" w:rsidRDefault="009460F7" w:rsidP="00720DB4">
      <w:pPr>
        <w:pStyle w:val="EndNoteBibliography"/>
        <w:spacing w:after="0"/>
        <w:jc w:val="both"/>
        <w:rPr>
          <w:rFonts w:ascii="Times New Roman" w:hAnsi="Times New Roman" w:cs="Times New Roman"/>
        </w:rPr>
      </w:pPr>
    </w:p>
    <w:p w14:paraId="008E390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Vestergaard, M., Nohr-Meldgaard, K., Bojer, M. S., Nielsen, C. K., Meyer, R. L., Slavetinsky, C., Peschel, A. and Ingmer, H. (2017) 'Inhibition of the ATP Synthase Eliminates the Intrinsic Resistance of </w:t>
      </w:r>
      <w:r w:rsidRPr="009460F7">
        <w:rPr>
          <w:rFonts w:ascii="Times New Roman" w:hAnsi="Times New Roman" w:cs="Times New Roman"/>
          <w:i/>
          <w:iCs/>
        </w:rPr>
        <w:t>Staphylococcus aureus</w:t>
      </w:r>
      <w:r w:rsidRPr="00720DB4">
        <w:rPr>
          <w:rFonts w:ascii="Times New Roman" w:hAnsi="Times New Roman" w:cs="Times New Roman"/>
        </w:rPr>
        <w:t xml:space="preserve"> towards Polymyxins', </w:t>
      </w:r>
      <w:r w:rsidRPr="00720DB4">
        <w:rPr>
          <w:rFonts w:ascii="Times New Roman" w:hAnsi="Times New Roman" w:cs="Times New Roman"/>
          <w:i/>
        </w:rPr>
        <w:t>Mbio,</w:t>
      </w:r>
      <w:r w:rsidRPr="00720DB4">
        <w:rPr>
          <w:rFonts w:ascii="Times New Roman" w:hAnsi="Times New Roman" w:cs="Times New Roman"/>
        </w:rPr>
        <w:t xml:space="preserve"> 8(5).</w:t>
      </w:r>
    </w:p>
    <w:p w14:paraId="78DA8797" w14:textId="77777777" w:rsidR="009460F7" w:rsidRPr="00720DB4" w:rsidRDefault="009460F7" w:rsidP="00720DB4">
      <w:pPr>
        <w:pStyle w:val="EndNoteBibliography"/>
        <w:spacing w:after="0"/>
        <w:jc w:val="both"/>
        <w:rPr>
          <w:rFonts w:ascii="Times New Roman" w:hAnsi="Times New Roman" w:cs="Times New Roman"/>
        </w:rPr>
      </w:pPr>
    </w:p>
    <w:p w14:paraId="6D7A227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Vieira, O. V., Botelho, R. J. and Grinstein, S. (2002) 'Phagosome maturation: aging gracefully', </w:t>
      </w:r>
      <w:r w:rsidRPr="00720DB4">
        <w:rPr>
          <w:rFonts w:ascii="Times New Roman" w:hAnsi="Times New Roman" w:cs="Times New Roman"/>
          <w:i/>
        </w:rPr>
        <w:t>Biochemical Journal,</w:t>
      </w:r>
      <w:r w:rsidRPr="00720DB4">
        <w:rPr>
          <w:rFonts w:ascii="Times New Roman" w:hAnsi="Times New Roman" w:cs="Times New Roman"/>
        </w:rPr>
        <w:t xml:space="preserve"> 366, pp. 689-704.</w:t>
      </w:r>
    </w:p>
    <w:p w14:paraId="338A28BF" w14:textId="77777777" w:rsidR="009460F7" w:rsidRPr="00720DB4" w:rsidRDefault="009460F7" w:rsidP="00720DB4">
      <w:pPr>
        <w:pStyle w:val="EndNoteBibliography"/>
        <w:spacing w:after="0"/>
        <w:jc w:val="both"/>
        <w:rPr>
          <w:rFonts w:ascii="Times New Roman" w:hAnsi="Times New Roman" w:cs="Times New Roman"/>
        </w:rPr>
      </w:pPr>
    </w:p>
    <w:p w14:paraId="68B6430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Vinella, D., Albrecht, C., Cashel, M. and D'Ari, R. (2005) 'Iron limitation induces SpoT-dependent accumulation of ppGpp in </w:t>
      </w:r>
      <w:r w:rsidRPr="009460F7">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56(4), pp. 958-970.</w:t>
      </w:r>
    </w:p>
    <w:p w14:paraId="6DC7FAA4" w14:textId="77777777" w:rsidR="009460F7" w:rsidRPr="00720DB4" w:rsidRDefault="009460F7" w:rsidP="00720DB4">
      <w:pPr>
        <w:pStyle w:val="EndNoteBibliography"/>
        <w:spacing w:after="0"/>
        <w:jc w:val="both"/>
        <w:rPr>
          <w:rFonts w:ascii="Times New Roman" w:hAnsi="Times New Roman" w:cs="Times New Roman"/>
        </w:rPr>
      </w:pPr>
    </w:p>
    <w:p w14:paraId="75C9979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Vinogradova, D. S., Zegarra, V., Maksimova, E., Nakamoto, J. A., Kasatsky, P., Paleskava, A., Konevega, A. L. and Milon, P. (2020) 'How the initiating ribosome copes with ppGpp to translate mRNAs', </w:t>
      </w:r>
      <w:r w:rsidRPr="00720DB4">
        <w:rPr>
          <w:rFonts w:ascii="Times New Roman" w:hAnsi="Times New Roman" w:cs="Times New Roman"/>
          <w:i/>
        </w:rPr>
        <w:t>Plos Biology,</w:t>
      </w:r>
      <w:r w:rsidRPr="00720DB4">
        <w:rPr>
          <w:rFonts w:ascii="Times New Roman" w:hAnsi="Times New Roman" w:cs="Times New Roman"/>
        </w:rPr>
        <w:t xml:space="preserve"> 18(1).</w:t>
      </w:r>
    </w:p>
    <w:p w14:paraId="0735B564" w14:textId="77777777" w:rsidR="00A94EF5" w:rsidRPr="00720DB4" w:rsidRDefault="00A94EF5" w:rsidP="00720DB4">
      <w:pPr>
        <w:pStyle w:val="EndNoteBibliography"/>
        <w:spacing w:after="0"/>
        <w:jc w:val="both"/>
        <w:rPr>
          <w:rFonts w:ascii="Times New Roman" w:hAnsi="Times New Roman" w:cs="Times New Roman"/>
        </w:rPr>
      </w:pPr>
    </w:p>
    <w:p w14:paraId="3EAE51E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Volkman, H. E., Clay, H., Beery, D., Chang, J. C. W., Sherman, D. R. and Ramakrishnan, L. (2004) 'Tuberculous granuloma formation is enhanced by a </w:t>
      </w:r>
      <w:r w:rsidRPr="00A94EF5">
        <w:rPr>
          <w:rFonts w:ascii="Times New Roman" w:hAnsi="Times New Roman" w:cs="Times New Roman"/>
          <w:i/>
          <w:iCs/>
        </w:rPr>
        <w:t xml:space="preserve">Mycobacterium </w:t>
      </w:r>
      <w:r w:rsidRPr="00720DB4">
        <w:rPr>
          <w:rFonts w:ascii="Times New Roman" w:hAnsi="Times New Roman" w:cs="Times New Roman"/>
        </w:rPr>
        <w:t xml:space="preserve">virulence determinant', </w:t>
      </w:r>
      <w:r w:rsidRPr="00720DB4">
        <w:rPr>
          <w:rFonts w:ascii="Times New Roman" w:hAnsi="Times New Roman" w:cs="Times New Roman"/>
          <w:i/>
        </w:rPr>
        <w:t>Plos Biology,</w:t>
      </w:r>
      <w:r w:rsidRPr="00720DB4">
        <w:rPr>
          <w:rFonts w:ascii="Times New Roman" w:hAnsi="Times New Roman" w:cs="Times New Roman"/>
        </w:rPr>
        <w:t xml:space="preserve"> 2(11), pp. 1946-1956.</w:t>
      </w:r>
    </w:p>
    <w:p w14:paraId="6A14AB1C" w14:textId="77777777" w:rsidR="00A94EF5" w:rsidRPr="00720DB4" w:rsidRDefault="00A94EF5" w:rsidP="00720DB4">
      <w:pPr>
        <w:pStyle w:val="EndNoteBibliography"/>
        <w:spacing w:after="0"/>
        <w:jc w:val="both"/>
        <w:rPr>
          <w:rFonts w:ascii="Times New Roman" w:hAnsi="Times New Roman" w:cs="Times New Roman"/>
        </w:rPr>
      </w:pPr>
    </w:p>
    <w:p w14:paraId="0473DA1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Vorobjeva, N. V. and Chernyak, B. V. (2020) 'NETosis: Molecular Mechanisms, Role in Physiology and Pathology', </w:t>
      </w:r>
      <w:r w:rsidRPr="00720DB4">
        <w:rPr>
          <w:rFonts w:ascii="Times New Roman" w:hAnsi="Times New Roman" w:cs="Times New Roman"/>
          <w:i/>
        </w:rPr>
        <w:t>Biochemistry-Moscow,</w:t>
      </w:r>
      <w:r w:rsidRPr="00720DB4">
        <w:rPr>
          <w:rFonts w:ascii="Times New Roman" w:hAnsi="Times New Roman" w:cs="Times New Roman"/>
        </w:rPr>
        <w:t xml:space="preserve"> 85(10), pp. 1178-1190.</w:t>
      </w:r>
    </w:p>
    <w:p w14:paraId="1E14AF00" w14:textId="77777777" w:rsidR="00A94EF5" w:rsidRPr="00720DB4" w:rsidRDefault="00A94EF5" w:rsidP="00720DB4">
      <w:pPr>
        <w:pStyle w:val="EndNoteBibliography"/>
        <w:spacing w:after="0"/>
        <w:jc w:val="both"/>
        <w:rPr>
          <w:rFonts w:ascii="Times New Roman" w:hAnsi="Times New Roman" w:cs="Times New Roman"/>
        </w:rPr>
      </w:pPr>
    </w:p>
    <w:p w14:paraId="0328199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Voyich, J. M., Vuong, C., DeWald, M., Nygaard, T. K., Kocianova, S., Griffith, S., Jones, J., Iverson, C., Sturdevant, D. E., Braughton, K. R., Whitney, A. R., Otto, M. and Deleo, F. R. (2009) 'The SaeR/S Gene Regulatory System Is Essential for Innate Immune Evasion by </w:t>
      </w:r>
      <w:r w:rsidRPr="00A94EF5">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Journal of Infectious Diseases,</w:t>
      </w:r>
      <w:r w:rsidRPr="00720DB4">
        <w:rPr>
          <w:rFonts w:ascii="Times New Roman" w:hAnsi="Times New Roman" w:cs="Times New Roman"/>
        </w:rPr>
        <w:t xml:space="preserve"> 199(11), pp. 1698-1706.</w:t>
      </w:r>
    </w:p>
    <w:p w14:paraId="46AA3D63" w14:textId="77777777" w:rsidR="00A94EF5" w:rsidRPr="00720DB4" w:rsidRDefault="00A94EF5" w:rsidP="00720DB4">
      <w:pPr>
        <w:pStyle w:val="EndNoteBibliography"/>
        <w:spacing w:after="0"/>
        <w:jc w:val="both"/>
        <w:rPr>
          <w:rFonts w:ascii="Times New Roman" w:hAnsi="Times New Roman" w:cs="Times New Roman"/>
        </w:rPr>
      </w:pPr>
    </w:p>
    <w:p w14:paraId="591AB8C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Wade, N., Bryant, N. J., Connolly, L. M., Simpson, R. J., Luzio, J. P., Piper, R. C. and James, D. E. (2001) 'Syntaxin 7 complexes with mouse Vps10p tail interactor 1b, Syntaxin 6, vesicle-associated membrane protein (VAMP)8, and VAMP7 in B16 melanoma cells', </w:t>
      </w:r>
      <w:r w:rsidRPr="00720DB4">
        <w:rPr>
          <w:rFonts w:ascii="Times New Roman" w:hAnsi="Times New Roman" w:cs="Times New Roman"/>
          <w:i/>
        </w:rPr>
        <w:t>Journal of Biological Chemistry,</w:t>
      </w:r>
      <w:r w:rsidRPr="00720DB4">
        <w:rPr>
          <w:rFonts w:ascii="Times New Roman" w:hAnsi="Times New Roman" w:cs="Times New Roman"/>
        </w:rPr>
        <w:t xml:space="preserve"> 276(23), pp. 19820-19827.</w:t>
      </w:r>
    </w:p>
    <w:p w14:paraId="3EEF9C9C" w14:textId="77777777" w:rsidR="00A94EF5" w:rsidRPr="00720DB4" w:rsidRDefault="00A94EF5" w:rsidP="00720DB4">
      <w:pPr>
        <w:pStyle w:val="EndNoteBibliography"/>
        <w:spacing w:after="0"/>
        <w:jc w:val="both"/>
        <w:rPr>
          <w:rFonts w:ascii="Times New Roman" w:hAnsi="Times New Roman" w:cs="Times New Roman"/>
        </w:rPr>
      </w:pPr>
    </w:p>
    <w:p w14:paraId="08C9143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Wang, B. Y., Dai, P., Ding, D., Del Rosario, A., Grant, R. A., Pentelute, B. L. and Laub, M. T. (2019) 'Affinity-based capture and identification of protein effectors of the growth regulator ppGpp (vol 15, pg 141, 2019)', </w:t>
      </w:r>
      <w:r w:rsidRPr="00720DB4">
        <w:rPr>
          <w:rFonts w:ascii="Times New Roman" w:hAnsi="Times New Roman" w:cs="Times New Roman"/>
          <w:i/>
        </w:rPr>
        <w:t>Nature Chemical Biology,</w:t>
      </w:r>
      <w:r w:rsidRPr="00720DB4">
        <w:rPr>
          <w:rFonts w:ascii="Times New Roman" w:hAnsi="Times New Roman" w:cs="Times New Roman"/>
        </w:rPr>
        <w:t xml:space="preserve"> 15(7), pp. 756-756.</w:t>
      </w:r>
    </w:p>
    <w:p w14:paraId="0CCE3A48" w14:textId="77777777" w:rsidR="00A94EF5" w:rsidRPr="00720DB4" w:rsidRDefault="00A94EF5" w:rsidP="00720DB4">
      <w:pPr>
        <w:pStyle w:val="EndNoteBibliography"/>
        <w:spacing w:after="0"/>
        <w:jc w:val="both"/>
        <w:rPr>
          <w:rFonts w:ascii="Times New Roman" w:hAnsi="Times New Roman" w:cs="Times New Roman"/>
        </w:rPr>
      </w:pPr>
    </w:p>
    <w:p w14:paraId="30B452F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Wang, J., Tian, Y., Zhou, Z., Zhang, L., Zhang, W., Lin, M. and Chen, M. (2016) 'Identification and Functional Analysis of RelA/SpoT Homolog (RSH) Genes in </w:t>
      </w:r>
      <w:r w:rsidRPr="00A94EF5">
        <w:rPr>
          <w:rFonts w:ascii="Times New Roman" w:hAnsi="Times New Roman" w:cs="Times New Roman"/>
          <w:i/>
          <w:iCs/>
        </w:rPr>
        <w:t>Deinococcus radiodurans</w:t>
      </w:r>
      <w:r w:rsidRPr="00720DB4">
        <w:rPr>
          <w:rFonts w:ascii="Times New Roman" w:hAnsi="Times New Roman" w:cs="Times New Roman"/>
        </w:rPr>
        <w:t xml:space="preserve">', </w:t>
      </w:r>
      <w:r w:rsidRPr="00720DB4">
        <w:rPr>
          <w:rFonts w:ascii="Times New Roman" w:hAnsi="Times New Roman" w:cs="Times New Roman"/>
          <w:i/>
        </w:rPr>
        <w:t>Journal of Microbiology and Biotechnology,</w:t>
      </w:r>
      <w:r w:rsidRPr="00720DB4">
        <w:rPr>
          <w:rFonts w:ascii="Times New Roman" w:hAnsi="Times New Roman" w:cs="Times New Roman"/>
        </w:rPr>
        <w:t xml:space="preserve"> 26(12), pp. 2106-2115.</w:t>
      </w:r>
    </w:p>
    <w:p w14:paraId="050CFF1D" w14:textId="77777777" w:rsidR="00A94EF5" w:rsidRPr="00720DB4" w:rsidRDefault="00A94EF5" w:rsidP="00720DB4">
      <w:pPr>
        <w:pStyle w:val="EndNoteBibliography"/>
        <w:spacing w:after="0"/>
        <w:jc w:val="both"/>
        <w:rPr>
          <w:rFonts w:ascii="Times New Roman" w:hAnsi="Times New Roman" w:cs="Times New Roman"/>
        </w:rPr>
      </w:pPr>
    </w:p>
    <w:p w14:paraId="60E287F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Wang, R., Braughton, K. R., Kretschmer, D., Bach, T. H. L., Queck, S. Y., Li, M., Kennedy, A. D., Dorward, D. W., Klebanoff, S. J., Peschel, A., Deleo, F. R. and Otto, M. (2007) 'Identification of novel cytolytic peptides as key virulence determinants for community-associated MRSA', </w:t>
      </w:r>
      <w:r w:rsidRPr="00720DB4">
        <w:rPr>
          <w:rFonts w:ascii="Times New Roman" w:hAnsi="Times New Roman" w:cs="Times New Roman"/>
          <w:i/>
        </w:rPr>
        <w:t>Nature Medicine,</w:t>
      </w:r>
      <w:r w:rsidRPr="00720DB4">
        <w:rPr>
          <w:rFonts w:ascii="Times New Roman" w:hAnsi="Times New Roman" w:cs="Times New Roman"/>
        </w:rPr>
        <w:t xml:space="preserve"> 13(12), pp. 1510-1514.</w:t>
      </w:r>
    </w:p>
    <w:p w14:paraId="46A0AD3B" w14:textId="77777777" w:rsidR="00A94EF5" w:rsidRPr="00720DB4" w:rsidRDefault="00A94EF5" w:rsidP="00720DB4">
      <w:pPr>
        <w:pStyle w:val="EndNoteBibliography"/>
        <w:spacing w:after="0"/>
        <w:jc w:val="both"/>
        <w:rPr>
          <w:rFonts w:ascii="Times New Roman" w:hAnsi="Times New Roman" w:cs="Times New Roman"/>
        </w:rPr>
      </w:pPr>
    </w:p>
    <w:p w14:paraId="4A445A6C"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Wang, X. C., Wilson, S. C. and Hammond, M. C. (2016) 'Next-generation RNA-based fluorescent biosensors enable anaerobic detection of cyclic di-GMP', </w:t>
      </w:r>
      <w:r w:rsidRPr="00720DB4">
        <w:rPr>
          <w:rFonts w:ascii="Times New Roman" w:hAnsi="Times New Roman" w:cs="Times New Roman"/>
          <w:i/>
        </w:rPr>
        <w:t>Nucleic Acids Research,</w:t>
      </w:r>
      <w:r w:rsidRPr="00720DB4">
        <w:rPr>
          <w:rFonts w:ascii="Times New Roman" w:hAnsi="Times New Roman" w:cs="Times New Roman"/>
        </w:rPr>
        <w:t xml:space="preserve"> 44(17).</w:t>
      </w:r>
    </w:p>
    <w:p w14:paraId="5016FD00" w14:textId="77777777" w:rsidR="00A94EF5" w:rsidRPr="00720DB4" w:rsidRDefault="00A94EF5" w:rsidP="00720DB4">
      <w:pPr>
        <w:pStyle w:val="EndNoteBibliography"/>
        <w:spacing w:after="0"/>
        <w:jc w:val="both"/>
        <w:rPr>
          <w:rFonts w:ascii="Times New Roman" w:hAnsi="Times New Roman" w:cs="Times New Roman"/>
        </w:rPr>
      </w:pPr>
    </w:p>
    <w:p w14:paraId="7A713DF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Wann, E. R., Gurusiddappa, S. and Hook, M. (2000) 'The fibronectin-binding MSCRAMM FnbpA of Staphylococcus aureus is a bifunctional protein that also binds to fibrinogen', </w:t>
      </w:r>
      <w:r w:rsidRPr="00720DB4">
        <w:rPr>
          <w:rFonts w:ascii="Times New Roman" w:hAnsi="Times New Roman" w:cs="Times New Roman"/>
          <w:i/>
        </w:rPr>
        <w:t>Journal of Biological Chemistry,</w:t>
      </w:r>
      <w:r w:rsidRPr="00720DB4">
        <w:rPr>
          <w:rFonts w:ascii="Times New Roman" w:hAnsi="Times New Roman" w:cs="Times New Roman"/>
        </w:rPr>
        <w:t xml:space="preserve"> 275(18), pp. 13863-13871.</w:t>
      </w:r>
    </w:p>
    <w:p w14:paraId="7425CC4F" w14:textId="77777777" w:rsidR="00A94EF5" w:rsidRPr="00720DB4" w:rsidRDefault="00A94EF5" w:rsidP="00720DB4">
      <w:pPr>
        <w:pStyle w:val="EndNoteBibliography"/>
        <w:spacing w:after="0"/>
        <w:jc w:val="both"/>
        <w:rPr>
          <w:rFonts w:ascii="Times New Roman" w:hAnsi="Times New Roman" w:cs="Times New Roman"/>
        </w:rPr>
      </w:pPr>
    </w:p>
    <w:p w14:paraId="787F6B7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Waters, N. R., Samuels, D. J., Behera, R. K., Livny, J., Rhee, K. Y., Sadykov, M. R. and Brinsmade, S. R. (2016) 'A spectrum of CodY activities drives metabolic reorganization and virulence gene expression in </w:t>
      </w:r>
      <w:r w:rsidRPr="00A94EF5">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Molecular Microbiology,</w:t>
      </w:r>
      <w:r w:rsidRPr="00720DB4">
        <w:rPr>
          <w:rFonts w:ascii="Times New Roman" w:hAnsi="Times New Roman" w:cs="Times New Roman"/>
        </w:rPr>
        <w:t xml:space="preserve"> 101(3), pp. 495-514.</w:t>
      </w:r>
    </w:p>
    <w:p w14:paraId="70B5547D" w14:textId="77777777" w:rsidR="00A94EF5" w:rsidRPr="00720DB4" w:rsidRDefault="00A94EF5" w:rsidP="00720DB4">
      <w:pPr>
        <w:pStyle w:val="EndNoteBibliography"/>
        <w:spacing w:after="0"/>
        <w:jc w:val="both"/>
        <w:rPr>
          <w:rFonts w:ascii="Times New Roman" w:hAnsi="Times New Roman" w:cs="Times New Roman"/>
        </w:rPr>
      </w:pPr>
    </w:p>
    <w:p w14:paraId="10AE792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Weigelt, J., Itani, K., Stevens, D., Lau, W., Dryden, M., Knirsch, C. and Linezolid, C. S. G. (2005) 'Linezolid versus vancomycin in treatment of complicated skin and soft tissue infections', </w:t>
      </w:r>
      <w:r w:rsidRPr="00720DB4">
        <w:rPr>
          <w:rFonts w:ascii="Times New Roman" w:hAnsi="Times New Roman" w:cs="Times New Roman"/>
          <w:i/>
        </w:rPr>
        <w:t>Antimicrobial Agents and Chemotherapy,</w:t>
      </w:r>
      <w:r w:rsidRPr="00720DB4">
        <w:rPr>
          <w:rFonts w:ascii="Times New Roman" w:hAnsi="Times New Roman" w:cs="Times New Roman"/>
        </w:rPr>
        <w:t xml:space="preserve"> 49(6), pp. 2260-2266.</w:t>
      </w:r>
    </w:p>
    <w:p w14:paraId="689E92ED" w14:textId="77777777" w:rsidR="00CC40A8" w:rsidRPr="00720DB4" w:rsidRDefault="00CC40A8" w:rsidP="00720DB4">
      <w:pPr>
        <w:pStyle w:val="EndNoteBibliography"/>
        <w:spacing w:after="0"/>
        <w:jc w:val="both"/>
        <w:rPr>
          <w:rFonts w:ascii="Times New Roman" w:hAnsi="Times New Roman" w:cs="Times New Roman"/>
        </w:rPr>
      </w:pPr>
    </w:p>
    <w:p w14:paraId="76A6EA8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Wells, D. H. and Gaynor, E. C. (2006) '</w:t>
      </w:r>
      <w:r w:rsidRPr="00CC40A8">
        <w:rPr>
          <w:rFonts w:ascii="Times New Roman" w:hAnsi="Times New Roman" w:cs="Times New Roman"/>
          <w:i/>
          <w:iCs/>
        </w:rPr>
        <w:t xml:space="preserve">Helicobacter pylori </w:t>
      </w:r>
      <w:r w:rsidRPr="00720DB4">
        <w:rPr>
          <w:rFonts w:ascii="Times New Roman" w:hAnsi="Times New Roman" w:cs="Times New Roman"/>
        </w:rPr>
        <w:t xml:space="preserve">initiates the stringent response upon nutrient and pH downshift', </w:t>
      </w:r>
      <w:r w:rsidRPr="00720DB4">
        <w:rPr>
          <w:rFonts w:ascii="Times New Roman" w:hAnsi="Times New Roman" w:cs="Times New Roman"/>
          <w:i/>
        </w:rPr>
        <w:t>Journal of Bacteriology,</w:t>
      </w:r>
      <w:r w:rsidRPr="00720DB4">
        <w:rPr>
          <w:rFonts w:ascii="Times New Roman" w:hAnsi="Times New Roman" w:cs="Times New Roman"/>
        </w:rPr>
        <w:t xml:space="preserve"> 188(10), pp. 3726-3729.</w:t>
      </w:r>
    </w:p>
    <w:p w14:paraId="4E766CE0" w14:textId="77777777" w:rsidR="00CC40A8" w:rsidRPr="00720DB4" w:rsidRDefault="00CC40A8" w:rsidP="00720DB4">
      <w:pPr>
        <w:pStyle w:val="EndNoteBibliography"/>
        <w:spacing w:after="0"/>
        <w:jc w:val="both"/>
        <w:rPr>
          <w:rFonts w:ascii="Times New Roman" w:hAnsi="Times New Roman" w:cs="Times New Roman"/>
        </w:rPr>
      </w:pPr>
    </w:p>
    <w:p w14:paraId="08A6F20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Wendrich, T. M., Blaha, G., Wilson, D. N., Marahiel, M. A. and Nierhaus, K. H. (2002) 'Dissection of the mechanism for the stringent factor ReIA', </w:t>
      </w:r>
      <w:r w:rsidRPr="00720DB4">
        <w:rPr>
          <w:rFonts w:ascii="Times New Roman" w:hAnsi="Times New Roman" w:cs="Times New Roman"/>
          <w:i/>
        </w:rPr>
        <w:t>Molecular Cell,</w:t>
      </w:r>
      <w:r w:rsidRPr="00720DB4">
        <w:rPr>
          <w:rFonts w:ascii="Times New Roman" w:hAnsi="Times New Roman" w:cs="Times New Roman"/>
        </w:rPr>
        <w:t xml:space="preserve"> 10(4), pp. 779-788.</w:t>
      </w:r>
    </w:p>
    <w:p w14:paraId="7C9EAE3C" w14:textId="77777777" w:rsidR="00CC40A8" w:rsidRPr="00720DB4" w:rsidRDefault="00CC40A8" w:rsidP="00720DB4">
      <w:pPr>
        <w:pStyle w:val="EndNoteBibliography"/>
        <w:spacing w:after="0"/>
        <w:jc w:val="both"/>
        <w:rPr>
          <w:rFonts w:ascii="Times New Roman" w:hAnsi="Times New Roman" w:cs="Times New Roman"/>
        </w:rPr>
      </w:pPr>
    </w:p>
    <w:p w14:paraId="511C09C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Wertheim, H. F. L., Melles, D. C., Vos, M. C., van Leeuwen, W., van Belkum, A., Verbrugh, H. A. and Nouwen, J. L. (2005) 'The role of nasal carriage in </w:t>
      </w:r>
      <w:r w:rsidRPr="00CC40A8">
        <w:rPr>
          <w:rFonts w:ascii="Times New Roman" w:hAnsi="Times New Roman" w:cs="Times New Roman"/>
          <w:i/>
          <w:iCs/>
        </w:rPr>
        <w:t>Staphylococcus aureus</w:t>
      </w:r>
      <w:r w:rsidRPr="00720DB4">
        <w:rPr>
          <w:rFonts w:ascii="Times New Roman" w:hAnsi="Times New Roman" w:cs="Times New Roman"/>
        </w:rPr>
        <w:t xml:space="preserve"> infections', </w:t>
      </w:r>
      <w:r w:rsidRPr="00720DB4">
        <w:rPr>
          <w:rFonts w:ascii="Times New Roman" w:hAnsi="Times New Roman" w:cs="Times New Roman"/>
          <w:i/>
        </w:rPr>
        <w:t>Lancet Infectious Diseases,</w:t>
      </w:r>
      <w:r w:rsidRPr="00720DB4">
        <w:rPr>
          <w:rFonts w:ascii="Times New Roman" w:hAnsi="Times New Roman" w:cs="Times New Roman"/>
        </w:rPr>
        <w:t xml:space="preserve"> 5(12), pp. 751-762.</w:t>
      </w:r>
    </w:p>
    <w:p w14:paraId="04ED8B38" w14:textId="77777777" w:rsidR="00CC40A8" w:rsidRPr="00720DB4" w:rsidRDefault="00CC40A8" w:rsidP="00720DB4">
      <w:pPr>
        <w:pStyle w:val="EndNoteBibliography"/>
        <w:spacing w:after="0"/>
        <w:jc w:val="both"/>
        <w:rPr>
          <w:rFonts w:ascii="Times New Roman" w:hAnsi="Times New Roman" w:cs="Times New Roman"/>
        </w:rPr>
      </w:pPr>
    </w:p>
    <w:p w14:paraId="153C2B4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Westman, J. and Grinstein, S. (2021) 'Determinants of Phagosomal pH During Host-Pathogen Interactions', </w:t>
      </w:r>
      <w:r w:rsidRPr="00720DB4">
        <w:rPr>
          <w:rFonts w:ascii="Times New Roman" w:hAnsi="Times New Roman" w:cs="Times New Roman"/>
          <w:i/>
        </w:rPr>
        <w:t>Frontiers in Cell and Developmental Biology,</w:t>
      </w:r>
      <w:r w:rsidRPr="00720DB4">
        <w:rPr>
          <w:rFonts w:ascii="Times New Roman" w:hAnsi="Times New Roman" w:cs="Times New Roman"/>
        </w:rPr>
        <w:t xml:space="preserve"> 8.</w:t>
      </w:r>
    </w:p>
    <w:p w14:paraId="066687B5" w14:textId="77777777" w:rsidR="00CC40A8" w:rsidRPr="00720DB4" w:rsidRDefault="00CC40A8" w:rsidP="00720DB4">
      <w:pPr>
        <w:pStyle w:val="EndNoteBibliography"/>
        <w:spacing w:after="0"/>
        <w:jc w:val="both"/>
        <w:rPr>
          <w:rFonts w:ascii="Times New Roman" w:hAnsi="Times New Roman" w:cs="Times New Roman"/>
        </w:rPr>
      </w:pPr>
    </w:p>
    <w:p w14:paraId="66CC0DE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Wexselblatt, E., Kaspy, I., Glaser, G., Katzhendler, J. and Yavin, E. (2013) 'Design, synthesis and structure-activity relationship of novel Relacin analogs as inhibitors of Rel proteins', </w:t>
      </w:r>
      <w:r w:rsidRPr="00720DB4">
        <w:rPr>
          <w:rFonts w:ascii="Times New Roman" w:hAnsi="Times New Roman" w:cs="Times New Roman"/>
          <w:i/>
        </w:rPr>
        <w:t>European Journal of Medicinal Chemistry,</w:t>
      </w:r>
      <w:r w:rsidRPr="00720DB4">
        <w:rPr>
          <w:rFonts w:ascii="Times New Roman" w:hAnsi="Times New Roman" w:cs="Times New Roman"/>
        </w:rPr>
        <w:t xml:space="preserve"> 70, pp. 497-504.</w:t>
      </w:r>
    </w:p>
    <w:p w14:paraId="51BCDE1B" w14:textId="77777777" w:rsidR="00CC40A8" w:rsidRPr="00720DB4" w:rsidRDefault="00CC40A8" w:rsidP="00720DB4">
      <w:pPr>
        <w:pStyle w:val="EndNoteBibliography"/>
        <w:spacing w:after="0"/>
        <w:jc w:val="both"/>
        <w:rPr>
          <w:rFonts w:ascii="Times New Roman" w:hAnsi="Times New Roman" w:cs="Times New Roman"/>
        </w:rPr>
      </w:pPr>
    </w:p>
    <w:p w14:paraId="7A0C8FA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Wexselblatt, E., Katzhendler, J., Saleem-Batcha, R., Hansen, G., Hilgenfeld, R., Glaser, G. and Vidavski, R. R. (2010) 'ppGpp analogues inhibit synthetase activity of Rel proteins from Gram-negative and Gram-positive bacteria', </w:t>
      </w:r>
      <w:r w:rsidRPr="00720DB4">
        <w:rPr>
          <w:rFonts w:ascii="Times New Roman" w:hAnsi="Times New Roman" w:cs="Times New Roman"/>
          <w:i/>
        </w:rPr>
        <w:t>Bioorganic &amp; Medicinal Chemistry,</w:t>
      </w:r>
      <w:r w:rsidRPr="00720DB4">
        <w:rPr>
          <w:rFonts w:ascii="Times New Roman" w:hAnsi="Times New Roman" w:cs="Times New Roman"/>
        </w:rPr>
        <w:t xml:space="preserve"> 18(12), pp. 4485-4497.</w:t>
      </w:r>
    </w:p>
    <w:p w14:paraId="340C533C" w14:textId="77777777" w:rsidR="00CC40A8" w:rsidRPr="00720DB4" w:rsidRDefault="00CC40A8" w:rsidP="00720DB4">
      <w:pPr>
        <w:pStyle w:val="EndNoteBibliography"/>
        <w:spacing w:after="0"/>
        <w:jc w:val="both"/>
        <w:rPr>
          <w:rFonts w:ascii="Times New Roman" w:hAnsi="Times New Roman" w:cs="Times New Roman"/>
        </w:rPr>
      </w:pPr>
    </w:p>
    <w:p w14:paraId="485781A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Wexselblatt, E., Oppenheimer-Shaanan, Y., Kaspy, I., London, N., Schueler-Furman, O., Yavin, E., Glaser, G., Katzhendler, J. and Ben-Yehuda, S. (2012) 'Relacin, a Novel Antibacterial Agent Targeting the Stringent Response', </w:t>
      </w:r>
      <w:r w:rsidRPr="00720DB4">
        <w:rPr>
          <w:rFonts w:ascii="Times New Roman" w:hAnsi="Times New Roman" w:cs="Times New Roman"/>
          <w:i/>
        </w:rPr>
        <w:t>Plos Pathogens,</w:t>
      </w:r>
      <w:r w:rsidRPr="00720DB4">
        <w:rPr>
          <w:rFonts w:ascii="Times New Roman" w:hAnsi="Times New Roman" w:cs="Times New Roman"/>
        </w:rPr>
        <w:t xml:space="preserve"> 8(9).</w:t>
      </w:r>
    </w:p>
    <w:p w14:paraId="0FD0B47B" w14:textId="77777777" w:rsidR="00CC40A8" w:rsidRPr="00720DB4" w:rsidRDefault="00CC40A8" w:rsidP="00720DB4">
      <w:pPr>
        <w:pStyle w:val="EndNoteBibliography"/>
        <w:spacing w:after="0"/>
        <w:jc w:val="both"/>
        <w:rPr>
          <w:rFonts w:ascii="Times New Roman" w:hAnsi="Times New Roman" w:cs="Times New Roman"/>
        </w:rPr>
      </w:pPr>
    </w:p>
    <w:p w14:paraId="62E8135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Wilke, G. A. and Wardenburg, J. B. (2010) 'Role of a disintegrin and metalloprotease 10 in </w:t>
      </w:r>
      <w:r w:rsidRPr="00CC40A8">
        <w:rPr>
          <w:rFonts w:ascii="Times New Roman" w:hAnsi="Times New Roman" w:cs="Times New Roman"/>
          <w:i/>
          <w:iCs/>
        </w:rPr>
        <w:t>Staphylococcus aureus</w:t>
      </w:r>
      <w:r w:rsidRPr="00720DB4">
        <w:rPr>
          <w:rFonts w:ascii="Times New Roman" w:hAnsi="Times New Roman" w:cs="Times New Roman"/>
        </w:rPr>
        <w:t xml:space="preserve"> alpha-hemolysin-mediated cellular injury',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107(30), pp. 13473-13478.</w:t>
      </w:r>
    </w:p>
    <w:p w14:paraId="632C422A" w14:textId="77777777" w:rsidR="00CC40A8" w:rsidRPr="00720DB4" w:rsidRDefault="00CC40A8" w:rsidP="00720DB4">
      <w:pPr>
        <w:pStyle w:val="EndNoteBibliography"/>
        <w:spacing w:after="0"/>
        <w:jc w:val="both"/>
        <w:rPr>
          <w:rFonts w:ascii="Times New Roman" w:hAnsi="Times New Roman" w:cs="Times New Roman"/>
        </w:rPr>
      </w:pPr>
    </w:p>
    <w:p w14:paraId="13E0AC5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Williams, R. E. O., Jevons, M. P., Shooter, R. A., Hunter, C. J. W., Girling, J. A., Griffiths, J. D. and Taylor, G. W. (1959) 'NASAL STAPHYLOCOCCI AND SEPSIS IN HOSPITAL PATIENTS', </w:t>
      </w:r>
      <w:r w:rsidRPr="00720DB4">
        <w:rPr>
          <w:rFonts w:ascii="Times New Roman" w:hAnsi="Times New Roman" w:cs="Times New Roman"/>
          <w:i/>
        </w:rPr>
        <w:t>Bmj-British Medical Journal,</w:t>
      </w:r>
      <w:r w:rsidRPr="00720DB4">
        <w:rPr>
          <w:rFonts w:ascii="Times New Roman" w:hAnsi="Times New Roman" w:cs="Times New Roman"/>
        </w:rPr>
        <w:t xml:space="preserve"> 2(OCT10), pp. 658-662.</w:t>
      </w:r>
    </w:p>
    <w:p w14:paraId="135E3857" w14:textId="77777777" w:rsidR="00CC40A8" w:rsidRPr="00720DB4" w:rsidRDefault="00CC40A8" w:rsidP="00720DB4">
      <w:pPr>
        <w:pStyle w:val="EndNoteBibliography"/>
        <w:spacing w:after="0"/>
        <w:jc w:val="both"/>
        <w:rPr>
          <w:rFonts w:ascii="Times New Roman" w:hAnsi="Times New Roman" w:cs="Times New Roman"/>
        </w:rPr>
      </w:pPr>
    </w:p>
    <w:p w14:paraId="11345C0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Winterbourn, C. C., Hampton, M. B., Livesey, J. H. and Kettle, A. J. (2006) 'Modeling the reactions of superoxide and myeloperoxidase in the neutrophil phagosome - Implications for microbial killing', </w:t>
      </w:r>
      <w:r w:rsidRPr="00720DB4">
        <w:rPr>
          <w:rFonts w:ascii="Times New Roman" w:hAnsi="Times New Roman" w:cs="Times New Roman"/>
          <w:i/>
        </w:rPr>
        <w:t>Journal of Biological Chemistry,</w:t>
      </w:r>
      <w:r w:rsidRPr="00720DB4">
        <w:rPr>
          <w:rFonts w:ascii="Times New Roman" w:hAnsi="Times New Roman" w:cs="Times New Roman"/>
        </w:rPr>
        <w:t xml:space="preserve"> 281(52), pp. 39860-39869.</w:t>
      </w:r>
    </w:p>
    <w:p w14:paraId="5305CA13" w14:textId="77777777" w:rsidR="00CC40A8" w:rsidRPr="00720DB4" w:rsidRDefault="00CC40A8" w:rsidP="00720DB4">
      <w:pPr>
        <w:pStyle w:val="EndNoteBibliography"/>
        <w:spacing w:after="0"/>
        <w:jc w:val="both"/>
        <w:rPr>
          <w:rFonts w:ascii="Times New Roman" w:hAnsi="Times New Roman" w:cs="Times New Roman"/>
        </w:rPr>
      </w:pPr>
    </w:p>
    <w:p w14:paraId="642DB85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Wood, A., Irving, S. E., Bennison, D. J. and Corrigan, R. M. (2019) 'The (p)ppGpp-binding GTPase Era promotes rRNA processing and cold adaptation in </w:t>
      </w:r>
      <w:r w:rsidRPr="00CC40A8">
        <w:rPr>
          <w:rFonts w:ascii="Times New Roman" w:hAnsi="Times New Roman" w:cs="Times New Roman"/>
          <w:i/>
          <w:iCs/>
        </w:rPr>
        <w:t>Staphylococcus aureus</w:t>
      </w:r>
      <w:r w:rsidRPr="00720DB4">
        <w:rPr>
          <w:rFonts w:ascii="Times New Roman" w:hAnsi="Times New Roman" w:cs="Times New Roman"/>
        </w:rPr>
        <w:t xml:space="preserve">', </w:t>
      </w:r>
      <w:r w:rsidRPr="00720DB4">
        <w:rPr>
          <w:rFonts w:ascii="Times New Roman" w:hAnsi="Times New Roman" w:cs="Times New Roman"/>
          <w:i/>
        </w:rPr>
        <w:t>Plos Genetics,</w:t>
      </w:r>
      <w:r w:rsidRPr="00720DB4">
        <w:rPr>
          <w:rFonts w:ascii="Times New Roman" w:hAnsi="Times New Roman" w:cs="Times New Roman"/>
        </w:rPr>
        <w:t xml:space="preserve"> 15(8).</w:t>
      </w:r>
    </w:p>
    <w:p w14:paraId="70F38350" w14:textId="77777777" w:rsidR="00CC40A8" w:rsidRPr="00720DB4" w:rsidRDefault="00CC40A8" w:rsidP="00720DB4">
      <w:pPr>
        <w:pStyle w:val="EndNoteBibliography"/>
        <w:spacing w:after="0"/>
        <w:jc w:val="both"/>
        <w:rPr>
          <w:rFonts w:ascii="Times New Roman" w:hAnsi="Times New Roman" w:cs="Times New Roman"/>
        </w:rPr>
      </w:pPr>
    </w:p>
    <w:p w14:paraId="770C4AB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Wu, G. Y. and Morris, S. M. (1998) 'Arginine metabolism: nitric oxide and beyond', </w:t>
      </w:r>
      <w:r w:rsidRPr="00720DB4">
        <w:rPr>
          <w:rFonts w:ascii="Times New Roman" w:hAnsi="Times New Roman" w:cs="Times New Roman"/>
          <w:i/>
        </w:rPr>
        <w:t>Biochemical Journal,</w:t>
      </w:r>
      <w:r w:rsidRPr="00720DB4">
        <w:rPr>
          <w:rFonts w:ascii="Times New Roman" w:hAnsi="Times New Roman" w:cs="Times New Roman"/>
        </w:rPr>
        <w:t xml:space="preserve"> 336, pp. 1-17.</w:t>
      </w:r>
    </w:p>
    <w:p w14:paraId="59F5A53A" w14:textId="77777777" w:rsidR="00CC40A8" w:rsidRPr="00720DB4" w:rsidRDefault="00CC40A8" w:rsidP="00720DB4">
      <w:pPr>
        <w:pStyle w:val="EndNoteBibliography"/>
        <w:spacing w:after="0"/>
        <w:jc w:val="both"/>
        <w:rPr>
          <w:rFonts w:ascii="Times New Roman" w:hAnsi="Times New Roman" w:cs="Times New Roman"/>
        </w:rPr>
      </w:pPr>
    </w:p>
    <w:p w14:paraId="15E87E9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Wunderlich, M., Chou, F. S., Link, K. A., Mizukawa, B., Perry, R. L., Carroll, M. and Mulloy, J. C. (2010) 'AML xenograft efficiency is significantly improved in NOD/SCID-IL2RG mice constitutively expressing human SCF, GM-CSF and IL-3', </w:t>
      </w:r>
      <w:r w:rsidRPr="00720DB4">
        <w:rPr>
          <w:rFonts w:ascii="Times New Roman" w:hAnsi="Times New Roman" w:cs="Times New Roman"/>
          <w:i/>
        </w:rPr>
        <w:t>Leukemia,</w:t>
      </w:r>
      <w:r w:rsidRPr="00720DB4">
        <w:rPr>
          <w:rFonts w:ascii="Times New Roman" w:hAnsi="Times New Roman" w:cs="Times New Roman"/>
        </w:rPr>
        <w:t xml:space="preserve"> 24(10), pp. 1785-1788.</w:t>
      </w:r>
    </w:p>
    <w:p w14:paraId="406A1A90" w14:textId="77777777" w:rsidR="00CC40A8" w:rsidRPr="00720DB4" w:rsidRDefault="00CC40A8" w:rsidP="00720DB4">
      <w:pPr>
        <w:pStyle w:val="EndNoteBibliography"/>
        <w:spacing w:after="0"/>
        <w:jc w:val="both"/>
        <w:rPr>
          <w:rFonts w:ascii="Times New Roman" w:hAnsi="Times New Roman" w:cs="Times New Roman"/>
        </w:rPr>
      </w:pPr>
    </w:p>
    <w:p w14:paraId="0CCF92A7"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Wyllie, D. H., Walker, A. S., Miller, R., Moore, C., Williamson, S. R., Schlackow, I., Finney, J. M., O'Connor, L., Peto, T. E. A. and Crook, D. W. (2011) 'Decline of meticillin-resistant </w:t>
      </w:r>
      <w:r w:rsidRPr="00CC40A8">
        <w:rPr>
          <w:rFonts w:ascii="Times New Roman" w:hAnsi="Times New Roman" w:cs="Times New Roman"/>
          <w:i/>
          <w:iCs/>
        </w:rPr>
        <w:t>Staphylococcus aureus</w:t>
      </w:r>
      <w:r w:rsidRPr="00720DB4">
        <w:rPr>
          <w:rFonts w:ascii="Times New Roman" w:hAnsi="Times New Roman" w:cs="Times New Roman"/>
        </w:rPr>
        <w:t xml:space="preserve"> in Oxfordshire hospitals is strain-specific and preceded infection-control intensification', </w:t>
      </w:r>
      <w:r w:rsidRPr="00720DB4">
        <w:rPr>
          <w:rFonts w:ascii="Times New Roman" w:hAnsi="Times New Roman" w:cs="Times New Roman"/>
          <w:i/>
        </w:rPr>
        <w:t>Bmj Open,</w:t>
      </w:r>
      <w:r w:rsidRPr="00720DB4">
        <w:rPr>
          <w:rFonts w:ascii="Times New Roman" w:hAnsi="Times New Roman" w:cs="Times New Roman"/>
        </w:rPr>
        <w:t xml:space="preserve"> 1(1).</w:t>
      </w:r>
    </w:p>
    <w:p w14:paraId="5E7ACB98" w14:textId="77777777" w:rsidR="00CC40A8" w:rsidRPr="00720DB4" w:rsidRDefault="00CC40A8" w:rsidP="00720DB4">
      <w:pPr>
        <w:pStyle w:val="EndNoteBibliography"/>
        <w:spacing w:after="0"/>
        <w:jc w:val="both"/>
        <w:rPr>
          <w:rFonts w:ascii="Times New Roman" w:hAnsi="Times New Roman" w:cs="Times New Roman"/>
        </w:rPr>
      </w:pPr>
    </w:p>
    <w:p w14:paraId="39CF5C8F"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Xiang, H., Feng, Y., Wang, J. W., Liu, B., Chen, Y. G., Liu, L., Deng, X. M. and Yang, M. J. (2012) 'Crystal Structures Reveal the Multi-Ligand Binding Mechanism of </w:t>
      </w:r>
      <w:r w:rsidRPr="00CC40A8">
        <w:rPr>
          <w:rFonts w:ascii="Times New Roman" w:hAnsi="Times New Roman" w:cs="Times New Roman"/>
          <w:i/>
          <w:iCs/>
        </w:rPr>
        <w:t>Staphylococcus aureus</w:t>
      </w:r>
      <w:r w:rsidRPr="00720DB4">
        <w:rPr>
          <w:rFonts w:ascii="Times New Roman" w:hAnsi="Times New Roman" w:cs="Times New Roman"/>
        </w:rPr>
        <w:t xml:space="preserve"> ClfB', </w:t>
      </w:r>
      <w:r w:rsidRPr="00720DB4">
        <w:rPr>
          <w:rFonts w:ascii="Times New Roman" w:hAnsi="Times New Roman" w:cs="Times New Roman"/>
          <w:i/>
        </w:rPr>
        <w:t>Plos Pathogens,</w:t>
      </w:r>
      <w:r w:rsidRPr="00720DB4">
        <w:rPr>
          <w:rFonts w:ascii="Times New Roman" w:hAnsi="Times New Roman" w:cs="Times New Roman"/>
        </w:rPr>
        <w:t xml:space="preserve"> 8(6).</w:t>
      </w:r>
    </w:p>
    <w:p w14:paraId="0C544F71" w14:textId="77777777" w:rsidR="00CC40A8" w:rsidRPr="00720DB4" w:rsidRDefault="00CC40A8" w:rsidP="00720DB4">
      <w:pPr>
        <w:pStyle w:val="EndNoteBibliography"/>
        <w:spacing w:after="0"/>
        <w:jc w:val="both"/>
        <w:rPr>
          <w:rFonts w:ascii="Times New Roman" w:hAnsi="Times New Roman" w:cs="Times New Roman"/>
        </w:rPr>
      </w:pPr>
    </w:p>
    <w:p w14:paraId="2815A9E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Xu, S. X., Kasper, K. J., Zeppa, J. J. and McCormick, J. K. (2015) 'Superantigens Modulate Bacterial Density during </w:t>
      </w:r>
      <w:r w:rsidRPr="00CC40A8">
        <w:rPr>
          <w:rFonts w:ascii="Times New Roman" w:hAnsi="Times New Roman" w:cs="Times New Roman"/>
          <w:i/>
          <w:iCs/>
        </w:rPr>
        <w:t>Staphylococcus aureus</w:t>
      </w:r>
      <w:r w:rsidRPr="00720DB4">
        <w:rPr>
          <w:rFonts w:ascii="Times New Roman" w:hAnsi="Times New Roman" w:cs="Times New Roman"/>
        </w:rPr>
        <w:t xml:space="preserve"> Nasal Colonization', </w:t>
      </w:r>
      <w:r w:rsidRPr="00720DB4">
        <w:rPr>
          <w:rFonts w:ascii="Times New Roman" w:hAnsi="Times New Roman" w:cs="Times New Roman"/>
          <w:i/>
        </w:rPr>
        <w:t>Toxins,</w:t>
      </w:r>
      <w:r w:rsidRPr="00720DB4">
        <w:rPr>
          <w:rFonts w:ascii="Times New Roman" w:hAnsi="Times New Roman" w:cs="Times New Roman"/>
        </w:rPr>
        <w:t xml:space="preserve"> 7(5), pp. 1821-1836.</w:t>
      </w:r>
    </w:p>
    <w:p w14:paraId="3BDCE688" w14:textId="77777777" w:rsidR="00CC40A8" w:rsidRPr="00720DB4" w:rsidRDefault="00CC40A8" w:rsidP="00720DB4">
      <w:pPr>
        <w:pStyle w:val="EndNoteBibliography"/>
        <w:spacing w:after="0"/>
        <w:jc w:val="both"/>
        <w:rPr>
          <w:rFonts w:ascii="Times New Roman" w:hAnsi="Times New Roman" w:cs="Times New Roman"/>
        </w:rPr>
      </w:pPr>
    </w:p>
    <w:p w14:paraId="6DFE2A8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Yamaguchi, T., Ono, D. and Sato, A. (2020) 'Staphylococcal Cassette Chromosome </w:t>
      </w:r>
      <w:r w:rsidRPr="00CC40A8">
        <w:rPr>
          <w:rFonts w:ascii="Times New Roman" w:hAnsi="Times New Roman" w:cs="Times New Roman"/>
          <w:i/>
          <w:iCs/>
        </w:rPr>
        <w:t xml:space="preserve">mec </w:t>
      </w:r>
      <w:r w:rsidRPr="00720DB4">
        <w:rPr>
          <w:rFonts w:ascii="Times New Roman" w:hAnsi="Times New Roman" w:cs="Times New Roman"/>
        </w:rPr>
        <w:t>(SCC</w:t>
      </w:r>
      <w:r w:rsidRPr="00CC40A8">
        <w:rPr>
          <w:rFonts w:ascii="Times New Roman" w:hAnsi="Times New Roman" w:cs="Times New Roman"/>
          <w:i/>
          <w:iCs/>
        </w:rPr>
        <w:t>mec</w:t>
      </w:r>
      <w:r w:rsidRPr="00720DB4">
        <w:rPr>
          <w:rFonts w:ascii="Times New Roman" w:hAnsi="Times New Roman" w:cs="Times New Roman"/>
        </w:rPr>
        <w:t xml:space="preserve">) Analysis of MRSA', </w:t>
      </w:r>
      <w:r w:rsidRPr="00CC40A8">
        <w:rPr>
          <w:rFonts w:ascii="Times New Roman" w:hAnsi="Times New Roman" w:cs="Times New Roman"/>
          <w:iCs/>
        </w:rPr>
        <w:t xml:space="preserve">METHICILLIN-RESISTANT </w:t>
      </w:r>
      <w:r w:rsidRPr="00720DB4">
        <w:rPr>
          <w:rFonts w:ascii="Times New Roman" w:hAnsi="Times New Roman" w:cs="Times New Roman"/>
          <w:i/>
        </w:rPr>
        <w:t>STAPHYLOCOCCUS AUREUS (</w:t>
      </w:r>
      <w:r w:rsidRPr="00CC40A8">
        <w:rPr>
          <w:rFonts w:ascii="Times New Roman" w:hAnsi="Times New Roman" w:cs="Times New Roman"/>
          <w:iCs/>
        </w:rPr>
        <w:t>MRSA</w:t>
      </w:r>
      <w:r w:rsidRPr="00720DB4">
        <w:rPr>
          <w:rFonts w:ascii="Times New Roman" w:hAnsi="Times New Roman" w:cs="Times New Roman"/>
          <w:i/>
        </w:rPr>
        <w:t>) PROTOCOLS, 3 EDITION: Cutting-Edge Technologies and Advancements,</w:t>
      </w:r>
      <w:r w:rsidRPr="00720DB4">
        <w:rPr>
          <w:rFonts w:ascii="Times New Roman" w:hAnsi="Times New Roman" w:cs="Times New Roman"/>
        </w:rPr>
        <w:t xml:space="preserve"> 2069, pp. 59-78.</w:t>
      </w:r>
    </w:p>
    <w:p w14:paraId="11F04CAE" w14:textId="77777777" w:rsidR="00CC40A8" w:rsidRPr="00720DB4" w:rsidRDefault="00CC40A8" w:rsidP="00720DB4">
      <w:pPr>
        <w:pStyle w:val="EndNoteBibliography"/>
        <w:spacing w:after="0"/>
        <w:jc w:val="both"/>
        <w:rPr>
          <w:rFonts w:ascii="Times New Roman" w:hAnsi="Times New Roman" w:cs="Times New Roman"/>
        </w:rPr>
      </w:pPr>
    </w:p>
    <w:p w14:paraId="4E3125EA"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Yan, X., Zhao, C., Budin-Verneuil, A., Hartke, A., Rince, A., Gilmore, M. S., Auffray, Y. and Pichereau, V. (2009) 'The (p)ppGpp synthetase RelA contributes to stress adaptation and virulence in </w:t>
      </w:r>
      <w:r w:rsidRPr="00CC40A8">
        <w:rPr>
          <w:rFonts w:ascii="Times New Roman" w:hAnsi="Times New Roman" w:cs="Times New Roman"/>
          <w:i/>
          <w:iCs/>
        </w:rPr>
        <w:t xml:space="preserve">Enterococcus faecalis </w:t>
      </w:r>
      <w:r w:rsidRPr="00720DB4">
        <w:rPr>
          <w:rFonts w:ascii="Times New Roman" w:hAnsi="Times New Roman" w:cs="Times New Roman"/>
        </w:rPr>
        <w:t xml:space="preserve">V583', </w:t>
      </w:r>
      <w:r w:rsidRPr="00720DB4">
        <w:rPr>
          <w:rFonts w:ascii="Times New Roman" w:hAnsi="Times New Roman" w:cs="Times New Roman"/>
          <w:i/>
        </w:rPr>
        <w:t>Microbiology-Sgm,</w:t>
      </w:r>
      <w:r w:rsidRPr="00720DB4">
        <w:rPr>
          <w:rFonts w:ascii="Times New Roman" w:hAnsi="Times New Roman" w:cs="Times New Roman"/>
        </w:rPr>
        <w:t xml:space="preserve"> 155, pp. 3226-3237.</w:t>
      </w:r>
    </w:p>
    <w:p w14:paraId="6A5D77A2" w14:textId="77777777" w:rsidR="00CC40A8" w:rsidRPr="00720DB4" w:rsidRDefault="00CC40A8" w:rsidP="00720DB4">
      <w:pPr>
        <w:pStyle w:val="EndNoteBibliography"/>
        <w:spacing w:after="0"/>
        <w:jc w:val="both"/>
        <w:rPr>
          <w:rFonts w:ascii="Times New Roman" w:hAnsi="Times New Roman" w:cs="Times New Roman"/>
        </w:rPr>
      </w:pPr>
    </w:p>
    <w:p w14:paraId="7C7901E5"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Yang, J., Anderson, B. W., Turdiev, A., Turdiev, H., Stevenson, D. M., Amador-Noguez, D., Lee, V. T. and Wang, J. D. (2021) 'The nucleotide pGpp acts as a third alarmone in </w:t>
      </w:r>
      <w:r w:rsidRPr="00CC40A8">
        <w:rPr>
          <w:rFonts w:ascii="Times New Roman" w:hAnsi="Times New Roman" w:cs="Times New Roman"/>
          <w:i/>
          <w:iCs/>
        </w:rPr>
        <w:t>Bacillus</w:t>
      </w:r>
      <w:r w:rsidRPr="00720DB4">
        <w:rPr>
          <w:rFonts w:ascii="Times New Roman" w:hAnsi="Times New Roman" w:cs="Times New Roman"/>
        </w:rPr>
        <w:t xml:space="preserve">, with functions distinct from those of (p)ppGpp (vol 11, 5388, 2020)', </w:t>
      </w:r>
      <w:r w:rsidRPr="00720DB4">
        <w:rPr>
          <w:rFonts w:ascii="Times New Roman" w:hAnsi="Times New Roman" w:cs="Times New Roman"/>
          <w:i/>
        </w:rPr>
        <w:t>Nature Communications,</w:t>
      </w:r>
      <w:r w:rsidRPr="00720DB4">
        <w:rPr>
          <w:rFonts w:ascii="Times New Roman" w:hAnsi="Times New Roman" w:cs="Times New Roman"/>
        </w:rPr>
        <w:t xml:space="preserve"> 12(1).</w:t>
      </w:r>
    </w:p>
    <w:p w14:paraId="4D41862E" w14:textId="77777777" w:rsidR="00CC40A8" w:rsidRPr="00720DB4" w:rsidRDefault="00CC40A8" w:rsidP="00720DB4">
      <w:pPr>
        <w:pStyle w:val="EndNoteBibliography"/>
        <w:spacing w:after="0"/>
        <w:jc w:val="both"/>
        <w:rPr>
          <w:rFonts w:ascii="Times New Roman" w:hAnsi="Times New Roman" w:cs="Times New Roman"/>
        </w:rPr>
      </w:pPr>
    </w:p>
    <w:p w14:paraId="511CA9EC" w14:textId="62DC43A4"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Yang, Z., Jiang, H., Chachainasakul, T., Gong, S. C., Yang, X. W., Heintz, N. and Lin, S. (2011) 'Modified bacterial artificial chromosomes for zebrafish transgenesis (vol 39, pg 183, 2006)', </w:t>
      </w:r>
      <w:r w:rsidRPr="00720DB4">
        <w:rPr>
          <w:rFonts w:ascii="Times New Roman" w:hAnsi="Times New Roman" w:cs="Times New Roman"/>
          <w:i/>
        </w:rPr>
        <w:t>Methods,</w:t>
      </w:r>
      <w:r w:rsidRPr="00720DB4">
        <w:rPr>
          <w:rFonts w:ascii="Times New Roman" w:hAnsi="Times New Roman" w:cs="Times New Roman"/>
        </w:rPr>
        <w:t xml:space="preserve"> 53(3), pp. 327-327.</w:t>
      </w:r>
    </w:p>
    <w:p w14:paraId="42FCC3FF" w14:textId="77777777" w:rsidR="00CC40A8" w:rsidRPr="00720DB4" w:rsidRDefault="00CC40A8" w:rsidP="00720DB4">
      <w:pPr>
        <w:pStyle w:val="EndNoteBibliography"/>
        <w:spacing w:after="0"/>
        <w:jc w:val="both"/>
        <w:rPr>
          <w:rFonts w:ascii="Times New Roman" w:hAnsi="Times New Roman" w:cs="Times New Roman"/>
        </w:rPr>
      </w:pPr>
    </w:p>
    <w:p w14:paraId="1766FFD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Ye, G., Poudel, S., Seif, Y., Shen, Z. and Palsson, B. O. (2021) 'Elucidating the CodY regulon in </w:t>
      </w:r>
      <w:r w:rsidRPr="00720DB4">
        <w:rPr>
          <w:rFonts w:ascii="Times New Roman" w:hAnsi="Times New Roman" w:cs="Times New Roman"/>
          <w:i/>
        </w:rPr>
        <w:t>Staphylococcus aureus</w:t>
      </w:r>
      <w:r w:rsidRPr="00720DB4">
        <w:rPr>
          <w:rFonts w:ascii="Times New Roman" w:hAnsi="Times New Roman" w:cs="Times New Roman"/>
        </w:rPr>
        <w:t xml:space="preserve"> USA300 substrains', </w:t>
      </w:r>
      <w:r w:rsidRPr="00720DB4">
        <w:rPr>
          <w:rFonts w:ascii="Times New Roman" w:hAnsi="Times New Roman" w:cs="Times New Roman"/>
          <w:i/>
        </w:rPr>
        <w:t>bioRxiv</w:t>
      </w:r>
      <w:r w:rsidRPr="00720DB4">
        <w:rPr>
          <w:rFonts w:ascii="Times New Roman" w:hAnsi="Times New Roman" w:cs="Times New Roman"/>
        </w:rPr>
        <w:t>.</w:t>
      </w:r>
    </w:p>
    <w:p w14:paraId="406FBC67" w14:textId="77777777" w:rsidR="00CC40A8" w:rsidRPr="00720DB4" w:rsidRDefault="00CC40A8" w:rsidP="00720DB4">
      <w:pPr>
        <w:pStyle w:val="EndNoteBibliography"/>
        <w:spacing w:after="0"/>
        <w:jc w:val="both"/>
        <w:rPr>
          <w:rFonts w:ascii="Times New Roman" w:hAnsi="Times New Roman" w:cs="Times New Roman"/>
        </w:rPr>
      </w:pPr>
    </w:p>
    <w:p w14:paraId="6FB51A8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Yeung, E., Dy, A. J., Martin, K. B., Ng, A. H., Del Vecchio, D., Beck, J. L., Collins, J. J. and Murray, R. M. (2017) 'Biophysical Constraints Arising from Compositional Context in Synthetic Gene Networks', </w:t>
      </w:r>
      <w:r w:rsidRPr="00720DB4">
        <w:rPr>
          <w:rFonts w:ascii="Times New Roman" w:hAnsi="Times New Roman" w:cs="Times New Roman"/>
          <w:i/>
        </w:rPr>
        <w:t>Cell Systems,</w:t>
      </w:r>
      <w:r w:rsidRPr="00720DB4">
        <w:rPr>
          <w:rFonts w:ascii="Times New Roman" w:hAnsi="Times New Roman" w:cs="Times New Roman"/>
        </w:rPr>
        <w:t xml:space="preserve"> 5(1), pp. 11-+.</w:t>
      </w:r>
    </w:p>
    <w:p w14:paraId="7D783C26" w14:textId="77777777" w:rsidR="00CC40A8" w:rsidRPr="00720DB4" w:rsidRDefault="00CC40A8" w:rsidP="00720DB4">
      <w:pPr>
        <w:pStyle w:val="EndNoteBibliography"/>
        <w:spacing w:after="0"/>
        <w:jc w:val="both"/>
        <w:rPr>
          <w:rFonts w:ascii="Times New Roman" w:hAnsi="Times New Roman" w:cs="Times New Roman"/>
        </w:rPr>
      </w:pPr>
    </w:p>
    <w:p w14:paraId="4F6FE1C3"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Yoshida, T. and Hiramatsu, K. (1993) 'POTENT IN-VITRO BACTERICIDAL ACTIVITY OF POLYMYXIN-B AGAINST METHICILLIN-RESISTANT </w:t>
      </w:r>
      <w:r w:rsidRPr="00CC40A8">
        <w:rPr>
          <w:rFonts w:ascii="Times New Roman" w:hAnsi="Times New Roman" w:cs="Times New Roman"/>
          <w:i/>
          <w:iCs/>
        </w:rPr>
        <w:t>STAPHYLOCOCCUS-AUREUS</w:t>
      </w:r>
      <w:r w:rsidRPr="00720DB4">
        <w:rPr>
          <w:rFonts w:ascii="Times New Roman" w:hAnsi="Times New Roman" w:cs="Times New Roman"/>
        </w:rPr>
        <w:t xml:space="preserve"> (MRSA)', </w:t>
      </w:r>
      <w:r w:rsidRPr="00720DB4">
        <w:rPr>
          <w:rFonts w:ascii="Times New Roman" w:hAnsi="Times New Roman" w:cs="Times New Roman"/>
          <w:i/>
        </w:rPr>
        <w:t>Microbiology and Immunology,</w:t>
      </w:r>
      <w:r w:rsidRPr="00720DB4">
        <w:rPr>
          <w:rFonts w:ascii="Times New Roman" w:hAnsi="Times New Roman" w:cs="Times New Roman"/>
        </w:rPr>
        <w:t xml:space="preserve"> 37(11), pp. 853-859.</w:t>
      </w:r>
    </w:p>
    <w:p w14:paraId="43C5DB29" w14:textId="77777777" w:rsidR="00CC40A8" w:rsidRPr="00720DB4" w:rsidRDefault="00CC40A8" w:rsidP="00720DB4">
      <w:pPr>
        <w:pStyle w:val="EndNoteBibliography"/>
        <w:spacing w:after="0"/>
        <w:jc w:val="both"/>
        <w:rPr>
          <w:rFonts w:ascii="Times New Roman" w:hAnsi="Times New Roman" w:cs="Times New Roman"/>
        </w:rPr>
      </w:pPr>
    </w:p>
    <w:p w14:paraId="57CBAE6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Zapotoczna, M., Jevnikar, Z., Miajlovic, H., Kos, J. and Foster, T. J. (2013) 'Iron-regulated surface determinant B (IsdB) promotes </w:t>
      </w:r>
      <w:r w:rsidRPr="00CC40A8">
        <w:rPr>
          <w:rFonts w:ascii="Times New Roman" w:hAnsi="Times New Roman" w:cs="Times New Roman"/>
          <w:i/>
          <w:iCs/>
        </w:rPr>
        <w:t>Staphylococcus aureus</w:t>
      </w:r>
      <w:r w:rsidRPr="00720DB4">
        <w:rPr>
          <w:rFonts w:ascii="Times New Roman" w:hAnsi="Times New Roman" w:cs="Times New Roman"/>
        </w:rPr>
        <w:t xml:space="preserve"> adherence to and internalization by non-phagocytic human cells', </w:t>
      </w:r>
      <w:r w:rsidRPr="00720DB4">
        <w:rPr>
          <w:rFonts w:ascii="Times New Roman" w:hAnsi="Times New Roman" w:cs="Times New Roman"/>
          <w:i/>
        </w:rPr>
        <w:t>Cellular Microbiology,</w:t>
      </w:r>
      <w:r w:rsidRPr="00720DB4">
        <w:rPr>
          <w:rFonts w:ascii="Times New Roman" w:hAnsi="Times New Roman" w:cs="Times New Roman"/>
        </w:rPr>
        <w:t xml:space="preserve"> 15(6), pp. 1026-1041.</w:t>
      </w:r>
    </w:p>
    <w:p w14:paraId="734C3A20" w14:textId="77777777" w:rsidR="00CC40A8" w:rsidRPr="00720DB4" w:rsidRDefault="00CC40A8" w:rsidP="00720DB4">
      <w:pPr>
        <w:pStyle w:val="EndNoteBibliography"/>
        <w:spacing w:after="0"/>
        <w:jc w:val="both"/>
        <w:rPr>
          <w:rFonts w:ascii="Times New Roman" w:hAnsi="Times New Roman" w:cs="Times New Roman"/>
        </w:rPr>
      </w:pPr>
    </w:p>
    <w:p w14:paraId="4497582B"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Zautner, A. E., Krause, M., Stropahl, G., Holtfreter, S., Frickmann, H., Maletzki, C., Kreikemeyer, B., Pau, H. W. and Podbielski, A. (2010) 'Intracellular Persisting </w:t>
      </w:r>
      <w:r w:rsidRPr="00CC40A8">
        <w:rPr>
          <w:rFonts w:ascii="Times New Roman" w:hAnsi="Times New Roman" w:cs="Times New Roman"/>
          <w:i/>
          <w:iCs/>
        </w:rPr>
        <w:t>Staphylococcus aureus</w:t>
      </w:r>
      <w:r w:rsidRPr="00720DB4">
        <w:rPr>
          <w:rFonts w:ascii="Times New Roman" w:hAnsi="Times New Roman" w:cs="Times New Roman"/>
        </w:rPr>
        <w:t xml:space="preserve"> Is the Major Pathogen in Recurrent Tonsillitis', </w:t>
      </w:r>
      <w:r w:rsidRPr="00720DB4">
        <w:rPr>
          <w:rFonts w:ascii="Times New Roman" w:hAnsi="Times New Roman" w:cs="Times New Roman"/>
          <w:i/>
        </w:rPr>
        <w:t>Plos One,</w:t>
      </w:r>
      <w:r w:rsidRPr="00720DB4">
        <w:rPr>
          <w:rFonts w:ascii="Times New Roman" w:hAnsi="Times New Roman" w:cs="Times New Roman"/>
        </w:rPr>
        <w:t xml:space="preserve"> 5(3).</w:t>
      </w:r>
    </w:p>
    <w:p w14:paraId="28A1BD7E" w14:textId="77777777" w:rsidR="00CC40A8" w:rsidRPr="00720DB4" w:rsidRDefault="00CC40A8" w:rsidP="00720DB4">
      <w:pPr>
        <w:pStyle w:val="EndNoteBibliography"/>
        <w:spacing w:after="0"/>
        <w:jc w:val="both"/>
        <w:rPr>
          <w:rFonts w:ascii="Times New Roman" w:hAnsi="Times New Roman" w:cs="Times New Roman"/>
        </w:rPr>
      </w:pPr>
    </w:p>
    <w:p w14:paraId="0BE3E4FE"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Zbornikova, E., Knejzlik, Z., Hauryliuk, V., Krasny, L. and Rejman, D. (2019) 'Analysis of nucleotide pools in bacteria using HPLC-MS in HILIC mode', </w:t>
      </w:r>
      <w:r w:rsidRPr="00720DB4">
        <w:rPr>
          <w:rFonts w:ascii="Times New Roman" w:hAnsi="Times New Roman" w:cs="Times New Roman"/>
          <w:i/>
        </w:rPr>
        <w:t>Talanta,</w:t>
      </w:r>
      <w:r w:rsidRPr="00720DB4">
        <w:rPr>
          <w:rFonts w:ascii="Times New Roman" w:hAnsi="Times New Roman" w:cs="Times New Roman"/>
        </w:rPr>
        <w:t xml:space="preserve"> 205.</w:t>
      </w:r>
    </w:p>
    <w:p w14:paraId="7922842F" w14:textId="77777777" w:rsidR="00CC40A8" w:rsidRPr="00720DB4" w:rsidRDefault="00CC40A8" w:rsidP="00720DB4">
      <w:pPr>
        <w:pStyle w:val="EndNoteBibliography"/>
        <w:spacing w:after="0"/>
        <w:jc w:val="both"/>
        <w:rPr>
          <w:rFonts w:ascii="Times New Roman" w:hAnsi="Times New Roman" w:cs="Times New Roman"/>
        </w:rPr>
      </w:pPr>
    </w:p>
    <w:p w14:paraId="683747A3" w14:textId="2BC4290F" w:rsidR="00CC40A8"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Zelensky, A. N. and Gready, J. E. (2005) 'The C-type lectin-like domain superfamily', </w:t>
      </w:r>
      <w:r w:rsidRPr="00720DB4">
        <w:rPr>
          <w:rFonts w:ascii="Times New Roman" w:hAnsi="Times New Roman" w:cs="Times New Roman"/>
          <w:i/>
        </w:rPr>
        <w:t>Febs Journal,</w:t>
      </w:r>
      <w:r w:rsidRPr="00720DB4">
        <w:rPr>
          <w:rFonts w:ascii="Times New Roman" w:hAnsi="Times New Roman" w:cs="Times New Roman"/>
        </w:rPr>
        <w:t xml:space="preserve"> 272(24), pp. 6179-6217.</w:t>
      </w:r>
    </w:p>
    <w:p w14:paraId="70FE0C4C" w14:textId="77777777" w:rsidR="00CC40A8" w:rsidRPr="00720DB4" w:rsidRDefault="00CC40A8" w:rsidP="00720DB4">
      <w:pPr>
        <w:pStyle w:val="EndNoteBibliography"/>
        <w:spacing w:after="0"/>
        <w:jc w:val="both"/>
        <w:rPr>
          <w:rFonts w:ascii="Times New Roman" w:hAnsi="Times New Roman" w:cs="Times New Roman"/>
        </w:rPr>
      </w:pPr>
    </w:p>
    <w:p w14:paraId="27AB65E6"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Zhang, P., Wang, Y., Chang, Y., Xiong, Z. H. and Huang, C. Z. (2013) 'Highly selective detection of bacterial alarmone ppGpp with an off-on fluorescent probe of copper-mediated silver nanoclusters', </w:t>
      </w:r>
      <w:r w:rsidRPr="00720DB4">
        <w:rPr>
          <w:rFonts w:ascii="Times New Roman" w:hAnsi="Times New Roman" w:cs="Times New Roman"/>
          <w:i/>
        </w:rPr>
        <w:t>Biosensors &amp; Bioelectronics,</w:t>
      </w:r>
      <w:r w:rsidRPr="00720DB4">
        <w:rPr>
          <w:rFonts w:ascii="Times New Roman" w:hAnsi="Times New Roman" w:cs="Times New Roman"/>
        </w:rPr>
        <w:t xml:space="preserve"> 49, pp. 433-437.</w:t>
      </w:r>
    </w:p>
    <w:p w14:paraId="4A4CF47C" w14:textId="77777777" w:rsidR="00CC40A8" w:rsidRPr="00720DB4" w:rsidRDefault="00CC40A8" w:rsidP="00720DB4">
      <w:pPr>
        <w:pStyle w:val="EndNoteBibliography"/>
        <w:spacing w:after="0"/>
        <w:jc w:val="both"/>
        <w:rPr>
          <w:rFonts w:ascii="Times New Roman" w:hAnsi="Times New Roman" w:cs="Times New Roman"/>
        </w:rPr>
      </w:pPr>
    </w:p>
    <w:p w14:paraId="14039B32"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Zhang, X. K., Xiong, T. R., Gao, L., Wang, Y., Liu, L. X., Tian, T., Shi, Y., Zhang, J. Y., Zhao, Z., Lu, D. S., Luo, P., Zhang, W. J., Cheng, P., Jing, H. M., Gou, Q., Zeng, H., Yan, D. P. and Zou, Q. M. (2022) 'Extracellular fibrinogen-binding protein released by intracellular </w:t>
      </w:r>
      <w:r w:rsidRPr="00CC40A8">
        <w:rPr>
          <w:rFonts w:ascii="Times New Roman" w:hAnsi="Times New Roman" w:cs="Times New Roman"/>
          <w:i/>
          <w:iCs/>
        </w:rPr>
        <w:t>Staphylococcus aureus</w:t>
      </w:r>
      <w:r w:rsidRPr="00720DB4">
        <w:rPr>
          <w:rFonts w:ascii="Times New Roman" w:hAnsi="Times New Roman" w:cs="Times New Roman"/>
        </w:rPr>
        <w:t xml:space="preserve"> suppresses host immunity by targeting TRAF3', </w:t>
      </w:r>
      <w:r w:rsidRPr="00720DB4">
        <w:rPr>
          <w:rFonts w:ascii="Times New Roman" w:hAnsi="Times New Roman" w:cs="Times New Roman"/>
          <w:i/>
        </w:rPr>
        <w:t>Nature Communications,</w:t>
      </w:r>
      <w:r w:rsidRPr="00720DB4">
        <w:rPr>
          <w:rFonts w:ascii="Times New Roman" w:hAnsi="Times New Roman" w:cs="Times New Roman"/>
        </w:rPr>
        <w:t xml:space="preserve"> 13(1).</w:t>
      </w:r>
    </w:p>
    <w:p w14:paraId="521304EC" w14:textId="77777777" w:rsidR="00CC40A8" w:rsidRPr="00720DB4" w:rsidRDefault="00CC40A8" w:rsidP="00720DB4">
      <w:pPr>
        <w:pStyle w:val="EndNoteBibliography"/>
        <w:spacing w:after="0"/>
        <w:jc w:val="both"/>
        <w:rPr>
          <w:rFonts w:ascii="Times New Roman" w:hAnsi="Times New Roman" w:cs="Times New Roman"/>
        </w:rPr>
      </w:pPr>
    </w:p>
    <w:p w14:paraId="582FB0C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Zhang, Y., Zbornikova, E., Rejman, D. and Gerdes, K. (2018a) 'Novel (p)ppGpp Binding and Metabolizing Proteins of </w:t>
      </w:r>
      <w:r w:rsidRPr="00CC40A8">
        <w:rPr>
          <w:rFonts w:ascii="Times New Roman" w:hAnsi="Times New Roman" w:cs="Times New Roman"/>
          <w:i/>
          <w:iCs/>
        </w:rPr>
        <w:t>Escherichia coli</w:t>
      </w:r>
      <w:r w:rsidRPr="00720DB4">
        <w:rPr>
          <w:rFonts w:ascii="Times New Roman" w:hAnsi="Times New Roman" w:cs="Times New Roman"/>
        </w:rPr>
        <w:t xml:space="preserve">', </w:t>
      </w:r>
      <w:r w:rsidRPr="00720DB4">
        <w:rPr>
          <w:rFonts w:ascii="Times New Roman" w:hAnsi="Times New Roman" w:cs="Times New Roman"/>
          <w:i/>
        </w:rPr>
        <w:t>Mbio,</w:t>
      </w:r>
      <w:r w:rsidRPr="00720DB4">
        <w:rPr>
          <w:rFonts w:ascii="Times New Roman" w:hAnsi="Times New Roman" w:cs="Times New Roman"/>
        </w:rPr>
        <w:t xml:space="preserve"> 9(2).</w:t>
      </w:r>
    </w:p>
    <w:p w14:paraId="1A7C5A89" w14:textId="77777777" w:rsidR="00CC40A8" w:rsidRPr="00720DB4" w:rsidRDefault="00CC40A8" w:rsidP="00720DB4">
      <w:pPr>
        <w:pStyle w:val="EndNoteBibliography"/>
        <w:spacing w:after="0"/>
        <w:jc w:val="both"/>
        <w:rPr>
          <w:rFonts w:ascii="Times New Roman" w:hAnsi="Times New Roman" w:cs="Times New Roman"/>
        </w:rPr>
      </w:pPr>
    </w:p>
    <w:p w14:paraId="5F6EF3F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Zhang, Y. Q., Mandava, C. S., Cao, W., Li, X. J., Zhang, D. J., Li, N. N., Zhang, Y. D., Zhang, X. X., Qin, Y., Mi, K. X., Lei, J. L., Sanyal, S. and Gao, N. (2015) 'HflX is a ribosome-splitting factor rescuing stalled ribosomes under stress conditions', </w:t>
      </w:r>
      <w:r w:rsidRPr="00720DB4">
        <w:rPr>
          <w:rFonts w:ascii="Times New Roman" w:hAnsi="Times New Roman" w:cs="Times New Roman"/>
          <w:i/>
        </w:rPr>
        <w:t>Nature Structural &amp; Molecular Biology,</w:t>
      </w:r>
      <w:r w:rsidRPr="00720DB4">
        <w:rPr>
          <w:rFonts w:ascii="Times New Roman" w:hAnsi="Times New Roman" w:cs="Times New Roman"/>
        </w:rPr>
        <w:t xml:space="preserve"> 22(11), pp. 906-913.</w:t>
      </w:r>
    </w:p>
    <w:p w14:paraId="252A799F" w14:textId="77777777" w:rsidR="00CC40A8" w:rsidRPr="00720DB4" w:rsidRDefault="00CC40A8" w:rsidP="00720DB4">
      <w:pPr>
        <w:pStyle w:val="EndNoteBibliography"/>
        <w:spacing w:after="0"/>
        <w:jc w:val="both"/>
        <w:rPr>
          <w:rFonts w:ascii="Times New Roman" w:hAnsi="Times New Roman" w:cs="Times New Roman"/>
        </w:rPr>
      </w:pPr>
    </w:p>
    <w:p w14:paraId="5D9202B8"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Zhang, Z. K., Ohto, U., Shibata, T., Taoka, M., Yamauchi, Y., Sato, R., Shukla, N. M., David, S. A., Isobe, T., Miyake, K. and Shimizu, T. (2018b) 'Structural Analyses of Toll-like Receptor 7 Reveal Detailed RNA Sequence Specificity and Recognition Mechanism of Agonistic Ligands', </w:t>
      </w:r>
      <w:r w:rsidRPr="00720DB4">
        <w:rPr>
          <w:rFonts w:ascii="Times New Roman" w:hAnsi="Times New Roman" w:cs="Times New Roman"/>
          <w:i/>
        </w:rPr>
        <w:t>Cell Reports,</w:t>
      </w:r>
      <w:r w:rsidRPr="00720DB4">
        <w:rPr>
          <w:rFonts w:ascii="Times New Roman" w:hAnsi="Times New Roman" w:cs="Times New Roman"/>
        </w:rPr>
        <w:t xml:space="preserve"> 25(12), pp. 3371-+.</w:t>
      </w:r>
    </w:p>
    <w:p w14:paraId="363DC8DF" w14:textId="77777777" w:rsidR="00CC40A8" w:rsidRPr="00720DB4" w:rsidRDefault="00CC40A8" w:rsidP="00720DB4">
      <w:pPr>
        <w:pStyle w:val="EndNoteBibliography"/>
        <w:spacing w:after="0"/>
        <w:jc w:val="both"/>
        <w:rPr>
          <w:rFonts w:ascii="Times New Roman" w:hAnsi="Times New Roman" w:cs="Times New Roman"/>
        </w:rPr>
      </w:pPr>
    </w:p>
    <w:p w14:paraId="2803A5A1"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Zhao, G., Weatherspoon, N., Kong, W., Curtiss, R., III and Shia, Y. (2008) 'A dual-signal regulatory circuit activates transcription of a set of divergent operons in </w:t>
      </w:r>
      <w:r w:rsidRPr="00CC40A8">
        <w:rPr>
          <w:rFonts w:ascii="Times New Roman" w:hAnsi="Times New Roman" w:cs="Times New Roman"/>
          <w:i/>
          <w:iCs/>
        </w:rPr>
        <w:t>Salmonella typhimurium</w:t>
      </w:r>
      <w:r w:rsidRPr="00720DB4">
        <w:rPr>
          <w:rFonts w:ascii="Times New Roman" w:hAnsi="Times New Roman" w:cs="Times New Roman"/>
        </w:rPr>
        <w:t xml:space="preserve">', </w:t>
      </w:r>
      <w:r w:rsidRPr="00720DB4">
        <w:rPr>
          <w:rFonts w:ascii="Times New Roman" w:hAnsi="Times New Roman" w:cs="Times New Roman"/>
          <w:i/>
        </w:rPr>
        <w:t>Proceedings of the National Academy of Sciences of the United States of America,</w:t>
      </w:r>
      <w:r w:rsidRPr="00720DB4">
        <w:rPr>
          <w:rFonts w:ascii="Times New Roman" w:hAnsi="Times New Roman" w:cs="Times New Roman"/>
        </w:rPr>
        <w:t xml:space="preserve"> 105(52), pp. 20924-20929.</w:t>
      </w:r>
    </w:p>
    <w:p w14:paraId="45B6C7ED" w14:textId="77777777" w:rsidR="00CC40A8" w:rsidRPr="00720DB4" w:rsidRDefault="00CC40A8" w:rsidP="00720DB4">
      <w:pPr>
        <w:pStyle w:val="EndNoteBibliography"/>
        <w:spacing w:after="0"/>
        <w:jc w:val="both"/>
        <w:rPr>
          <w:rFonts w:ascii="Times New Roman" w:hAnsi="Times New Roman" w:cs="Times New Roman"/>
        </w:rPr>
      </w:pPr>
    </w:p>
    <w:p w14:paraId="42D53FCD"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Zhu, J. W., Zhang, T. F., Su, Z. P., Feng, L. P., Liu, H. Y., Xu, Z. Y., Wu, Y. S., Gao, T., Shao, H. B. and Zhou, R. (2019) 'Co-regulation of CodY and (p)ppGpp synthetases on morphology and pathogenesis of </w:t>
      </w:r>
      <w:r w:rsidRPr="00CC40A8">
        <w:rPr>
          <w:rFonts w:ascii="Times New Roman" w:hAnsi="Times New Roman" w:cs="Times New Roman"/>
          <w:i/>
          <w:iCs/>
        </w:rPr>
        <w:t>Streptococcus suis</w:t>
      </w:r>
      <w:r w:rsidRPr="00720DB4">
        <w:rPr>
          <w:rFonts w:ascii="Times New Roman" w:hAnsi="Times New Roman" w:cs="Times New Roman"/>
        </w:rPr>
        <w:t xml:space="preserve">', </w:t>
      </w:r>
      <w:r w:rsidRPr="00720DB4">
        <w:rPr>
          <w:rFonts w:ascii="Times New Roman" w:hAnsi="Times New Roman" w:cs="Times New Roman"/>
          <w:i/>
        </w:rPr>
        <w:t>Microbiological Research,</w:t>
      </w:r>
      <w:r w:rsidRPr="00720DB4">
        <w:rPr>
          <w:rFonts w:ascii="Times New Roman" w:hAnsi="Times New Roman" w:cs="Times New Roman"/>
        </w:rPr>
        <w:t xml:space="preserve"> 223, pp. 88-98.</w:t>
      </w:r>
    </w:p>
    <w:p w14:paraId="4F85164A" w14:textId="77777777" w:rsidR="00CC40A8" w:rsidRPr="00720DB4" w:rsidRDefault="00CC40A8" w:rsidP="00720DB4">
      <w:pPr>
        <w:pStyle w:val="EndNoteBibliography"/>
        <w:spacing w:after="0"/>
        <w:jc w:val="both"/>
        <w:rPr>
          <w:rFonts w:ascii="Times New Roman" w:hAnsi="Times New Roman" w:cs="Times New Roman"/>
        </w:rPr>
      </w:pPr>
    </w:p>
    <w:p w14:paraId="589371E0"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Zhu, X., Guo, Y., Liu, Z., Yang, J., Tang, H. and Wang, Y. (2021) 'Itaconic acid exerts anti-inflammatory and antibacterial effects via promoting pentose phosphate pathway to produce ROS', </w:t>
      </w:r>
      <w:r w:rsidRPr="00720DB4">
        <w:rPr>
          <w:rFonts w:ascii="Times New Roman" w:hAnsi="Times New Roman" w:cs="Times New Roman"/>
          <w:i/>
        </w:rPr>
        <w:t>Scientific Reports,</w:t>
      </w:r>
      <w:r w:rsidRPr="00720DB4">
        <w:rPr>
          <w:rFonts w:ascii="Times New Roman" w:hAnsi="Times New Roman" w:cs="Times New Roman"/>
        </w:rPr>
        <w:t xml:space="preserve"> 11(1).</w:t>
      </w:r>
    </w:p>
    <w:p w14:paraId="1E16DFC6" w14:textId="77777777" w:rsidR="00CC40A8" w:rsidRPr="00720DB4" w:rsidRDefault="00CC40A8" w:rsidP="00720DB4">
      <w:pPr>
        <w:pStyle w:val="EndNoteBibliography"/>
        <w:spacing w:after="0"/>
        <w:jc w:val="both"/>
        <w:rPr>
          <w:rFonts w:ascii="Times New Roman" w:hAnsi="Times New Roman" w:cs="Times New Roman"/>
        </w:rPr>
      </w:pPr>
    </w:p>
    <w:p w14:paraId="3E962B99"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Zong, Z. Y., Peng, C. H. and Lu, X. J. (2011) 'Diversity of SCC</w:t>
      </w:r>
      <w:r w:rsidRPr="00CC40A8">
        <w:rPr>
          <w:rFonts w:ascii="Times New Roman" w:hAnsi="Times New Roman" w:cs="Times New Roman"/>
          <w:i/>
          <w:iCs/>
        </w:rPr>
        <w:t xml:space="preserve">mec </w:t>
      </w:r>
      <w:r w:rsidRPr="00720DB4">
        <w:rPr>
          <w:rFonts w:ascii="Times New Roman" w:hAnsi="Times New Roman" w:cs="Times New Roman"/>
        </w:rPr>
        <w:t xml:space="preserve">Elements in Methicillin-Resistant Coagulase-Negative Staphylococci Clinical Isolates', </w:t>
      </w:r>
      <w:r w:rsidRPr="00720DB4">
        <w:rPr>
          <w:rFonts w:ascii="Times New Roman" w:hAnsi="Times New Roman" w:cs="Times New Roman"/>
          <w:i/>
        </w:rPr>
        <w:t>Plos One,</w:t>
      </w:r>
      <w:r w:rsidRPr="00720DB4">
        <w:rPr>
          <w:rFonts w:ascii="Times New Roman" w:hAnsi="Times New Roman" w:cs="Times New Roman"/>
        </w:rPr>
        <w:t xml:space="preserve"> 6(5).</w:t>
      </w:r>
    </w:p>
    <w:p w14:paraId="2A01A120" w14:textId="77777777" w:rsidR="00CC40A8" w:rsidRPr="00720DB4" w:rsidRDefault="00CC40A8" w:rsidP="00720DB4">
      <w:pPr>
        <w:pStyle w:val="EndNoteBibliography"/>
        <w:spacing w:after="0"/>
        <w:jc w:val="both"/>
        <w:rPr>
          <w:rFonts w:ascii="Times New Roman" w:hAnsi="Times New Roman" w:cs="Times New Roman"/>
        </w:rPr>
      </w:pPr>
    </w:p>
    <w:p w14:paraId="72C42944" w14:textId="77777777" w:rsidR="00F33866" w:rsidRDefault="00F33866" w:rsidP="00720DB4">
      <w:pPr>
        <w:pStyle w:val="EndNoteBibliography"/>
        <w:spacing w:after="0"/>
        <w:jc w:val="both"/>
        <w:rPr>
          <w:rFonts w:ascii="Times New Roman" w:hAnsi="Times New Roman" w:cs="Times New Roman"/>
        </w:rPr>
      </w:pPr>
      <w:r w:rsidRPr="00720DB4">
        <w:rPr>
          <w:rFonts w:ascii="Times New Roman" w:hAnsi="Times New Roman" w:cs="Times New Roman"/>
        </w:rPr>
        <w:t xml:space="preserve">Åberg, A., Shingler, V. and Balsalobre, C. (2006) '(p)ppGpp regulates type 1 fimbriation of </w:t>
      </w:r>
      <w:r w:rsidRPr="00CC40A8">
        <w:rPr>
          <w:rFonts w:ascii="Times New Roman" w:hAnsi="Times New Roman" w:cs="Times New Roman"/>
          <w:i/>
          <w:iCs/>
        </w:rPr>
        <w:t>Escherichia coli</w:t>
      </w:r>
      <w:r w:rsidRPr="00720DB4">
        <w:rPr>
          <w:rFonts w:ascii="Times New Roman" w:hAnsi="Times New Roman" w:cs="Times New Roman"/>
        </w:rPr>
        <w:t xml:space="preserve"> by modulating the expression of the site-specific recombinase FimB', </w:t>
      </w:r>
      <w:r w:rsidRPr="00720DB4">
        <w:rPr>
          <w:rFonts w:ascii="Times New Roman" w:hAnsi="Times New Roman" w:cs="Times New Roman"/>
          <w:i/>
        </w:rPr>
        <w:t>Molecular Microbiology,</w:t>
      </w:r>
      <w:r w:rsidRPr="00720DB4">
        <w:rPr>
          <w:rFonts w:ascii="Times New Roman" w:hAnsi="Times New Roman" w:cs="Times New Roman"/>
        </w:rPr>
        <w:t xml:space="preserve"> 60(6), pp. 1520-1533.</w:t>
      </w:r>
    </w:p>
    <w:p w14:paraId="582DBA52" w14:textId="77777777" w:rsidR="00CC40A8" w:rsidRPr="00720DB4" w:rsidRDefault="00CC40A8" w:rsidP="00720DB4">
      <w:pPr>
        <w:pStyle w:val="EndNoteBibliography"/>
        <w:spacing w:after="0"/>
        <w:jc w:val="both"/>
        <w:rPr>
          <w:rFonts w:ascii="Times New Roman" w:hAnsi="Times New Roman" w:cs="Times New Roman"/>
        </w:rPr>
      </w:pPr>
    </w:p>
    <w:p w14:paraId="76826EE5" w14:textId="77777777" w:rsidR="00F33866" w:rsidRDefault="00F33866" w:rsidP="00720DB4">
      <w:pPr>
        <w:pStyle w:val="EndNoteBibliography"/>
        <w:jc w:val="both"/>
        <w:rPr>
          <w:rFonts w:ascii="Times New Roman" w:hAnsi="Times New Roman" w:cs="Times New Roman"/>
        </w:rPr>
      </w:pPr>
      <w:r w:rsidRPr="00720DB4">
        <w:rPr>
          <w:rFonts w:ascii="Times New Roman" w:hAnsi="Times New Roman" w:cs="Times New Roman"/>
        </w:rPr>
        <w:t xml:space="preserve">Österberg, S., del Peso-Santos, T. and Shingler, V. (2011) 'Regulation of Alternative Sigma Factor Use', </w:t>
      </w:r>
      <w:r w:rsidRPr="00720DB4">
        <w:rPr>
          <w:rFonts w:ascii="Times New Roman" w:hAnsi="Times New Roman" w:cs="Times New Roman"/>
          <w:i/>
        </w:rPr>
        <w:t>Annual Review of Microbiology, Vol 65,</w:t>
      </w:r>
      <w:r w:rsidRPr="00720DB4">
        <w:rPr>
          <w:rFonts w:ascii="Times New Roman" w:hAnsi="Times New Roman" w:cs="Times New Roman"/>
        </w:rPr>
        <w:t xml:space="preserve"> 65, pp. 37-55.</w:t>
      </w:r>
    </w:p>
    <w:p w14:paraId="769FC5E5" w14:textId="77777777" w:rsidR="00CC40A8" w:rsidRPr="00720DB4" w:rsidRDefault="00CC40A8" w:rsidP="00720DB4">
      <w:pPr>
        <w:pStyle w:val="EndNoteBibliography"/>
        <w:jc w:val="both"/>
        <w:rPr>
          <w:rFonts w:ascii="Times New Roman" w:hAnsi="Times New Roman" w:cs="Times New Roman"/>
        </w:rPr>
      </w:pPr>
    </w:p>
    <w:p w14:paraId="1489F7EF" w14:textId="684D3F4E" w:rsidR="00DB06BD" w:rsidRPr="00720DB4" w:rsidRDefault="00276090" w:rsidP="00720DB4">
      <w:pPr>
        <w:jc w:val="both"/>
        <w:rPr>
          <w:rFonts w:ascii="Times New Roman" w:hAnsi="Times New Roman" w:cs="Times New Roman"/>
        </w:rPr>
      </w:pPr>
      <w:r w:rsidRPr="00720DB4">
        <w:rPr>
          <w:rFonts w:ascii="Times New Roman" w:hAnsi="Times New Roman" w:cs="Times New Roman"/>
        </w:rPr>
        <w:fldChar w:fldCharType="end"/>
      </w:r>
    </w:p>
    <w:sectPr w:rsidR="00DB06BD" w:rsidRPr="00720DB4" w:rsidSect="00FE2F02">
      <w:footerReference w:type="default" r:id="rId5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5750" w14:textId="77777777" w:rsidR="001155D3" w:rsidRDefault="001155D3" w:rsidP="009A1C75">
      <w:pPr>
        <w:spacing w:after="0" w:line="240" w:lineRule="auto"/>
      </w:pPr>
      <w:r>
        <w:separator/>
      </w:r>
    </w:p>
  </w:endnote>
  <w:endnote w:type="continuationSeparator" w:id="0">
    <w:p w14:paraId="716BBDD3" w14:textId="77777777" w:rsidR="001155D3" w:rsidRDefault="001155D3" w:rsidP="009A1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erriweather">
    <w:charset w:val="00"/>
    <w:family w:val="auto"/>
    <w:pitch w:val="variable"/>
    <w:sig w:usb0="20000207" w:usb1="00000002" w:usb2="00000000" w:usb3="00000000" w:csb0="00000197"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161740"/>
      <w:docPartObj>
        <w:docPartGallery w:val="Page Numbers (Bottom of Page)"/>
        <w:docPartUnique/>
      </w:docPartObj>
    </w:sdtPr>
    <w:sdtEndPr>
      <w:rPr>
        <w:noProof/>
      </w:rPr>
    </w:sdtEndPr>
    <w:sdtContent>
      <w:p w14:paraId="49A0B9A4" w14:textId="24F659DC" w:rsidR="005F13CD" w:rsidRDefault="00000000">
        <w:pPr>
          <w:pStyle w:val="Footer"/>
          <w:jc w:val="right"/>
        </w:pPr>
      </w:p>
    </w:sdtContent>
  </w:sdt>
  <w:p w14:paraId="2EB1C00C" w14:textId="77777777" w:rsidR="005F13CD" w:rsidRDefault="005F1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374542"/>
      <w:docPartObj>
        <w:docPartGallery w:val="Page Numbers (Bottom of Page)"/>
        <w:docPartUnique/>
      </w:docPartObj>
    </w:sdtPr>
    <w:sdtEndPr>
      <w:rPr>
        <w:noProof/>
      </w:rPr>
    </w:sdtEndPr>
    <w:sdtContent>
      <w:p w14:paraId="7C60CB09" w14:textId="77777777" w:rsidR="00FE2F02" w:rsidRDefault="00FE2F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5A22D0" w14:textId="77777777" w:rsidR="00FE2F02" w:rsidRDefault="00FE2F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424859"/>
      <w:docPartObj>
        <w:docPartGallery w:val="Page Numbers (Bottom of Page)"/>
        <w:docPartUnique/>
      </w:docPartObj>
    </w:sdtPr>
    <w:sdtEndPr>
      <w:rPr>
        <w:noProof/>
      </w:rPr>
    </w:sdtEndPr>
    <w:sdtContent>
      <w:p w14:paraId="54B19490" w14:textId="77777777" w:rsidR="00FE2F02" w:rsidRDefault="00FE2F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9D293C" w14:textId="77777777" w:rsidR="00FE2F02" w:rsidRDefault="00FE2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FDBA2" w14:textId="77777777" w:rsidR="001155D3" w:rsidRDefault="001155D3" w:rsidP="009A1C75">
      <w:pPr>
        <w:spacing w:after="0" w:line="240" w:lineRule="auto"/>
      </w:pPr>
      <w:r>
        <w:separator/>
      </w:r>
    </w:p>
  </w:footnote>
  <w:footnote w:type="continuationSeparator" w:id="0">
    <w:p w14:paraId="0AFD91D5" w14:textId="77777777" w:rsidR="001155D3" w:rsidRDefault="001155D3" w:rsidP="009A1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86EA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713BB"/>
    <w:multiLevelType w:val="hybridMultilevel"/>
    <w:tmpl w:val="622A4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32093"/>
    <w:multiLevelType w:val="hybridMultilevel"/>
    <w:tmpl w:val="BC14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97649"/>
    <w:multiLevelType w:val="hybridMultilevel"/>
    <w:tmpl w:val="AB08C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24E57"/>
    <w:multiLevelType w:val="hybridMultilevel"/>
    <w:tmpl w:val="6E622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D6284"/>
    <w:multiLevelType w:val="hybridMultilevel"/>
    <w:tmpl w:val="50122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448"/>
    <w:multiLevelType w:val="hybridMultilevel"/>
    <w:tmpl w:val="3FE0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71EF3"/>
    <w:multiLevelType w:val="hybridMultilevel"/>
    <w:tmpl w:val="9C90C316"/>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8D7CAA"/>
    <w:multiLevelType w:val="hybridMultilevel"/>
    <w:tmpl w:val="C77EE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D0FFF"/>
    <w:multiLevelType w:val="hybridMultilevel"/>
    <w:tmpl w:val="DE72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871898"/>
    <w:multiLevelType w:val="hybridMultilevel"/>
    <w:tmpl w:val="8026B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4565E"/>
    <w:multiLevelType w:val="hybridMultilevel"/>
    <w:tmpl w:val="3F36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6E3555"/>
    <w:multiLevelType w:val="hybridMultilevel"/>
    <w:tmpl w:val="8A6E1024"/>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2BE40E49"/>
    <w:multiLevelType w:val="hybridMultilevel"/>
    <w:tmpl w:val="983E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5504C4"/>
    <w:multiLevelType w:val="hybridMultilevel"/>
    <w:tmpl w:val="0480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4F3226"/>
    <w:multiLevelType w:val="hybridMultilevel"/>
    <w:tmpl w:val="57141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8333C4"/>
    <w:multiLevelType w:val="hybridMultilevel"/>
    <w:tmpl w:val="32D0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43D62"/>
    <w:multiLevelType w:val="hybridMultilevel"/>
    <w:tmpl w:val="1CB4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F0911"/>
    <w:multiLevelType w:val="hybridMultilevel"/>
    <w:tmpl w:val="65F84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307C9"/>
    <w:multiLevelType w:val="multilevel"/>
    <w:tmpl w:val="9F2CD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13296A"/>
    <w:multiLevelType w:val="hybridMultilevel"/>
    <w:tmpl w:val="09C2B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73604"/>
    <w:multiLevelType w:val="multilevel"/>
    <w:tmpl w:val="E28245C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4949A6"/>
    <w:multiLevelType w:val="hybridMultilevel"/>
    <w:tmpl w:val="64B0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F76619"/>
    <w:multiLevelType w:val="hybridMultilevel"/>
    <w:tmpl w:val="552A8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81194A"/>
    <w:multiLevelType w:val="multilevel"/>
    <w:tmpl w:val="E71EF51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B70473"/>
    <w:multiLevelType w:val="hybridMultilevel"/>
    <w:tmpl w:val="A8A0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0F4D92"/>
    <w:multiLevelType w:val="hybridMultilevel"/>
    <w:tmpl w:val="2A72D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1B51F3"/>
    <w:multiLevelType w:val="hybridMultilevel"/>
    <w:tmpl w:val="39085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37244"/>
    <w:multiLevelType w:val="hybridMultilevel"/>
    <w:tmpl w:val="BF76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E0371"/>
    <w:multiLevelType w:val="hybridMultilevel"/>
    <w:tmpl w:val="7C00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0825A3"/>
    <w:multiLevelType w:val="hybridMultilevel"/>
    <w:tmpl w:val="539C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22212"/>
    <w:multiLevelType w:val="hybridMultilevel"/>
    <w:tmpl w:val="81E6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823F3"/>
    <w:multiLevelType w:val="hybridMultilevel"/>
    <w:tmpl w:val="B9A8F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AA6E73"/>
    <w:multiLevelType w:val="hybridMultilevel"/>
    <w:tmpl w:val="E6668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BC7049"/>
    <w:multiLevelType w:val="hybridMultilevel"/>
    <w:tmpl w:val="BB9E2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EE61A6"/>
    <w:multiLevelType w:val="hybridMultilevel"/>
    <w:tmpl w:val="DEACE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454D3"/>
    <w:multiLevelType w:val="hybridMultilevel"/>
    <w:tmpl w:val="EF60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AE36A9"/>
    <w:multiLevelType w:val="hybridMultilevel"/>
    <w:tmpl w:val="1B9E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EE3753"/>
    <w:multiLevelType w:val="hybridMultilevel"/>
    <w:tmpl w:val="CD468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7B5C3D"/>
    <w:multiLevelType w:val="hybridMultilevel"/>
    <w:tmpl w:val="CB1A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370978"/>
    <w:multiLevelType w:val="hybridMultilevel"/>
    <w:tmpl w:val="FAF4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25FD3"/>
    <w:multiLevelType w:val="hybridMultilevel"/>
    <w:tmpl w:val="CD92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205E48"/>
    <w:multiLevelType w:val="hybridMultilevel"/>
    <w:tmpl w:val="9178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36209B"/>
    <w:multiLevelType w:val="hybridMultilevel"/>
    <w:tmpl w:val="352E7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F529C5"/>
    <w:multiLevelType w:val="hybridMultilevel"/>
    <w:tmpl w:val="03E23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410E27"/>
    <w:multiLevelType w:val="hybridMultilevel"/>
    <w:tmpl w:val="44447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724BEA"/>
    <w:multiLevelType w:val="hybridMultilevel"/>
    <w:tmpl w:val="37AA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43211"/>
    <w:multiLevelType w:val="hybridMultilevel"/>
    <w:tmpl w:val="E8C8E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68344E"/>
    <w:multiLevelType w:val="multilevel"/>
    <w:tmpl w:val="B574BD8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132311447">
    <w:abstractNumId w:val="44"/>
  </w:num>
  <w:num w:numId="2" w16cid:durableId="808128293">
    <w:abstractNumId w:val="0"/>
  </w:num>
  <w:num w:numId="3" w16cid:durableId="864098963">
    <w:abstractNumId w:val="3"/>
  </w:num>
  <w:num w:numId="4" w16cid:durableId="194773312">
    <w:abstractNumId w:val="28"/>
  </w:num>
  <w:num w:numId="5" w16cid:durableId="301809543">
    <w:abstractNumId w:val="19"/>
  </w:num>
  <w:num w:numId="6" w16cid:durableId="476920981">
    <w:abstractNumId w:val="47"/>
  </w:num>
  <w:num w:numId="7" w16cid:durableId="1391417518">
    <w:abstractNumId w:val="35"/>
  </w:num>
  <w:num w:numId="8" w16cid:durableId="1137065050">
    <w:abstractNumId w:val="2"/>
  </w:num>
  <w:num w:numId="9" w16cid:durableId="2060669471">
    <w:abstractNumId w:val="41"/>
  </w:num>
  <w:num w:numId="10" w16cid:durableId="986662636">
    <w:abstractNumId w:val="45"/>
  </w:num>
  <w:num w:numId="11" w16cid:durableId="188950875">
    <w:abstractNumId w:val="16"/>
  </w:num>
  <w:num w:numId="12" w16cid:durableId="1422489624">
    <w:abstractNumId w:val="4"/>
  </w:num>
  <w:num w:numId="13" w16cid:durableId="101805908">
    <w:abstractNumId w:val="32"/>
  </w:num>
  <w:num w:numId="14" w16cid:durableId="999817885">
    <w:abstractNumId w:val="30"/>
  </w:num>
  <w:num w:numId="15" w16cid:durableId="1655453375">
    <w:abstractNumId w:val="13"/>
  </w:num>
  <w:num w:numId="16" w16cid:durableId="1834947093">
    <w:abstractNumId w:val="31"/>
  </w:num>
  <w:num w:numId="17" w16cid:durableId="1571966653">
    <w:abstractNumId w:val="42"/>
  </w:num>
  <w:num w:numId="18" w16cid:durableId="1893496541">
    <w:abstractNumId w:val="40"/>
  </w:num>
  <w:num w:numId="19" w16cid:durableId="1340305929">
    <w:abstractNumId w:val="10"/>
  </w:num>
  <w:num w:numId="20" w16cid:durableId="53313454">
    <w:abstractNumId w:val="18"/>
  </w:num>
  <w:num w:numId="21" w16cid:durableId="42870835">
    <w:abstractNumId w:val="34"/>
  </w:num>
  <w:num w:numId="22" w16cid:durableId="1505167040">
    <w:abstractNumId w:val="8"/>
  </w:num>
  <w:num w:numId="23" w16cid:durableId="815880185">
    <w:abstractNumId w:val="7"/>
  </w:num>
  <w:num w:numId="24" w16cid:durableId="909922187">
    <w:abstractNumId w:val="21"/>
  </w:num>
  <w:num w:numId="25" w16cid:durableId="1088649138">
    <w:abstractNumId w:val="48"/>
  </w:num>
  <w:num w:numId="26" w16cid:durableId="669333995">
    <w:abstractNumId w:val="24"/>
  </w:num>
  <w:num w:numId="27" w16cid:durableId="787119096">
    <w:abstractNumId w:val="25"/>
  </w:num>
  <w:num w:numId="28" w16cid:durableId="933324900">
    <w:abstractNumId w:val="43"/>
  </w:num>
  <w:num w:numId="29" w16cid:durableId="63995166">
    <w:abstractNumId w:val="15"/>
  </w:num>
  <w:num w:numId="30" w16cid:durableId="990402387">
    <w:abstractNumId w:val="33"/>
  </w:num>
  <w:num w:numId="31" w16cid:durableId="1082877830">
    <w:abstractNumId w:val="29"/>
  </w:num>
  <w:num w:numId="32" w16cid:durableId="984507203">
    <w:abstractNumId w:val="11"/>
  </w:num>
  <w:num w:numId="33" w16cid:durableId="1118182066">
    <w:abstractNumId w:val="36"/>
  </w:num>
  <w:num w:numId="34" w16cid:durableId="1748722717">
    <w:abstractNumId w:val="26"/>
  </w:num>
  <w:num w:numId="35" w16cid:durableId="1030835015">
    <w:abstractNumId w:val="14"/>
  </w:num>
  <w:num w:numId="36" w16cid:durableId="933784674">
    <w:abstractNumId w:val="12"/>
  </w:num>
  <w:num w:numId="37" w16cid:durableId="690111256">
    <w:abstractNumId w:val="5"/>
  </w:num>
  <w:num w:numId="38" w16cid:durableId="796532473">
    <w:abstractNumId w:val="20"/>
  </w:num>
  <w:num w:numId="39" w16cid:durableId="1839229860">
    <w:abstractNumId w:val="6"/>
  </w:num>
  <w:num w:numId="40" w16cid:durableId="877401587">
    <w:abstractNumId w:val="38"/>
  </w:num>
  <w:num w:numId="41" w16cid:durableId="757559830">
    <w:abstractNumId w:val="46"/>
  </w:num>
  <w:num w:numId="42" w16cid:durableId="2144959186">
    <w:abstractNumId w:val="1"/>
  </w:num>
  <w:num w:numId="43" w16cid:durableId="579295889">
    <w:abstractNumId w:val="23"/>
  </w:num>
  <w:num w:numId="44" w16cid:durableId="587545986">
    <w:abstractNumId w:val="22"/>
  </w:num>
  <w:num w:numId="45" w16cid:durableId="1862887841">
    <w:abstractNumId w:val="9"/>
  </w:num>
  <w:num w:numId="46" w16cid:durableId="67773865">
    <w:abstractNumId w:val="37"/>
  </w:num>
  <w:num w:numId="47" w16cid:durableId="247733230">
    <w:abstractNumId w:val="27"/>
  </w:num>
  <w:num w:numId="48" w16cid:durableId="749733462">
    <w:abstractNumId w:val="17"/>
  </w:num>
  <w:num w:numId="49" w16cid:durableId="121755207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te Them Righ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904EE"/>
    <w:rsid w:val="0000089A"/>
    <w:rsid w:val="00014FFF"/>
    <w:rsid w:val="00022CD6"/>
    <w:rsid w:val="000323B2"/>
    <w:rsid w:val="00032B05"/>
    <w:rsid w:val="00033564"/>
    <w:rsid w:val="00033926"/>
    <w:rsid w:val="00037A78"/>
    <w:rsid w:val="00040905"/>
    <w:rsid w:val="00040B1D"/>
    <w:rsid w:val="0004177D"/>
    <w:rsid w:val="0004341D"/>
    <w:rsid w:val="00045316"/>
    <w:rsid w:val="00050A5F"/>
    <w:rsid w:val="000523E7"/>
    <w:rsid w:val="00053612"/>
    <w:rsid w:val="000622E5"/>
    <w:rsid w:val="00063220"/>
    <w:rsid w:val="000649C4"/>
    <w:rsid w:val="00066900"/>
    <w:rsid w:val="00067892"/>
    <w:rsid w:val="0007491B"/>
    <w:rsid w:val="00074955"/>
    <w:rsid w:val="00081238"/>
    <w:rsid w:val="00081C18"/>
    <w:rsid w:val="0008325E"/>
    <w:rsid w:val="00085438"/>
    <w:rsid w:val="00086AFF"/>
    <w:rsid w:val="00087AC9"/>
    <w:rsid w:val="00090FF2"/>
    <w:rsid w:val="000928C7"/>
    <w:rsid w:val="00093D73"/>
    <w:rsid w:val="00095D1C"/>
    <w:rsid w:val="00097CC7"/>
    <w:rsid w:val="000A0E12"/>
    <w:rsid w:val="000A10C0"/>
    <w:rsid w:val="000A56D0"/>
    <w:rsid w:val="000A79C6"/>
    <w:rsid w:val="000B0161"/>
    <w:rsid w:val="000B1265"/>
    <w:rsid w:val="000B1409"/>
    <w:rsid w:val="000B17AD"/>
    <w:rsid w:val="000B331A"/>
    <w:rsid w:val="000B3602"/>
    <w:rsid w:val="000B4495"/>
    <w:rsid w:val="000C0A05"/>
    <w:rsid w:val="000C25E9"/>
    <w:rsid w:val="000C28A0"/>
    <w:rsid w:val="000C30BE"/>
    <w:rsid w:val="000D1209"/>
    <w:rsid w:val="000D1FED"/>
    <w:rsid w:val="000D2F38"/>
    <w:rsid w:val="000D68A7"/>
    <w:rsid w:val="000D75A2"/>
    <w:rsid w:val="000D765B"/>
    <w:rsid w:val="000E0B63"/>
    <w:rsid w:val="000E0FA5"/>
    <w:rsid w:val="000E2CCB"/>
    <w:rsid w:val="000E44ED"/>
    <w:rsid w:val="000E486E"/>
    <w:rsid w:val="000E4F85"/>
    <w:rsid w:val="000E787D"/>
    <w:rsid w:val="000F1F06"/>
    <w:rsid w:val="000F3F3D"/>
    <w:rsid w:val="000F480C"/>
    <w:rsid w:val="000F612B"/>
    <w:rsid w:val="00101A0D"/>
    <w:rsid w:val="00105C84"/>
    <w:rsid w:val="001068E7"/>
    <w:rsid w:val="0010756E"/>
    <w:rsid w:val="00107F6A"/>
    <w:rsid w:val="001108C9"/>
    <w:rsid w:val="00114EFA"/>
    <w:rsid w:val="001155D3"/>
    <w:rsid w:val="001227AF"/>
    <w:rsid w:val="00131622"/>
    <w:rsid w:val="001334CA"/>
    <w:rsid w:val="0013410B"/>
    <w:rsid w:val="001343F0"/>
    <w:rsid w:val="00135CDF"/>
    <w:rsid w:val="001361A9"/>
    <w:rsid w:val="0013669F"/>
    <w:rsid w:val="00136A30"/>
    <w:rsid w:val="001410D3"/>
    <w:rsid w:val="00141184"/>
    <w:rsid w:val="00141AB6"/>
    <w:rsid w:val="00143D16"/>
    <w:rsid w:val="001449E9"/>
    <w:rsid w:val="00145DBF"/>
    <w:rsid w:val="00147303"/>
    <w:rsid w:val="001511F4"/>
    <w:rsid w:val="00151287"/>
    <w:rsid w:val="00152A9B"/>
    <w:rsid w:val="00152B37"/>
    <w:rsid w:val="00152C9A"/>
    <w:rsid w:val="00153969"/>
    <w:rsid w:val="00162161"/>
    <w:rsid w:val="00163681"/>
    <w:rsid w:val="00164132"/>
    <w:rsid w:val="00164B29"/>
    <w:rsid w:val="00166C75"/>
    <w:rsid w:val="00170D40"/>
    <w:rsid w:val="00171934"/>
    <w:rsid w:val="00171E6E"/>
    <w:rsid w:val="00173B88"/>
    <w:rsid w:val="00174742"/>
    <w:rsid w:val="00175639"/>
    <w:rsid w:val="00176958"/>
    <w:rsid w:val="00180F16"/>
    <w:rsid w:val="00182547"/>
    <w:rsid w:val="001826B8"/>
    <w:rsid w:val="00187693"/>
    <w:rsid w:val="00193512"/>
    <w:rsid w:val="001937F8"/>
    <w:rsid w:val="00196F05"/>
    <w:rsid w:val="00197E82"/>
    <w:rsid w:val="001A0717"/>
    <w:rsid w:val="001A25C2"/>
    <w:rsid w:val="001A31F6"/>
    <w:rsid w:val="001A59B8"/>
    <w:rsid w:val="001A6FCF"/>
    <w:rsid w:val="001B239C"/>
    <w:rsid w:val="001B255E"/>
    <w:rsid w:val="001B61FE"/>
    <w:rsid w:val="001B7CB4"/>
    <w:rsid w:val="001B7DA3"/>
    <w:rsid w:val="001C3D2D"/>
    <w:rsid w:val="001D0151"/>
    <w:rsid w:val="001D0613"/>
    <w:rsid w:val="001D1684"/>
    <w:rsid w:val="001D1BE5"/>
    <w:rsid w:val="001D3AB7"/>
    <w:rsid w:val="001D7CDE"/>
    <w:rsid w:val="001D7D0C"/>
    <w:rsid w:val="001E0D1F"/>
    <w:rsid w:val="001E2E02"/>
    <w:rsid w:val="001E3B75"/>
    <w:rsid w:val="001E58DC"/>
    <w:rsid w:val="001E7C39"/>
    <w:rsid w:val="001F5539"/>
    <w:rsid w:val="001F73C9"/>
    <w:rsid w:val="001F75CA"/>
    <w:rsid w:val="00200FEB"/>
    <w:rsid w:val="00205212"/>
    <w:rsid w:val="00207AEC"/>
    <w:rsid w:val="00214126"/>
    <w:rsid w:val="002153BA"/>
    <w:rsid w:val="00215DAB"/>
    <w:rsid w:val="00220FDF"/>
    <w:rsid w:val="0022178C"/>
    <w:rsid w:val="00222ECB"/>
    <w:rsid w:val="00231683"/>
    <w:rsid w:val="00232810"/>
    <w:rsid w:val="00232DA2"/>
    <w:rsid w:val="002373A7"/>
    <w:rsid w:val="00240581"/>
    <w:rsid w:val="0024160E"/>
    <w:rsid w:val="00241B49"/>
    <w:rsid w:val="002505DA"/>
    <w:rsid w:val="00253753"/>
    <w:rsid w:val="00260F11"/>
    <w:rsid w:val="002629CD"/>
    <w:rsid w:val="00270129"/>
    <w:rsid w:val="00270331"/>
    <w:rsid w:val="00270806"/>
    <w:rsid w:val="002709D3"/>
    <w:rsid w:val="00271829"/>
    <w:rsid w:val="00273681"/>
    <w:rsid w:val="00273AF9"/>
    <w:rsid w:val="00274A01"/>
    <w:rsid w:val="00276090"/>
    <w:rsid w:val="00281ABF"/>
    <w:rsid w:val="00282E8B"/>
    <w:rsid w:val="00291A63"/>
    <w:rsid w:val="002A1FFC"/>
    <w:rsid w:val="002A3BE4"/>
    <w:rsid w:val="002A6313"/>
    <w:rsid w:val="002A63AA"/>
    <w:rsid w:val="002A679C"/>
    <w:rsid w:val="002B5446"/>
    <w:rsid w:val="002B6982"/>
    <w:rsid w:val="002C1011"/>
    <w:rsid w:val="002C1D06"/>
    <w:rsid w:val="002C4090"/>
    <w:rsid w:val="002C415A"/>
    <w:rsid w:val="002C47C2"/>
    <w:rsid w:val="002C4E17"/>
    <w:rsid w:val="002C6DF7"/>
    <w:rsid w:val="002D20C7"/>
    <w:rsid w:val="002D377C"/>
    <w:rsid w:val="002D62FB"/>
    <w:rsid w:val="002D7252"/>
    <w:rsid w:val="002D7763"/>
    <w:rsid w:val="002E45A2"/>
    <w:rsid w:val="002E7470"/>
    <w:rsid w:val="002F32C9"/>
    <w:rsid w:val="002F4659"/>
    <w:rsid w:val="00300BB7"/>
    <w:rsid w:val="0030201E"/>
    <w:rsid w:val="0030313E"/>
    <w:rsid w:val="003031B1"/>
    <w:rsid w:val="00303218"/>
    <w:rsid w:val="00303AE1"/>
    <w:rsid w:val="00303B55"/>
    <w:rsid w:val="00306D1D"/>
    <w:rsid w:val="003104EA"/>
    <w:rsid w:val="0031206E"/>
    <w:rsid w:val="003128F2"/>
    <w:rsid w:val="00314D2A"/>
    <w:rsid w:val="0032070D"/>
    <w:rsid w:val="003220CB"/>
    <w:rsid w:val="003230FA"/>
    <w:rsid w:val="003244E1"/>
    <w:rsid w:val="00325509"/>
    <w:rsid w:val="003272D6"/>
    <w:rsid w:val="0033228D"/>
    <w:rsid w:val="00333A56"/>
    <w:rsid w:val="00333DAE"/>
    <w:rsid w:val="00335F39"/>
    <w:rsid w:val="003402EE"/>
    <w:rsid w:val="003406E7"/>
    <w:rsid w:val="00341821"/>
    <w:rsid w:val="003422E6"/>
    <w:rsid w:val="00346D67"/>
    <w:rsid w:val="003523CE"/>
    <w:rsid w:val="00353B1F"/>
    <w:rsid w:val="0035567E"/>
    <w:rsid w:val="00355A1E"/>
    <w:rsid w:val="00356F9C"/>
    <w:rsid w:val="003605E4"/>
    <w:rsid w:val="00367D8C"/>
    <w:rsid w:val="0037097B"/>
    <w:rsid w:val="00373AD0"/>
    <w:rsid w:val="00373FB6"/>
    <w:rsid w:val="00375027"/>
    <w:rsid w:val="0037689D"/>
    <w:rsid w:val="003777DA"/>
    <w:rsid w:val="00382C23"/>
    <w:rsid w:val="003843ED"/>
    <w:rsid w:val="00385DD0"/>
    <w:rsid w:val="003864F8"/>
    <w:rsid w:val="003878D6"/>
    <w:rsid w:val="00390C47"/>
    <w:rsid w:val="00391497"/>
    <w:rsid w:val="00391815"/>
    <w:rsid w:val="0039225C"/>
    <w:rsid w:val="0039425A"/>
    <w:rsid w:val="00396420"/>
    <w:rsid w:val="00396947"/>
    <w:rsid w:val="003976C7"/>
    <w:rsid w:val="003A01F9"/>
    <w:rsid w:val="003A4487"/>
    <w:rsid w:val="003A44DC"/>
    <w:rsid w:val="003A6175"/>
    <w:rsid w:val="003A66F9"/>
    <w:rsid w:val="003B1C5B"/>
    <w:rsid w:val="003B1D08"/>
    <w:rsid w:val="003B2C01"/>
    <w:rsid w:val="003B35E6"/>
    <w:rsid w:val="003B3975"/>
    <w:rsid w:val="003B52F4"/>
    <w:rsid w:val="003B7835"/>
    <w:rsid w:val="003C134E"/>
    <w:rsid w:val="003C5119"/>
    <w:rsid w:val="003C640C"/>
    <w:rsid w:val="003C6F33"/>
    <w:rsid w:val="003D0B53"/>
    <w:rsid w:val="003D1B3B"/>
    <w:rsid w:val="003D2186"/>
    <w:rsid w:val="003D4B88"/>
    <w:rsid w:val="003D5B8B"/>
    <w:rsid w:val="003D724D"/>
    <w:rsid w:val="003E162F"/>
    <w:rsid w:val="003E19ED"/>
    <w:rsid w:val="003E23E1"/>
    <w:rsid w:val="003E2DA2"/>
    <w:rsid w:val="003E4EFE"/>
    <w:rsid w:val="003E713C"/>
    <w:rsid w:val="003E7A1D"/>
    <w:rsid w:val="003E7AEF"/>
    <w:rsid w:val="003E7CD7"/>
    <w:rsid w:val="003F1DA2"/>
    <w:rsid w:val="003F494B"/>
    <w:rsid w:val="003F5586"/>
    <w:rsid w:val="00401987"/>
    <w:rsid w:val="004026A2"/>
    <w:rsid w:val="00403F18"/>
    <w:rsid w:val="0040461A"/>
    <w:rsid w:val="00404975"/>
    <w:rsid w:val="00406F20"/>
    <w:rsid w:val="00407AF6"/>
    <w:rsid w:val="00412035"/>
    <w:rsid w:val="0041203C"/>
    <w:rsid w:val="0041598B"/>
    <w:rsid w:val="00415CF6"/>
    <w:rsid w:val="00417E82"/>
    <w:rsid w:val="00421908"/>
    <w:rsid w:val="00423696"/>
    <w:rsid w:val="0042721B"/>
    <w:rsid w:val="0043347B"/>
    <w:rsid w:val="004346AA"/>
    <w:rsid w:val="0043520B"/>
    <w:rsid w:val="00435991"/>
    <w:rsid w:val="0043759B"/>
    <w:rsid w:val="00442CBD"/>
    <w:rsid w:val="00443AA2"/>
    <w:rsid w:val="0045078A"/>
    <w:rsid w:val="00451A29"/>
    <w:rsid w:val="00452124"/>
    <w:rsid w:val="004600C2"/>
    <w:rsid w:val="0046034E"/>
    <w:rsid w:val="00460EDB"/>
    <w:rsid w:val="0046207E"/>
    <w:rsid w:val="00462271"/>
    <w:rsid w:val="004645EA"/>
    <w:rsid w:val="00464FBC"/>
    <w:rsid w:val="004706F2"/>
    <w:rsid w:val="00470F37"/>
    <w:rsid w:val="004723D4"/>
    <w:rsid w:val="00475C49"/>
    <w:rsid w:val="004764DC"/>
    <w:rsid w:val="00476DE1"/>
    <w:rsid w:val="0048679B"/>
    <w:rsid w:val="00487DAA"/>
    <w:rsid w:val="004929B8"/>
    <w:rsid w:val="004954FC"/>
    <w:rsid w:val="004976DB"/>
    <w:rsid w:val="00497894"/>
    <w:rsid w:val="004A17CD"/>
    <w:rsid w:val="004A54F1"/>
    <w:rsid w:val="004A708E"/>
    <w:rsid w:val="004A74C8"/>
    <w:rsid w:val="004A7617"/>
    <w:rsid w:val="004B2C8B"/>
    <w:rsid w:val="004B674B"/>
    <w:rsid w:val="004B6AFB"/>
    <w:rsid w:val="004C15A9"/>
    <w:rsid w:val="004C6901"/>
    <w:rsid w:val="004C6CC0"/>
    <w:rsid w:val="004C6FFB"/>
    <w:rsid w:val="004C73B1"/>
    <w:rsid w:val="004D2969"/>
    <w:rsid w:val="004E0680"/>
    <w:rsid w:val="004E4571"/>
    <w:rsid w:val="004E5C27"/>
    <w:rsid w:val="004E5E0A"/>
    <w:rsid w:val="004E7B03"/>
    <w:rsid w:val="004E7C5D"/>
    <w:rsid w:val="004F034A"/>
    <w:rsid w:val="004F0598"/>
    <w:rsid w:val="004F07A6"/>
    <w:rsid w:val="004F5E58"/>
    <w:rsid w:val="005005C6"/>
    <w:rsid w:val="005006CA"/>
    <w:rsid w:val="00500AA0"/>
    <w:rsid w:val="00503350"/>
    <w:rsid w:val="00505FEB"/>
    <w:rsid w:val="005071FB"/>
    <w:rsid w:val="005109FC"/>
    <w:rsid w:val="005133BA"/>
    <w:rsid w:val="005136F5"/>
    <w:rsid w:val="005158C2"/>
    <w:rsid w:val="00521887"/>
    <w:rsid w:val="00523C1B"/>
    <w:rsid w:val="00525C54"/>
    <w:rsid w:val="00527559"/>
    <w:rsid w:val="0053061D"/>
    <w:rsid w:val="00530C09"/>
    <w:rsid w:val="00531237"/>
    <w:rsid w:val="005323A9"/>
    <w:rsid w:val="0053336D"/>
    <w:rsid w:val="005337BB"/>
    <w:rsid w:val="00534CB4"/>
    <w:rsid w:val="00535512"/>
    <w:rsid w:val="00535996"/>
    <w:rsid w:val="00537A85"/>
    <w:rsid w:val="00537E24"/>
    <w:rsid w:val="00540883"/>
    <w:rsid w:val="00540FE0"/>
    <w:rsid w:val="0054173E"/>
    <w:rsid w:val="00547A9D"/>
    <w:rsid w:val="00551B29"/>
    <w:rsid w:val="00551CF5"/>
    <w:rsid w:val="005527AA"/>
    <w:rsid w:val="00555AC2"/>
    <w:rsid w:val="00555FC7"/>
    <w:rsid w:val="00556234"/>
    <w:rsid w:val="005621DE"/>
    <w:rsid w:val="005628E7"/>
    <w:rsid w:val="00562B53"/>
    <w:rsid w:val="00563712"/>
    <w:rsid w:val="00563A1E"/>
    <w:rsid w:val="0056502D"/>
    <w:rsid w:val="00565FAB"/>
    <w:rsid w:val="0056684F"/>
    <w:rsid w:val="005674FD"/>
    <w:rsid w:val="00567D0D"/>
    <w:rsid w:val="00570A3A"/>
    <w:rsid w:val="00570E20"/>
    <w:rsid w:val="00577DF9"/>
    <w:rsid w:val="005801BF"/>
    <w:rsid w:val="005808CB"/>
    <w:rsid w:val="00581747"/>
    <w:rsid w:val="00582ACE"/>
    <w:rsid w:val="00584594"/>
    <w:rsid w:val="00584702"/>
    <w:rsid w:val="00584C53"/>
    <w:rsid w:val="00590060"/>
    <w:rsid w:val="00590988"/>
    <w:rsid w:val="00597B5E"/>
    <w:rsid w:val="005A0A50"/>
    <w:rsid w:val="005B40AE"/>
    <w:rsid w:val="005C1061"/>
    <w:rsid w:val="005C173F"/>
    <w:rsid w:val="005C1A78"/>
    <w:rsid w:val="005C546F"/>
    <w:rsid w:val="005C6714"/>
    <w:rsid w:val="005D2339"/>
    <w:rsid w:val="005D2E7F"/>
    <w:rsid w:val="005D3578"/>
    <w:rsid w:val="005D445E"/>
    <w:rsid w:val="005D4A14"/>
    <w:rsid w:val="005E2394"/>
    <w:rsid w:val="005F13CD"/>
    <w:rsid w:val="005F21B2"/>
    <w:rsid w:val="00601D85"/>
    <w:rsid w:val="006051CA"/>
    <w:rsid w:val="00605E95"/>
    <w:rsid w:val="00607455"/>
    <w:rsid w:val="006118CA"/>
    <w:rsid w:val="00616BF8"/>
    <w:rsid w:val="0062056C"/>
    <w:rsid w:val="006241D7"/>
    <w:rsid w:val="00625AD6"/>
    <w:rsid w:val="00625FE9"/>
    <w:rsid w:val="00626313"/>
    <w:rsid w:val="00627085"/>
    <w:rsid w:val="00627145"/>
    <w:rsid w:val="006306D7"/>
    <w:rsid w:val="006319DF"/>
    <w:rsid w:val="00637F58"/>
    <w:rsid w:val="00643AAC"/>
    <w:rsid w:val="006455E1"/>
    <w:rsid w:val="006503E6"/>
    <w:rsid w:val="00650557"/>
    <w:rsid w:val="00655E67"/>
    <w:rsid w:val="00656839"/>
    <w:rsid w:val="00671957"/>
    <w:rsid w:val="0067337A"/>
    <w:rsid w:val="00674E9D"/>
    <w:rsid w:val="006805D8"/>
    <w:rsid w:val="00680BEE"/>
    <w:rsid w:val="00681D13"/>
    <w:rsid w:val="0068212D"/>
    <w:rsid w:val="00684148"/>
    <w:rsid w:val="00684B6C"/>
    <w:rsid w:val="006858B7"/>
    <w:rsid w:val="00686057"/>
    <w:rsid w:val="0068686A"/>
    <w:rsid w:val="00687F93"/>
    <w:rsid w:val="006903FE"/>
    <w:rsid w:val="006948E7"/>
    <w:rsid w:val="00694FE1"/>
    <w:rsid w:val="00696CB9"/>
    <w:rsid w:val="006A0036"/>
    <w:rsid w:val="006A1F16"/>
    <w:rsid w:val="006A23AB"/>
    <w:rsid w:val="006A26C2"/>
    <w:rsid w:val="006A2B3E"/>
    <w:rsid w:val="006A5115"/>
    <w:rsid w:val="006B4047"/>
    <w:rsid w:val="006B4120"/>
    <w:rsid w:val="006C0300"/>
    <w:rsid w:val="006C650B"/>
    <w:rsid w:val="006C6722"/>
    <w:rsid w:val="006C6B5C"/>
    <w:rsid w:val="006C70B6"/>
    <w:rsid w:val="006C7B4A"/>
    <w:rsid w:val="006D00B0"/>
    <w:rsid w:val="006D0722"/>
    <w:rsid w:val="006D097E"/>
    <w:rsid w:val="006D1183"/>
    <w:rsid w:val="006D385C"/>
    <w:rsid w:val="006D75CA"/>
    <w:rsid w:val="006D7DB6"/>
    <w:rsid w:val="006E26F9"/>
    <w:rsid w:val="006F0312"/>
    <w:rsid w:val="006F1EA2"/>
    <w:rsid w:val="006F32C0"/>
    <w:rsid w:val="006F43EE"/>
    <w:rsid w:val="006F6285"/>
    <w:rsid w:val="006F774B"/>
    <w:rsid w:val="00703276"/>
    <w:rsid w:val="00706614"/>
    <w:rsid w:val="007100FA"/>
    <w:rsid w:val="007115EB"/>
    <w:rsid w:val="007123B3"/>
    <w:rsid w:val="00715254"/>
    <w:rsid w:val="00716496"/>
    <w:rsid w:val="00716EFE"/>
    <w:rsid w:val="00720DB4"/>
    <w:rsid w:val="007214CC"/>
    <w:rsid w:val="007236A6"/>
    <w:rsid w:val="00724253"/>
    <w:rsid w:val="00727D45"/>
    <w:rsid w:val="00730230"/>
    <w:rsid w:val="0073102D"/>
    <w:rsid w:val="00732174"/>
    <w:rsid w:val="007337C5"/>
    <w:rsid w:val="007374C1"/>
    <w:rsid w:val="00740969"/>
    <w:rsid w:val="00740B1E"/>
    <w:rsid w:val="00741FDE"/>
    <w:rsid w:val="00743C8C"/>
    <w:rsid w:val="007468D0"/>
    <w:rsid w:val="007512DB"/>
    <w:rsid w:val="00751E1A"/>
    <w:rsid w:val="00752DDA"/>
    <w:rsid w:val="00754856"/>
    <w:rsid w:val="00755009"/>
    <w:rsid w:val="00756A9D"/>
    <w:rsid w:val="00760B17"/>
    <w:rsid w:val="0076436E"/>
    <w:rsid w:val="007644B1"/>
    <w:rsid w:val="0077062D"/>
    <w:rsid w:val="007709B4"/>
    <w:rsid w:val="0077340F"/>
    <w:rsid w:val="0077350A"/>
    <w:rsid w:val="00776502"/>
    <w:rsid w:val="00781400"/>
    <w:rsid w:val="00781439"/>
    <w:rsid w:val="007821B5"/>
    <w:rsid w:val="00782B7E"/>
    <w:rsid w:val="0078794A"/>
    <w:rsid w:val="00792CCD"/>
    <w:rsid w:val="00794640"/>
    <w:rsid w:val="0079633B"/>
    <w:rsid w:val="007A0611"/>
    <w:rsid w:val="007A0C23"/>
    <w:rsid w:val="007A13A2"/>
    <w:rsid w:val="007A324E"/>
    <w:rsid w:val="007A5410"/>
    <w:rsid w:val="007A649C"/>
    <w:rsid w:val="007A6FA5"/>
    <w:rsid w:val="007B5B44"/>
    <w:rsid w:val="007C0371"/>
    <w:rsid w:val="007C2DA1"/>
    <w:rsid w:val="007C3307"/>
    <w:rsid w:val="007C44A9"/>
    <w:rsid w:val="007C7FE1"/>
    <w:rsid w:val="007D4968"/>
    <w:rsid w:val="007E0FEA"/>
    <w:rsid w:val="007E3493"/>
    <w:rsid w:val="007E3E15"/>
    <w:rsid w:val="007E4F20"/>
    <w:rsid w:val="007F4898"/>
    <w:rsid w:val="007F6B9D"/>
    <w:rsid w:val="007F6F05"/>
    <w:rsid w:val="007F7684"/>
    <w:rsid w:val="007F7BF6"/>
    <w:rsid w:val="00802C36"/>
    <w:rsid w:val="008050C3"/>
    <w:rsid w:val="00806940"/>
    <w:rsid w:val="00810565"/>
    <w:rsid w:val="00810BC4"/>
    <w:rsid w:val="0081437E"/>
    <w:rsid w:val="00815193"/>
    <w:rsid w:val="00817A86"/>
    <w:rsid w:val="00821131"/>
    <w:rsid w:val="00827AB0"/>
    <w:rsid w:val="00830075"/>
    <w:rsid w:val="008337A3"/>
    <w:rsid w:val="00834FE6"/>
    <w:rsid w:val="00836ED7"/>
    <w:rsid w:val="00840355"/>
    <w:rsid w:val="00841142"/>
    <w:rsid w:val="00842FE6"/>
    <w:rsid w:val="00843950"/>
    <w:rsid w:val="00847E30"/>
    <w:rsid w:val="00850439"/>
    <w:rsid w:val="00851EC8"/>
    <w:rsid w:val="00851FA5"/>
    <w:rsid w:val="00853182"/>
    <w:rsid w:val="00856A23"/>
    <w:rsid w:val="00856C13"/>
    <w:rsid w:val="00861EAE"/>
    <w:rsid w:val="00862737"/>
    <w:rsid w:val="00866180"/>
    <w:rsid w:val="00866568"/>
    <w:rsid w:val="00871E3A"/>
    <w:rsid w:val="00871F67"/>
    <w:rsid w:val="008737B3"/>
    <w:rsid w:val="00873DDD"/>
    <w:rsid w:val="00875835"/>
    <w:rsid w:val="00880F5B"/>
    <w:rsid w:val="008839BC"/>
    <w:rsid w:val="00883BD8"/>
    <w:rsid w:val="008841A6"/>
    <w:rsid w:val="00884AB2"/>
    <w:rsid w:val="00885069"/>
    <w:rsid w:val="008862CD"/>
    <w:rsid w:val="00886F7B"/>
    <w:rsid w:val="00892850"/>
    <w:rsid w:val="00894726"/>
    <w:rsid w:val="0089521A"/>
    <w:rsid w:val="00895445"/>
    <w:rsid w:val="0089554F"/>
    <w:rsid w:val="008957D4"/>
    <w:rsid w:val="008A1C78"/>
    <w:rsid w:val="008A268A"/>
    <w:rsid w:val="008A2D13"/>
    <w:rsid w:val="008A4354"/>
    <w:rsid w:val="008A5394"/>
    <w:rsid w:val="008A5B3B"/>
    <w:rsid w:val="008A7AA2"/>
    <w:rsid w:val="008B0323"/>
    <w:rsid w:val="008B16EA"/>
    <w:rsid w:val="008B41CE"/>
    <w:rsid w:val="008B5BFD"/>
    <w:rsid w:val="008B607E"/>
    <w:rsid w:val="008C0F02"/>
    <w:rsid w:val="008C2361"/>
    <w:rsid w:val="008C3401"/>
    <w:rsid w:val="008D34AE"/>
    <w:rsid w:val="008D708F"/>
    <w:rsid w:val="008D73F7"/>
    <w:rsid w:val="008E74C7"/>
    <w:rsid w:val="008E783C"/>
    <w:rsid w:val="008E7D39"/>
    <w:rsid w:val="008F097F"/>
    <w:rsid w:val="008F0E6E"/>
    <w:rsid w:val="008F244C"/>
    <w:rsid w:val="00901757"/>
    <w:rsid w:val="00906A46"/>
    <w:rsid w:val="00906D65"/>
    <w:rsid w:val="009130D4"/>
    <w:rsid w:val="00920090"/>
    <w:rsid w:val="00921BFF"/>
    <w:rsid w:val="00923148"/>
    <w:rsid w:val="00930622"/>
    <w:rsid w:val="00930A0F"/>
    <w:rsid w:val="0093241B"/>
    <w:rsid w:val="00932FB6"/>
    <w:rsid w:val="009331ED"/>
    <w:rsid w:val="00933A94"/>
    <w:rsid w:val="009340ED"/>
    <w:rsid w:val="009376FD"/>
    <w:rsid w:val="00941C83"/>
    <w:rsid w:val="00942651"/>
    <w:rsid w:val="009458E5"/>
    <w:rsid w:val="009460F7"/>
    <w:rsid w:val="00947F98"/>
    <w:rsid w:val="00950324"/>
    <w:rsid w:val="009503CB"/>
    <w:rsid w:val="00950F11"/>
    <w:rsid w:val="0095220D"/>
    <w:rsid w:val="009537B4"/>
    <w:rsid w:val="00953C87"/>
    <w:rsid w:val="00955CE0"/>
    <w:rsid w:val="009604DA"/>
    <w:rsid w:val="0096067A"/>
    <w:rsid w:val="0096455D"/>
    <w:rsid w:val="00965DA7"/>
    <w:rsid w:val="00971A1C"/>
    <w:rsid w:val="00972B3A"/>
    <w:rsid w:val="009740D8"/>
    <w:rsid w:val="00975638"/>
    <w:rsid w:val="00977A2E"/>
    <w:rsid w:val="00980D07"/>
    <w:rsid w:val="00983193"/>
    <w:rsid w:val="009833B7"/>
    <w:rsid w:val="009833F9"/>
    <w:rsid w:val="00986426"/>
    <w:rsid w:val="0098734E"/>
    <w:rsid w:val="0098758E"/>
    <w:rsid w:val="009876E9"/>
    <w:rsid w:val="009876FE"/>
    <w:rsid w:val="00990C62"/>
    <w:rsid w:val="00992445"/>
    <w:rsid w:val="00993203"/>
    <w:rsid w:val="009937E4"/>
    <w:rsid w:val="00994C1F"/>
    <w:rsid w:val="009A1C75"/>
    <w:rsid w:val="009A21F0"/>
    <w:rsid w:val="009A587A"/>
    <w:rsid w:val="009A5EF8"/>
    <w:rsid w:val="009A645C"/>
    <w:rsid w:val="009B2028"/>
    <w:rsid w:val="009B46D0"/>
    <w:rsid w:val="009B49DF"/>
    <w:rsid w:val="009B5D84"/>
    <w:rsid w:val="009C2C94"/>
    <w:rsid w:val="009C2D86"/>
    <w:rsid w:val="009C3C7D"/>
    <w:rsid w:val="009D0DC4"/>
    <w:rsid w:val="009D31F4"/>
    <w:rsid w:val="009D4F46"/>
    <w:rsid w:val="009E0A77"/>
    <w:rsid w:val="009E23F5"/>
    <w:rsid w:val="009E50BA"/>
    <w:rsid w:val="009E51C1"/>
    <w:rsid w:val="009F5E1E"/>
    <w:rsid w:val="009F7723"/>
    <w:rsid w:val="00A00FC6"/>
    <w:rsid w:val="00A027B4"/>
    <w:rsid w:val="00A03111"/>
    <w:rsid w:val="00A047AB"/>
    <w:rsid w:val="00A0499B"/>
    <w:rsid w:val="00A06595"/>
    <w:rsid w:val="00A123DA"/>
    <w:rsid w:val="00A23194"/>
    <w:rsid w:val="00A23BE1"/>
    <w:rsid w:val="00A267F8"/>
    <w:rsid w:val="00A268F4"/>
    <w:rsid w:val="00A30A46"/>
    <w:rsid w:val="00A3269D"/>
    <w:rsid w:val="00A338E1"/>
    <w:rsid w:val="00A33E95"/>
    <w:rsid w:val="00A35251"/>
    <w:rsid w:val="00A35625"/>
    <w:rsid w:val="00A4177E"/>
    <w:rsid w:val="00A42C08"/>
    <w:rsid w:val="00A4326C"/>
    <w:rsid w:val="00A45763"/>
    <w:rsid w:val="00A54A7C"/>
    <w:rsid w:val="00A55B6D"/>
    <w:rsid w:val="00A561CD"/>
    <w:rsid w:val="00A56CC3"/>
    <w:rsid w:val="00A62A17"/>
    <w:rsid w:val="00A63ED2"/>
    <w:rsid w:val="00A65303"/>
    <w:rsid w:val="00A71D82"/>
    <w:rsid w:val="00A74528"/>
    <w:rsid w:val="00A74628"/>
    <w:rsid w:val="00A75600"/>
    <w:rsid w:val="00A82669"/>
    <w:rsid w:val="00A82DA0"/>
    <w:rsid w:val="00A84B8B"/>
    <w:rsid w:val="00A85DC8"/>
    <w:rsid w:val="00A90290"/>
    <w:rsid w:val="00A904EE"/>
    <w:rsid w:val="00A90FEE"/>
    <w:rsid w:val="00A93F98"/>
    <w:rsid w:val="00A94D31"/>
    <w:rsid w:val="00A94EF5"/>
    <w:rsid w:val="00A97BF5"/>
    <w:rsid w:val="00AA126A"/>
    <w:rsid w:val="00AA165B"/>
    <w:rsid w:val="00AA3185"/>
    <w:rsid w:val="00AA3AB8"/>
    <w:rsid w:val="00AB2523"/>
    <w:rsid w:val="00AC002D"/>
    <w:rsid w:val="00AC0958"/>
    <w:rsid w:val="00AC3D09"/>
    <w:rsid w:val="00AC461B"/>
    <w:rsid w:val="00AC5366"/>
    <w:rsid w:val="00AC598D"/>
    <w:rsid w:val="00AD0BE5"/>
    <w:rsid w:val="00AD21AA"/>
    <w:rsid w:val="00AD38F3"/>
    <w:rsid w:val="00AD545C"/>
    <w:rsid w:val="00AD6805"/>
    <w:rsid w:val="00AE45EA"/>
    <w:rsid w:val="00AE5F01"/>
    <w:rsid w:val="00AE6957"/>
    <w:rsid w:val="00AF0575"/>
    <w:rsid w:val="00AF0CAB"/>
    <w:rsid w:val="00AF1F42"/>
    <w:rsid w:val="00AF2824"/>
    <w:rsid w:val="00B01214"/>
    <w:rsid w:val="00B0129F"/>
    <w:rsid w:val="00B027F5"/>
    <w:rsid w:val="00B02BE6"/>
    <w:rsid w:val="00B02DCE"/>
    <w:rsid w:val="00B04270"/>
    <w:rsid w:val="00B108C8"/>
    <w:rsid w:val="00B10A22"/>
    <w:rsid w:val="00B17F15"/>
    <w:rsid w:val="00B200C1"/>
    <w:rsid w:val="00B203D2"/>
    <w:rsid w:val="00B23489"/>
    <w:rsid w:val="00B23575"/>
    <w:rsid w:val="00B25F7B"/>
    <w:rsid w:val="00B32C43"/>
    <w:rsid w:val="00B32C48"/>
    <w:rsid w:val="00B35B1D"/>
    <w:rsid w:val="00B4433A"/>
    <w:rsid w:val="00B44BB4"/>
    <w:rsid w:val="00B459BD"/>
    <w:rsid w:val="00B45FD0"/>
    <w:rsid w:val="00B47653"/>
    <w:rsid w:val="00B52234"/>
    <w:rsid w:val="00B619E3"/>
    <w:rsid w:val="00B63EEC"/>
    <w:rsid w:val="00B67D65"/>
    <w:rsid w:val="00B67DA1"/>
    <w:rsid w:val="00B720E7"/>
    <w:rsid w:val="00B7220C"/>
    <w:rsid w:val="00B77C4D"/>
    <w:rsid w:val="00B802F9"/>
    <w:rsid w:val="00B81EF2"/>
    <w:rsid w:val="00B84297"/>
    <w:rsid w:val="00B861E0"/>
    <w:rsid w:val="00B9198C"/>
    <w:rsid w:val="00B9369E"/>
    <w:rsid w:val="00B94E46"/>
    <w:rsid w:val="00B96996"/>
    <w:rsid w:val="00B9702F"/>
    <w:rsid w:val="00B9718B"/>
    <w:rsid w:val="00B97718"/>
    <w:rsid w:val="00BA1C86"/>
    <w:rsid w:val="00BA45E3"/>
    <w:rsid w:val="00BB0095"/>
    <w:rsid w:val="00BB1863"/>
    <w:rsid w:val="00BB2028"/>
    <w:rsid w:val="00BB253F"/>
    <w:rsid w:val="00BB3551"/>
    <w:rsid w:val="00BB63E0"/>
    <w:rsid w:val="00BC04B4"/>
    <w:rsid w:val="00BC2CDC"/>
    <w:rsid w:val="00BC46A9"/>
    <w:rsid w:val="00BD2577"/>
    <w:rsid w:val="00BD306D"/>
    <w:rsid w:val="00BD5973"/>
    <w:rsid w:val="00BD6EB7"/>
    <w:rsid w:val="00BE0576"/>
    <w:rsid w:val="00BE0DC1"/>
    <w:rsid w:val="00BE58AF"/>
    <w:rsid w:val="00BE5FDE"/>
    <w:rsid w:val="00BF0AF4"/>
    <w:rsid w:val="00BF228F"/>
    <w:rsid w:val="00BF2BFF"/>
    <w:rsid w:val="00BF3802"/>
    <w:rsid w:val="00C00111"/>
    <w:rsid w:val="00C00FB3"/>
    <w:rsid w:val="00C04D00"/>
    <w:rsid w:val="00C04EE2"/>
    <w:rsid w:val="00C05CF0"/>
    <w:rsid w:val="00C12756"/>
    <w:rsid w:val="00C12B6F"/>
    <w:rsid w:val="00C14F27"/>
    <w:rsid w:val="00C15D6A"/>
    <w:rsid w:val="00C16BFC"/>
    <w:rsid w:val="00C22185"/>
    <w:rsid w:val="00C22411"/>
    <w:rsid w:val="00C34107"/>
    <w:rsid w:val="00C401B9"/>
    <w:rsid w:val="00C46377"/>
    <w:rsid w:val="00C46632"/>
    <w:rsid w:val="00C4676C"/>
    <w:rsid w:val="00C5015D"/>
    <w:rsid w:val="00C5093F"/>
    <w:rsid w:val="00C53E6F"/>
    <w:rsid w:val="00C54372"/>
    <w:rsid w:val="00C5541C"/>
    <w:rsid w:val="00C60F52"/>
    <w:rsid w:val="00C62AEF"/>
    <w:rsid w:val="00C63A76"/>
    <w:rsid w:val="00C63A7C"/>
    <w:rsid w:val="00C63CAB"/>
    <w:rsid w:val="00C7224D"/>
    <w:rsid w:val="00C725F4"/>
    <w:rsid w:val="00C754FC"/>
    <w:rsid w:val="00C804E8"/>
    <w:rsid w:val="00C81946"/>
    <w:rsid w:val="00C91212"/>
    <w:rsid w:val="00C912F4"/>
    <w:rsid w:val="00CA2D16"/>
    <w:rsid w:val="00CA3468"/>
    <w:rsid w:val="00CB24C5"/>
    <w:rsid w:val="00CB71E5"/>
    <w:rsid w:val="00CC1D50"/>
    <w:rsid w:val="00CC2850"/>
    <w:rsid w:val="00CC2F93"/>
    <w:rsid w:val="00CC3131"/>
    <w:rsid w:val="00CC40A8"/>
    <w:rsid w:val="00CC48A7"/>
    <w:rsid w:val="00CC4B60"/>
    <w:rsid w:val="00CC5478"/>
    <w:rsid w:val="00CC7E31"/>
    <w:rsid w:val="00CD1625"/>
    <w:rsid w:val="00CD2F0B"/>
    <w:rsid w:val="00CD3ABC"/>
    <w:rsid w:val="00CD5351"/>
    <w:rsid w:val="00CD6A3E"/>
    <w:rsid w:val="00CD7D7D"/>
    <w:rsid w:val="00CE0121"/>
    <w:rsid w:val="00CE01FD"/>
    <w:rsid w:val="00CE33B9"/>
    <w:rsid w:val="00CF1316"/>
    <w:rsid w:val="00CF3AD4"/>
    <w:rsid w:val="00CF4CFF"/>
    <w:rsid w:val="00CF7205"/>
    <w:rsid w:val="00D00B15"/>
    <w:rsid w:val="00D00F20"/>
    <w:rsid w:val="00D0358D"/>
    <w:rsid w:val="00D05F90"/>
    <w:rsid w:val="00D1177D"/>
    <w:rsid w:val="00D1702C"/>
    <w:rsid w:val="00D2212D"/>
    <w:rsid w:val="00D22DBD"/>
    <w:rsid w:val="00D23BF5"/>
    <w:rsid w:val="00D23F9F"/>
    <w:rsid w:val="00D25707"/>
    <w:rsid w:val="00D261DD"/>
    <w:rsid w:val="00D27E16"/>
    <w:rsid w:val="00D31EBE"/>
    <w:rsid w:val="00D3409A"/>
    <w:rsid w:val="00D3424A"/>
    <w:rsid w:val="00D3551C"/>
    <w:rsid w:val="00D36C40"/>
    <w:rsid w:val="00D40DC1"/>
    <w:rsid w:val="00D51417"/>
    <w:rsid w:val="00D51943"/>
    <w:rsid w:val="00D51B23"/>
    <w:rsid w:val="00D5465A"/>
    <w:rsid w:val="00D55CDE"/>
    <w:rsid w:val="00D5613F"/>
    <w:rsid w:val="00D574AC"/>
    <w:rsid w:val="00D62981"/>
    <w:rsid w:val="00D70D20"/>
    <w:rsid w:val="00D70E9B"/>
    <w:rsid w:val="00D743AB"/>
    <w:rsid w:val="00D81B57"/>
    <w:rsid w:val="00D85B54"/>
    <w:rsid w:val="00D901C5"/>
    <w:rsid w:val="00D907DC"/>
    <w:rsid w:val="00D911D1"/>
    <w:rsid w:val="00D92AC9"/>
    <w:rsid w:val="00D93E79"/>
    <w:rsid w:val="00D9559D"/>
    <w:rsid w:val="00D96790"/>
    <w:rsid w:val="00DA5D0E"/>
    <w:rsid w:val="00DA6A76"/>
    <w:rsid w:val="00DB06BD"/>
    <w:rsid w:val="00DB099A"/>
    <w:rsid w:val="00DB6ABA"/>
    <w:rsid w:val="00DB71A0"/>
    <w:rsid w:val="00DC1689"/>
    <w:rsid w:val="00DC2A73"/>
    <w:rsid w:val="00DC36F6"/>
    <w:rsid w:val="00DC3A10"/>
    <w:rsid w:val="00DC4E91"/>
    <w:rsid w:val="00DC5676"/>
    <w:rsid w:val="00DD4083"/>
    <w:rsid w:val="00DD4283"/>
    <w:rsid w:val="00DD505D"/>
    <w:rsid w:val="00DE354F"/>
    <w:rsid w:val="00DE3EBC"/>
    <w:rsid w:val="00DE5EAD"/>
    <w:rsid w:val="00DE7CFA"/>
    <w:rsid w:val="00DF2044"/>
    <w:rsid w:val="00DF3EA2"/>
    <w:rsid w:val="00E02AD9"/>
    <w:rsid w:val="00E03F45"/>
    <w:rsid w:val="00E059AC"/>
    <w:rsid w:val="00E06820"/>
    <w:rsid w:val="00E110AB"/>
    <w:rsid w:val="00E13170"/>
    <w:rsid w:val="00E13A83"/>
    <w:rsid w:val="00E15527"/>
    <w:rsid w:val="00E20145"/>
    <w:rsid w:val="00E21164"/>
    <w:rsid w:val="00E22CDA"/>
    <w:rsid w:val="00E23EF7"/>
    <w:rsid w:val="00E25DD2"/>
    <w:rsid w:val="00E2681B"/>
    <w:rsid w:val="00E26C8C"/>
    <w:rsid w:val="00E26FBD"/>
    <w:rsid w:val="00E272BF"/>
    <w:rsid w:val="00E315F1"/>
    <w:rsid w:val="00E33478"/>
    <w:rsid w:val="00E37A6E"/>
    <w:rsid w:val="00E440AF"/>
    <w:rsid w:val="00E44174"/>
    <w:rsid w:val="00E462DE"/>
    <w:rsid w:val="00E47616"/>
    <w:rsid w:val="00E508C5"/>
    <w:rsid w:val="00E509FE"/>
    <w:rsid w:val="00E51BFE"/>
    <w:rsid w:val="00E52DAF"/>
    <w:rsid w:val="00E574EB"/>
    <w:rsid w:val="00E64096"/>
    <w:rsid w:val="00E64B36"/>
    <w:rsid w:val="00E7208C"/>
    <w:rsid w:val="00E72635"/>
    <w:rsid w:val="00E7651F"/>
    <w:rsid w:val="00E82902"/>
    <w:rsid w:val="00E82D1B"/>
    <w:rsid w:val="00E84242"/>
    <w:rsid w:val="00E84A59"/>
    <w:rsid w:val="00E84CC3"/>
    <w:rsid w:val="00E86601"/>
    <w:rsid w:val="00E87D81"/>
    <w:rsid w:val="00E87E8C"/>
    <w:rsid w:val="00E94AF5"/>
    <w:rsid w:val="00EA1635"/>
    <w:rsid w:val="00EA16F8"/>
    <w:rsid w:val="00EA21C7"/>
    <w:rsid w:val="00EA4CBC"/>
    <w:rsid w:val="00EB12EF"/>
    <w:rsid w:val="00EC083A"/>
    <w:rsid w:val="00EC1809"/>
    <w:rsid w:val="00EC1BEA"/>
    <w:rsid w:val="00EC3E24"/>
    <w:rsid w:val="00EC44B6"/>
    <w:rsid w:val="00ED1623"/>
    <w:rsid w:val="00ED22AC"/>
    <w:rsid w:val="00ED2418"/>
    <w:rsid w:val="00ED2FCA"/>
    <w:rsid w:val="00ED376A"/>
    <w:rsid w:val="00ED3D7C"/>
    <w:rsid w:val="00ED4993"/>
    <w:rsid w:val="00ED689E"/>
    <w:rsid w:val="00ED7217"/>
    <w:rsid w:val="00EE105B"/>
    <w:rsid w:val="00EE52C7"/>
    <w:rsid w:val="00EE71F6"/>
    <w:rsid w:val="00EE72BC"/>
    <w:rsid w:val="00EF3634"/>
    <w:rsid w:val="00EF386B"/>
    <w:rsid w:val="00EF4894"/>
    <w:rsid w:val="00EF4C46"/>
    <w:rsid w:val="00F00306"/>
    <w:rsid w:val="00F04DBF"/>
    <w:rsid w:val="00F11A63"/>
    <w:rsid w:val="00F11CFB"/>
    <w:rsid w:val="00F15925"/>
    <w:rsid w:val="00F17A0E"/>
    <w:rsid w:val="00F24000"/>
    <w:rsid w:val="00F255D6"/>
    <w:rsid w:val="00F25C2B"/>
    <w:rsid w:val="00F25E70"/>
    <w:rsid w:val="00F264B6"/>
    <w:rsid w:val="00F3243B"/>
    <w:rsid w:val="00F33866"/>
    <w:rsid w:val="00F3448B"/>
    <w:rsid w:val="00F35074"/>
    <w:rsid w:val="00F36617"/>
    <w:rsid w:val="00F36CD2"/>
    <w:rsid w:val="00F42B14"/>
    <w:rsid w:val="00F42E72"/>
    <w:rsid w:val="00F514B2"/>
    <w:rsid w:val="00F526A7"/>
    <w:rsid w:val="00F52F0A"/>
    <w:rsid w:val="00F53ABE"/>
    <w:rsid w:val="00F56901"/>
    <w:rsid w:val="00F5771C"/>
    <w:rsid w:val="00F57ED5"/>
    <w:rsid w:val="00F61FB1"/>
    <w:rsid w:val="00F6207F"/>
    <w:rsid w:val="00F64EEB"/>
    <w:rsid w:val="00F67EC7"/>
    <w:rsid w:val="00F72DB5"/>
    <w:rsid w:val="00F750D5"/>
    <w:rsid w:val="00F77CC7"/>
    <w:rsid w:val="00F85785"/>
    <w:rsid w:val="00F8733E"/>
    <w:rsid w:val="00F87EB2"/>
    <w:rsid w:val="00F92BB8"/>
    <w:rsid w:val="00F92EFB"/>
    <w:rsid w:val="00F93B21"/>
    <w:rsid w:val="00F94DE1"/>
    <w:rsid w:val="00F95F26"/>
    <w:rsid w:val="00F96BCD"/>
    <w:rsid w:val="00F9716A"/>
    <w:rsid w:val="00FA3880"/>
    <w:rsid w:val="00FA6E3D"/>
    <w:rsid w:val="00FA7C6F"/>
    <w:rsid w:val="00FB1DF3"/>
    <w:rsid w:val="00FB2128"/>
    <w:rsid w:val="00FB7B49"/>
    <w:rsid w:val="00FC077D"/>
    <w:rsid w:val="00FC0E4C"/>
    <w:rsid w:val="00FC7FBB"/>
    <w:rsid w:val="00FD15EB"/>
    <w:rsid w:val="00FD5A5F"/>
    <w:rsid w:val="00FD6338"/>
    <w:rsid w:val="00FD6A85"/>
    <w:rsid w:val="00FD6E72"/>
    <w:rsid w:val="00FE066F"/>
    <w:rsid w:val="00FE07D3"/>
    <w:rsid w:val="00FE0D0D"/>
    <w:rsid w:val="00FE2405"/>
    <w:rsid w:val="00FE2F02"/>
    <w:rsid w:val="00FE65D8"/>
    <w:rsid w:val="00FE7659"/>
    <w:rsid w:val="00FF0961"/>
    <w:rsid w:val="00FF2BEE"/>
    <w:rsid w:val="00FF3AFD"/>
    <w:rsid w:val="00FF63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FD79A"/>
  <w15:chartTrackingRefBased/>
  <w15:docId w15:val="{DC8B3EF3-2DA0-4283-B9E0-2AC5255F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4096"/>
    <w:pPr>
      <w:keepNext/>
      <w:keepLines/>
      <w:spacing w:before="240" w:after="0" w:line="240" w:lineRule="auto"/>
      <w:jc w:val="center"/>
      <w:outlineLvl w:val="0"/>
    </w:pPr>
    <w:rPr>
      <w:rFonts w:ascii="Times New Roman" w:eastAsiaTheme="majorEastAsia" w:hAnsi="Times New Roman" w:cstheme="majorBidi"/>
      <w:sz w:val="32"/>
      <w:szCs w:val="32"/>
      <w:u w:val="single"/>
    </w:rPr>
  </w:style>
  <w:style w:type="paragraph" w:styleId="Heading2">
    <w:name w:val="heading 2"/>
    <w:basedOn w:val="Normal"/>
    <w:next w:val="Normal"/>
    <w:link w:val="Heading2Char"/>
    <w:uiPriority w:val="9"/>
    <w:unhideWhenUsed/>
    <w:qFormat/>
    <w:rsid w:val="00196F05"/>
    <w:pPr>
      <w:keepNext/>
      <w:keepLines/>
      <w:spacing w:before="40" w:after="0" w:line="240" w:lineRule="auto"/>
      <w:outlineLvl w:val="1"/>
    </w:pPr>
    <w:rPr>
      <w:rFonts w:ascii="Times New Roman" w:eastAsiaTheme="majorEastAsia" w:hAnsi="Times New Roman" w:cstheme="majorBidi"/>
      <w:color w:val="000000" w:themeColor="text1"/>
      <w:sz w:val="28"/>
      <w:szCs w:val="26"/>
      <w:u w:val="single"/>
    </w:rPr>
  </w:style>
  <w:style w:type="paragraph" w:styleId="Heading3">
    <w:name w:val="heading 3"/>
    <w:basedOn w:val="Normal"/>
    <w:next w:val="Normal"/>
    <w:link w:val="Heading3Char"/>
    <w:uiPriority w:val="9"/>
    <w:unhideWhenUsed/>
    <w:qFormat/>
    <w:rsid w:val="00196F05"/>
    <w:pPr>
      <w:keepNext/>
      <w:keepLines/>
      <w:spacing w:before="40" w:after="0" w:line="240" w:lineRule="auto"/>
      <w:outlineLvl w:val="2"/>
    </w:pPr>
    <w:rPr>
      <w:rFonts w:ascii="Times New Roman" w:eastAsiaTheme="majorEastAsia" w:hAnsi="Times New Roman" w:cstheme="majorBidi"/>
      <w:sz w:val="24"/>
      <w:szCs w:val="24"/>
      <w:u w:val="single"/>
    </w:rPr>
  </w:style>
  <w:style w:type="paragraph" w:styleId="Heading4">
    <w:name w:val="heading 4"/>
    <w:basedOn w:val="Normal"/>
    <w:next w:val="Normal"/>
    <w:link w:val="Heading4Char"/>
    <w:uiPriority w:val="9"/>
    <w:unhideWhenUsed/>
    <w:qFormat/>
    <w:rsid w:val="00196F05"/>
    <w:pPr>
      <w:keepNext/>
      <w:keepLines/>
      <w:spacing w:before="40" w:after="0" w:line="240" w:lineRule="auto"/>
      <w:outlineLvl w:val="3"/>
    </w:pPr>
    <w:rPr>
      <w:rFonts w:ascii="Times New Roman" w:eastAsiaTheme="majorEastAsia" w:hAnsi="Times New Roman" w:cstheme="majorBidi"/>
      <w:i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3C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C7D"/>
    <w:rPr>
      <w:rFonts w:asciiTheme="majorHAnsi" w:eastAsiaTheme="majorEastAsia" w:hAnsiTheme="majorHAnsi" w:cstheme="majorBidi"/>
      <w:spacing w:val="-10"/>
      <w:kern w:val="28"/>
      <w:sz w:val="56"/>
      <w:szCs w:val="56"/>
    </w:rPr>
  </w:style>
  <w:style w:type="paragraph" w:styleId="NoSpacing">
    <w:name w:val="No Spacing"/>
    <w:aliases w:val="Chapter title"/>
    <w:link w:val="NoSpacingChar"/>
    <w:uiPriority w:val="1"/>
    <w:rsid w:val="009C3C7D"/>
    <w:pPr>
      <w:spacing w:after="0" w:line="240" w:lineRule="auto"/>
    </w:pPr>
    <w:rPr>
      <w:sz w:val="32"/>
      <w:u w:val="single"/>
    </w:rPr>
  </w:style>
  <w:style w:type="paragraph" w:customStyle="1" w:styleId="no">
    <w:name w:val="no"/>
    <w:basedOn w:val="NoSpacing"/>
    <w:link w:val="noChar"/>
    <w:qFormat/>
    <w:rsid w:val="00BA45E3"/>
    <w:pPr>
      <w:jc w:val="center"/>
    </w:pPr>
    <w:rPr>
      <w:rFonts w:ascii="Times New Roman" w:hAnsi="Times New Roman"/>
    </w:rPr>
  </w:style>
  <w:style w:type="paragraph" w:customStyle="1" w:styleId="no1">
    <w:name w:val="no1"/>
    <w:basedOn w:val="no"/>
    <w:link w:val="no1Char"/>
    <w:qFormat/>
    <w:rsid w:val="00BA45E3"/>
    <w:pPr>
      <w:jc w:val="left"/>
    </w:pPr>
    <w:rPr>
      <w:rFonts w:cs="Times New Roman"/>
      <w:bCs/>
      <w:color w:val="000000" w:themeColor="text1"/>
      <w:sz w:val="28"/>
    </w:rPr>
  </w:style>
  <w:style w:type="character" w:customStyle="1" w:styleId="NoSpacingChar">
    <w:name w:val="No Spacing Char"/>
    <w:aliases w:val="Chapter title Char"/>
    <w:basedOn w:val="DefaultParagraphFont"/>
    <w:link w:val="NoSpacing"/>
    <w:uiPriority w:val="1"/>
    <w:rsid w:val="003128F2"/>
    <w:rPr>
      <w:sz w:val="32"/>
      <w:u w:val="single"/>
    </w:rPr>
  </w:style>
  <w:style w:type="character" w:customStyle="1" w:styleId="noChar">
    <w:name w:val="no Char"/>
    <w:basedOn w:val="NoSpacingChar"/>
    <w:link w:val="no"/>
    <w:rsid w:val="00BA45E3"/>
    <w:rPr>
      <w:rFonts w:ascii="Times New Roman" w:hAnsi="Times New Roman"/>
      <w:sz w:val="32"/>
      <w:u w:val="single"/>
    </w:rPr>
  </w:style>
  <w:style w:type="paragraph" w:styleId="Header">
    <w:name w:val="header"/>
    <w:basedOn w:val="Normal"/>
    <w:link w:val="HeaderChar"/>
    <w:uiPriority w:val="99"/>
    <w:unhideWhenUsed/>
    <w:rsid w:val="009A1C75"/>
    <w:pPr>
      <w:tabs>
        <w:tab w:val="center" w:pos="4513"/>
        <w:tab w:val="right" w:pos="9026"/>
      </w:tabs>
      <w:spacing w:after="0" w:line="240" w:lineRule="auto"/>
    </w:pPr>
  </w:style>
  <w:style w:type="character" w:customStyle="1" w:styleId="no1Char">
    <w:name w:val="no1 Char"/>
    <w:basedOn w:val="noChar"/>
    <w:link w:val="no1"/>
    <w:rsid w:val="00BA45E3"/>
    <w:rPr>
      <w:rFonts w:ascii="Times New Roman" w:hAnsi="Times New Roman" w:cs="Times New Roman"/>
      <w:bCs/>
      <w:color w:val="000000" w:themeColor="text1"/>
      <w:sz w:val="28"/>
      <w:u w:val="single"/>
    </w:rPr>
  </w:style>
  <w:style w:type="character" w:customStyle="1" w:styleId="HeaderChar">
    <w:name w:val="Header Char"/>
    <w:basedOn w:val="DefaultParagraphFont"/>
    <w:link w:val="Header"/>
    <w:uiPriority w:val="99"/>
    <w:rsid w:val="009A1C75"/>
  </w:style>
  <w:style w:type="paragraph" w:styleId="Footer">
    <w:name w:val="footer"/>
    <w:basedOn w:val="Normal"/>
    <w:link w:val="FooterChar"/>
    <w:uiPriority w:val="99"/>
    <w:unhideWhenUsed/>
    <w:rsid w:val="009A1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C75"/>
  </w:style>
  <w:style w:type="paragraph" w:customStyle="1" w:styleId="no3">
    <w:name w:val="no3"/>
    <w:basedOn w:val="no1"/>
    <w:link w:val="no3Char"/>
    <w:qFormat/>
    <w:rsid w:val="00B81EF2"/>
    <w:rPr>
      <w:sz w:val="24"/>
    </w:rPr>
  </w:style>
  <w:style w:type="paragraph" w:customStyle="1" w:styleId="no4">
    <w:name w:val="no4"/>
    <w:basedOn w:val="no3"/>
    <w:link w:val="no4Char"/>
    <w:qFormat/>
    <w:rsid w:val="00B81EF2"/>
  </w:style>
  <w:style w:type="character" w:customStyle="1" w:styleId="no3Char">
    <w:name w:val="no3 Char"/>
    <w:basedOn w:val="no1Char"/>
    <w:link w:val="no3"/>
    <w:rsid w:val="00B81EF2"/>
    <w:rPr>
      <w:rFonts w:ascii="Times New Roman" w:hAnsi="Times New Roman" w:cs="Times New Roman"/>
      <w:bCs/>
      <w:color w:val="000000" w:themeColor="text1"/>
      <w:sz w:val="24"/>
      <w:u w:val="single"/>
    </w:rPr>
  </w:style>
  <w:style w:type="character" w:customStyle="1" w:styleId="no4Char">
    <w:name w:val="no4 Char"/>
    <w:basedOn w:val="no3Char"/>
    <w:link w:val="no4"/>
    <w:rsid w:val="00B81EF2"/>
    <w:rPr>
      <w:rFonts w:ascii="Times New Roman" w:hAnsi="Times New Roman" w:cs="Times New Roman"/>
      <w:bCs/>
      <w:color w:val="000000" w:themeColor="text1"/>
      <w:sz w:val="24"/>
      <w:u w:val="single"/>
    </w:rPr>
  </w:style>
  <w:style w:type="character" w:customStyle="1" w:styleId="Heading3Char">
    <w:name w:val="Heading 3 Char"/>
    <w:basedOn w:val="DefaultParagraphFont"/>
    <w:link w:val="Heading3"/>
    <w:uiPriority w:val="9"/>
    <w:rsid w:val="00196F05"/>
    <w:rPr>
      <w:rFonts w:ascii="Times New Roman" w:eastAsiaTheme="majorEastAsia" w:hAnsi="Times New Roman" w:cstheme="majorBidi"/>
      <w:sz w:val="24"/>
      <w:szCs w:val="24"/>
      <w:u w:val="single"/>
    </w:rPr>
  </w:style>
  <w:style w:type="character" w:customStyle="1" w:styleId="Heading2Char">
    <w:name w:val="Heading 2 Char"/>
    <w:basedOn w:val="DefaultParagraphFont"/>
    <w:link w:val="Heading2"/>
    <w:uiPriority w:val="9"/>
    <w:rsid w:val="00196F05"/>
    <w:rPr>
      <w:rFonts w:ascii="Times New Roman" w:eastAsiaTheme="majorEastAsia" w:hAnsi="Times New Roman" w:cstheme="majorBidi"/>
      <w:color w:val="000000" w:themeColor="text1"/>
      <w:sz w:val="28"/>
      <w:szCs w:val="26"/>
      <w:u w:val="single"/>
    </w:rPr>
  </w:style>
  <w:style w:type="character" w:styleId="CommentReference">
    <w:name w:val="annotation reference"/>
    <w:basedOn w:val="DefaultParagraphFont"/>
    <w:uiPriority w:val="99"/>
    <w:semiHidden/>
    <w:unhideWhenUsed/>
    <w:rsid w:val="008A1C78"/>
    <w:rPr>
      <w:sz w:val="16"/>
      <w:szCs w:val="16"/>
    </w:rPr>
  </w:style>
  <w:style w:type="paragraph" w:styleId="CommentText">
    <w:name w:val="annotation text"/>
    <w:basedOn w:val="Normal"/>
    <w:link w:val="CommentTextChar"/>
    <w:uiPriority w:val="99"/>
    <w:unhideWhenUsed/>
    <w:rsid w:val="008A1C78"/>
    <w:pPr>
      <w:spacing w:line="240" w:lineRule="auto"/>
    </w:pPr>
    <w:rPr>
      <w:sz w:val="20"/>
      <w:szCs w:val="20"/>
    </w:rPr>
  </w:style>
  <w:style w:type="character" w:customStyle="1" w:styleId="CommentTextChar">
    <w:name w:val="Comment Text Char"/>
    <w:basedOn w:val="DefaultParagraphFont"/>
    <w:link w:val="CommentText"/>
    <w:uiPriority w:val="99"/>
    <w:rsid w:val="008A1C78"/>
    <w:rPr>
      <w:sz w:val="20"/>
      <w:szCs w:val="20"/>
    </w:rPr>
  </w:style>
  <w:style w:type="paragraph" w:styleId="CommentSubject">
    <w:name w:val="annotation subject"/>
    <w:basedOn w:val="CommentText"/>
    <w:next w:val="CommentText"/>
    <w:link w:val="CommentSubjectChar"/>
    <w:uiPriority w:val="99"/>
    <w:semiHidden/>
    <w:unhideWhenUsed/>
    <w:rsid w:val="008A1C78"/>
    <w:rPr>
      <w:b/>
      <w:bCs/>
    </w:rPr>
  </w:style>
  <w:style w:type="character" w:customStyle="1" w:styleId="CommentSubjectChar">
    <w:name w:val="Comment Subject Char"/>
    <w:basedOn w:val="CommentTextChar"/>
    <w:link w:val="CommentSubject"/>
    <w:uiPriority w:val="99"/>
    <w:semiHidden/>
    <w:rsid w:val="008A1C78"/>
    <w:rPr>
      <w:b/>
      <w:bCs/>
      <w:sz w:val="20"/>
      <w:szCs w:val="20"/>
    </w:rPr>
  </w:style>
  <w:style w:type="character" w:customStyle="1" w:styleId="Heading1Char">
    <w:name w:val="Heading 1 Char"/>
    <w:basedOn w:val="DefaultParagraphFont"/>
    <w:link w:val="Heading1"/>
    <w:uiPriority w:val="9"/>
    <w:rsid w:val="00E64096"/>
    <w:rPr>
      <w:rFonts w:ascii="Times New Roman" w:eastAsiaTheme="majorEastAsia" w:hAnsi="Times New Roman" w:cstheme="majorBidi"/>
      <w:sz w:val="32"/>
      <w:szCs w:val="32"/>
      <w:u w:val="single"/>
    </w:rPr>
  </w:style>
  <w:style w:type="paragraph" w:styleId="TOCHeading">
    <w:name w:val="TOC Heading"/>
    <w:basedOn w:val="Heading1"/>
    <w:next w:val="Normal"/>
    <w:uiPriority w:val="39"/>
    <w:unhideWhenUsed/>
    <w:qFormat/>
    <w:rsid w:val="005808CB"/>
    <w:pPr>
      <w:outlineLvl w:val="9"/>
    </w:pPr>
    <w:rPr>
      <w:lang w:val="en-US"/>
    </w:rPr>
  </w:style>
  <w:style w:type="paragraph" w:styleId="TOC3">
    <w:name w:val="toc 3"/>
    <w:basedOn w:val="Normal"/>
    <w:next w:val="Normal"/>
    <w:autoRedefine/>
    <w:uiPriority w:val="39"/>
    <w:unhideWhenUsed/>
    <w:rsid w:val="005808CB"/>
    <w:pPr>
      <w:spacing w:after="100"/>
      <w:ind w:left="440"/>
    </w:pPr>
  </w:style>
  <w:style w:type="paragraph" w:styleId="TOC2">
    <w:name w:val="toc 2"/>
    <w:basedOn w:val="Normal"/>
    <w:next w:val="Normal"/>
    <w:autoRedefine/>
    <w:uiPriority w:val="39"/>
    <w:unhideWhenUsed/>
    <w:rsid w:val="005808CB"/>
    <w:pPr>
      <w:spacing w:after="100"/>
      <w:ind w:left="220"/>
    </w:pPr>
  </w:style>
  <w:style w:type="character" w:styleId="Hyperlink">
    <w:name w:val="Hyperlink"/>
    <w:basedOn w:val="DefaultParagraphFont"/>
    <w:uiPriority w:val="99"/>
    <w:unhideWhenUsed/>
    <w:rsid w:val="005808CB"/>
    <w:rPr>
      <w:color w:val="0563C1" w:themeColor="hyperlink"/>
      <w:u w:val="single"/>
    </w:rPr>
  </w:style>
  <w:style w:type="character" w:styleId="Emphasis">
    <w:name w:val="Emphasis"/>
    <w:basedOn w:val="DefaultParagraphFont"/>
    <w:uiPriority w:val="20"/>
    <w:qFormat/>
    <w:rsid w:val="00584C53"/>
    <w:rPr>
      <w:i/>
      <w:iCs/>
    </w:rPr>
  </w:style>
  <w:style w:type="paragraph" w:customStyle="1" w:styleId="EndNoteBibliographyTitle">
    <w:name w:val="EndNote Bibliography Title"/>
    <w:basedOn w:val="Normal"/>
    <w:link w:val="EndNoteBibliographyTitleChar"/>
    <w:rsid w:val="002F32C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F32C9"/>
    <w:rPr>
      <w:rFonts w:ascii="Calibri" w:hAnsi="Calibri" w:cs="Calibri"/>
      <w:noProof/>
      <w:lang w:val="en-US"/>
    </w:rPr>
  </w:style>
  <w:style w:type="paragraph" w:customStyle="1" w:styleId="EndNoteBibliography">
    <w:name w:val="EndNote Bibliography"/>
    <w:basedOn w:val="Normal"/>
    <w:link w:val="EndNoteBibliographyChar"/>
    <w:rsid w:val="002F32C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F32C9"/>
    <w:rPr>
      <w:rFonts w:ascii="Calibri" w:hAnsi="Calibri" w:cs="Calibri"/>
      <w:noProof/>
      <w:lang w:val="en-US"/>
    </w:rPr>
  </w:style>
  <w:style w:type="table" w:styleId="TableGrid">
    <w:name w:val="Table Grid"/>
    <w:basedOn w:val="TableNormal"/>
    <w:uiPriority w:val="39"/>
    <w:rsid w:val="00C22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96F05"/>
    <w:rPr>
      <w:rFonts w:ascii="Times New Roman" w:eastAsiaTheme="majorEastAsia" w:hAnsi="Times New Roman" w:cstheme="majorBidi"/>
      <w:iCs/>
      <w:sz w:val="24"/>
      <w:u w:val="single"/>
    </w:rPr>
  </w:style>
  <w:style w:type="paragraph" w:styleId="ListParagraph">
    <w:name w:val="List Paragraph"/>
    <w:basedOn w:val="Normal"/>
    <w:uiPriority w:val="34"/>
    <w:qFormat/>
    <w:rsid w:val="006C6B5C"/>
    <w:pPr>
      <w:ind w:left="720"/>
      <w:contextualSpacing/>
    </w:pPr>
  </w:style>
  <w:style w:type="character" w:styleId="UnresolvedMention">
    <w:name w:val="Unresolved Mention"/>
    <w:basedOn w:val="DefaultParagraphFont"/>
    <w:uiPriority w:val="99"/>
    <w:semiHidden/>
    <w:unhideWhenUsed/>
    <w:rsid w:val="00E33478"/>
    <w:rPr>
      <w:color w:val="605E5C"/>
      <w:shd w:val="clear" w:color="auto" w:fill="E1DFDD"/>
    </w:rPr>
  </w:style>
  <w:style w:type="character" w:styleId="PlaceholderText">
    <w:name w:val="Placeholder Text"/>
    <w:basedOn w:val="DefaultParagraphFont"/>
    <w:uiPriority w:val="99"/>
    <w:semiHidden/>
    <w:rsid w:val="00523C1B"/>
    <w:rPr>
      <w:color w:val="808080"/>
    </w:rPr>
  </w:style>
  <w:style w:type="paragraph" w:customStyle="1" w:styleId="Default">
    <w:name w:val="Default"/>
    <w:rsid w:val="0013410B"/>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4723D4"/>
    <w:pPr>
      <w:numPr>
        <w:numId w:val="2"/>
      </w:numPr>
      <w:contextualSpacing/>
    </w:pPr>
  </w:style>
  <w:style w:type="paragraph" w:styleId="NormalWeb">
    <w:name w:val="Normal (Web)"/>
    <w:basedOn w:val="Normal"/>
    <w:uiPriority w:val="99"/>
    <w:unhideWhenUsed/>
    <w:rsid w:val="008C34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custom-list-number">
    <w:name w:val="u-custom-list-number"/>
    <w:basedOn w:val="DefaultParagraphFont"/>
    <w:rsid w:val="008C3401"/>
  </w:style>
  <w:style w:type="paragraph" w:styleId="TOC1">
    <w:name w:val="toc 1"/>
    <w:basedOn w:val="Normal"/>
    <w:next w:val="Normal"/>
    <w:autoRedefine/>
    <w:uiPriority w:val="39"/>
    <w:unhideWhenUsed/>
    <w:rsid w:val="00626313"/>
    <w:pPr>
      <w:tabs>
        <w:tab w:val="right" w:leader="underscore" w:pos="9016"/>
      </w:tabs>
      <w:spacing w:after="100"/>
    </w:pPr>
    <w:rPr>
      <w:b/>
      <w:bCs/>
      <w:noProof/>
    </w:rPr>
  </w:style>
  <w:style w:type="table" w:styleId="GridTable2">
    <w:name w:val="Grid Table 2"/>
    <w:basedOn w:val="TableNormal"/>
    <w:uiPriority w:val="47"/>
    <w:rsid w:val="00C7224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EA4CB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9B46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06D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xtra-authors-text">
    <w:name w:val="extra-authors-text"/>
    <w:basedOn w:val="DefaultParagraphFont"/>
    <w:rsid w:val="00033564"/>
  </w:style>
  <w:style w:type="character" w:customStyle="1" w:styleId="abt-citation">
    <w:name w:val="abt-citation"/>
    <w:basedOn w:val="DefaultParagraphFont"/>
    <w:rsid w:val="00033564"/>
  </w:style>
  <w:style w:type="character" w:customStyle="1" w:styleId="title-text">
    <w:name w:val="title-text"/>
    <w:basedOn w:val="DefaultParagraphFont"/>
    <w:rsid w:val="00033564"/>
  </w:style>
  <w:style w:type="character" w:customStyle="1" w:styleId="figpopup-sensitive-area">
    <w:name w:val="figpopup-sensitive-area"/>
    <w:basedOn w:val="DefaultParagraphFont"/>
    <w:rsid w:val="00033564"/>
  </w:style>
  <w:style w:type="character" w:customStyle="1" w:styleId="author">
    <w:name w:val="author"/>
    <w:basedOn w:val="DefaultParagraphFont"/>
    <w:rsid w:val="00033564"/>
  </w:style>
  <w:style w:type="character" w:styleId="HTMLCite">
    <w:name w:val="HTML Cite"/>
    <w:basedOn w:val="DefaultParagraphFont"/>
    <w:uiPriority w:val="99"/>
    <w:semiHidden/>
    <w:unhideWhenUsed/>
    <w:rsid w:val="00033564"/>
    <w:rPr>
      <w:i/>
      <w:iCs/>
    </w:rPr>
  </w:style>
  <w:style w:type="table" w:styleId="PlainTable1">
    <w:name w:val="Plain Table 1"/>
    <w:basedOn w:val="TableNormal"/>
    <w:uiPriority w:val="41"/>
    <w:rsid w:val="000335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33564"/>
    <w:pPr>
      <w:spacing w:after="0" w:line="240" w:lineRule="auto"/>
    </w:pPr>
  </w:style>
  <w:style w:type="character" w:customStyle="1" w:styleId="cf01">
    <w:name w:val="cf01"/>
    <w:basedOn w:val="DefaultParagraphFont"/>
    <w:rsid w:val="00033564"/>
    <w:rPr>
      <w:rFonts w:ascii="Segoe UI" w:hAnsi="Segoe UI" w:cs="Segoe UI" w:hint="default"/>
      <w:sz w:val="18"/>
      <w:szCs w:val="18"/>
    </w:rPr>
  </w:style>
  <w:style w:type="character" w:customStyle="1" w:styleId="small-caps">
    <w:name w:val="small-caps"/>
    <w:basedOn w:val="DefaultParagraphFont"/>
    <w:rsid w:val="00187693"/>
  </w:style>
  <w:style w:type="paragraph" w:styleId="TOC4">
    <w:name w:val="toc 4"/>
    <w:basedOn w:val="Normal"/>
    <w:next w:val="Normal"/>
    <w:autoRedefine/>
    <w:uiPriority w:val="39"/>
    <w:unhideWhenUsed/>
    <w:rsid w:val="005F13CD"/>
    <w:pPr>
      <w:spacing w:after="100"/>
      <w:ind w:left="660"/>
    </w:pPr>
    <w:rPr>
      <w:rFonts w:eastAsiaTheme="minorEastAsia"/>
      <w:lang w:eastAsia="en-GB"/>
    </w:rPr>
  </w:style>
  <w:style w:type="paragraph" w:styleId="TOC5">
    <w:name w:val="toc 5"/>
    <w:basedOn w:val="Normal"/>
    <w:next w:val="Normal"/>
    <w:autoRedefine/>
    <w:uiPriority w:val="39"/>
    <w:unhideWhenUsed/>
    <w:rsid w:val="005F13CD"/>
    <w:pPr>
      <w:spacing w:after="100"/>
      <w:ind w:left="880"/>
    </w:pPr>
    <w:rPr>
      <w:rFonts w:eastAsiaTheme="minorEastAsia"/>
      <w:lang w:eastAsia="en-GB"/>
    </w:rPr>
  </w:style>
  <w:style w:type="paragraph" w:styleId="TOC6">
    <w:name w:val="toc 6"/>
    <w:basedOn w:val="Normal"/>
    <w:next w:val="Normal"/>
    <w:autoRedefine/>
    <w:uiPriority w:val="39"/>
    <w:unhideWhenUsed/>
    <w:rsid w:val="005F13CD"/>
    <w:pPr>
      <w:spacing w:after="100"/>
      <w:ind w:left="1100"/>
    </w:pPr>
    <w:rPr>
      <w:rFonts w:eastAsiaTheme="minorEastAsia"/>
      <w:lang w:eastAsia="en-GB"/>
    </w:rPr>
  </w:style>
  <w:style w:type="paragraph" w:styleId="TOC7">
    <w:name w:val="toc 7"/>
    <w:basedOn w:val="Normal"/>
    <w:next w:val="Normal"/>
    <w:autoRedefine/>
    <w:uiPriority w:val="39"/>
    <w:unhideWhenUsed/>
    <w:rsid w:val="005F13CD"/>
    <w:pPr>
      <w:spacing w:after="100"/>
      <w:ind w:left="1320"/>
    </w:pPr>
    <w:rPr>
      <w:rFonts w:eastAsiaTheme="minorEastAsia"/>
      <w:lang w:eastAsia="en-GB"/>
    </w:rPr>
  </w:style>
  <w:style w:type="paragraph" w:styleId="TOC8">
    <w:name w:val="toc 8"/>
    <w:basedOn w:val="Normal"/>
    <w:next w:val="Normal"/>
    <w:autoRedefine/>
    <w:uiPriority w:val="39"/>
    <w:unhideWhenUsed/>
    <w:rsid w:val="005F13CD"/>
    <w:pPr>
      <w:spacing w:after="100"/>
      <w:ind w:left="1540"/>
    </w:pPr>
    <w:rPr>
      <w:rFonts w:eastAsiaTheme="minorEastAsia"/>
      <w:lang w:eastAsia="en-GB"/>
    </w:rPr>
  </w:style>
  <w:style w:type="paragraph" w:styleId="TOC9">
    <w:name w:val="toc 9"/>
    <w:basedOn w:val="Normal"/>
    <w:next w:val="Normal"/>
    <w:autoRedefine/>
    <w:uiPriority w:val="39"/>
    <w:unhideWhenUsed/>
    <w:rsid w:val="005F13CD"/>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0823">
      <w:bodyDiv w:val="1"/>
      <w:marLeft w:val="0"/>
      <w:marRight w:val="0"/>
      <w:marTop w:val="0"/>
      <w:marBottom w:val="0"/>
      <w:divBdr>
        <w:top w:val="none" w:sz="0" w:space="0" w:color="auto"/>
        <w:left w:val="none" w:sz="0" w:space="0" w:color="auto"/>
        <w:bottom w:val="none" w:sz="0" w:space="0" w:color="auto"/>
        <w:right w:val="none" w:sz="0" w:space="0" w:color="auto"/>
      </w:divBdr>
    </w:div>
    <w:div w:id="53352577">
      <w:bodyDiv w:val="1"/>
      <w:marLeft w:val="0"/>
      <w:marRight w:val="0"/>
      <w:marTop w:val="0"/>
      <w:marBottom w:val="0"/>
      <w:divBdr>
        <w:top w:val="none" w:sz="0" w:space="0" w:color="auto"/>
        <w:left w:val="none" w:sz="0" w:space="0" w:color="auto"/>
        <w:bottom w:val="none" w:sz="0" w:space="0" w:color="auto"/>
        <w:right w:val="none" w:sz="0" w:space="0" w:color="auto"/>
      </w:divBdr>
    </w:div>
    <w:div w:id="165752392">
      <w:bodyDiv w:val="1"/>
      <w:marLeft w:val="0"/>
      <w:marRight w:val="0"/>
      <w:marTop w:val="0"/>
      <w:marBottom w:val="0"/>
      <w:divBdr>
        <w:top w:val="none" w:sz="0" w:space="0" w:color="auto"/>
        <w:left w:val="none" w:sz="0" w:space="0" w:color="auto"/>
        <w:bottom w:val="none" w:sz="0" w:space="0" w:color="auto"/>
        <w:right w:val="none" w:sz="0" w:space="0" w:color="auto"/>
      </w:divBdr>
    </w:div>
    <w:div w:id="410934725">
      <w:bodyDiv w:val="1"/>
      <w:marLeft w:val="0"/>
      <w:marRight w:val="0"/>
      <w:marTop w:val="0"/>
      <w:marBottom w:val="0"/>
      <w:divBdr>
        <w:top w:val="none" w:sz="0" w:space="0" w:color="auto"/>
        <w:left w:val="none" w:sz="0" w:space="0" w:color="auto"/>
        <w:bottom w:val="none" w:sz="0" w:space="0" w:color="auto"/>
        <w:right w:val="none" w:sz="0" w:space="0" w:color="auto"/>
      </w:divBdr>
    </w:div>
    <w:div w:id="423307693">
      <w:bodyDiv w:val="1"/>
      <w:marLeft w:val="0"/>
      <w:marRight w:val="0"/>
      <w:marTop w:val="0"/>
      <w:marBottom w:val="0"/>
      <w:divBdr>
        <w:top w:val="none" w:sz="0" w:space="0" w:color="auto"/>
        <w:left w:val="none" w:sz="0" w:space="0" w:color="auto"/>
        <w:bottom w:val="none" w:sz="0" w:space="0" w:color="auto"/>
        <w:right w:val="none" w:sz="0" w:space="0" w:color="auto"/>
      </w:divBdr>
    </w:div>
    <w:div w:id="475729129">
      <w:bodyDiv w:val="1"/>
      <w:marLeft w:val="0"/>
      <w:marRight w:val="0"/>
      <w:marTop w:val="0"/>
      <w:marBottom w:val="0"/>
      <w:divBdr>
        <w:top w:val="none" w:sz="0" w:space="0" w:color="auto"/>
        <w:left w:val="none" w:sz="0" w:space="0" w:color="auto"/>
        <w:bottom w:val="none" w:sz="0" w:space="0" w:color="auto"/>
        <w:right w:val="none" w:sz="0" w:space="0" w:color="auto"/>
      </w:divBdr>
    </w:div>
    <w:div w:id="538511939">
      <w:bodyDiv w:val="1"/>
      <w:marLeft w:val="0"/>
      <w:marRight w:val="0"/>
      <w:marTop w:val="0"/>
      <w:marBottom w:val="0"/>
      <w:divBdr>
        <w:top w:val="none" w:sz="0" w:space="0" w:color="auto"/>
        <w:left w:val="none" w:sz="0" w:space="0" w:color="auto"/>
        <w:bottom w:val="none" w:sz="0" w:space="0" w:color="auto"/>
        <w:right w:val="none" w:sz="0" w:space="0" w:color="auto"/>
      </w:divBdr>
    </w:div>
    <w:div w:id="745492338">
      <w:bodyDiv w:val="1"/>
      <w:marLeft w:val="0"/>
      <w:marRight w:val="0"/>
      <w:marTop w:val="0"/>
      <w:marBottom w:val="0"/>
      <w:divBdr>
        <w:top w:val="none" w:sz="0" w:space="0" w:color="auto"/>
        <w:left w:val="none" w:sz="0" w:space="0" w:color="auto"/>
        <w:bottom w:val="none" w:sz="0" w:space="0" w:color="auto"/>
        <w:right w:val="none" w:sz="0" w:space="0" w:color="auto"/>
      </w:divBdr>
    </w:div>
    <w:div w:id="1178545975">
      <w:bodyDiv w:val="1"/>
      <w:marLeft w:val="0"/>
      <w:marRight w:val="0"/>
      <w:marTop w:val="0"/>
      <w:marBottom w:val="0"/>
      <w:divBdr>
        <w:top w:val="none" w:sz="0" w:space="0" w:color="auto"/>
        <w:left w:val="none" w:sz="0" w:space="0" w:color="auto"/>
        <w:bottom w:val="none" w:sz="0" w:space="0" w:color="auto"/>
        <w:right w:val="none" w:sz="0" w:space="0" w:color="auto"/>
      </w:divBdr>
    </w:div>
    <w:div w:id="1318146490">
      <w:bodyDiv w:val="1"/>
      <w:marLeft w:val="0"/>
      <w:marRight w:val="0"/>
      <w:marTop w:val="0"/>
      <w:marBottom w:val="0"/>
      <w:divBdr>
        <w:top w:val="none" w:sz="0" w:space="0" w:color="auto"/>
        <w:left w:val="none" w:sz="0" w:space="0" w:color="auto"/>
        <w:bottom w:val="none" w:sz="0" w:space="0" w:color="auto"/>
        <w:right w:val="none" w:sz="0" w:space="0" w:color="auto"/>
      </w:divBdr>
    </w:div>
    <w:div w:id="1383365780">
      <w:bodyDiv w:val="1"/>
      <w:marLeft w:val="0"/>
      <w:marRight w:val="0"/>
      <w:marTop w:val="0"/>
      <w:marBottom w:val="0"/>
      <w:divBdr>
        <w:top w:val="none" w:sz="0" w:space="0" w:color="auto"/>
        <w:left w:val="none" w:sz="0" w:space="0" w:color="auto"/>
        <w:bottom w:val="none" w:sz="0" w:space="0" w:color="auto"/>
        <w:right w:val="none" w:sz="0" w:space="0" w:color="auto"/>
      </w:divBdr>
    </w:div>
    <w:div w:id="1490056987">
      <w:bodyDiv w:val="1"/>
      <w:marLeft w:val="0"/>
      <w:marRight w:val="0"/>
      <w:marTop w:val="0"/>
      <w:marBottom w:val="0"/>
      <w:divBdr>
        <w:top w:val="none" w:sz="0" w:space="0" w:color="auto"/>
        <w:left w:val="none" w:sz="0" w:space="0" w:color="auto"/>
        <w:bottom w:val="none" w:sz="0" w:space="0" w:color="auto"/>
        <w:right w:val="none" w:sz="0" w:space="0" w:color="auto"/>
      </w:divBdr>
    </w:div>
    <w:div w:id="1950970706">
      <w:bodyDiv w:val="1"/>
      <w:marLeft w:val="0"/>
      <w:marRight w:val="0"/>
      <w:marTop w:val="0"/>
      <w:marBottom w:val="0"/>
      <w:divBdr>
        <w:top w:val="none" w:sz="0" w:space="0" w:color="auto"/>
        <w:left w:val="none" w:sz="0" w:space="0" w:color="auto"/>
        <w:bottom w:val="none" w:sz="0" w:space="0" w:color="auto"/>
        <w:right w:val="none" w:sz="0" w:space="0" w:color="auto"/>
      </w:divBdr>
    </w:div>
    <w:div w:id="2056662620">
      <w:bodyDiv w:val="1"/>
      <w:marLeft w:val="0"/>
      <w:marRight w:val="0"/>
      <w:marTop w:val="0"/>
      <w:marBottom w:val="0"/>
      <w:divBdr>
        <w:top w:val="none" w:sz="0" w:space="0" w:color="auto"/>
        <w:left w:val="none" w:sz="0" w:space="0" w:color="auto"/>
        <w:bottom w:val="none" w:sz="0" w:space="0" w:color="auto"/>
        <w:right w:val="none" w:sz="0" w:space="0" w:color="auto"/>
      </w:divBdr>
    </w:div>
    <w:div w:id="207522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www.sciencedirect.com/topics/biochemistry-genetics-and-molecular-biology/phosphatidylinosito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hyperlink" Target="https://doi.org/10.1128/spectrum.00447-23" TargetMode="External"/><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DDFF6-94E2-4384-846B-F44A57C9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24</Pages>
  <Words>197691</Words>
  <Characters>1126842</Characters>
  <Application>Microsoft Office Word</Application>
  <DocSecurity>0</DocSecurity>
  <Lines>9390</Lines>
  <Paragraphs>2643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Naznin Choudhury</dc:creator>
  <cp:keywords/>
  <dc:description/>
  <cp:lastModifiedBy>Naznin Choudhury</cp:lastModifiedBy>
  <cp:revision>29</cp:revision>
  <cp:lastPrinted>2023-03-27T01:03:00Z</cp:lastPrinted>
  <dcterms:created xsi:type="dcterms:W3CDTF">2023-08-04T11:33:00Z</dcterms:created>
  <dcterms:modified xsi:type="dcterms:W3CDTF">2023-09-15T11:11:00Z</dcterms:modified>
</cp:coreProperties>
</file>